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868" w:rsidRDefault="003F1AB5">
      <w:pPr>
        <w:pStyle w:val="Style842"/>
      </w:pPr>
      <w:r>
        <w:rPr>
          <w:rFonts w:hint="eastAsia"/>
        </w:rPr>
        <w:t>公司代码：</w:t>
      </w:r>
      <w:sdt>
        <w:sdtPr>
          <w:rPr>
            <w:rFonts w:hint="eastAsia"/>
          </w:rPr>
          <w:alias w:val="公司代码"/>
          <w:tag w:val="_GBC_704b7b03ea3f4a93b8d4655a09b2ff61"/>
          <w:id w:val="-17248535"/>
          <w:placeholder>
            <w:docPart w:val="GBC22222222222222222222222222222"/>
          </w:placeholder>
        </w:sdtPr>
        <w:sdtEndPr/>
        <w:sdtContent>
          <w:r>
            <w:t>603191</w:t>
          </w:r>
        </w:sdtContent>
      </w:sdt>
      <w:r>
        <w:rPr>
          <w:rFonts w:hint="eastAsia"/>
        </w:rPr>
        <w:t xml:space="preserve">                                       公司简称：</w:t>
      </w:r>
      <w:sdt>
        <w:sdtPr>
          <w:rPr>
            <w:rFonts w:hint="eastAsia"/>
          </w:rPr>
          <w:alias w:val="公司简称"/>
          <w:tag w:val="_GBC_0384ae715a1e4b4894a29e4d27f5bef4"/>
          <w:id w:val="974192723"/>
          <w:placeholder>
            <w:docPart w:val="GBC22222222222222222222222222222"/>
          </w:placeholder>
        </w:sdtPr>
        <w:sdtEndPr/>
        <w:sdtContent>
          <w:r>
            <w:rPr>
              <w:rFonts w:hint="eastAsia"/>
            </w:rPr>
            <w:t>望变电气</w:t>
          </w:r>
        </w:sdtContent>
      </w:sdt>
    </w:p>
    <w:p w:rsidR="004A3868" w:rsidRDefault="004A3868">
      <w:pPr>
        <w:pStyle w:val="Style124"/>
      </w:pPr>
    </w:p>
    <w:p w:rsidR="004A3868" w:rsidRDefault="004A3868">
      <w:pPr>
        <w:pStyle w:val="Style124"/>
      </w:pPr>
    </w:p>
    <w:p w:rsidR="004A3868" w:rsidRDefault="004A3868">
      <w:pPr>
        <w:pStyle w:val="Style124"/>
      </w:pPr>
    </w:p>
    <w:p w:rsidR="004A3868" w:rsidRDefault="004A3868">
      <w:pPr>
        <w:pStyle w:val="Style124"/>
      </w:pPr>
    </w:p>
    <w:p w:rsidR="004A3868" w:rsidRDefault="004A3868">
      <w:pPr>
        <w:pStyle w:val="Style124"/>
      </w:pPr>
    </w:p>
    <w:p w:rsidR="004A3868" w:rsidRDefault="004A3868">
      <w:pPr>
        <w:pStyle w:val="Style124"/>
      </w:pPr>
    </w:p>
    <w:p w:rsidR="004A3868" w:rsidRDefault="004A3868">
      <w:pPr>
        <w:pStyle w:val="Style842"/>
      </w:pPr>
    </w:p>
    <w:p w:rsidR="004A3868" w:rsidRDefault="004A3868">
      <w:pPr>
        <w:pStyle w:val="Style842"/>
      </w:pPr>
    </w:p>
    <w:p w:rsidR="004A3868" w:rsidRDefault="003F1AB5">
      <w:pPr>
        <w:jc w:val="center"/>
      </w:pPr>
      <w:r>
        <w:rPr>
          <w:rFonts w:hint="eastAsia"/>
        </w:rPr>
        <w:t>重庆望变电气（集团）股份有限公司</w:t>
      </w:r>
    </w:p>
    <w:p w:rsidR="004A3868" w:rsidRDefault="003F1AB5">
      <w:pPr>
        <w:jc w:val="center"/>
      </w:pPr>
      <w:r>
        <w:t>2023</w:t>
      </w:r>
      <w:r>
        <w:rPr>
          <w:rFonts w:hint="eastAsia"/>
        </w:rPr>
        <w:t>年年度报告</w:t>
      </w:r>
    </w:p>
    <w:p w:rsidR="004A3868" w:rsidRDefault="004A3868">
      <w:pPr>
        <w:pStyle w:val="Style124"/>
      </w:pPr>
    </w:p>
    <w:p w:rsidR="004A3868" w:rsidRDefault="004A3868">
      <w:pPr>
        <w:pStyle w:val="Style124"/>
      </w:pPr>
    </w:p>
    <w:p w:rsidR="004A3868" w:rsidRDefault="004A3868">
      <w:pPr>
        <w:pStyle w:val="Style124"/>
      </w:pPr>
    </w:p>
    <w:p w:rsidR="004A3868" w:rsidRDefault="003F1AB5">
      <w:pPr>
        <w:pStyle w:val="Style124"/>
      </w:pPr>
      <w:r>
        <w:rPr>
          <w:rFonts w:hint="eastAsia"/>
          <w:noProof/>
        </w:rPr>
        <w:drawing>
          <wp:anchor distT="0" distB="0" distL="114300" distR="114300" simplePos="0" relativeHeight="251659264" behindDoc="1" locked="0" layoutInCell="1" allowOverlap="1">
            <wp:simplePos x="0" y="0"/>
            <wp:positionH relativeFrom="page">
              <wp:posOffset>1123950</wp:posOffset>
            </wp:positionH>
            <wp:positionV relativeFrom="paragraph">
              <wp:posOffset>193040</wp:posOffset>
            </wp:positionV>
            <wp:extent cx="5999480" cy="3430905"/>
            <wp:effectExtent l="0" t="0" r="5080" b="13335"/>
            <wp:wrapNone/>
            <wp:docPr id="21" name="图片 21" descr="研发楼航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研发楼航拍(1)(1)"/>
                    <pic:cNvPicPr>
                      <a:picLocks noChangeAspect="1"/>
                    </pic:cNvPicPr>
                  </pic:nvPicPr>
                  <pic:blipFill>
                    <a:blip r:embed="rId12"/>
                    <a:stretch>
                      <a:fillRect/>
                    </a:stretch>
                  </pic:blipFill>
                  <pic:spPr>
                    <a:xfrm>
                      <a:off x="0" y="0"/>
                      <a:ext cx="5999480" cy="3430905"/>
                    </a:xfrm>
                    <a:prstGeom prst="rect">
                      <a:avLst/>
                    </a:prstGeom>
                  </pic:spPr>
                </pic:pic>
              </a:graphicData>
            </a:graphic>
          </wp:anchor>
        </w:drawing>
      </w:r>
    </w:p>
    <w:p w:rsidR="004A3868" w:rsidRDefault="004A3868">
      <w:pPr>
        <w:pStyle w:val="Style124"/>
      </w:pPr>
    </w:p>
    <w:p w:rsidR="004A3868" w:rsidRDefault="004A3868">
      <w:pPr>
        <w:pStyle w:val="Style124"/>
      </w:pPr>
    </w:p>
    <w:p w:rsidR="004A3868" w:rsidRDefault="004A3868">
      <w:pPr>
        <w:pStyle w:val="Style124"/>
      </w:pPr>
    </w:p>
    <w:p w:rsidR="004A3868" w:rsidRDefault="004A3868">
      <w:pPr>
        <w:sectPr w:rsidR="004A3868">
          <w:headerReference w:type="default" r:id="rId13"/>
          <w:footerReference w:type="default" r:id="rId14"/>
          <w:pgSz w:w="11906" w:h="16838"/>
          <w:pgMar w:top="1525" w:right="1276" w:bottom="1440" w:left="1797" w:header="855" w:footer="992" w:gutter="0"/>
          <w:cols w:space="425"/>
          <w:docGrid w:linePitch="312"/>
        </w:sectPr>
      </w:pPr>
    </w:p>
    <w:p w:rsidR="004A3868" w:rsidRDefault="004A3868">
      <w:pPr>
        <w:pStyle w:val="Style124"/>
      </w:pPr>
    </w:p>
    <w:p w:rsidR="004A3868" w:rsidRDefault="003F1AB5">
      <w:pPr>
        <w:pStyle w:val="ad"/>
        <w:jc w:val="center"/>
        <w:rPr>
          <w:rStyle w:val="2Char"/>
          <w:sz w:val="32"/>
          <w:szCs w:val="32"/>
        </w:rPr>
      </w:pPr>
      <w:bookmarkStart w:id="0" w:name="_Toc387656034"/>
      <w:r>
        <w:rPr>
          <w:rStyle w:val="2Char"/>
          <w:rFonts w:hint="eastAsia"/>
          <w:sz w:val="32"/>
          <w:szCs w:val="32"/>
        </w:rPr>
        <w:t>致股东</w:t>
      </w:r>
    </w:p>
    <w:p w:rsidR="004A3868" w:rsidRDefault="003F1AB5">
      <w:pPr>
        <w:pStyle w:val="ad"/>
        <w:spacing w:line="560" w:lineRule="exact"/>
        <w:ind w:firstLineChars="200" w:firstLine="422"/>
        <w:rPr>
          <w:rStyle w:val="2Char"/>
        </w:rPr>
      </w:pPr>
      <w:r>
        <w:rPr>
          <w:rStyle w:val="2Char"/>
          <w:rFonts w:hint="eastAsia"/>
        </w:rPr>
        <w:t>我们不忘公司</w:t>
      </w:r>
      <w:r>
        <w:rPr>
          <w:rStyle w:val="2Char"/>
          <w:rFonts w:hint="eastAsia"/>
        </w:rPr>
        <w:t>3</w:t>
      </w:r>
      <w:r>
        <w:rPr>
          <w:rStyle w:val="2Char"/>
        </w:rPr>
        <w:t>0</w:t>
      </w:r>
      <w:r>
        <w:rPr>
          <w:rStyle w:val="2Char"/>
          <w:rFonts w:hint="eastAsia"/>
        </w:rPr>
        <w:t>年来坚守的“惠泽万家”的初心使命，不忘上市以来确立的“打造百亿企业、跻身百强行列、建设百年望变”的奋斗目标，不忘股东对我们高质量发展的殷切期望，聚焦“取向硅钢”及“输配电及控制设备”两大主业，充分发挥</w:t>
      </w:r>
      <w:r>
        <w:rPr>
          <w:rStyle w:val="2Char"/>
          <w:rFonts w:hint="eastAsia"/>
        </w:rPr>
        <w:t>3</w:t>
      </w:r>
      <w:r>
        <w:rPr>
          <w:rStyle w:val="2Char"/>
        </w:rPr>
        <w:t>0</w:t>
      </w:r>
      <w:r>
        <w:rPr>
          <w:rStyle w:val="2Char"/>
          <w:rFonts w:hint="eastAsia"/>
        </w:rPr>
        <w:t>年来积累的技术优势、市场优势、管理优势、文化优势，打造了从高端磁性材料—输配电及控制装备—智能电网解决方案服务为一体化的产业链企业，系全国唯一的打通上游原材料至下游服务的电力设备供应企业。</w:t>
      </w:r>
    </w:p>
    <w:p w:rsidR="004A3868" w:rsidRDefault="003F1AB5">
      <w:pPr>
        <w:pStyle w:val="ad"/>
        <w:spacing w:line="560" w:lineRule="exact"/>
        <w:ind w:firstLineChars="200" w:firstLine="422"/>
        <w:rPr>
          <w:rStyle w:val="2Char"/>
        </w:rPr>
      </w:pPr>
      <w:r>
        <w:rPr>
          <w:rStyle w:val="2Char"/>
          <w:rFonts w:hint="eastAsia"/>
        </w:rPr>
        <w:t>公司成功收购云南变压器电气股份有限公司股权之后，公司变压器产品电压等级提升至</w:t>
      </w:r>
      <w:r>
        <w:rPr>
          <w:rStyle w:val="2Char"/>
        </w:rPr>
        <w:t>500kV</w:t>
      </w:r>
      <w:r>
        <w:rPr>
          <w:rStyle w:val="2Char"/>
        </w:rPr>
        <w:t>，在铁路牵引变、高</w:t>
      </w:r>
      <w:r>
        <w:rPr>
          <w:rStyle w:val="2Char"/>
          <w:rFonts w:hint="eastAsia"/>
        </w:rPr>
        <w:t>海拔</w:t>
      </w:r>
      <w:r>
        <w:rPr>
          <w:rStyle w:val="2Char"/>
        </w:rPr>
        <w:t>大容量等级变压器产品领域的竞争能力得到大幅提升</w:t>
      </w:r>
      <w:r>
        <w:rPr>
          <w:rStyle w:val="2Char"/>
          <w:rFonts w:hint="eastAsia"/>
        </w:rPr>
        <w:t>；</w:t>
      </w:r>
      <w:r>
        <w:rPr>
          <w:rStyle w:val="2Char"/>
        </w:rPr>
        <w:t>公司能够为</w:t>
      </w:r>
      <w:r>
        <w:rPr>
          <w:rStyle w:val="2Char"/>
          <w:rFonts w:hint="eastAsia"/>
        </w:rPr>
        <w:t>取向硅钢和输配电及控制设备用户提供多维度、多业态、多产品、多规格等不同需求运用场景的解决方案，为</w:t>
      </w:r>
      <w:r>
        <w:rPr>
          <w:rStyle w:val="2Char"/>
        </w:rPr>
        <w:t>客户提供一站式、低成本、高质量的产品服务。与此同时，公司创新性建成</w:t>
      </w:r>
      <w:r>
        <w:rPr>
          <w:rStyle w:val="2Char"/>
          <w:rFonts w:hint="eastAsia"/>
        </w:rPr>
        <w:t xml:space="preserve"> </w:t>
      </w:r>
      <w:r>
        <w:rPr>
          <w:rStyle w:val="2Char"/>
          <w:rFonts w:hint="eastAsia"/>
        </w:rPr>
        <w:t>“综合零碳示范样板区”，可为行业提供一体化解决方案，用实际行动践行“绿色”“低碳”高质量发展战略，助力国家构建绿色低碳循环发展经济体系。</w:t>
      </w:r>
    </w:p>
    <w:p w:rsidR="004A3868" w:rsidRDefault="003F1AB5">
      <w:pPr>
        <w:pStyle w:val="ad"/>
        <w:spacing w:line="560" w:lineRule="exact"/>
        <w:ind w:firstLineChars="200" w:firstLine="422"/>
        <w:rPr>
          <w:rStyle w:val="2Char"/>
        </w:rPr>
      </w:pPr>
      <w:r>
        <w:rPr>
          <w:rStyle w:val="2Char"/>
          <w:rFonts w:hint="eastAsia"/>
        </w:rPr>
        <w:t>在全球能源转型和能源革命催生行业需求持续旺盛的市场大背景下，公司定当继续围绕新能源材料及电力装备产业，不断提升研发、制造及解决方案能力，主动作为、不辱使命、迎难而上，力争在全球能源转型和能源革命浪潮中发挥更大作用，展现更大作为！</w:t>
      </w:r>
    </w:p>
    <w:p w:rsidR="004A3868" w:rsidRDefault="003F1AB5">
      <w:pPr>
        <w:pStyle w:val="Style842"/>
      </w:pPr>
      <w:r>
        <w:br w:type="page"/>
      </w:r>
    </w:p>
    <w:p w:rsidR="004A3868" w:rsidRDefault="003F1AB5">
      <w:pPr>
        <w:pStyle w:val="afd"/>
      </w:pPr>
      <w:r>
        <w:rPr>
          <w:rFonts w:hint="eastAsia"/>
        </w:rPr>
        <w:lastRenderedPageBreak/>
        <w:t>重要提示</w:t>
      </w:r>
      <w:bookmarkEnd w:id="0"/>
    </w:p>
    <w:sdt>
      <w:sdtPr>
        <w:rPr>
          <w:rFonts w:ascii="宋体" w:hAnsi="宋体" w:cs="宋体" w:hint="eastAsia"/>
          <w:color w:val="000000"/>
          <w:kern w:val="0"/>
          <w:sz w:val="24"/>
          <w:szCs w:val="24"/>
        </w:rPr>
        <w:alias w:val="选项模块:董事会及董事声明"/>
        <w:tag w:val="_SEC_7d2cef92505949c6b5bd6a9bd88e1b07"/>
        <w:id w:val="1419138099"/>
        <w:placeholder>
          <w:docPart w:val="GBC22222222222222222222222222222"/>
        </w:placeholder>
      </w:sdtPr>
      <w:sdtEndPr>
        <w:rPr>
          <w:rFonts w:ascii="Arial" w:hAnsi="Arial" w:cs="Times New Roman" w:hint="default"/>
          <w:color w:val="auto"/>
          <w:kern w:val="2"/>
          <w:sz w:val="21"/>
          <w:szCs w:val="21"/>
        </w:rPr>
      </w:sdtEndPr>
      <w:sdtContent>
        <w:p w:rsidR="004A3868" w:rsidRDefault="00B34370">
          <w:pPr>
            <w:pStyle w:val="2"/>
            <w:numPr>
              <w:ilvl w:val="0"/>
              <w:numId w:val="13"/>
            </w:numPr>
          </w:pPr>
          <w:sdt>
            <w:sdtPr>
              <w:rPr>
                <w:rFonts w:hint="eastAsia"/>
              </w:rPr>
              <w:alias w:val="董事会及董事声明"/>
              <w:tag w:val="_GBC_7a4abe6548364d7e8583e54b6ff64105"/>
              <w:id w:val="2107919790"/>
              <w:placeholder>
                <w:docPart w:val="GBC22222222222222222222222222222"/>
              </w:placeholder>
            </w:sdtPr>
            <w:sdtEndPr/>
            <w:sdtContent>
              <w:r w:rsidR="003F1AB5">
                <w:t>本公司董事会、监事会及董事、监事、高级管理人员保证年度报告内容的真实</w:t>
              </w:r>
              <w:r w:rsidR="003F1AB5">
                <w:rPr>
                  <w:rFonts w:hint="eastAsia"/>
                </w:rPr>
                <w:t>性</w:t>
              </w:r>
              <w:r w:rsidR="003F1AB5">
                <w:t>、准确</w:t>
              </w:r>
              <w:r w:rsidR="003F1AB5">
                <w:rPr>
                  <w:rFonts w:hint="eastAsia"/>
                </w:rPr>
                <w:t>性</w:t>
              </w:r>
              <w:r w:rsidR="003F1AB5">
                <w:t>、完整</w:t>
              </w:r>
              <w:r w:rsidR="003F1AB5">
                <w:rPr>
                  <w:rFonts w:hint="eastAsia"/>
                </w:rPr>
                <w:t>性</w:t>
              </w:r>
              <w:r w:rsidR="003F1AB5">
                <w:t>，不存在虚假记载、误导性陈述或重大遗漏，并承担个别和连带的法律责任。</w:t>
              </w:r>
            </w:sdtContent>
          </w:sdt>
        </w:p>
      </w:sdtContent>
    </w:sdt>
    <w:sdt>
      <w:sdtPr>
        <w:rPr>
          <w:rFonts w:ascii="Calibri" w:hAnsi="Calibri" w:cs="宋体" w:hint="eastAsia"/>
          <w:b w:val="0"/>
          <w:bCs w:val="0"/>
          <w:color w:val="000000"/>
          <w:kern w:val="0"/>
          <w:sz w:val="24"/>
          <w:szCs w:val="22"/>
        </w:rPr>
        <w:alias w:val="选项模块:公司全体董事出席董事会会议。"/>
        <w:tag w:val="_SEC_22f2821f4b8f443f90d5135b8aaff83a"/>
        <w:id w:val="1469703810"/>
        <w:placeholder>
          <w:docPart w:val="GBC22222222222222222222222222222"/>
        </w:placeholder>
      </w:sdtPr>
      <w:sdtEndPr>
        <w:rPr>
          <w:rFonts w:ascii="Arial" w:hAnsi="Arial" w:cs="Times New Roman" w:hint="default"/>
          <w:b/>
          <w:bCs/>
          <w:color w:val="auto"/>
          <w:kern w:val="2"/>
          <w:sz w:val="21"/>
          <w:szCs w:val="21"/>
        </w:rPr>
      </w:sdtEndPr>
      <w:sdtContent>
        <w:p w:rsidR="004A3868" w:rsidRDefault="003F1AB5">
          <w:pPr>
            <w:pStyle w:val="2"/>
            <w:numPr>
              <w:ilvl w:val="0"/>
              <w:numId w:val="13"/>
            </w:numPr>
          </w:pPr>
          <w:r>
            <w:rPr>
              <w:rFonts w:hint="eastAsia"/>
            </w:rPr>
            <w:t>公司</w:t>
          </w:r>
          <w:sdt>
            <w:sdtPr>
              <w:rPr>
                <w:rFonts w:hint="eastAsia"/>
              </w:rPr>
              <w:tag w:val="_PLD_67dfe594d3e24f69b6f9757d86ded61b"/>
              <w:id w:val="1811361729"/>
              <w:placeholder>
                <w:docPart w:val="GBC22222222222222222222222222222"/>
              </w:placeholder>
            </w:sdtPr>
            <w:sdtEndPr/>
            <w:sdtContent>
              <w:r>
                <w:rPr>
                  <w:rFonts w:hint="eastAsia"/>
                </w:rPr>
                <w:t>全体董事出席</w:t>
              </w:r>
            </w:sdtContent>
          </w:sdt>
          <w:r>
            <w:rPr>
              <w:rFonts w:hint="eastAsia"/>
            </w:rPr>
            <w:t>董事会会议。</w:t>
          </w:r>
        </w:p>
      </w:sdtContent>
    </w:sdt>
    <w:sdt>
      <w:sdtPr>
        <w:rPr>
          <w:rFonts w:ascii="Calibri" w:hAnsi="Calibri" w:cs="宋体" w:hint="eastAsia"/>
          <w:b w:val="0"/>
          <w:bCs w:val="0"/>
          <w:color w:val="000000"/>
          <w:kern w:val="0"/>
          <w:sz w:val="24"/>
          <w:szCs w:val="24"/>
        </w:rPr>
        <w:alias w:val="选项模块:事务所为本公司出具了标准无保留意见的审计报告。"/>
        <w:tag w:val="_SEC_40fba4905c084fec81ccf5c248050f25"/>
        <w:id w:val="-1603797955"/>
        <w:placeholder>
          <w:docPart w:val="GBC22222222222222222222222222222"/>
        </w:placeholder>
      </w:sdtPr>
      <w:sdtEndPr>
        <w:rPr>
          <w:rFonts w:ascii="Arial" w:hAnsi="Arial" w:cs="Times New Roman" w:hint="default"/>
          <w:b/>
          <w:bCs/>
          <w:color w:val="auto"/>
          <w:kern w:val="2"/>
          <w:sz w:val="21"/>
          <w:szCs w:val="21"/>
        </w:rPr>
      </w:sdtEndPr>
      <w:sdtContent>
        <w:p w:rsidR="004A3868" w:rsidRDefault="00B34370">
          <w:pPr>
            <w:pStyle w:val="2"/>
            <w:numPr>
              <w:ilvl w:val="0"/>
              <w:numId w:val="13"/>
            </w:numPr>
          </w:pPr>
          <w:sdt>
            <w:sdtPr>
              <w:rPr>
                <w:rFonts w:hint="eastAsia"/>
              </w:rPr>
              <w:alias w:val="公司聘请的境内会计师事务所名称"/>
              <w:tag w:val="_GBC_ad504284986e4ab994733d7125ba1c33"/>
              <w:id w:val="1688788585"/>
              <w:placeholder>
                <w:docPart w:val="GBC22222222222222222222222222222"/>
              </w:placeholder>
            </w:sdtPr>
            <w:sdtEndPr/>
            <w:sdtContent>
              <w:r w:rsidR="003F1AB5">
                <w:rPr>
                  <w:rFonts w:hint="eastAsia"/>
                </w:rPr>
                <w:t>大华会计师事务所（特殊普通合伙）</w:t>
              </w:r>
            </w:sdtContent>
          </w:sdt>
          <w:r w:rsidR="003F1AB5">
            <w:rPr>
              <w:rFonts w:hint="eastAsia"/>
            </w:rPr>
            <w:t>为本公司出具了</w:t>
          </w:r>
          <w:sdt>
            <w:sdtPr>
              <w:rPr>
                <w:rFonts w:hint="eastAsia"/>
              </w:rPr>
              <w:alias w:val="会计师事务所审计意见类型"/>
              <w:tag w:val="_GBC_fc66ac35f9514436909a413223854389"/>
              <w:id w:val="-1033801511"/>
              <w:placeholder>
                <w:docPart w:val="GBC22222222222222222222222222222"/>
              </w:placeholder>
            </w:sdtPr>
            <w:sdtEndPr/>
            <w:sdtContent>
              <w:r w:rsidR="003F1AB5">
                <w:rPr>
                  <w:rFonts w:hint="eastAsia"/>
                </w:rPr>
                <w:t>标准无保留意见</w:t>
              </w:r>
            </w:sdtContent>
          </w:sdt>
          <w:r w:rsidR="003F1AB5">
            <w:rPr>
              <w:rFonts w:hint="eastAsia"/>
            </w:rPr>
            <w:t>的审计报告。</w:t>
          </w:r>
        </w:p>
      </w:sdtContent>
    </w:sdt>
    <w:p w:rsidR="004A3868" w:rsidRDefault="003F1AB5">
      <w:pPr>
        <w:pStyle w:val="2"/>
        <w:numPr>
          <w:ilvl w:val="0"/>
          <w:numId w:val="13"/>
        </w:numPr>
      </w:pPr>
      <w:r>
        <w:rPr>
          <w:rFonts w:hint="eastAsia"/>
        </w:rPr>
        <w:t>公司负责人</w:t>
      </w:r>
      <w:sdt>
        <w:sdtPr>
          <w:rPr>
            <w:rFonts w:hint="eastAsia"/>
          </w:rPr>
          <w:alias w:val="公司负责人姓名"/>
          <w:tag w:val="_GBC_ba0728eaa9a342098d20addcde59ed31"/>
          <w:id w:val="591433097"/>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、主管会计工作负责人</w:t>
      </w:r>
      <w:sdt>
        <w:sdtPr>
          <w:rPr>
            <w:rFonts w:hint="eastAsia"/>
          </w:rPr>
          <w:alias w:val="主管会计工作负责人姓名"/>
          <w:tag w:val="_GBC_9ac791ae357946e68402505d2aa6b3b9"/>
          <w:id w:val="231509954"/>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李代萍</w:t>
          </w:r>
        </w:sdtContent>
      </w:sdt>
      <w:r>
        <w:rPr>
          <w:rFonts w:hint="eastAsia"/>
        </w:rPr>
        <w:t>及会计机构负责人（会计主管人员）</w:t>
      </w:r>
      <w:sdt>
        <w:sdtPr>
          <w:rPr>
            <w:rFonts w:hint="eastAsia"/>
          </w:rPr>
          <w:alias w:val="会计机构负责人姓名"/>
          <w:tag w:val="_GBC_c6edcd184788428d9dc08d896d5d98a9"/>
          <w:id w:val="1614007479"/>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杨万华</w:t>
          </w:r>
        </w:sdtContent>
      </w:sdt>
      <w:r>
        <w:rPr>
          <w:rFonts w:hint="eastAsia"/>
        </w:rPr>
        <w:t>声明：保证年度报告中财务报告的真实、准确、完整。</w:t>
      </w:r>
    </w:p>
    <w:p w:rsidR="004A3868" w:rsidRDefault="003F1AB5">
      <w:pPr>
        <w:pStyle w:val="2"/>
        <w:numPr>
          <w:ilvl w:val="0"/>
          <w:numId w:val="13"/>
        </w:numPr>
        <w:rPr>
          <w:rFonts w:ascii="宋体" w:hAnsi="宋体"/>
        </w:rPr>
      </w:pPr>
      <w:r>
        <w:rPr>
          <w:rFonts w:hint="eastAsia"/>
        </w:rPr>
        <w:t>董事会决议通过的本报告期利润分配预案或公积金转增股本预案</w:t>
      </w:r>
    </w:p>
    <w:p w:rsidR="004A3868" w:rsidRDefault="003F1AB5">
      <w:pPr>
        <w:pStyle w:val="afff1"/>
        <w:ind w:firstLine="420"/>
        <w:rPr>
          <w:szCs w:val="21"/>
        </w:rPr>
      </w:pPr>
      <w:r>
        <w:rPr>
          <w:rFonts w:hint="eastAsia"/>
          <w:szCs w:val="21"/>
        </w:rPr>
        <w:t>经大华会计师事务所（特殊普通合伙）审计，公司</w:t>
      </w:r>
      <w:r>
        <w:rPr>
          <w:szCs w:val="21"/>
        </w:rPr>
        <w:t>2023年度归属于母公司所有者的净利润为 234,586,738.82元，截止2023年12月31日，母公司经审计可供分配利润为995,843,075.29元。</w:t>
      </w:r>
    </w:p>
    <w:p w:rsidR="004A3868" w:rsidRDefault="003F1AB5">
      <w:pPr>
        <w:pStyle w:val="afff1"/>
        <w:ind w:firstLine="420"/>
        <w:rPr>
          <w:szCs w:val="21"/>
        </w:rPr>
      </w:pPr>
      <w:r>
        <w:rPr>
          <w:rFonts w:hint="eastAsia"/>
          <w:szCs w:val="21"/>
        </w:rPr>
        <w:t>根据《上海证券交易所上市公司自律监管指引第</w:t>
      </w:r>
      <w:r>
        <w:rPr>
          <w:szCs w:val="21"/>
        </w:rPr>
        <w:t xml:space="preserve"> 7 号——回购股份》等有关规定，上市公司回购专用账户中的股份，不享有利润分配的权利。因此，本公司回购专用证券账户中的股份将不参与公司本次利润分配，具体实施分配方案时，实际派发现金红利金额根据股权登记日的公司总股本数及公司回购专用证券账户中股份数确定。</w:t>
      </w:r>
    </w:p>
    <w:p w:rsidR="004A3868" w:rsidRDefault="003F1AB5">
      <w:pPr>
        <w:pStyle w:val="afff1"/>
        <w:ind w:firstLine="420"/>
        <w:rPr>
          <w:szCs w:val="21"/>
        </w:rPr>
      </w:pPr>
      <w:r>
        <w:rPr>
          <w:rFonts w:hint="eastAsia"/>
          <w:szCs w:val="21"/>
        </w:rPr>
        <w:t>公司拟以实施权益分派股权登记日登记的总股本扣除届时回购专用证券账户上的股份数量为基数，向全体股东每</w:t>
      </w:r>
      <w:r>
        <w:rPr>
          <w:szCs w:val="21"/>
        </w:rPr>
        <w:t>10股派发现金红利1.5元（含税），不进行资本公积金转增股本和送红股。截至目前，公司总股本333,167,407股，回购专用证券账户上的股份数量为652,768股，以此计算拟派发现金红利49,877,195.85元（含税），占公司2023年度归属于母公司所有者的净利润比例为21.26%。</w:t>
      </w:r>
    </w:p>
    <w:p w:rsidR="004A3868" w:rsidRDefault="003F1AB5">
      <w:pPr>
        <w:pStyle w:val="afff1"/>
        <w:ind w:firstLine="420"/>
        <w:rPr>
          <w:szCs w:val="21"/>
        </w:rPr>
      </w:pPr>
      <w:r>
        <w:rPr>
          <w:rFonts w:hint="eastAsia"/>
          <w:szCs w:val="21"/>
        </w:rPr>
        <w:t>根据《上市公司股份回购规则》（证监会公告【</w:t>
      </w:r>
      <w:r>
        <w:rPr>
          <w:szCs w:val="21"/>
        </w:rPr>
        <w:t>2023】63号）规定，“上市公司以现金为对价，采用要约方式、集中竞价方式回购股份的，视同上市公司现金分红，纳入现金分红的相关比例计算”，公司2023年以现金为对价，通过集中竞价方式回购股份3,202,768股, 支付现金50,293,453.32元（不含交易费用）。据此，公司2023年度预计现金分红金额合计为100,170,649.17元，占合并报表中归属于上市公司股东的净利润比例为42.70%。</w:t>
      </w:r>
    </w:p>
    <w:p w:rsidR="004A3868" w:rsidRDefault="003F1AB5">
      <w:pPr>
        <w:pStyle w:val="afff1"/>
        <w:ind w:firstLine="420"/>
        <w:rPr>
          <w:szCs w:val="21"/>
        </w:rPr>
      </w:pPr>
      <w:r>
        <w:rPr>
          <w:rFonts w:hint="eastAsia"/>
          <w:szCs w:val="21"/>
        </w:rPr>
        <w:t>如在本利润分配预案披露之日起至实施权益分派股权登记日期间，公司总股本发生变动的，公司拟维持每股分配比例不变，以实施分配方案时股权登记日的总股本扣除届时回购专用证券账户上的股份数量为基数，相应调整分配总额。如后续公司总股本发生变化，将在相关公告中披露。</w:t>
      </w:r>
    </w:p>
    <w:p w:rsidR="004A3868" w:rsidRDefault="003F1AB5">
      <w:pPr>
        <w:pStyle w:val="afff1"/>
        <w:ind w:firstLine="420"/>
        <w:rPr>
          <w:szCs w:val="21"/>
          <w:shd w:val="pct10" w:color="auto" w:fill="FFFFFF"/>
        </w:rPr>
      </w:pPr>
      <w:r>
        <w:rPr>
          <w:szCs w:val="21"/>
        </w:rPr>
        <w:t>本预案经公司第四届董事会第五次会议审议通过，尚需提交公司股东大会审议。</w:t>
      </w:r>
    </w:p>
    <w:p w:rsidR="004A3868" w:rsidRDefault="003F1AB5">
      <w:pPr>
        <w:pStyle w:val="2"/>
        <w:numPr>
          <w:ilvl w:val="0"/>
          <w:numId w:val="13"/>
        </w:numPr>
      </w:pPr>
      <w:r>
        <w:t>前瞻性陈述的风险声明</w:t>
      </w:r>
    </w:p>
    <w:sdt>
      <w:sdtPr>
        <w:alias w:val="是否适用：前瞻性陈述的风险声明[双击切换]"/>
        <w:tag w:val="_GBC_5e5553f9f96e47e8b5eded9c0e6a26c0"/>
        <w:id w:val="-48239086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对报告涉及未来计划等前瞻性陈述的声明"/>
        <w:tag w:val="_GBC_1f83625afa8e46e9bb2a951797b077a3"/>
        <w:id w:val="-763843829"/>
        <w:placeholder>
          <w:docPart w:val="GBC22222222222222222222222222222"/>
        </w:placeholder>
      </w:sdtPr>
      <w:sdtEndPr>
        <w:rPr>
          <w:rStyle w:val="afff2"/>
          <w:sz w:val="21"/>
          <w:szCs w:val="21"/>
        </w:rPr>
      </w:sdtEndPr>
      <w:sdtContent>
        <w:p w:rsidR="004A3868" w:rsidRDefault="003F1AB5">
          <w:pPr>
            <w:ind w:firstLineChars="200" w:firstLine="480"/>
            <w:rPr>
              <w:sz w:val="21"/>
              <w:szCs w:val="21"/>
            </w:rPr>
          </w:pPr>
          <w:r>
            <w:rPr>
              <w:rStyle w:val="afff2"/>
              <w:rFonts w:hint="eastAsia"/>
              <w:szCs w:val="21"/>
            </w:rPr>
            <w:t>本报告包含若干公司对未来发展战略、业务规划、经营计划、财务预计等前瞻性描述；这些陈述基于当前能够掌握的信息与数据对未来所做出的估计或预测，不构成公司对投资者的实质承</w:t>
          </w:r>
          <w:r>
            <w:rPr>
              <w:rStyle w:val="afff2"/>
              <w:rFonts w:hint="eastAsia"/>
              <w:szCs w:val="21"/>
            </w:rPr>
            <w:lastRenderedPageBreak/>
            <w:t>诺，敬请投资者注意投资风险。</w:t>
          </w:r>
        </w:p>
      </w:sdtContent>
    </w:sdt>
    <w:p w:rsidR="004A3868" w:rsidRDefault="003F1AB5">
      <w:pPr>
        <w:pStyle w:val="2"/>
        <w:numPr>
          <w:ilvl w:val="0"/>
          <w:numId w:val="13"/>
        </w:numPr>
      </w:pPr>
      <w:r>
        <w:t>是否存在被控股股东及其</w:t>
      </w:r>
      <w:r>
        <w:rPr>
          <w:rFonts w:hint="eastAsia"/>
        </w:rPr>
        <w:t>他</w:t>
      </w:r>
      <w:r>
        <w:t>关联方非经营性占用资金情况</w:t>
      </w:r>
    </w:p>
    <w:sdt>
      <w:sdtPr>
        <w:rPr>
          <w:rFonts w:hint="eastAsia"/>
          <w:sz w:val="21"/>
          <w:szCs w:val="21"/>
        </w:rPr>
        <w:alias w:val="本公司是否存在大股东占用资金情况"/>
        <w:tag w:val="_GBC_a9b8d3170fbb4d50a645223c117f8b30"/>
        <w:id w:val="540636316"/>
        <w:placeholder>
          <w:docPart w:val="GBC22222222222222222222222222222"/>
        </w:placeholder>
        <w:comboBox>
          <w:listItem w:displayText="是" w:value="true"/>
          <w:listItem w:displayText="否" w:value="false"/>
        </w:comboBox>
      </w:sdtPr>
      <w:sdtEndPr/>
      <w:sdtContent>
        <w:p w:rsidR="004A3868" w:rsidRDefault="003F1AB5">
          <w:pPr>
            <w:pStyle w:val="Style842"/>
          </w:pPr>
          <w:r>
            <w:rPr>
              <w:rFonts w:hint="eastAsia"/>
              <w:sz w:val="21"/>
              <w:szCs w:val="21"/>
            </w:rPr>
            <w:t>否</w:t>
          </w:r>
        </w:p>
      </w:sdtContent>
    </w:sdt>
    <w:p w:rsidR="004A3868" w:rsidRDefault="003F1AB5">
      <w:pPr>
        <w:pStyle w:val="2"/>
        <w:numPr>
          <w:ilvl w:val="0"/>
          <w:numId w:val="13"/>
        </w:numPr>
      </w:pPr>
      <w:r>
        <w:t>是否存在违反规定决策程序对外提供担保的情况</w:t>
      </w:r>
    </w:p>
    <w:sdt>
      <w:sdtPr>
        <w:rPr>
          <w:rFonts w:hint="eastAsia"/>
        </w:rPr>
        <w:alias w:val="本公司是否存在违反规定决策程序对外提供担保的情况"/>
        <w:tag w:val="_GBC_aef7ac6bbdf043bc8051c4f9fb55e5ea"/>
        <w:id w:val="-855567803"/>
        <w:placeholder>
          <w:docPart w:val="GBC22222222222222222222222222222"/>
        </w:placeholder>
        <w:comboBox>
          <w:listItem w:displayText="是" w:value="true"/>
          <w:listItem w:displayText="否" w:value="false"/>
        </w:comboBox>
      </w:sdtPr>
      <w:sdtEndPr/>
      <w:sdtContent>
        <w:p w:rsidR="004A3868" w:rsidRDefault="003F1AB5">
          <w:pPr>
            <w:pStyle w:val="Style124"/>
          </w:pPr>
          <w:r>
            <w:rPr>
              <w:rFonts w:hint="eastAsia"/>
            </w:rPr>
            <w:t>否</w:t>
          </w:r>
        </w:p>
      </w:sdtContent>
    </w:sdt>
    <w:p w:rsidR="004A3868" w:rsidRDefault="003F1AB5">
      <w:pPr>
        <w:pStyle w:val="2"/>
        <w:numPr>
          <w:ilvl w:val="0"/>
          <w:numId w:val="13"/>
        </w:numPr>
      </w:pPr>
      <w:r>
        <w:t>是否存在半数</w:t>
      </w:r>
      <w:r>
        <w:rPr>
          <w:rFonts w:hint="eastAsia"/>
        </w:rPr>
        <w:t>以上</w:t>
      </w:r>
      <w:r>
        <w:t>董事无法保证公司所披露年度报告的真实性、准确性和完整性</w:t>
      </w:r>
    </w:p>
    <w:sdt>
      <w:sdtPr>
        <w:rPr>
          <w:rFonts w:hint="eastAsia"/>
        </w:rPr>
        <w:alias w:val="是否存在半数以上董事无法保证公司所披露年度报告的真实性、准确性和完整性"/>
        <w:tag w:val="_GBC_abc43c78fabf487d8ee599f7fe1628a3"/>
        <w:id w:val="884149240"/>
        <w:lock w:val="sdtLocked"/>
        <w:placeholder>
          <w:docPart w:val="GBC22222222222222222222222222222"/>
        </w:placeholder>
        <w:comboBox>
          <w:listItem w:displayText="是" w:value="是"/>
          <w:listItem w:displayText="否" w:value="否"/>
        </w:comboBox>
      </w:sdtPr>
      <w:sdtEndPr/>
      <w:sdtContent>
        <w:p w:rsidR="004A3868" w:rsidRDefault="003F1AB5">
          <w:pPr>
            <w:pStyle w:val="Style124"/>
          </w:pPr>
          <w:r>
            <w:rPr>
              <w:rFonts w:hint="eastAsia"/>
            </w:rPr>
            <w:t>否</w:t>
          </w:r>
        </w:p>
      </w:sdtContent>
    </w:sdt>
    <w:p w:rsidR="004A3868" w:rsidRDefault="003F1AB5">
      <w:pPr>
        <w:pStyle w:val="2"/>
        <w:numPr>
          <w:ilvl w:val="0"/>
          <w:numId w:val="13"/>
        </w:numPr>
      </w:pPr>
      <w:r>
        <w:rPr>
          <w:rFonts w:hint="eastAsia"/>
        </w:rPr>
        <w:t>重大风险提示</w:t>
      </w:r>
    </w:p>
    <w:p w:rsidR="004A3868" w:rsidRDefault="00B34370">
      <w:pPr>
        <w:ind w:firstLineChars="200" w:firstLine="420"/>
        <w:rPr>
          <w:rStyle w:val="afff2"/>
          <w:szCs w:val="21"/>
        </w:rPr>
      </w:pPr>
      <w:sdt>
        <w:sdtPr>
          <w:rPr>
            <w:sz w:val="21"/>
          </w:rPr>
          <w:alias w:val="重大风险提示"/>
          <w:tag w:val="_GBC_43a6b8847e0241f1af5326af848c7cec"/>
          <w:id w:val="1798950373"/>
          <w:placeholder>
            <w:docPart w:val="GBC22222222222222222222222222222"/>
          </w:placeholder>
        </w:sdtPr>
        <w:sdtEndPr>
          <w:rPr>
            <w:rStyle w:val="afff2"/>
            <w:szCs w:val="21"/>
          </w:rPr>
        </w:sdtEndPr>
        <w:sdtContent>
          <w:r w:rsidR="003F1AB5">
            <w:rPr>
              <w:rStyle w:val="afff2"/>
              <w:rFonts w:hint="eastAsia"/>
              <w:szCs w:val="21"/>
            </w:rPr>
            <w:t>公司已在本报告中详细阐述了公司在生产经营过程中可能面临的各种风险及应对措施，敬请查阅第三节、六（四）“可能面对的风险”部分。</w:t>
          </w:r>
        </w:sdtContent>
      </w:sdt>
    </w:p>
    <w:p w:rsidR="004A3868" w:rsidRDefault="003F1AB5">
      <w:pPr>
        <w:pStyle w:val="2"/>
        <w:numPr>
          <w:ilvl w:val="0"/>
          <w:numId w:val="13"/>
        </w:numPr>
      </w:pPr>
      <w:r>
        <w:rPr>
          <w:rFonts w:hint="eastAsia"/>
        </w:rPr>
        <w:t>其他</w:t>
      </w:r>
    </w:p>
    <w:sdt>
      <w:sdtPr>
        <w:alias w:val="是否适用：其他重要提示[双击切换]"/>
        <w:tag w:val="_GBC_0eafa210a73340628544c13dacbc7643"/>
        <w:id w:val="849685008"/>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4A3868">
      <w:pPr>
        <w:pStyle w:val="Style124"/>
      </w:pPr>
    </w:p>
    <w:p w:rsidR="004A3868" w:rsidRDefault="003F1AB5">
      <w:pPr>
        <w:pStyle w:val="Style124"/>
      </w:pPr>
      <w:r>
        <w:br w:type="page"/>
      </w:r>
    </w:p>
    <w:p w:rsidR="004A3868" w:rsidRDefault="003F1AB5">
      <w:pPr>
        <w:pStyle w:val="Style842"/>
        <w:jc w:val="center"/>
        <w:rPr>
          <w:b/>
        </w:rPr>
      </w:pPr>
      <w:r>
        <w:rPr>
          <w:rFonts w:hint="eastAsia"/>
          <w:b/>
        </w:rPr>
        <w:lastRenderedPageBreak/>
        <w:t>目  录</w:t>
      </w:r>
    </w:p>
    <w:p w:rsidR="004A3868" w:rsidRDefault="004A3868">
      <w:pPr>
        <w:pStyle w:val="Style842"/>
      </w:pPr>
    </w:p>
    <w:bookmarkStart w:id="1" w:name="_Toc407111354"/>
    <w:bookmarkStart w:id="2" w:name="_Toc436392761"/>
    <w:bookmarkStart w:id="3" w:name="_Toc437440708"/>
    <w:p w:rsidR="004A3868" w:rsidRDefault="003F1AB5">
      <w:pPr>
        <w:pStyle w:val="11"/>
        <w:rPr>
          <w:rFonts w:asciiTheme="minorHAnsi" w:eastAsiaTheme="minorEastAsia" w:hAnsiTheme="minorHAnsi" w:cstheme="minorBidi"/>
          <w:szCs w:val="22"/>
        </w:rPr>
      </w:pPr>
      <w:r>
        <w:fldChar w:fldCharType="begin"/>
      </w:r>
      <w:r>
        <w:instrText xml:space="preserve"> TOC \o "1-1" \h \z \u </w:instrText>
      </w:r>
      <w:r>
        <w:fldChar w:fldCharType="separate"/>
      </w:r>
      <w:hyperlink w:anchor="_Toc164947200" w:history="1">
        <w:r>
          <w:rPr>
            <w:rStyle w:val="aff9"/>
          </w:rPr>
          <w:t>第一节</w:t>
        </w:r>
        <w:r>
          <w:rPr>
            <w:rFonts w:asciiTheme="minorHAnsi" w:eastAsiaTheme="minorEastAsia" w:hAnsiTheme="minorHAnsi" w:cstheme="minorBidi"/>
            <w:szCs w:val="22"/>
          </w:rPr>
          <w:tab/>
        </w:r>
        <w:r>
          <w:rPr>
            <w:rStyle w:val="aff9"/>
          </w:rPr>
          <w:t>释义</w:t>
        </w:r>
        <w:r>
          <w:tab/>
        </w:r>
        <w:r>
          <w:fldChar w:fldCharType="begin"/>
        </w:r>
        <w:r>
          <w:instrText xml:space="preserve"> PAGEREF _Toc164947200 \h </w:instrText>
        </w:r>
        <w:r>
          <w:fldChar w:fldCharType="separate"/>
        </w:r>
        <w:r w:rsidR="005E131C">
          <w:rPr>
            <w:noProof/>
          </w:rPr>
          <w:t>6</w:t>
        </w:r>
        <w:r>
          <w:fldChar w:fldCharType="end"/>
        </w:r>
      </w:hyperlink>
    </w:p>
    <w:p w:rsidR="004A3868" w:rsidRDefault="00B34370">
      <w:pPr>
        <w:pStyle w:val="11"/>
        <w:rPr>
          <w:rFonts w:asciiTheme="minorHAnsi" w:eastAsiaTheme="minorEastAsia" w:hAnsiTheme="minorHAnsi" w:cstheme="minorBidi"/>
          <w:szCs w:val="22"/>
        </w:rPr>
      </w:pPr>
      <w:hyperlink w:anchor="_Toc164947201" w:history="1">
        <w:r w:rsidR="003F1AB5">
          <w:rPr>
            <w:rStyle w:val="aff9"/>
          </w:rPr>
          <w:t>第二节</w:t>
        </w:r>
        <w:r w:rsidR="003F1AB5">
          <w:rPr>
            <w:rFonts w:asciiTheme="minorHAnsi" w:eastAsiaTheme="minorEastAsia" w:hAnsiTheme="minorHAnsi" w:cstheme="minorBidi"/>
            <w:szCs w:val="22"/>
          </w:rPr>
          <w:tab/>
        </w:r>
        <w:r w:rsidR="003F1AB5">
          <w:rPr>
            <w:rStyle w:val="aff9"/>
          </w:rPr>
          <w:t>公司简介和主要财务指标</w:t>
        </w:r>
        <w:r w:rsidR="003F1AB5">
          <w:tab/>
        </w:r>
        <w:r w:rsidR="003F1AB5">
          <w:fldChar w:fldCharType="begin"/>
        </w:r>
        <w:r w:rsidR="003F1AB5">
          <w:instrText xml:space="preserve"> PAGEREF _Toc164947201 \h </w:instrText>
        </w:r>
        <w:r w:rsidR="003F1AB5">
          <w:fldChar w:fldCharType="separate"/>
        </w:r>
        <w:r w:rsidR="005E131C">
          <w:rPr>
            <w:noProof/>
          </w:rPr>
          <w:t>7</w:t>
        </w:r>
        <w:r w:rsidR="003F1AB5">
          <w:fldChar w:fldCharType="end"/>
        </w:r>
      </w:hyperlink>
    </w:p>
    <w:p w:rsidR="004A3868" w:rsidRDefault="00B34370">
      <w:pPr>
        <w:pStyle w:val="11"/>
        <w:rPr>
          <w:rFonts w:asciiTheme="minorHAnsi" w:eastAsiaTheme="minorEastAsia" w:hAnsiTheme="minorHAnsi" w:cstheme="minorBidi"/>
          <w:szCs w:val="22"/>
        </w:rPr>
      </w:pPr>
      <w:hyperlink w:anchor="_Toc164947202" w:history="1">
        <w:r w:rsidR="003F1AB5">
          <w:rPr>
            <w:rStyle w:val="aff9"/>
          </w:rPr>
          <w:t>第三节</w:t>
        </w:r>
        <w:r w:rsidR="003F1AB5">
          <w:rPr>
            <w:rFonts w:asciiTheme="minorHAnsi" w:eastAsiaTheme="minorEastAsia" w:hAnsiTheme="minorHAnsi" w:cstheme="minorBidi"/>
            <w:szCs w:val="22"/>
          </w:rPr>
          <w:tab/>
        </w:r>
        <w:r w:rsidR="003F1AB5">
          <w:rPr>
            <w:rStyle w:val="aff9"/>
          </w:rPr>
          <w:t>管理层讨论与分析</w:t>
        </w:r>
        <w:r w:rsidR="003F1AB5">
          <w:tab/>
        </w:r>
        <w:r w:rsidR="003F1AB5">
          <w:fldChar w:fldCharType="begin"/>
        </w:r>
        <w:r w:rsidR="003F1AB5">
          <w:instrText xml:space="preserve"> PAGEREF _Toc164947202 \h </w:instrText>
        </w:r>
        <w:r w:rsidR="003F1AB5">
          <w:fldChar w:fldCharType="separate"/>
        </w:r>
        <w:r w:rsidR="005E131C">
          <w:rPr>
            <w:noProof/>
          </w:rPr>
          <w:t>11</w:t>
        </w:r>
        <w:r w:rsidR="003F1AB5">
          <w:fldChar w:fldCharType="end"/>
        </w:r>
      </w:hyperlink>
    </w:p>
    <w:p w:rsidR="004A3868" w:rsidRDefault="00B34370">
      <w:pPr>
        <w:pStyle w:val="11"/>
        <w:rPr>
          <w:rFonts w:asciiTheme="minorHAnsi" w:eastAsiaTheme="minorEastAsia" w:hAnsiTheme="minorHAnsi" w:cstheme="minorBidi"/>
          <w:szCs w:val="22"/>
        </w:rPr>
      </w:pPr>
      <w:hyperlink w:anchor="_Toc164947203" w:history="1">
        <w:r w:rsidR="003F1AB5">
          <w:rPr>
            <w:rStyle w:val="aff9"/>
          </w:rPr>
          <w:t>第四节</w:t>
        </w:r>
        <w:r w:rsidR="003F1AB5">
          <w:rPr>
            <w:rFonts w:asciiTheme="minorHAnsi" w:eastAsiaTheme="minorEastAsia" w:hAnsiTheme="minorHAnsi" w:cstheme="minorBidi"/>
            <w:szCs w:val="22"/>
          </w:rPr>
          <w:tab/>
        </w:r>
        <w:r w:rsidR="003F1AB5">
          <w:rPr>
            <w:rStyle w:val="aff9"/>
          </w:rPr>
          <w:t>公司治理</w:t>
        </w:r>
        <w:r w:rsidR="003F1AB5">
          <w:tab/>
        </w:r>
        <w:r w:rsidR="003F1AB5">
          <w:fldChar w:fldCharType="begin"/>
        </w:r>
        <w:r w:rsidR="003F1AB5">
          <w:instrText xml:space="preserve"> PAGEREF _Toc164947203 \h </w:instrText>
        </w:r>
        <w:r w:rsidR="003F1AB5">
          <w:fldChar w:fldCharType="separate"/>
        </w:r>
        <w:r w:rsidR="005E131C">
          <w:rPr>
            <w:noProof/>
          </w:rPr>
          <w:t>51</w:t>
        </w:r>
        <w:r w:rsidR="003F1AB5">
          <w:fldChar w:fldCharType="end"/>
        </w:r>
      </w:hyperlink>
    </w:p>
    <w:p w:rsidR="004A3868" w:rsidRDefault="00B34370">
      <w:pPr>
        <w:pStyle w:val="11"/>
        <w:rPr>
          <w:rFonts w:asciiTheme="minorHAnsi" w:eastAsiaTheme="minorEastAsia" w:hAnsiTheme="minorHAnsi" w:cstheme="minorBidi"/>
          <w:szCs w:val="22"/>
        </w:rPr>
      </w:pPr>
      <w:hyperlink w:anchor="_Toc164947204" w:history="1">
        <w:r w:rsidR="003F1AB5">
          <w:rPr>
            <w:rStyle w:val="aff9"/>
          </w:rPr>
          <w:t>第五节</w:t>
        </w:r>
        <w:r w:rsidR="003F1AB5">
          <w:rPr>
            <w:rFonts w:asciiTheme="minorHAnsi" w:eastAsiaTheme="minorEastAsia" w:hAnsiTheme="minorHAnsi" w:cstheme="minorBidi"/>
            <w:szCs w:val="22"/>
          </w:rPr>
          <w:tab/>
        </w:r>
        <w:r w:rsidR="003F1AB5">
          <w:rPr>
            <w:rStyle w:val="aff9"/>
          </w:rPr>
          <w:t>环境与社会责任</w:t>
        </w:r>
        <w:r w:rsidR="003F1AB5">
          <w:tab/>
        </w:r>
        <w:r w:rsidR="003F1AB5">
          <w:fldChar w:fldCharType="begin"/>
        </w:r>
        <w:r w:rsidR="003F1AB5">
          <w:instrText xml:space="preserve"> PAGEREF _Toc164947204 \h </w:instrText>
        </w:r>
        <w:r w:rsidR="003F1AB5">
          <w:fldChar w:fldCharType="separate"/>
        </w:r>
        <w:r w:rsidR="005E131C">
          <w:rPr>
            <w:noProof/>
          </w:rPr>
          <w:t>71</w:t>
        </w:r>
        <w:r w:rsidR="003F1AB5">
          <w:fldChar w:fldCharType="end"/>
        </w:r>
      </w:hyperlink>
    </w:p>
    <w:p w:rsidR="004A3868" w:rsidRDefault="00B34370">
      <w:pPr>
        <w:pStyle w:val="11"/>
        <w:rPr>
          <w:rFonts w:asciiTheme="minorHAnsi" w:eastAsiaTheme="minorEastAsia" w:hAnsiTheme="minorHAnsi" w:cstheme="minorBidi"/>
          <w:szCs w:val="22"/>
        </w:rPr>
      </w:pPr>
      <w:hyperlink w:anchor="_Toc164947205" w:history="1">
        <w:r w:rsidR="003F1AB5">
          <w:rPr>
            <w:rStyle w:val="aff9"/>
          </w:rPr>
          <w:t>第六节</w:t>
        </w:r>
        <w:r w:rsidR="003F1AB5">
          <w:rPr>
            <w:rFonts w:asciiTheme="minorHAnsi" w:eastAsiaTheme="minorEastAsia" w:hAnsiTheme="minorHAnsi" w:cstheme="minorBidi"/>
            <w:szCs w:val="22"/>
          </w:rPr>
          <w:tab/>
        </w:r>
        <w:r w:rsidR="003F1AB5">
          <w:rPr>
            <w:rStyle w:val="aff9"/>
          </w:rPr>
          <w:t>重要事项</w:t>
        </w:r>
        <w:r w:rsidR="003F1AB5">
          <w:tab/>
        </w:r>
        <w:r w:rsidR="003F1AB5">
          <w:fldChar w:fldCharType="begin"/>
        </w:r>
        <w:r w:rsidR="003F1AB5">
          <w:instrText xml:space="preserve"> PAGEREF _Toc164947205 \h </w:instrText>
        </w:r>
        <w:r w:rsidR="003F1AB5">
          <w:fldChar w:fldCharType="separate"/>
        </w:r>
        <w:r w:rsidR="005E131C">
          <w:rPr>
            <w:noProof/>
          </w:rPr>
          <w:t>77</w:t>
        </w:r>
        <w:r w:rsidR="003F1AB5">
          <w:fldChar w:fldCharType="end"/>
        </w:r>
      </w:hyperlink>
    </w:p>
    <w:p w:rsidR="004A3868" w:rsidRDefault="00B34370">
      <w:pPr>
        <w:pStyle w:val="11"/>
        <w:rPr>
          <w:rFonts w:asciiTheme="minorHAnsi" w:eastAsiaTheme="minorEastAsia" w:hAnsiTheme="minorHAnsi" w:cstheme="minorBidi"/>
          <w:szCs w:val="22"/>
        </w:rPr>
      </w:pPr>
      <w:hyperlink w:anchor="_Toc164947206" w:history="1">
        <w:r w:rsidR="003F1AB5">
          <w:rPr>
            <w:rStyle w:val="aff9"/>
          </w:rPr>
          <w:t>第七节</w:t>
        </w:r>
        <w:r w:rsidR="003F1AB5">
          <w:rPr>
            <w:rFonts w:asciiTheme="minorHAnsi" w:eastAsiaTheme="minorEastAsia" w:hAnsiTheme="minorHAnsi" w:cstheme="minorBidi"/>
            <w:szCs w:val="22"/>
          </w:rPr>
          <w:tab/>
        </w:r>
        <w:r w:rsidR="003F1AB5">
          <w:rPr>
            <w:rStyle w:val="aff9"/>
          </w:rPr>
          <w:t>股份变动及股东情况</w:t>
        </w:r>
        <w:r w:rsidR="003F1AB5">
          <w:tab/>
        </w:r>
        <w:r w:rsidR="003F1AB5">
          <w:fldChar w:fldCharType="begin"/>
        </w:r>
        <w:r w:rsidR="003F1AB5">
          <w:instrText xml:space="preserve"> PAGEREF _Toc164947206 \h </w:instrText>
        </w:r>
        <w:r w:rsidR="003F1AB5">
          <w:fldChar w:fldCharType="separate"/>
        </w:r>
        <w:r w:rsidR="005E131C">
          <w:rPr>
            <w:noProof/>
          </w:rPr>
          <w:t>107</w:t>
        </w:r>
        <w:r w:rsidR="003F1AB5">
          <w:fldChar w:fldCharType="end"/>
        </w:r>
      </w:hyperlink>
    </w:p>
    <w:p w:rsidR="004A3868" w:rsidRDefault="00B34370">
      <w:pPr>
        <w:pStyle w:val="11"/>
        <w:rPr>
          <w:rFonts w:asciiTheme="minorHAnsi" w:eastAsiaTheme="minorEastAsia" w:hAnsiTheme="minorHAnsi" w:cstheme="minorBidi"/>
          <w:szCs w:val="22"/>
        </w:rPr>
      </w:pPr>
      <w:hyperlink w:anchor="_Toc164947207" w:history="1">
        <w:r w:rsidR="003F1AB5">
          <w:rPr>
            <w:rStyle w:val="aff9"/>
          </w:rPr>
          <w:t>第八节</w:t>
        </w:r>
        <w:r w:rsidR="003F1AB5">
          <w:rPr>
            <w:rFonts w:asciiTheme="minorHAnsi" w:eastAsiaTheme="minorEastAsia" w:hAnsiTheme="minorHAnsi" w:cstheme="minorBidi"/>
            <w:szCs w:val="22"/>
          </w:rPr>
          <w:tab/>
        </w:r>
        <w:r w:rsidR="003F1AB5">
          <w:rPr>
            <w:rStyle w:val="aff9"/>
          </w:rPr>
          <w:t>优先股相关情况</w:t>
        </w:r>
        <w:r w:rsidR="003F1AB5">
          <w:tab/>
        </w:r>
        <w:r w:rsidR="003F1AB5">
          <w:fldChar w:fldCharType="begin"/>
        </w:r>
        <w:r w:rsidR="003F1AB5">
          <w:instrText xml:space="preserve"> PAGEREF _Toc164947207 \h </w:instrText>
        </w:r>
        <w:r w:rsidR="003F1AB5">
          <w:fldChar w:fldCharType="separate"/>
        </w:r>
        <w:r w:rsidR="005E131C">
          <w:rPr>
            <w:noProof/>
          </w:rPr>
          <w:t>118</w:t>
        </w:r>
        <w:r w:rsidR="003F1AB5">
          <w:fldChar w:fldCharType="end"/>
        </w:r>
      </w:hyperlink>
    </w:p>
    <w:p w:rsidR="004A3868" w:rsidRDefault="00B34370">
      <w:pPr>
        <w:pStyle w:val="11"/>
        <w:rPr>
          <w:rFonts w:asciiTheme="minorHAnsi" w:eastAsiaTheme="minorEastAsia" w:hAnsiTheme="minorHAnsi" w:cstheme="minorBidi"/>
          <w:szCs w:val="22"/>
        </w:rPr>
      </w:pPr>
      <w:hyperlink w:anchor="_Toc164947208" w:history="1">
        <w:r w:rsidR="003F1AB5">
          <w:rPr>
            <w:rStyle w:val="aff9"/>
          </w:rPr>
          <w:t>第九节</w:t>
        </w:r>
        <w:r w:rsidR="003F1AB5">
          <w:rPr>
            <w:rFonts w:asciiTheme="minorHAnsi" w:eastAsiaTheme="minorEastAsia" w:hAnsiTheme="minorHAnsi" w:cstheme="minorBidi"/>
            <w:szCs w:val="22"/>
          </w:rPr>
          <w:tab/>
        </w:r>
        <w:r w:rsidR="003F1AB5">
          <w:rPr>
            <w:rStyle w:val="aff9"/>
          </w:rPr>
          <w:t>债券相关情况</w:t>
        </w:r>
        <w:r w:rsidR="003F1AB5">
          <w:tab/>
        </w:r>
        <w:r w:rsidR="003F1AB5">
          <w:fldChar w:fldCharType="begin"/>
        </w:r>
        <w:r w:rsidR="003F1AB5">
          <w:instrText xml:space="preserve"> PAGEREF _Toc164947208 \h </w:instrText>
        </w:r>
        <w:r w:rsidR="003F1AB5">
          <w:fldChar w:fldCharType="separate"/>
        </w:r>
        <w:r w:rsidR="005E131C">
          <w:rPr>
            <w:noProof/>
          </w:rPr>
          <w:t>118</w:t>
        </w:r>
        <w:r w:rsidR="003F1AB5">
          <w:fldChar w:fldCharType="end"/>
        </w:r>
      </w:hyperlink>
    </w:p>
    <w:p w:rsidR="004A3868" w:rsidRDefault="00B34370">
      <w:pPr>
        <w:pStyle w:val="11"/>
        <w:rPr>
          <w:rFonts w:asciiTheme="minorHAnsi" w:eastAsiaTheme="minorEastAsia" w:hAnsiTheme="minorHAnsi" w:cstheme="minorBidi"/>
          <w:szCs w:val="22"/>
        </w:rPr>
      </w:pPr>
      <w:hyperlink w:anchor="_Toc164947209" w:history="1">
        <w:r w:rsidR="003F1AB5">
          <w:rPr>
            <w:rStyle w:val="aff9"/>
          </w:rPr>
          <w:t>第十节</w:t>
        </w:r>
        <w:r w:rsidR="003F1AB5">
          <w:rPr>
            <w:rFonts w:asciiTheme="minorHAnsi" w:eastAsiaTheme="minorEastAsia" w:hAnsiTheme="minorHAnsi" w:cstheme="minorBidi"/>
            <w:szCs w:val="22"/>
          </w:rPr>
          <w:tab/>
        </w:r>
        <w:r w:rsidR="003F1AB5">
          <w:rPr>
            <w:rStyle w:val="aff9"/>
          </w:rPr>
          <w:t>财务报告</w:t>
        </w:r>
        <w:r w:rsidR="003F1AB5">
          <w:tab/>
        </w:r>
        <w:r w:rsidR="003F1AB5">
          <w:fldChar w:fldCharType="begin"/>
        </w:r>
        <w:r w:rsidR="003F1AB5">
          <w:instrText xml:space="preserve"> PAGEREF _Toc164947209 \h </w:instrText>
        </w:r>
        <w:r w:rsidR="003F1AB5">
          <w:fldChar w:fldCharType="separate"/>
        </w:r>
        <w:r w:rsidR="005E131C">
          <w:rPr>
            <w:noProof/>
          </w:rPr>
          <w:t>119</w:t>
        </w:r>
        <w:r w:rsidR="003F1AB5">
          <w:fldChar w:fldCharType="end"/>
        </w:r>
      </w:hyperlink>
    </w:p>
    <w:p w:rsidR="004A3868" w:rsidRDefault="003F1AB5">
      <w:pPr>
        <w:pStyle w:val="Style124"/>
      </w:pPr>
      <w:r>
        <w:rPr>
          <w:rFonts w:ascii="Times New Roman" w:hAnsi="Times New Roman" w:cs="Times New Roman"/>
          <w:kern w:val="2"/>
        </w:rPr>
        <w:fldChar w:fldCharType="end"/>
      </w:r>
    </w:p>
    <w:p w:rsidR="004A3868" w:rsidRDefault="004A3868">
      <w:pPr>
        <w:pStyle w:val="Style842"/>
      </w:pPr>
    </w:p>
    <w:tbl>
      <w:tblPr>
        <w:tblStyle w:val="Style74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76"/>
        <w:gridCol w:w="6547"/>
      </w:tblGrid>
      <w:bookmarkStart w:id="4" w:name="_Hlk90888086" w:displacedByCustomXml="next"/>
      <w:bookmarkStart w:id="5" w:name="_Hlk90893687" w:displacedByCustomXml="next"/>
      <w:bookmarkStart w:id="6" w:name="_Hlk90891770" w:displacedByCustomXml="next"/>
      <w:sdt>
        <w:sdtPr>
          <w:rPr>
            <w:sz w:val="21"/>
            <w:szCs w:val="21"/>
          </w:rPr>
          <w:alias w:val="备查文件情况"/>
          <w:tag w:val="_TUP_bb3c6eba15bb4f89aaabf5b28bea5766"/>
          <w:id w:val="-1760831119"/>
          <w:placeholder>
            <w:docPart w:val="F5728417BD2E4282A2747EDD7ACB7B5C"/>
          </w:placeholder>
        </w:sdtPr>
        <w:sdtEndPr/>
        <w:sdtContent>
          <w:tr w:rsidR="004A3868">
            <w:trPr>
              <w:cantSplit/>
            </w:trPr>
            <w:tc>
              <w:tcPr>
                <w:tcW w:w="1290" w:type="pct"/>
                <w:vMerge w:val="restart"/>
                <w:tcBorders>
                  <w:top w:val="single" w:sz="4" w:space="0" w:color="auto"/>
                  <w:left w:val="single" w:sz="4" w:space="0" w:color="auto"/>
                  <w:right w:val="single" w:sz="4" w:space="0" w:color="auto"/>
                </w:tcBorders>
                <w:vAlign w:val="center"/>
              </w:tcPr>
              <w:sdt>
                <w:sdtPr>
                  <w:tag w:val="_PLD_a77548a64feb4f70a4cecbb587219734"/>
                  <w:id w:val="-298150858"/>
                </w:sdtPr>
                <w:sdtEndPr/>
                <w:sdtContent>
                  <w:p w:rsidR="004A3868" w:rsidRDefault="003F1AB5">
                    <w:pPr>
                      <w:pStyle w:val="Style842"/>
                    </w:pPr>
                    <w:r>
                      <w:t>备查文件目录</w:t>
                    </w:r>
                  </w:p>
                </w:sdtContent>
              </w:sdt>
            </w:tc>
            <w:sdt>
              <w:sdtPr>
                <w:alias w:val="备查文件目录"/>
                <w:tag w:val="_GBC_0c6e892b0eee4faaa5b2883811d0eed4"/>
                <w:id w:val="1258030800"/>
              </w:sdtPr>
              <w:sdtEndPr/>
              <w:sdtContent>
                <w:tc>
                  <w:tcPr>
                    <w:tcW w:w="3710" w:type="pct"/>
                    <w:tcBorders>
                      <w:top w:val="single" w:sz="4" w:space="0" w:color="auto"/>
                      <w:left w:val="single" w:sz="4" w:space="0" w:color="auto"/>
                      <w:bottom w:val="single" w:sz="4" w:space="0" w:color="auto"/>
                      <w:right w:val="single" w:sz="4" w:space="0" w:color="auto"/>
                    </w:tcBorders>
                  </w:tcPr>
                  <w:p w:rsidR="004A3868" w:rsidRDefault="003F1AB5">
                    <w:pPr>
                      <w:pStyle w:val="Style124"/>
                    </w:pPr>
                    <w:r>
                      <w:rPr>
                        <w:rFonts w:hint="eastAsia"/>
                      </w:rPr>
                      <w:t>载有法定代表人、主管会计工作的负责人和会计机构负责人签名并盖章的会计报表；</w:t>
                    </w:r>
                  </w:p>
                </w:tc>
              </w:sdtContent>
            </w:sdt>
          </w:tr>
        </w:sdtContent>
      </w:sdt>
      <w:tr w:rsidR="004A3868">
        <w:trPr>
          <w:cantSplit/>
        </w:trPr>
        <w:tc>
          <w:tcPr>
            <w:tcW w:w="1290" w:type="pct"/>
            <w:vMerge/>
            <w:tcBorders>
              <w:left w:val="single" w:sz="4" w:space="0" w:color="auto"/>
              <w:right w:val="single" w:sz="4" w:space="0" w:color="auto"/>
            </w:tcBorders>
            <w:vAlign w:val="center"/>
          </w:tcPr>
          <w:p w:rsidR="004A3868" w:rsidRDefault="004A3868">
            <w:pPr>
              <w:pStyle w:val="Style124"/>
            </w:pPr>
          </w:p>
        </w:tc>
        <w:tc>
          <w:tcPr>
            <w:tcW w:w="3710" w:type="pct"/>
            <w:tcBorders>
              <w:top w:val="single" w:sz="4" w:space="0" w:color="auto"/>
              <w:left w:val="single" w:sz="4" w:space="0" w:color="auto"/>
              <w:bottom w:val="single" w:sz="4" w:space="0" w:color="auto"/>
              <w:right w:val="single" w:sz="4" w:space="0" w:color="auto"/>
            </w:tcBorders>
          </w:tcPr>
          <w:p w:rsidR="004A3868" w:rsidRDefault="003F1AB5">
            <w:pPr>
              <w:pStyle w:val="Style124"/>
            </w:pPr>
            <w:r>
              <w:rPr>
                <w:rFonts w:hint="eastAsia"/>
              </w:rPr>
              <w:t>报告期内公开披露过的所有公司文件的正本及公告的原稿；</w:t>
            </w:r>
          </w:p>
        </w:tc>
      </w:tr>
      <w:tr w:rsidR="004A3868">
        <w:trPr>
          <w:cantSplit/>
        </w:trPr>
        <w:tc>
          <w:tcPr>
            <w:tcW w:w="1290" w:type="pct"/>
            <w:vMerge/>
            <w:tcBorders>
              <w:left w:val="single" w:sz="4" w:space="0" w:color="auto"/>
              <w:right w:val="single" w:sz="4" w:space="0" w:color="auto"/>
            </w:tcBorders>
            <w:vAlign w:val="center"/>
          </w:tcPr>
          <w:p w:rsidR="004A3868" w:rsidRDefault="004A3868">
            <w:pPr>
              <w:pStyle w:val="Style124"/>
            </w:pPr>
          </w:p>
        </w:tc>
        <w:tc>
          <w:tcPr>
            <w:tcW w:w="3710" w:type="pct"/>
            <w:tcBorders>
              <w:top w:val="single" w:sz="4" w:space="0" w:color="auto"/>
              <w:left w:val="single" w:sz="4" w:space="0" w:color="auto"/>
              <w:bottom w:val="single" w:sz="4" w:space="0" w:color="auto"/>
              <w:right w:val="single" w:sz="4" w:space="0" w:color="auto"/>
            </w:tcBorders>
          </w:tcPr>
          <w:p w:rsidR="004A3868" w:rsidRDefault="003F1AB5">
            <w:pPr>
              <w:pStyle w:val="Style124"/>
            </w:pPr>
            <w:r>
              <w:rPr>
                <w:rFonts w:hint="eastAsia"/>
              </w:rPr>
              <w:t>载有会计师事务所盖章、注册会计师签名并盖章的审计报告原件；</w:t>
            </w:r>
          </w:p>
        </w:tc>
      </w:tr>
      <w:tr w:rsidR="004A3868">
        <w:trPr>
          <w:cantSplit/>
        </w:trPr>
        <w:tc>
          <w:tcPr>
            <w:tcW w:w="1290" w:type="pct"/>
            <w:vMerge/>
            <w:tcBorders>
              <w:left w:val="single" w:sz="4" w:space="0" w:color="auto"/>
              <w:bottom w:val="single" w:sz="4" w:space="0" w:color="auto"/>
              <w:right w:val="single" w:sz="4" w:space="0" w:color="auto"/>
            </w:tcBorders>
            <w:vAlign w:val="center"/>
          </w:tcPr>
          <w:p w:rsidR="004A3868" w:rsidRDefault="004A3868">
            <w:pPr>
              <w:pStyle w:val="Style124"/>
            </w:pPr>
          </w:p>
        </w:tc>
        <w:tc>
          <w:tcPr>
            <w:tcW w:w="3710" w:type="pct"/>
            <w:tcBorders>
              <w:top w:val="single" w:sz="4" w:space="0" w:color="auto"/>
              <w:left w:val="single" w:sz="4" w:space="0" w:color="auto"/>
              <w:bottom w:val="single" w:sz="4" w:space="0" w:color="auto"/>
              <w:right w:val="single" w:sz="4" w:space="0" w:color="auto"/>
            </w:tcBorders>
          </w:tcPr>
          <w:p w:rsidR="004A3868" w:rsidRDefault="003F1AB5">
            <w:pPr>
              <w:pStyle w:val="Style124"/>
            </w:pPr>
            <w:r>
              <w:rPr>
                <w:rFonts w:hint="eastAsia"/>
              </w:rPr>
              <w:t>经公司法定代表人签署的</w:t>
            </w:r>
            <w:r>
              <w:t>2023年年度报告原件</w:t>
            </w:r>
            <w:r>
              <w:rPr>
                <w:rFonts w:hint="eastAsia"/>
              </w:rPr>
              <w:t>。</w:t>
            </w:r>
          </w:p>
        </w:tc>
      </w:tr>
      <w:bookmarkEnd w:id="4"/>
    </w:tbl>
    <w:p w:rsidR="004A3868" w:rsidRDefault="004A3868">
      <w:pPr>
        <w:pStyle w:val="Style842"/>
      </w:pPr>
    </w:p>
    <w:bookmarkEnd w:id="5"/>
    <w:p w:rsidR="004A3868" w:rsidRDefault="004A3868">
      <w:pPr>
        <w:pStyle w:val="Style124"/>
      </w:pPr>
    </w:p>
    <w:p w:rsidR="004A3868" w:rsidRDefault="004A3868">
      <w:pPr>
        <w:pStyle w:val="Style124"/>
      </w:pPr>
    </w:p>
    <w:bookmarkEnd w:id="6"/>
    <w:p w:rsidR="004A3868" w:rsidRDefault="004A3868">
      <w:pPr>
        <w:sectPr w:rsidR="004A3868">
          <w:pgSz w:w="11906" w:h="16838"/>
          <w:pgMar w:top="1440" w:right="1797" w:bottom="1525" w:left="1276" w:header="855" w:footer="992" w:gutter="0"/>
          <w:cols w:space="425"/>
          <w:docGrid w:linePitch="312"/>
        </w:sectPr>
      </w:pPr>
    </w:p>
    <w:p w:rsidR="004A3868" w:rsidRDefault="003F1AB5">
      <w:pPr>
        <w:pStyle w:val="1"/>
      </w:pPr>
      <w:bookmarkStart w:id="7" w:name="_Toc164947200"/>
      <w:r>
        <w:rPr>
          <w:rFonts w:hint="eastAsia"/>
        </w:rPr>
        <w:lastRenderedPageBreak/>
        <w:t>释义</w:t>
      </w:r>
      <w:bookmarkEnd w:id="1"/>
      <w:bookmarkEnd w:id="2"/>
      <w:bookmarkEnd w:id="3"/>
      <w:bookmarkEnd w:id="7"/>
    </w:p>
    <w:p w:rsidR="004A3868" w:rsidRDefault="003F1AB5">
      <w:pPr>
        <w:pStyle w:val="2"/>
        <w:numPr>
          <w:ilvl w:val="0"/>
          <w:numId w:val="14"/>
        </w:numPr>
      </w:pPr>
      <w:r>
        <w:t>释义</w:t>
      </w:r>
    </w:p>
    <w:p w:rsidR="004A3868" w:rsidRDefault="003F1AB5">
      <w:pPr>
        <w:pStyle w:val="Style124"/>
      </w:pPr>
      <w:r>
        <w:t>在本报告书中，除非文义另有所指，下列词语具有如下含义：</w:t>
      </w:r>
    </w:p>
    <w:tbl>
      <w:tblPr>
        <w:tblStyle w:val="aff5"/>
        <w:tblW w:w="0" w:type="auto"/>
        <w:tblLook w:val="04A0" w:firstRow="1" w:lastRow="0" w:firstColumn="1" w:lastColumn="0" w:noHBand="0" w:noVBand="1"/>
      </w:tblPr>
      <w:tblGrid>
        <w:gridCol w:w="2939"/>
        <w:gridCol w:w="742"/>
        <w:gridCol w:w="5103"/>
      </w:tblGrid>
      <w:tr w:rsidR="004A3868">
        <w:trPr>
          <w:trHeight w:val="397"/>
        </w:trPr>
        <w:sdt>
          <w:sdtPr>
            <w:tag w:val="_PLD_bf37a984a1d34209a94aac58652eb6b9"/>
            <w:id w:val="1044412471"/>
            <w:lock w:val="sdtLocked"/>
          </w:sdtPr>
          <w:sdtEndPr/>
          <w:sdtContent>
            <w:tc>
              <w:tcPr>
                <w:tcW w:w="8784" w:type="dxa"/>
                <w:gridSpan w:val="3"/>
              </w:tcPr>
              <w:p w:rsidR="004A3868" w:rsidRDefault="003F1AB5">
                <w:pPr>
                  <w:pStyle w:val="Style124"/>
                </w:pPr>
                <w:r>
                  <w:t>常用词语释义</w:t>
                </w:r>
              </w:p>
            </w:tc>
          </w:sdtContent>
        </w:sdt>
      </w:tr>
      <w:tr w:rsidR="004A3868">
        <w:trPr>
          <w:trHeight w:val="397"/>
        </w:trPr>
        <w:tc>
          <w:tcPr>
            <w:tcW w:w="2939" w:type="dxa"/>
            <w:vAlign w:val="bottom"/>
          </w:tcPr>
          <w:p w:rsidR="004A3868" w:rsidRDefault="003F1AB5">
            <w:pPr>
              <w:pStyle w:val="Style124"/>
            </w:pPr>
            <w:r>
              <w:rPr>
                <w:rFonts w:hint="eastAsia"/>
              </w:rPr>
              <w:t>中国证监会、证监会</w:t>
            </w:r>
          </w:p>
        </w:tc>
        <w:tc>
          <w:tcPr>
            <w:tcW w:w="742" w:type="dxa"/>
            <w:vAlign w:val="bottom"/>
          </w:tcPr>
          <w:p w:rsidR="004A3868" w:rsidRDefault="003F1AB5">
            <w:pPr>
              <w:rPr>
                <w:sz w:val="21"/>
                <w:szCs w:val="21"/>
                <w:highlight w:val="lightGray"/>
              </w:rPr>
            </w:pPr>
            <w:r>
              <w:rPr>
                <w:rFonts w:hint="eastAsia"/>
                <w:sz w:val="21"/>
                <w:szCs w:val="21"/>
                <w:highlight w:val="lightGray"/>
              </w:rPr>
              <w:t>指</w:t>
            </w:r>
          </w:p>
        </w:tc>
        <w:tc>
          <w:tcPr>
            <w:tcW w:w="5103" w:type="dxa"/>
            <w:vAlign w:val="bottom"/>
          </w:tcPr>
          <w:p w:rsidR="004A3868" w:rsidRDefault="003F1AB5">
            <w:pPr>
              <w:pStyle w:val="Style124"/>
            </w:pPr>
            <w:r>
              <w:t>中国证券监督管理委员会</w:t>
            </w:r>
          </w:p>
        </w:tc>
      </w:tr>
      <w:tr w:rsidR="004A3868">
        <w:trPr>
          <w:trHeight w:val="397"/>
        </w:trPr>
        <w:tc>
          <w:tcPr>
            <w:tcW w:w="2939" w:type="dxa"/>
            <w:vAlign w:val="bottom"/>
          </w:tcPr>
          <w:p w:rsidR="004A3868" w:rsidRDefault="003F1AB5">
            <w:pPr>
              <w:pStyle w:val="Style124"/>
            </w:pPr>
            <w:r>
              <w:rPr>
                <w:rFonts w:hint="eastAsia"/>
              </w:rPr>
              <w:t>上交所</w:t>
            </w:r>
          </w:p>
        </w:tc>
        <w:tc>
          <w:tcPr>
            <w:tcW w:w="742" w:type="dxa"/>
            <w:vAlign w:val="center"/>
          </w:tcPr>
          <w:p w:rsidR="004A3868" w:rsidRDefault="003F1AB5">
            <w:pPr>
              <w:rPr>
                <w:sz w:val="21"/>
                <w:szCs w:val="21"/>
                <w:highlight w:val="lightGray"/>
              </w:rPr>
            </w:pPr>
            <w:r>
              <w:rPr>
                <w:rFonts w:hint="eastAsia"/>
                <w:sz w:val="21"/>
                <w:szCs w:val="21"/>
              </w:rPr>
              <w:t>指</w:t>
            </w:r>
          </w:p>
        </w:tc>
        <w:tc>
          <w:tcPr>
            <w:tcW w:w="5103" w:type="dxa"/>
            <w:vAlign w:val="bottom"/>
          </w:tcPr>
          <w:p w:rsidR="004A3868" w:rsidRDefault="003F1AB5">
            <w:pPr>
              <w:pStyle w:val="Style124"/>
            </w:pPr>
            <w:r>
              <w:t>上海证券交易所</w:t>
            </w:r>
          </w:p>
        </w:tc>
      </w:tr>
      <w:tr w:rsidR="004A3868">
        <w:trPr>
          <w:trHeight w:val="397"/>
        </w:trPr>
        <w:tc>
          <w:tcPr>
            <w:tcW w:w="2939" w:type="dxa"/>
            <w:vAlign w:val="bottom"/>
          </w:tcPr>
          <w:p w:rsidR="004A3868" w:rsidRDefault="003F1AB5">
            <w:pPr>
              <w:pStyle w:val="Style124"/>
            </w:pPr>
            <w:r>
              <w:rPr>
                <w:rFonts w:hint="eastAsia"/>
              </w:rPr>
              <w:t>公司法</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中华人民共和国公司法</w:t>
            </w:r>
          </w:p>
        </w:tc>
      </w:tr>
      <w:tr w:rsidR="004A3868">
        <w:trPr>
          <w:trHeight w:val="397"/>
        </w:trPr>
        <w:tc>
          <w:tcPr>
            <w:tcW w:w="2939" w:type="dxa"/>
            <w:vAlign w:val="bottom"/>
          </w:tcPr>
          <w:p w:rsidR="004A3868" w:rsidRDefault="003F1AB5">
            <w:pPr>
              <w:pStyle w:val="Style124"/>
            </w:pPr>
            <w:r>
              <w:rPr>
                <w:rFonts w:hint="eastAsia"/>
              </w:rPr>
              <w:t>证券法</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中华人民共和国证券法</w:t>
            </w:r>
          </w:p>
        </w:tc>
      </w:tr>
      <w:tr w:rsidR="004A3868">
        <w:trPr>
          <w:trHeight w:val="397"/>
        </w:trPr>
        <w:tc>
          <w:tcPr>
            <w:tcW w:w="2939" w:type="dxa"/>
            <w:vAlign w:val="bottom"/>
          </w:tcPr>
          <w:p w:rsidR="004A3868" w:rsidRDefault="003F1AB5">
            <w:pPr>
              <w:pStyle w:val="Style124"/>
            </w:pPr>
            <w:r>
              <w:rPr>
                <w:rFonts w:hint="eastAsia"/>
              </w:rPr>
              <w:t>公司章程</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重庆望变电气（集团）股份有限公司章程</w:t>
            </w:r>
          </w:p>
        </w:tc>
      </w:tr>
      <w:tr w:rsidR="004A3868">
        <w:trPr>
          <w:trHeight w:val="397"/>
        </w:trPr>
        <w:tc>
          <w:tcPr>
            <w:tcW w:w="2939" w:type="dxa"/>
            <w:vAlign w:val="bottom"/>
          </w:tcPr>
          <w:p w:rsidR="004A3868" w:rsidRDefault="003F1AB5">
            <w:pPr>
              <w:pStyle w:val="Style124"/>
            </w:pPr>
            <w:r>
              <w:rPr>
                <w:rFonts w:hint="eastAsia"/>
              </w:rPr>
              <w:t>报告期、本报告期、本期</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2023年1月1日至2023年12月31日</w:t>
            </w:r>
          </w:p>
        </w:tc>
      </w:tr>
      <w:tr w:rsidR="004A3868">
        <w:trPr>
          <w:trHeight w:val="397"/>
        </w:trPr>
        <w:tc>
          <w:tcPr>
            <w:tcW w:w="2939" w:type="dxa"/>
            <w:vAlign w:val="bottom"/>
          </w:tcPr>
          <w:p w:rsidR="004A3868" w:rsidRDefault="003F1AB5">
            <w:pPr>
              <w:pStyle w:val="Style124"/>
            </w:pPr>
            <w:r>
              <w:rPr>
                <w:rFonts w:hint="eastAsia"/>
              </w:rPr>
              <w:t>亿元、万元、元</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人民币亿元、万元、元</w:t>
            </w:r>
          </w:p>
        </w:tc>
      </w:tr>
      <w:tr w:rsidR="004A3868">
        <w:trPr>
          <w:trHeight w:val="397"/>
        </w:trPr>
        <w:tc>
          <w:tcPr>
            <w:tcW w:w="2939" w:type="dxa"/>
            <w:vAlign w:val="bottom"/>
          </w:tcPr>
          <w:p w:rsidR="004A3868" w:rsidRDefault="003F1AB5">
            <w:pPr>
              <w:pStyle w:val="Style124"/>
            </w:pPr>
            <w:r>
              <w:rPr>
                <w:rFonts w:hint="eastAsia"/>
              </w:rPr>
              <w:t>望变电气、公司、母公司</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重庆望变电气（集团）股份有限公司</w:t>
            </w:r>
          </w:p>
        </w:tc>
      </w:tr>
      <w:tr w:rsidR="004A3868">
        <w:trPr>
          <w:trHeight w:val="397"/>
        </w:trPr>
        <w:tc>
          <w:tcPr>
            <w:tcW w:w="2939" w:type="dxa"/>
            <w:vAlign w:val="bottom"/>
          </w:tcPr>
          <w:p w:rsidR="004A3868" w:rsidRDefault="003F1AB5">
            <w:pPr>
              <w:pStyle w:val="Style124"/>
              <w:rPr>
                <w:rFonts w:cs="Times New Roman"/>
              </w:rPr>
            </w:pPr>
            <w:r>
              <w:t>云变电气</w:t>
            </w:r>
          </w:p>
        </w:tc>
        <w:tc>
          <w:tcPr>
            <w:tcW w:w="742" w:type="dxa"/>
            <w:vAlign w:val="center"/>
          </w:tcPr>
          <w:p w:rsidR="004A3868" w:rsidRDefault="003F1AB5">
            <w:pPr>
              <w:rPr>
                <w:sz w:val="21"/>
                <w:szCs w:val="21"/>
              </w:rPr>
            </w:pPr>
            <w:r>
              <w:rPr>
                <w:sz w:val="21"/>
                <w:szCs w:val="21"/>
              </w:rPr>
              <w:t>指</w:t>
            </w:r>
          </w:p>
        </w:tc>
        <w:tc>
          <w:tcPr>
            <w:tcW w:w="5103" w:type="dxa"/>
            <w:vAlign w:val="bottom"/>
          </w:tcPr>
          <w:p w:rsidR="004A3868" w:rsidRDefault="003F1AB5">
            <w:pPr>
              <w:pStyle w:val="Style124"/>
            </w:pPr>
            <w:r>
              <w:t>云南变压器电气股份有限公司</w:t>
            </w:r>
          </w:p>
        </w:tc>
      </w:tr>
      <w:tr w:rsidR="004A3868">
        <w:trPr>
          <w:trHeight w:val="397"/>
        </w:trPr>
        <w:tc>
          <w:tcPr>
            <w:tcW w:w="2939" w:type="dxa"/>
            <w:vAlign w:val="bottom"/>
          </w:tcPr>
          <w:p w:rsidR="004A3868" w:rsidRDefault="003F1AB5">
            <w:pPr>
              <w:pStyle w:val="Style124"/>
            </w:pPr>
            <w:r>
              <w:rPr>
                <w:rFonts w:hint="eastAsia"/>
              </w:rPr>
              <w:t>黔南望江</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黔南望江变压器有限公司</w:t>
            </w:r>
          </w:p>
        </w:tc>
      </w:tr>
      <w:tr w:rsidR="004A3868">
        <w:trPr>
          <w:trHeight w:val="397"/>
        </w:trPr>
        <w:tc>
          <w:tcPr>
            <w:tcW w:w="2939" w:type="dxa"/>
            <w:vAlign w:val="bottom"/>
          </w:tcPr>
          <w:p w:rsidR="004A3868" w:rsidRDefault="003F1AB5">
            <w:pPr>
              <w:pStyle w:val="Style124"/>
            </w:pPr>
            <w:r>
              <w:rPr>
                <w:rFonts w:hint="eastAsia"/>
              </w:rPr>
              <w:t>惠泽电器</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重庆惠泽电器有限公司</w:t>
            </w:r>
          </w:p>
        </w:tc>
      </w:tr>
      <w:tr w:rsidR="004A3868">
        <w:trPr>
          <w:trHeight w:val="397"/>
        </w:trPr>
        <w:tc>
          <w:tcPr>
            <w:tcW w:w="2939" w:type="dxa"/>
            <w:vAlign w:val="bottom"/>
          </w:tcPr>
          <w:p w:rsidR="004A3868" w:rsidRDefault="003F1AB5">
            <w:pPr>
              <w:pStyle w:val="Style124"/>
            </w:pPr>
            <w:r>
              <w:rPr>
                <w:rFonts w:hint="eastAsia"/>
              </w:rPr>
              <w:t>能投售电</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重庆能投长寿经开区售电有限公司</w:t>
            </w:r>
          </w:p>
        </w:tc>
      </w:tr>
      <w:tr w:rsidR="004A3868">
        <w:trPr>
          <w:trHeight w:val="397"/>
        </w:trPr>
        <w:tc>
          <w:tcPr>
            <w:tcW w:w="2939" w:type="dxa"/>
            <w:vAlign w:val="bottom"/>
          </w:tcPr>
          <w:p w:rsidR="004A3868" w:rsidRDefault="003F1AB5">
            <w:pPr>
              <w:pStyle w:val="Style124"/>
            </w:pPr>
            <w:r>
              <w:rPr>
                <w:rFonts w:hint="eastAsia"/>
              </w:rPr>
              <w:t>黔南都能</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黔南都能开发有限公司</w:t>
            </w:r>
          </w:p>
        </w:tc>
      </w:tr>
      <w:tr w:rsidR="004A3868">
        <w:trPr>
          <w:trHeight w:val="397"/>
        </w:trPr>
        <w:tc>
          <w:tcPr>
            <w:tcW w:w="2939" w:type="dxa"/>
            <w:vAlign w:val="bottom"/>
          </w:tcPr>
          <w:p w:rsidR="004A3868" w:rsidRDefault="003F1AB5">
            <w:pPr>
              <w:pStyle w:val="Style124"/>
            </w:pPr>
            <w:r>
              <w:rPr>
                <w:rFonts w:hint="eastAsia"/>
              </w:rPr>
              <w:t>电工钢</w:t>
            </w:r>
          </w:p>
        </w:tc>
        <w:tc>
          <w:tcPr>
            <w:tcW w:w="742" w:type="dxa"/>
            <w:vAlign w:val="center"/>
          </w:tcPr>
          <w:p w:rsidR="004A3868" w:rsidRDefault="003F1AB5">
            <w:pPr>
              <w:rPr>
                <w:sz w:val="21"/>
                <w:szCs w:val="21"/>
              </w:rPr>
            </w:pPr>
            <w:r>
              <w:rPr>
                <w:sz w:val="21"/>
                <w:szCs w:val="21"/>
              </w:rPr>
              <w:t>指</w:t>
            </w:r>
          </w:p>
        </w:tc>
        <w:tc>
          <w:tcPr>
            <w:tcW w:w="5103" w:type="dxa"/>
            <w:vAlign w:val="bottom"/>
          </w:tcPr>
          <w:p w:rsidR="004A3868" w:rsidRDefault="003F1AB5">
            <w:pPr>
              <w:pStyle w:val="Style124"/>
            </w:pPr>
            <w:r>
              <w:t>是一种含碳极低的硅铁软磁合金，一般含硅量为</w:t>
            </w:r>
            <w:r>
              <w:rPr>
                <w:rFonts w:hint="eastAsia"/>
              </w:rPr>
              <w:t>0.5%～4.5%</w:t>
            </w:r>
            <w:r>
              <w:t>，亦称硅钢片</w:t>
            </w:r>
          </w:p>
        </w:tc>
      </w:tr>
      <w:tr w:rsidR="004A3868">
        <w:trPr>
          <w:trHeight w:val="397"/>
        </w:trPr>
        <w:tc>
          <w:tcPr>
            <w:tcW w:w="2939" w:type="dxa"/>
            <w:vAlign w:val="bottom"/>
          </w:tcPr>
          <w:p w:rsidR="004A3868" w:rsidRDefault="003F1AB5">
            <w:pPr>
              <w:pStyle w:val="Style124"/>
            </w:pPr>
            <w:r>
              <w:rPr>
                <w:rFonts w:hint="eastAsia"/>
              </w:rPr>
              <w:t>取向硅钢、取向电工钢</w:t>
            </w:r>
          </w:p>
        </w:tc>
        <w:tc>
          <w:tcPr>
            <w:tcW w:w="742" w:type="dxa"/>
            <w:vAlign w:val="center"/>
          </w:tcPr>
          <w:p w:rsidR="004A3868" w:rsidRDefault="003F1AB5">
            <w:pPr>
              <w:rPr>
                <w:sz w:val="21"/>
                <w:szCs w:val="21"/>
              </w:rPr>
            </w:pPr>
            <w:r>
              <w:rPr>
                <w:sz w:val="21"/>
                <w:szCs w:val="21"/>
              </w:rPr>
              <w:t>指</w:t>
            </w:r>
          </w:p>
        </w:tc>
        <w:tc>
          <w:tcPr>
            <w:tcW w:w="5103" w:type="dxa"/>
            <w:vAlign w:val="bottom"/>
          </w:tcPr>
          <w:p w:rsidR="004A3868" w:rsidRDefault="003F1AB5">
            <w:pPr>
              <w:pStyle w:val="Style124"/>
            </w:pPr>
            <w:r>
              <w:t>一种晶粒基本朝同一方向排列的极低碳硅铁合金材料，主要应用于变压器（铁心）制造行业</w:t>
            </w:r>
          </w:p>
        </w:tc>
      </w:tr>
      <w:tr w:rsidR="004A3868">
        <w:trPr>
          <w:trHeight w:val="397"/>
        </w:trPr>
        <w:tc>
          <w:tcPr>
            <w:tcW w:w="2939" w:type="dxa"/>
            <w:vAlign w:val="bottom"/>
          </w:tcPr>
          <w:p w:rsidR="004A3868" w:rsidRDefault="003F1AB5">
            <w:pPr>
              <w:pStyle w:val="Style124"/>
            </w:pPr>
            <w:r>
              <w:t>HiB、高磁感取向硅钢</w:t>
            </w:r>
          </w:p>
        </w:tc>
        <w:tc>
          <w:tcPr>
            <w:tcW w:w="742" w:type="dxa"/>
            <w:vAlign w:val="center"/>
          </w:tcPr>
          <w:p w:rsidR="004A3868" w:rsidRDefault="003F1AB5">
            <w:pPr>
              <w:rPr>
                <w:sz w:val="21"/>
                <w:szCs w:val="21"/>
              </w:rPr>
            </w:pPr>
            <w:r>
              <w:rPr>
                <w:sz w:val="21"/>
                <w:szCs w:val="21"/>
              </w:rPr>
              <w:t>指</w:t>
            </w:r>
          </w:p>
        </w:tc>
        <w:tc>
          <w:tcPr>
            <w:tcW w:w="5103" w:type="dxa"/>
            <w:vAlign w:val="bottom"/>
          </w:tcPr>
          <w:p w:rsidR="004A3868" w:rsidRDefault="003F1AB5">
            <w:pPr>
              <w:pStyle w:val="Style124"/>
            </w:pPr>
            <w:r>
              <w:t>磁感强度≥1.88T的取向硅钢，与一般取向硅钢相比具有铁损低、磁感应强度高、磁致伸缩小等优点</w:t>
            </w:r>
          </w:p>
        </w:tc>
      </w:tr>
      <w:tr w:rsidR="004A3868">
        <w:trPr>
          <w:trHeight w:val="397"/>
        </w:trPr>
        <w:tc>
          <w:tcPr>
            <w:tcW w:w="2939" w:type="dxa"/>
            <w:vAlign w:val="bottom"/>
          </w:tcPr>
          <w:p w:rsidR="004A3868" w:rsidRDefault="003F1AB5">
            <w:pPr>
              <w:pStyle w:val="Style124"/>
            </w:pPr>
            <w:r>
              <w:t>CGO、一般取向硅钢</w:t>
            </w:r>
          </w:p>
        </w:tc>
        <w:tc>
          <w:tcPr>
            <w:tcW w:w="742" w:type="dxa"/>
            <w:vAlign w:val="center"/>
          </w:tcPr>
          <w:p w:rsidR="004A3868" w:rsidRDefault="003F1AB5">
            <w:pPr>
              <w:rPr>
                <w:sz w:val="21"/>
                <w:szCs w:val="21"/>
              </w:rPr>
            </w:pPr>
            <w:r>
              <w:rPr>
                <w:sz w:val="21"/>
                <w:szCs w:val="21"/>
              </w:rPr>
              <w:t>指</w:t>
            </w:r>
          </w:p>
        </w:tc>
        <w:tc>
          <w:tcPr>
            <w:tcW w:w="5103" w:type="dxa"/>
            <w:vAlign w:val="bottom"/>
          </w:tcPr>
          <w:p w:rsidR="004A3868" w:rsidRDefault="003F1AB5">
            <w:pPr>
              <w:pStyle w:val="Style124"/>
            </w:pPr>
            <w:r>
              <w:t>磁感强度＜1.88T的取向硅钢</w:t>
            </w:r>
          </w:p>
        </w:tc>
      </w:tr>
      <w:tr w:rsidR="004A3868">
        <w:trPr>
          <w:trHeight w:val="397"/>
        </w:trPr>
        <w:tc>
          <w:tcPr>
            <w:tcW w:w="2939" w:type="dxa"/>
            <w:vAlign w:val="bottom"/>
          </w:tcPr>
          <w:p w:rsidR="004A3868" w:rsidRDefault="003F1AB5">
            <w:pPr>
              <w:pStyle w:val="Style124"/>
            </w:pPr>
            <w:r>
              <w:rPr>
                <w:rFonts w:hint="eastAsia"/>
              </w:rPr>
              <w:t>变压器、电力变压器</w:t>
            </w:r>
          </w:p>
        </w:tc>
        <w:tc>
          <w:tcPr>
            <w:tcW w:w="742" w:type="dxa"/>
            <w:vAlign w:val="center"/>
          </w:tcPr>
          <w:p w:rsidR="004A3868" w:rsidRDefault="003F1AB5">
            <w:pPr>
              <w:rPr>
                <w:sz w:val="21"/>
                <w:szCs w:val="21"/>
              </w:rPr>
            </w:pPr>
            <w:r>
              <w:rPr>
                <w:sz w:val="21"/>
                <w:szCs w:val="21"/>
              </w:rPr>
              <w:t>指</w:t>
            </w:r>
          </w:p>
        </w:tc>
        <w:tc>
          <w:tcPr>
            <w:tcW w:w="5103" w:type="dxa"/>
            <w:vAlign w:val="bottom"/>
          </w:tcPr>
          <w:p w:rsidR="004A3868" w:rsidRDefault="003F1AB5">
            <w:pPr>
              <w:pStyle w:val="Style124"/>
            </w:pPr>
            <w:r>
              <w:t>利用电磁感应原理制成的传输交流电能并改变交流电压的装置，主要构件是绕组、铁心、绝缘系统和散热装置</w:t>
            </w:r>
          </w:p>
        </w:tc>
      </w:tr>
      <w:tr w:rsidR="004A3868">
        <w:trPr>
          <w:trHeight w:val="397"/>
        </w:trPr>
        <w:tc>
          <w:tcPr>
            <w:tcW w:w="2939" w:type="dxa"/>
            <w:vAlign w:val="bottom"/>
          </w:tcPr>
          <w:p w:rsidR="004A3868" w:rsidRDefault="003F1AB5">
            <w:pPr>
              <w:pStyle w:val="Style124"/>
            </w:pPr>
            <w:r>
              <w:rPr>
                <w:rFonts w:hint="eastAsia"/>
              </w:rPr>
              <w:t>牌号</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一般取向硅钢按1</w:t>
            </w:r>
            <w:r>
              <w:t>20</w:t>
            </w:r>
            <w:r>
              <w:rPr>
                <w:rFonts w:hint="eastAsia"/>
              </w:rPr>
              <w:t>、1</w:t>
            </w:r>
            <w:r>
              <w:t>10</w:t>
            </w:r>
            <w:r>
              <w:rPr>
                <w:rFonts w:hint="eastAsia"/>
              </w:rPr>
              <w:t>、1</w:t>
            </w:r>
            <w:r>
              <w:t>00</w:t>
            </w:r>
            <w:r>
              <w:rPr>
                <w:rFonts w:hint="eastAsia"/>
              </w:rPr>
              <w:t>的数字命名牌号，数字越小牌号越高；高磁感取向硅钢按1</w:t>
            </w:r>
            <w:r>
              <w:t>00</w:t>
            </w:r>
            <w:r>
              <w:rPr>
                <w:rFonts w:hint="eastAsia"/>
              </w:rPr>
              <w:t>、09</w:t>
            </w:r>
            <w:r>
              <w:t>5</w:t>
            </w:r>
            <w:r>
              <w:rPr>
                <w:rFonts w:hint="eastAsia"/>
              </w:rPr>
              <w:t>、09</w:t>
            </w:r>
            <w:r>
              <w:t>0</w:t>
            </w:r>
            <w:r>
              <w:rPr>
                <w:rFonts w:hint="eastAsia"/>
              </w:rPr>
              <w:t>、08</w:t>
            </w:r>
            <w:r>
              <w:t>5</w:t>
            </w:r>
            <w:r>
              <w:rPr>
                <w:rFonts w:hint="eastAsia"/>
              </w:rPr>
              <w:t>、08</w:t>
            </w:r>
            <w:r>
              <w:t>0</w:t>
            </w:r>
            <w:r>
              <w:rPr>
                <w:rFonts w:hint="eastAsia"/>
              </w:rPr>
              <w:t>以此类推的数字命名牌号，数字越小牌号越高</w:t>
            </w:r>
          </w:p>
        </w:tc>
      </w:tr>
      <w:tr w:rsidR="004A3868">
        <w:trPr>
          <w:trHeight w:val="397"/>
        </w:trPr>
        <w:tc>
          <w:tcPr>
            <w:tcW w:w="2939" w:type="dxa"/>
            <w:vAlign w:val="bottom"/>
          </w:tcPr>
          <w:p w:rsidR="004A3868" w:rsidRDefault="003F1AB5">
            <w:pPr>
              <w:pStyle w:val="Style124"/>
            </w:pPr>
            <w:r>
              <w:t>23QH080</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厚度为0.23mm,牌号为080的高磁感取向硅钢</w:t>
            </w:r>
          </w:p>
        </w:tc>
      </w:tr>
      <w:tr w:rsidR="004A3868">
        <w:trPr>
          <w:trHeight w:val="397"/>
        </w:trPr>
        <w:tc>
          <w:tcPr>
            <w:tcW w:w="2939" w:type="dxa"/>
            <w:vAlign w:val="bottom"/>
          </w:tcPr>
          <w:p w:rsidR="004A3868" w:rsidRDefault="003F1AB5">
            <w:pPr>
              <w:pStyle w:val="Style124"/>
            </w:pPr>
            <w:r>
              <w:t>23QH085</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厚度为0</w:t>
            </w:r>
            <w:r>
              <w:t>.23mm,</w:t>
            </w:r>
            <w:r>
              <w:rPr>
                <w:rFonts w:hint="eastAsia"/>
              </w:rPr>
              <w:t>牌号为08</w:t>
            </w:r>
            <w:r>
              <w:t>5</w:t>
            </w:r>
            <w:r>
              <w:rPr>
                <w:rFonts w:hint="eastAsia"/>
              </w:rPr>
              <w:t>的高磁感取向硅钢</w:t>
            </w:r>
          </w:p>
        </w:tc>
      </w:tr>
      <w:tr w:rsidR="004A3868">
        <w:trPr>
          <w:trHeight w:val="397"/>
        </w:trPr>
        <w:tc>
          <w:tcPr>
            <w:tcW w:w="2939" w:type="dxa"/>
            <w:vAlign w:val="bottom"/>
          </w:tcPr>
          <w:p w:rsidR="004A3868" w:rsidRDefault="003F1AB5">
            <w:pPr>
              <w:pStyle w:val="Style124"/>
            </w:pPr>
            <w:r>
              <w:t>23QH090</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厚度为0</w:t>
            </w:r>
            <w:r>
              <w:t>.23</w:t>
            </w:r>
            <w:r>
              <w:rPr>
                <w:rFonts w:hint="eastAsia"/>
              </w:rPr>
              <w:t>mm</w:t>
            </w:r>
            <w:r>
              <w:t>,</w:t>
            </w:r>
            <w:r>
              <w:rPr>
                <w:rFonts w:hint="eastAsia"/>
              </w:rPr>
              <w:t>牌号为0</w:t>
            </w:r>
            <w:r>
              <w:t>90的</w:t>
            </w:r>
            <w:r>
              <w:rPr>
                <w:rFonts w:hint="eastAsia"/>
              </w:rPr>
              <w:t>高磁感取向硅钢</w:t>
            </w:r>
          </w:p>
        </w:tc>
      </w:tr>
      <w:tr w:rsidR="004A3868">
        <w:trPr>
          <w:trHeight w:val="397"/>
        </w:trPr>
        <w:tc>
          <w:tcPr>
            <w:tcW w:w="2939" w:type="dxa"/>
            <w:vAlign w:val="bottom"/>
          </w:tcPr>
          <w:p w:rsidR="004A3868" w:rsidRDefault="003F1AB5">
            <w:pPr>
              <w:pStyle w:val="Style124"/>
            </w:pPr>
            <w:r>
              <w:rPr>
                <w:rFonts w:hint="eastAsia"/>
              </w:rPr>
              <w:t>箱式变电站、箱变</w:t>
            </w:r>
          </w:p>
        </w:tc>
        <w:tc>
          <w:tcPr>
            <w:tcW w:w="742" w:type="dxa"/>
            <w:vAlign w:val="center"/>
          </w:tcPr>
          <w:p w:rsidR="004A3868" w:rsidRDefault="003F1AB5">
            <w:pPr>
              <w:rPr>
                <w:sz w:val="21"/>
                <w:szCs w:val="21"/>
              </w:rPr>
            </w:pPr>
            <w:r>
              <w:rPr>
                <w:sz w:val="21"/>
                <w:szCs w:val="21"/>
              </w:rPr>
              <w:t>指</w:t>
            </w:r>
          </w:p>
        </w:tc>
        <w:tc>
          <w:tcPr>
            <w:tcW w:w="5103" w:type="dxa"/>
            <w:vAlign w:val="bottom"/>
          </w:tcPr>
          <w:p w:rsidR="004A3868" w:rsidRDefault="003F1AB5">
            <w:pPr>
              <w:pStyle w:val="Style124"/>
            </w:pPr>
            <w:r>
              <w:t>一种高压开关设备、电力变压器和低压配电装置，按一定接线方案排成一体的工厂预制户内、户外紧凑式配电设备</w:t>
            </w:r>
          </w:p>
        </w:tc>
      </w:tr>
      <w:tr w:rsidR="004A3868">
        <w:trPr>
          <w:trHeight w:val="397"/>
        </w:trPr>
        <w:tc>
          <w:tcPr>
            <w:tcW w:w="2939" w:type="dxa"/>
            <w:vAlign w:val="bottom"/>
          </w:tcPr>
          <w:p w:rsidR="004A3868" w:rsidRDefault="003F1AB5">
            <w:pPr>
              <w:pStyle w:val="Style124"/>
            </w:pPr>
            <w:r>
              <w:rPr>
                <w:rFonts w:hint="eastAsia"/>
              </w:rPr>
              <w:t>成套电气设备</w:t>
            </w:r>
          </w:p>
        </w:tc>
        <w:tc>
          <w:tcPr>
            <w:tcW w:w="742" w:type="dxa"/>
            <w:vAlign w:val="center"/>
          </w:tcPr>
          <w:p w:rsidR="004A3868" w:rsidRDefault="003F1AB5">
            <w:pPr>
              <w:rPr>
                <w:sz w:val="21"/>
                <w:szCs w:val="21"/>
              </w:rPr>
            </w:pPr>
            <w:r>
              <w:rPr>
                <w:sz w:val="21"/>
                <w:szCs w:val="21"/>
              </w:rPr>
              <w:t>指</w:t>
            </w:r>
          </w:p>
        </w:tc>
        <w:tc>
          <w:tcPr>
            <w:tcW w:w="5103" w:type="dxa"/>
            <w:vAlign w:val="bottom"/>
          </w:tcPr>
          <w:p w:rsidR="004A3868" w:rsidRDefault="003F1AB5">
            <w:pPr>
              <w:pStyle w:val="Style124"/>
            </w:pPr>
            <w:r>
              <w:t>由壳体、母线、一二次元件、辅材等组成的完整电力设备，它运行在电网中主要起着接受和分配电能的作用，</w:t>
            </w:r>
            <w:r>
              <w:lastRenderedPageBreak/>
              <w:t>同时对电力设备起着控制以及保护的作用</w:t>
            </w:r>
          </w:p>
        </w:tc>
      </w:tr>
      <w:tr w:rsidR="004A3868">
        <w:trPr>
          <w:trHeight w:val="397"/>
        </w:trPr>
        <w:tc>
          <w:tcPr>
            <w:tcW w:w="2939" w:type="dxa"/>
            <w:vAlign w:val="bottom"/>
          </w:tcPr>
          <w:p w:rsidR="004A3868" w:rsidRDefault="003F1AB5">
            <w:pPr>
              <w:rPr>
                <w:sz w:val="21"/>
                <w:szCs w:val="21"/>
              </w:rPr>
            </w:pPr>
            <w:r>
              <w:rPr>
                <w:rFonts w:hint="eastAsia"/>
                <w:sz w:val="21"/>
                <w:szCs w:val="21"/>
              </w:rPr>
              <w:lastRenderedPageBreak/>
              <w:t>FeSi</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t>硅含量</w:t>
            </w:r>
            <w:r>
              <w:rPr>
                <w:rFonts w:hint="eastAsia"/>
              </w:rPr>
              <w:t>在5.5%～7.0%的磁粉铁硅</w:t>
            </w:r>
          </w:p>
        </w:tc>
      </w:tr>
      <w:tr w:rsidR="004A3868">
        <w:trPr>
          <w:trHeight w:val="397"/>
        </w:trPr>
        <w:tc>
          <w:tcPr>
            <w:tcW w:w="2939" w:type="dxa"/>
            <w:vAlign w:val="bottom"/>
          </w:tcPr>
          <w:p w:rsidR="004A3868" w:rsidRDefault="003F1AB5">
            <w:pPr>
              <w:rPr>
                <w:sz w:val="21"/>
                <w:szCs w:val="21"/>
              </w:rPr>
            </w:pPr>
            <w:r>
              <w:rPr>
                <w:sz w:val="21"/>
                <w:szCs w:val="21"/>
              </w:rPr>
              <w:t>FeSiAl</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铁硅铝</w:t>
            </w:r>
          </w:p>
        </w:tc>
      </w:tr>
      <w:tr w:rsidR="004A3868">
        <w:trPr>
          <w:trHeight w:val="397"/>
        </w:trPr>
        <w:tc>
          <w:tcPr>
            <w:tcW w:w="2939" w:type="dxa"/>
            <w:vAlign w:val="bottom"/>
          </w:tcPr>
          <w:p w:rsidR="004A3868" w:rsidRDefault="003F1AB5">
            <w:pPr>
              <w:rPr>
                <w:sz w:val="21"/>
                <w:szCs w:val="21"/>
              </w:rPr>
            </w:pPr>
            <w:r>
              <w:rPr>
                <w:rFonts w:hint="eastAsia"/>
                <w:sz w:val="21"/>
                <w:szCs w:val="21"/>
              </w:rPr>
              <w:t>FeSiCr</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铁硅铬</w:t>
            </w:r>
          </w:p>
        </w:tc>
      </w:tr>
      <w:tr w:rsidR="004A3868">
        <w:trPr>
          <w:trHeight w:val="397"/>
        </w:trPr>
        <w:tc>
          <w:tcPr>
            <w:tcW w:w="2939" w:type="dxa"/>
            <w:vAlign w:val="bottom"/>
          </w:tcPr>
          <w:p w:rsidR="004A3868" w:rsidRDefault="003F1AB5">
            <w:pPr>
              <w:rPr>
                <w:sz w:val="21"/>
                <w:szCs w:val="21"/>
              </w:rPr>
            </w:pPr>
            <w:r>
              <w:rPr>
                <w:sz w:val="21"/>
                <w:szCs w:val="21"/>
              </w:rPr>
              <w:t>FeSiBCuNb</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铁硅硼铜铌，是纳米晶极薄带的化学成分。</w:t>
            </w:r>
          </w:p>
        </w:tc>
      </w:tr>
      <w:tr w:rsidR="004A3868">
        <w:trPr>
          <w:trHeight w:val="397"/>
        </w:trPr>
        <w:tc>
          <w:tcPr>
            <w:tcW w:w="2939" w:type="dxa"/>
            <w:vAlign w:val="bottom"/>
          </w:tcPr>
          <w:p w:rsidR="004A3868" w:rsidRDefault="003F1AB5">
            <w:pPr>
              <w:pStyle w:val="Style124"/>
            </w:pPr>
            <w:r>
              <w:rPr>
                <w:rFonts w:hint="eastAsia"/>
              </w:rPr>
              <w:t>工业互联网平台</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将工业机理、工艺模型、工业运营技术与物联网、大数据、云计算、人工智能等新兴技术充分融合，依托多源异构设备连接、数据采集和边缘计算能力，对接工业生产设施、智能装备和管理信息系统，并提供工业技术、经验、知识的模型化、软件化封装能力，助力打造生产力持续提升的数字底座，并以数据为纽带建立产业协同生态圈，打造万物互联、跨行业跨领域的工业世界，推动工业企业转型升级。</w:t>
            </w:r>
          </w:p>
        </w:tc>
      </w:tr>
      <w:tr w:rsidR="004A3868">
        <w:trPr>
          <w:trHeight w:val="397"/>
        </w:trPr>
        <w:tc>
          <w:tcPr>
            <w:tcW w:w="2939" w:type="dxa"/>
            <w:vAlign w:val="bottom"/>
          </w:tcPr>
          <w:p w:rsidR="004A3868" w:rsidRDefault="003F1AB5">
            <w:pPr>
              <w:pStyle w:val="Style124"/>
            </w:pPr>
            <w:r>
              <w:t>IOT</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全称为Inter</w:t>
            </w:r>
            <w:r>
              <w:t>net of Things,</w:t>
            </w:r>
            <w:r>
              <w:rPr>
                <w:rFonts w:hint="eastAsia"/>
              </w:rPr>
              <w:t>即物联网，是将各种信息传感设备，如射频识别装置、红外感应器、全球定位系统、激光扫描器等种种装置与互联网结合起来而形成的一个巨大网络。其目的是让所有的物品都与网络连接在一起，方便识别和管理。</w:t>
            </w:r>
          </w:p>
        </w:tc>
      </w:tr>
      <w:tr w:rsidR="004A3868">
        <w:trPr>
          <w:trHeight w:val="397"/>
        </w:trPr>
        <w:tc>
          <w:tcPr>
            <w:tcW w:w="2939" w:type="dxa"/>
            <w:vAlign w:val="bottom"/>
          </w:tcPr>
          <w:p w:rsidR="004A3868" w:rsidRDefault="003F1AB5">
            <w:pPr>
              <w:pStyle w:val="Style124"/>
            </w:pPr>
            <w:r>
              <w:rPr>
                <w:rFonts w:hint="eastAsia"/>
              </w:rPr>
              <w:t>M</w:t>
            </w:r>
            <w:r>
              <w:t>ES</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全称为Manufacturing Execution System，即制造执行系统,是一种面向制造企业车间执行层的生产信息化管理系统。</w:t>
            </w:r>
          </w:p>
        </w:tc>
      </w:tr>
      <w:tr w:rsidR="004A3868">
        <w:trPr>
          <w:trHeight w:val="397"/>
        </w:trPr>
        <w:tc>
          <w:tcPr>
            <w:tcW w:w="2939" w:type="dxa"/>
            <w:vAlign w:val="bottom"/>
          </w:tcPr>
          <w:p w:rsidR="004A3868" w:rsidRDefault="003F1AB5">
            <w:pPr>
              <w:pStyle w:val="Style124"/>
            </w:pPr>
            <w:r>
              <w:rPr>
                <w:rFonts w:hint="eastAsia"/>
              </w:rPr>
              <w:t>W</w:t>
            </w:r>
            <w:r>
              <w:t>MS</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全称为Warehouse Management System，即仓库管理系统，是一种用于管理和控制仓库操作的软件系统。</w:t>
            </w:r>
          </w:p>
        </w:tc>
      </w:tr>
      <w:tr w:rsidR="004A3868">
        <w:trPr>
          <w:trHeight w:val="397"/>
        </w:trPr>
        <w:tc>
          <w:tcPr>
            <w:tcW w:w="2939" w:type="dxa"/>
            <w:vAlign w:val="bottom"/>
          </w:tcPr>
          <w:p w:rsidR="004A3868" w:rsidRDefault="003F1AB5">
            <w:pPr>
              <w:pStyle w:val="Style124"/>
            </w:pPr>
            <w:r>
              <w:rPr>
                <w:rFonts w:hint="eastAsia"/>
              </w:rPr>
              <w:t>中电联</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中国电力企业联合会</w:t>
            </w:r>
          </w:p>
        </w:tc>
      </w:tr>
      <w:tr w:rsidR="004A3868">
        <w:trPr>
          <w:trHeight w:val="397"/>
        </w:trPr>
        <w:tc>
          <w:tcPr>
            <w:tcW w:w="2939" w:type="dxa"/>
            <w:vAlign w:val="bottom"/>
          </w:tcPr>
          <w:p w:rsidR="004A3868" w:rsidRDefault="003F1AB5">
            <w:pPr>
              <w:pStyle w:val="Style124"/>
            </w:pPr>
            <w:r>
              <w:rPr>
                <w:rFonts w:hint="eastAsia"/>
              </w:rPr>
              <w:t>望变人</w:t>
            </w:r>
          </w:p>
        </w:tc>
        <w:tc>
          <w:tcPr>
            <w:tcW w:w="742" w:type="dxa"/>
            <w:vAlign w:val="center"/>
          </w:tcPr>
          <w:p w:rsidR="004A3868" w:rsidRDefault="003F1AB5">
            <w:pPr>
              <w:rPr>
                <w:sz w:val="21"/>
                <w:szCs w:val="21"/>
              </w:rPr>
            </w:pPr>
            <w:r>
              <w:rPr>
                <w:rFonts w:hint="eastAsia"/>
                <w:sz w:val="21"/>
                <w:szCs w:val="21"/>
              </w:rPr>
              <w:t>指</w:t>
            </w:r>
          </w:p>
        </w:tc>
        <w:tc>
          <w:tcPr>
            <w:tcW w:w="5103" w:type="dxa"/>
            <w:vAlign w:val="bottom"/>
          </w:tcPr>
          <w:p w:rsidR="004A3868" w:rsidRDefault="003F1AB5">
            <w:pPr>
              <w:pStyle w:val="Style124"/>
            </w:pPr>
            <w:r>
              <w:rPr>
                <w:rFonts w:hint="eastAsia"/>
              </w:rPr>
              <w:t>重庆望变电气（集团）股份有限公司职工</w:t>
            </w:r>
          </w:p>
        </w:tc>
      </w:tr>
    </w:tbl>
    <w:p w:rsidR="004A3868" w:rsidRDefault="004A3868">
      <w:pPr>
        <w:rPr>
          <w:sz w:val="21"/>
          <w:szCs w:val="21"/>
        </w:rPr>
      </w:pPr>
    </w:p>
    <w:p w:rsidR="004A3868" w:rsidRDefault="003F1AB5">
      <w:pPr>
        <w:pStyle w:val="Style124"/>
      </w:pPr>
      <w:r>
        <w:rPr>
          <w:rFonts w:hint="eastAsia"/>
        </w:rPr>
        <w:t>注：本报告书中除特别说明外所有数值保留两位小数，若出现总数与各分项数值之和尾数不符的情况，均为四舍五入原因造成。</w:t>
      </w:r>
    </w:p>
    <w:p w:rsidR="004A3868" w:rsidRDefault="003F1AB5">
      <w:pPr>
        <w:pStyle w:val="1"/>
        <w:rPr>
          <w:color w:val="FF0000"/>
          <w:u w:val="single"/>
        </w:rPr>
      </w:pPr>
      <w:bookmarkStart w:id="8" w:name="_Toc407111355"/>
      <w:bookmarkStart w:id="9" w:name="_Toc436392762"/>
      <w:bookmarkStart w:id="10" w:name="_Toc164947201"/>
      <w:bookmarkStart w:id="11" w:name="_Toc437440709"/>
      <w:r>
        <w:rPr>
          <w:rFonts w:hint="eastAsia"/>
        </w:rPr>
        <w:t>公司简介</w:t>
      </w:r>
      <w:bookmarkEnd w:id="8"/>
      <w:bookmarkEnd w:id="9"/>
      <w:r>
        <w:rPr>
          <w:rFonts w:hint="eastAsia"/>
        </w:rPr>
        <w:t>和主要财务指标</w:t>
      </w:r>
      <w:bookmarkEnd w:id="10"/>
      <w:bookmarkEnd w:id="11"/>
    </w:p>
    <w:p w:rsidR="004A3868" w:rsidRDefault="003F1AB5">
      <w:pPr>
        <w:pStyle w:val="2"/>
        <w:numPr>
          <w:ilvl w:val="1"/>
          <w:numId w:val="15"/>
        </w:numPr>
        <w:rPr>
          <w:color w:val="FF0000"/>
          <w:u w:val="single"/>
        </w:rPr>
      </w:pPr>
      <w:r>
        <w:rPr>
          <w:rFonts w:hint="eastAsia"/>
        </w:rPr>
        <w:t>公司信息</w:t>
      </w:r>
    </w:p>
    <w:tbl>
      <w:tblPr>
        <w:tblStyle w:val="Style740"/>
        <w:tblW w:w="4978"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265"/>
        <w:gridCol w:w="6519"/>
      </w:tblGrid>
      <w:tr w:rsidR="004A3868">
        <w:trPr>
          <w:trHeight w:val="293"/>
        </w:trPr>
        <w:sdt>
          <w:sdtPr>
            <w:rPr>
              <w:sz w:val="21"/>
              <w:szCs w:val="21"/>
            </w:rPr>
            <w:tag w:val="_PLD_76a4e08611bc46959c5497248a51b877"/>
            <w:id w:val="1033775716"/>
          </w:sdtPr>
          <w:sdtEndPr/>
          <w:sdtContent>
            <w:tc>
              <w:tcPr>
                <w:tcW w:w="128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公司的中文名称</w:t>
                </w:r>
              </w:p>
            </w:tc>
          </w:sdtContent>
        </w:sdt>
        <w:sdt>
          <w:sdtPr>
            <w:rPr>
              <w:rFonts w:hint="eastAsia"/>
              <w:sz w:val="21"/>
              <w:szCs w:val="21"/>
            </w:rPr>
            <w:alias w:val="公司法定中文名称"/>
            <w:tag w:val="_GBC_7adfc39908d049d2970c391497a360e4"/>
            <w:id w:val="-1836905932"/>
            <w:dataBinding w:prefixMappings="xmlns:clcid-cgi='clcid-cgi'" w:xpath="/*/clcid-cgi:GongSiFaDingZhongWenMingCheng[not(@periodRef)]" w:storeItemID="{89EBAB94-44A0-46A2-B712-30D997D04A6D}"/>
            <w:text/>
          </w:sdtPr>
          <w:sdtEndPr/>
          <w:sdtContent>
            <w:tc>
              <w:tcPr>
                <w:tcW w:w="3711" w:type="pct"/>
                <w:tcBorders>
                  <w:top w:val="single" w:sz="4" w:space="0" w:color="auto"/>
                  <w:left w:val="single" w:sz="4" w:space="0" w:color="auto"/>
                  <w:bottom w:val="single" w:sz="4" w:space="0" w:color="auto"/>
                </w:tcBorders>
                <w:vAlign w:val="center"/>
              </w:tcPr>
              <w:p w:rsidR="004A3868" w:rsidRDefault="003F1AB5">
                <w:pPr>
                  <w:rPr>
                    <w:color w:val="FFC000"/>
                    <w:sz w:val="21"/>
                    <w:szCs w:val="21"/>
                  </w:rPr>
                </w:pPr>
                <w:r>
                  <w:rPr>
                    <w:rFonts w:hint="eastAsia"/>
                    <w:sz w:val="21"/>
                    <w:szCs w:val="21"/>
                  </w:rPr>
                  <w:t>重庆望变电气（集团）股份有限公司</w:t>
                </w:r>
              </w:p>
            </w:tc>
          </w:sdtContent>
        </w:sdt>
      </w:tr>
      <w:tr w:rsidR="004A3868">
        <w:trPr>
          <w:trHeight w:val="293"/>
        </w:trPr>
        <w:tc>
          <w:tcPr>
            <w:tcW w:w="128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公司的中文简称</w:t>
            </w:r>
          </w:p>
        </w:tc>
        <w:tc>
          <w:tcPr>
            <w:tcW w:w="3711" w:type="pct"/>
            <w:tcBorders>
              <w:top w:val="single" w:sz="4" w:space="0" w:color="auto"/>
              <w:left w:val="single" w:sz="4" w:space="0" w:color="auto"/>
              <w:bottom w:val="single" w:sz="4" w:space="0" w:color="auto"/>
            </w:tcBorders>
            <w:vAlign w:val="center"/>
          </w:tcPr>
          <w:p w:rsidR="004A3868" w:rsidRDefault="003F1AB5">
            <w:pPr>
              <w:rPr>
                <w:sz w:val="21"/>
                <w:szCs w:val="21"/>
              </w:rPr>
            </w:pPr>
            <w:r>
              <w:rPr>
                <w:rFonts w:hint="eastAsia"/>
                <w:sz w:val="21"/>
                <w:szCs w:val="21"/>
              </w:rPr>
              <w:t>望变电气</w:t>
            </w:r>
          </w:p>
        </w:tc>
      </w:tr>
      <w:tr w:rsidR="004A3868">
        <w:trPr>
          <w:trHeight w:val="293"/>
        </w:trPr>
        <w:tc>
          <w:tcPr>
            <w:tcW w:w="128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公司的外文名称</w:t>
            </w:r>
          </w:p>
        </w:tc>
        <w:tc>
          <w:tcPr>
            <w:tcW w:w="3711" w:type="pct"/>
            <w:tcBorders>
              <w:top w:val="single" w:sz="4" w:space="0" w:color="auto"/>
              <w:left w:val="single" w:sz="4" w:space="0" w:color="auto"/>
              <w:bottom w:val="single" w:sz="4" w:space="0" w:color="auto"/>
            </w:tcBorders>
            <w:vAlign w:val="center"/>
          </w:tcPr>
          <w:p w:rsidR="004A3868" w:rsidRDefault="003F1AB5">
            <w:pPr>
              <w:rPr>
                <w:sz w:val="21"/>
                <w:szCs w:val="21"/>
              </w:rPr>
            </w:pPr>
            <w:r>
              <w:rPr>
                <w:sz w:val="21"/>
                <w:szCs w:val="21"/>
              </w:rPr>
              <w:t>ChongqingWangbianElectric（Group）Corp.,Ltd.</w:t>
            </w:r>
          </w:p>
        </w:tc>
      </w:tr>
      <w:tr w:rsidR="004A3868">
        <w:trPr>
          <w:trHeight w:val="293"/>
        </w:trPr>
        <w:tc>
          <w:tcPr>
            <w:tcW w:w="128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公司的外文名称缩写</w:t>
            </w:r>
          </w:p>
        </w:tc>
        <w:tc>
          <w:tcPr>
            <w:tcW w:w="3711" w:type="pct"/>
            <w:tcBorders>
              <w:top w:val="single" w:sz="4" w:space="0" w:color="auto"/>
              <w:left w:val="single" w:sz="4" w:space="0" w:color="auto"/>
              <w:bottom w:val="single" w:sz="4" w:space="0" w:color="auto"/>
            </w:tcBorders>
            <w:vAlign w:val="center"/>
          </w:tcPr>
          <w:p w:rsidR="004A3868" w:rsidRDefault="003F1AB5">
            <w:pPr>
              <w:rPr>
                <w:sz w:val="21"/>
                <w:szCs w:val="21"/>
              </w:rPr>
            </w:pPr>
            <w:r>
              <w:rPr>
                <w:sz w:val="21"/>
                <w:szCs w:val="21"/>
              </w:rPr>
              <w:t>WangbianElectric</w:t>
            </w:r>
          </w:p>
        </w:tc>
      </w:tr>
      <w:tr w:rsidR="004A3868">
        <w:trPr>
          <w:trHeight w:val="293"/>
        </w:trPr>
        <w:tc>
          <w:tcPr>
            <w:tcW w:w="128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公司的法定代表人</w:t>
            </w:r>
          </w:p>
        </w:tc>
        <w:tc>
          <w:tcPr>
            <w:tcW w:w="3711" w:type="pct"/>
            <w:tcBorders>
              <w:top w:val="single" w:sz="4" w:space="0" w:color="auto"/>
              <w:left w:val="single" w:sz="4" w:space="0" w:color="auto"/>
              <w:bottom w:val="single" w:sz="4" w:space="0" w:color="auto"/>
            </w:tcBorders>
            <w:vAlign w:val="center"/>
          </w:tcPr>
          <w:p w:rsidR="004A3868" w:rsidRDefault="003F1AB5">
            <w:pPr>
              <w:rPr>
                <w:sz w:val="21"/>
                <w:szCs w:val="21"/>
              </w:rPr>
            </w:pPr>
            <w:r>
              <w:rPr>
                <w:rFonts w:hint="eastAsia"/>
                <w:sz w:val="21"/>
                <w:szCs w:val="21"/>
              </w:rPr>
              <w:t>杨泽民</w:t>
            </w:r>
          </w:p>
        </w:tc>
      </w:tr>
    </w:tbl>
    <w:p w:rsidR="004A3868" w:rsidRDefault="004A3868">
      <w:pPr>
        <w:pStyle w:val="Style124"/>
      </w:pPr>
    </w:p>
    <w:p w:rsidR="004A3868" w:rsidRDefault="003F1AB5">
      <w:pPr>
        <w:pStyle w:val="2"/>
        <w:numPr>
          <w:ilvl w:val="1"/>
          <w:numId w:val="15"/>
        </w:numPr>
      </w:pPr>
      <w:r>
        <w:rPr>
          <w:rFonts w:hint="eastAsia"/>
        </w:rPr>
        <w:t>联系人和联系方式</w:t>
      </w:r>
    </w:p>
    <w:tbl>
      <w:tblPr>
        <w:tblStyle w:val="Style740"/>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964"/>
        <w:gridCol w:w="3429"/>
        <w:gridCol w:w="3430"/>
      </w:tblGrid>
      <w:tr w:rsidR="004A3868">
        <w:trPr>
          <w:trHeight w:val="397"/>
          <w:jc w:val="center"/>
        </w:trPr>
        <w:tc>
          <w:tcPr>
            <w:tcW w:w="1113" w:type="pct"/>
            <w:tcBorders>
              <w:top w:val="single" w:sz="4" w:space="0" w:color="auto"/>
              <w:bottom w:val="single" w:sz="4" w:space="0" w:color="auto"/>
              <w:right w:val="single" w:sz="4" w:space="0" w:color="auto"/>
            </w:tcBorders>
            <w:shd w:val="clear" w:color="auto" w:fill="auto"/>
            <w:vAlign w:val="center"/>
          </w:tcPr>
          <w:p w:rsidR="004A3868" w:rsidRDefault="004A3868">
            <w:pPr>
              <w:rPr>
                <w:b/>
                <w:sz w:val="21"/>
                <w:szCs w:val="21"/>
              </w:rPr>
            </w:pPr>
          </w:p>
        </w:tc>
        <w:tc>
          <w:tcPr>
            <w:tcW w:w="194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B34370">
            <w:pPr>
              <w:pStyle w:val="ab"/>
              <w:rPr>
                <w:b/>
                <w:color w:val="008000"/>
                <w:sz w:val="21"/>
                <w:szCs w:val="21"/>
              </w:rPr>
            </w:pPr>
            <w:sdt>
              <w:sdtPr>
                <w:rPr>
                  <w:b/>
                  <w:sz w:val="21"/>
                  <w:szCs w:val="21"/>
                </w:rPr>
                <w:tag w:val="_PLD_e3b56ea4d9044947a48312d084d6e0c4"/>
                <w:id w:val="-1391104696"/>
              </w:sdtPr>
              <w:sdtEndPr/>
              <w:sdtContent>
                <w:r w:rsidR="003F1AB5">
                  <w:rPr>
                    <w:rFonts w:hint="eastAsia"/>
                    <w:b/>
                    <w:sz w:val="21"/>
                    <w:szCs w:val="21"/>
                  </w:rPr>
                  <w:t>董事会秘书</w:t>
                </w:r>
              </w:sdtContent>
            </w:sdt>
          </w:p>
        </w:tc>
        <w:sdt>
          <w:sdtPr>
            <w:rPr>
              <w:b/>
              <w:sz w:val="21"/>
              <w:szCs w:val="21"/>
            </w:rPr>
            <w:tag w:val="_PLD_3c890d5ebae5433cbd8a04f8846a0d9c"/>
            <w:id w:val="-1282568060"/>
          </w:sdtPr>
          <w:sdtEndPr/>
          <w:sdtContent>
            <w:tc>
              <w:tcPr>
                <w:tcW w:w="1944" w:type="pct"/>
                <w:tcBorders>
                  <w:top w:val="single" w:sz="4" w:space="0" w:color="auto"/>
                  <w:left w:val="single" w:sz="4" w:space="0" w:color="auto"/>
                  <w:bottom w:val="single" w:sz="4" w:space="0" w:color="auto"/>
                </w:tcBorders>
                <w:shd w:val="clear" w:color="auto" w:fill="auto"/>
                <w:vAlign w:val="center"/>
              </w:tcPr>
              <w:p w:rsidR="004A3868" w:rsidRDefault="003F1AB5">
                <w:pPr>
                  <w:pStyle w:val="ab"/>
                  <w:rPr>
                    <w:b/>
                    <w:sz w:val="21"/>
                    <w:szCs w:val="21"/>
                  </w:rPr>
                </w:pPr>
                <w:r>
                  <w:rPr>
                    <w:rFonts w:hint="eastAsia"/>
                    <w:b/>
                    <w:sz w:val="21"/>
                    <w:szCs w:val="21"/>
                  </w:rPr>
                  <w:t>证券事务代表</w:t>
                </w:r>
              </w:p>
            </w:tc>
          </w:sdtContent>
        </w:sdt>
      </w:tr>
      <w:tr w:rsidR="004A3868">
        <w:trPr>
          <w:trHeight w:val="397"/>
          <w:jc w:val="center"/>
        </w:trPr>
        <w:tc>
          <w:tcPr>
            <w:tcW w:w="1113"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姓名</w:t>
            </w:r>
          </w:p>
        </w:tc>
        <w:tc>
          <w:tcPr>
            <w:tcW w:w="1943" w:type="pct"/>
            <w:tcBorders>
              <w:top w:val="single" w:sz="4" w:space="0" w:color="auto"/>
              <w:left w:val="single" w:sz="4" w:space="0" w:color="auto"/>
              <w:bottom w:val="single" w:sz="4" w:space="0" w:color="auto"/>
              <w:right w:val="single" w:sz="4" w:space="0" w:color="auto"/>
            </w:tcBorders>
            <w:vAlign w:val="center"/>
          </w:tcPr>
          <w:p w:rsidR="004A3868" w:rsidRDefault="003F1AB5">
            <w:pPr>
              <w:rPr>
                <w:sz w:val="21"/>
                <w:szCs w:val="21"/>
              </w:rPr>
            </w:pPr>
            <w:r>
              <w:rPr>
                <w:rFonts w:hint="eastAsia"/>
                <w:sz w:val="21"/>
                <w:szCs w:val="21"/>
              </w:rPr>
              <w:t>李代萍</w:t>
            </w:r>
          </w:p>
        </w:tc>
        <w:tc>
          <w:tcPr>
            <w:tcW w:w="1944" w:type="pct"/>
            <w:tcBorders>
              <w:top w:val="single" w:sz="4" w:space="0" w:color="auto"/>
              <w:left w:val="single" w:sz="4" w:space="0" w:color="auto"/>
              <w:bottom w:val="single" w:sz="4" w:space="0" w:color="auto"/>
            </w:tcBorders>
            <w:vAlign w:val="center"/>
          </w:tcPr>
          <w:p w:rsidR="004A3868" w:rsidRDefault="003F1AB5">
            <w:pPr>
              <w:rPr>
                <w:sz w:val="21"/>
                <w:szCs w:val="21"/>
              </w:rPr>
            </w:pPr>
            <w:r>
              <w:rPr>
                <w:rFonts w:hint="eastAsia"/>
                <w:sz w:val="21"/>
                <w:szCs w:val="21"/>
              </w:rPr>
              <w:t>雷雯亦</w:t>
            </w:r>
          </w:p>
        </w:tc>
      </w:tr>
      <w:tr w:rsidR="004A3868">
        <w:trPr>
          <w:trHeight w:val="397"/>
          <w:jc w:val="center"/>
        </w:trPr>
        <w:tc>
          <w:tcPr>
            <w:tcW w:w="1113"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联系地址</w:t>
            </w:r>
          </w:p>
        </w:tc>
        <w:tc>
          <w:tcPr>
            <w:tcW w:w="1943" w:type="pct"/>
            <w:tcBorders>
              <w:top w:val="single" w:sz="4" w:space="0" w:color="auto"/>
              <w:left w:val="single" w:sz="4" w:space="0" w:color="auto"/>
              <w:bottom w:val="single" w:sz="4" w:space="0" w:color="auto"/>
              <w:right w:val="single" w:sz="4" w:space="0" w:color="auto"/>
            </w:tcBorders>
            <w:vAlign w:val="center"/>
          </w:tcPr>
          <w:p w:rsidR="004A3868" w:rsidRDefault="003F1AB5">
            <w:pPr>
              <w:rPr>
                <w:sz w:val="21"/>
                <w:szCs w:val="21"/>
                <w:highlight w:val="red"/>
              </w:rPr>
            </w:pPr>
            <w:r>
              <w:rPr>
                <w:rFonts w:hint="eastAsia"/>
                <w:sz w:val="21"/>
                <w:szCs w:val="21"/>
              </w:rPr>
              <w:t>重庆市江北区江北城街道江北城西大</w:t>
            </w:r>
            <w:r>
              <w:rPr>
                <w:rFonts w:hint="eastAsia"/>
                <w:sz w:val="21"/>
                <w:szCs w:val="21"/>
              </w:rPr>
              <w:lastRenderedPageBreak/>
              <w:t>街</w:t>
            </w:r>
            <w:r>
              <w:rPr>
                <w:sz w:val="21"/>
                <w:szCs w:val="21"/>
              </w:rPr>
              <w:t>3号交通银行大厦12楼</w:t>
            </w:r>
          </w:p>
        </w:tc>
        <w:tc>
          <w:tcPr>
            <w:tcW w:w="1944" w:type="pct"/>
            <w:tcBorders>
              <w:top w:val="single" w:sz="4" w:space="0" w:color="auto"/>
              <w:left w:val="single" w:sz="4" w:space="0" w:color="auto"/>
              <w:bottom w:val="single" w:sz="4" w:space="0" w:color="auto"/>
            </w:tcBorders>
            <w:vAlign w:val="center"/>
          </w:tcPr>
          <w:p w:rsidR="004A3868" w:rsidRDefault="003F1AB5">
            <w:pPr>
              <w:rPr>
                <w:sz w:val="21"/>
                <w:szCs w:val="21"/>
                <w:highlight w:val="red"/>
              </w:rPr>
            </w:pPr>
            <w:r>
              <w:rPr>
                <w:rFonts w:hint="eastAsia"/>
                <w:sz w:val="21"/>
                <w:szCs w:val="21"/>
              </w:rPr>
              <w:lastRenderedPageBreak/>
              <w:t>重庆市江北区江北城街道江北城西大</w:t>
            </w:r>
            <w:r>
              <w:rPr>
                <w:rFonts w:hint="eastAsia"/>
                <w:sz w:val="21"/>
                <w:szCs w:val="21"/>
              </w:rPr>
              <w:lastRenderedPageBreak/>
              <w:t>街</w:t>
            </w:r>
            <w:r>
              <w:rPr>
                <w:sz w:val="21"/>
                <w:szCs w:val="21"/>
              </w:rPr>
              <w:t>3号交通银行大厦12楼</w:t>
            </w:r>
          </w:p>
        </w:tc>
      </w:tr>
      <w:tr w:rsidR="004A3868">
        <w:trPr>
          <w:trHeight w:val="397"/>
          <w:jc w:val="center"/>
        </w:trPr>
        <w:tc>
          <w:tcPr>
            <w:tcW w:w="1113"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lastRenderedPageBreak/>
              <w:t>电话</w:t>
            </w:r>
          </w:p>
        </w:tc>
        <w:tc>
          <w:tcPr>
            <w:tcW w:w="1943" w:type="pct"/>
            <w:tcBorders>
              <w:top w:val="single" w:sz="4" w:space="0" w:color="auto"/>
              <w:left w:val="single" w:sz="4" w:space="0" w:color="auto"/>
              <w:bottom w:val="single" w:sz="4" w:space="0" w:color="auto"/>
              <w:right w:val="single" w:sz="4" w:space="0" w:color="auto"/>
            </w:tcBorders>
            <w:vAlign w:val="center"/>
          </w:tcPr>
          <w:p w:rsidR="004A3868" w:rsidRDefault="003F1AB5">
            <w:pPr>
              <w:rPr>
                <w:sz w:val="21"/>
                <w:szCs w:val="21"/>
                <w:highlight w:val="red"/>
              </w:rPr>
            </w:pPr>
            <w:r>
              <w:rPr>
                <w:sz w:val="21"/>
                <w:szCs w:val="21"/>
              </w:rPr>
              <w:t>023-40615383</w:t>
            </w:r>
          </w:p>
        </w:tc>
        <w:tc>
          <w:tcPr>
            <w:tcW w:w="1944" w:type="pct"/>
            <w:tcBorders>
              <w:top w:val="single" w:sz="4" w:space="0" w:color="auto"/>
              <w:left w:val="single" w:sz="4" w:space="0" w:color="auto"/>
              <w:bottom w:val="single" w:sz="4" w:space="0" w:color="auto"/>
            </w:tcBorders>
            <w:shd w:val="clear" w:color="auto" w:fill="auto"/>
            <w:vAlign w:val="center"/>
          </w:tcPr>
          <w:p w:rsidR="004A3868" w:rsidRDefault="003F1AB5">
            <w:pPr>
              <w:rPr>
                <w:sz w:val="21"/>
                <w:szCs w:val="21"/>
              </w:rPr>
            </w:pPr>
            <w:r>
              <w:rPr>
                <w:sz w:val="21"/>
                <w:szCs w:val="21"/>
              </w:rPr>
              <w:t>023-67538525</w:t>
            </w:r>
          </w:p>
        </w:tc>
      </w:tr>
      <w:tr w:rsidR="004A3868">
        <w:trPr>
          <w:trHeight w:val="397"/>
          <w:jc w:val="center"/>
        </w:trPr>
        <w:tc>
          <w:tcPr>
            <w:tcW w:w="1113"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传真</w:t>
            </w:r>
          </w:p>
        </w:tc>
        <w:tc>
          <w:tcPr>
            <w:tcW w:w="1943" w:type="pct"/>
            <w:tcBorders>
              <w:top w:val="single" w:sz="4" w:space="0" w:color="auto"/>
              <w:left w:val="single" w:sz="4" w:space="0" w:color="auto"/>
              <w:bottom w:val="single" w:sz="4" w:space="0" w:color="auto"/>
              <w:right w:val="single" w:sz="4" w:space="0" w:color="auto"/>
            </w:tcBorders>
            <w:vAlign w:val="center"/>
          </w:tcPr>
          <w:p w:rsidR="004A3868" w:rsidRDefault="003F1AB5">
            <w:pPr>
              <w:rPr>
                <w:sz w:val="21"/>
                <w:szCs w:val="21"/>
              </w:rPr>
            </w:pPr>
            <w:r>
              <w:rPr>
                <w:sz w:val="21"/>
                <w:szCs w:val="21"/>
              </w:rPr>
              <w:t>023-40615383</w:t>
            </w:r>
          </w:p>
        </w:tc>
        <w:tc>
          <w:tcPr>
            <w:tcW w:w="1944" w:type="pct"/>
            <w:tcBorders>
              <w:top w:val="single" w:sz="4" w:space="0" w:color="auto"/>
              <w:left w:val="single" w:sz="4" w:space="0" w:color="auto"/>
              <w:bottom w:val="single" w:sz="4" w:space="0" w:color="auto"/>
            </w:tcBorders>
            <w:vAlign w:val="center"/>
          </w:tcPr>
          <w:p w:rsidR="004A3868" w:rsidRDefault="003F1AB5">
            <w:pPr>
              <w:rPr>
                <w:sz w:val="21"/>
                <w:szCs w:val="21"/>
              </w:rPr>
            </w:pPr>
            <w:r>
              <w:rPr>
                <w:sz w:val="21"/>
                <w:szCs w:val="21"/>
              </w:rPr>
              <w:t>023-40510621</w:t>
            </w:r>
          </w:p>
        </w:tc>
      </w:tr>
      <w:tr w:rsidR="004A3868">
        <w:trPr>
          <w:trHeight w:val="397"/>
          <w:jc w:val="center"/>
        </w:trPr>
        <w:tc>
          <w:tcPr>
            <w:tcW w:w="1113"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电子信箱</w:t>
            </w:r>
          </w:p>
        </w:tc>
        <w:tc>
          <w:tcPr>
            <w:tcW w:w="1943" w:type="pct"/>
            <w:tcBorders>
              <w:top w:val="single" w:sz="4" w:space="0" w:color="auto"/>
              <w:left w:val="single" w:sz="4" w:space="0" w:color="auto"/>
              <w:bottom w:val="single" w:sz="4" w:space="0" w:color="auto"/>
              <w:right w:val="single" w:sz="4" w:space="0" w:color="auto"/>
            </w:tcBorders>
            <w:vAlign w:val="center"/>
          </w:tcPr>
          <w:p w:rsidR="004A3868" w:rsidRDefault="003F1AB5">
            <w:pPr>
              <w:rPr>
                <w:sz w:val="21"/>
                <w:szCs w:val="21"/>
              </w:rPr>
            </w:pPr>
            <w:r>
              <w:rPr>
                <w:sz w:val="21"/>
                <w:szCs w:val="21"/>
              </w:rPr>
              <w:t>lidaiping@cqwbdq.com</w:t>
            </w:r>
          </w:p>
        </w:tc>
        <w:tc>
          <w:tcPr>
            <w:tcW w:w="1944" w:type="pct"/>
            <w:tcBorders>
              <w:top w:val="single" w:sz="4" w:space="0" w:color="auto"/>
              <w:left w:val="single" w:sz="4" w:space="0" w:color="auto"/>
              <w:bottom w:val="single" w:sz="4" w:space="0" w:color="auto"/>
            </w:tcBorders>
            <w:vAlign w:val="center"/>
          </w:tcPr>
          <w:p w:rsidR="004A3868" w:rsidRDefault="003F1AB5">
            <w:pPr>
              <w:rPr>
                <w:sz w:val="21"/>
                <w:szCs w:val="21"/>
              </w:rPr>
            </w:pPr>
            <w:r>
              <w:rPr>
                <w:sz w:val="21"/>
                <w:szCs w:val="21"/>
              </w:rPr>
              <w:t>leiwenyi@cqwbdq.com</w:t>
            </w:r>
          </w:p>
        </w:tc>
      </w:tr>
    </w:tbl>
    <w:p w:rsidR="004A3868" w:rsidRDefault="004A3868">
      <w:pPr>
        <w:pStyle w:val="Style124"/>
      </w:pPr>
    </w:p>
    <w:p w:rsidR="004A3868" w:rsidRDefault="003F1AB5">
      <w:pPr>
        <w:pStyle w:val="2"/>
        <w:numPr>
          <w:ilvl w:val="1"/>
          <w:numId w:val="15"/>
        </w:numPr>
        <w:rPr>
          <w:rFonts w:ascii="宋体" w:hAnsi="宋体"/>
        </w:rPr>
      </w:pPr>
      <w:r>
        <w:t>基本情况</w:t>
      </w:r>
      <w:r>
        <w:rPr>
          <w:rFonts w:hint="eastAsia"/>
        </w:rPr>
        <w:t>简介</w:t>
      </w:r>
    </w:p>
    <w:tbl>
      <w:tblPr>
        <w:tblStyle w:val="Style740"/>
        <w:tblW w:w="5000" w:type="pct"/>
        <w:jc w:val="center"/>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4A3868">
        <w:trPr>
          <w:trHeight w:val="397"/>
          <w:jc w:val="center"/>
        </w:trPr>
        <w:sdt>
          <w:sdtPr>
            <w:rPr>
              <w:sz w:val="21"/>
              <w:szCs w:val="21"/>
            </w:rPr>
            <w:tag w:val="_PLD_65800154c9f246eeaabfb6d49f89b105"/>
            <w:id w:val="1980802192"/>
          </w:sdtPr>
          <w:sdtEndPr/>
          <w:sdtContent>
            <w:tc>
              <w:tcPr>
                <w:tcW w:w="216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公司注册地址</w:t>
                </w:r>
              </w:p>
            </w:tc>
          </w:sdtContent>
        </w:sdt>
        <w:tc>
          <w:tcPr>
            <w:tcW w:w="2831" w:type="pct"/>
            <w:tcBorders>
              <w:top w:val="single" w:sz="4" w:space="0" w:color="auto"/>
              <w:left w:val="single" w:sz="4" w:space="0" w:color="auto"/>
              <w:bottom w:val="single" w:sz="4" w:space="0" w:color="auto"/>
            </w:tcBorders>
            <w:vAlign w:val="center"/>
          </w:tcPr>
          <w:p w:rsidR="004A3868" w:rsidRDefault="003F1AB5">
            <w:pPr>
              <w:rPr>
                <w:sz w:val="21"/>
                <w:szCs w:val="21"/>
              </w:rPr>
            </w:pPr>
            <w:r>
              <w:rPr>
                <w:rFonts w:hint="eastAsia"/>
                <w:sz w:val="21"/>
                <w:szCs w:val="21"/>
              </w:rPr>
              <w:t>重庆市长寿区晏家街道齐心东路</w:t>
            </w:r>
            <w:r>
              <w:rPr>
                <w:sz w:val="21"/>
                <w:szCs w:val="21"/>
              </w:rPr>
              <w:t>10号</w:t>
            </w:r>
          </w:p>
        </w:tc>
      </w:tr>
      <w:tr w:rsidR="004A3868">
        <w:trPr>
          <w:trHeight w:val="397"/>
          <w:jc w:val="center"/>
        </w:trPr>
        <w:tc>
          <w:tcPr>
            <w:tcW w:w="216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公司注册地址的历史变更情况</w:t>
            </w:r>
          </w:p>
        </w:tc>
        <w:tc>
          <w:tcPr>
            <w:tcW w:w="2831" w:type="pct"/>
            <w:tcBorders>
              <w:top w:val="single" w:sz="4" w:space="0" w:color="auto"/>
              <w:left w:val="single" w:sz="4" w:space="0" w:color="auto"/>
              <w:bottom w:val="single" w:sz="4" w:space="0" w:color="auto"/>
            </w:tcBorders>
            <w:vAlign w:val="center"/>
          </w:tcPr>
          <w:p w:rsidR="004A3868" w:rsidRDefault="003F1AB5">
            <w:pPr>
              <w:rPr>
                <w:sz w:val="21"/>
                <w:szCs w:val="21"/>
              </w:rPr>
            </w:pPr>
            <w:r>
              <w:rPr>
                <w:rFonts w:hint="eastAsia"/>
                <w:sz w:val="21"/>
                <w:szCs w:val="21"/>
              </w:rPr>
              <w:t>无</w:t>
            </w:r>
          </w:p>
        </w:tc>
      </w:tr>
      <w:tr w:rsidR="004A3868">
        <w:trPr>
          <w:trHeight w:val="397"/>
          <w:jc w:val="center"/>
        </w:trPr>
        <w:tc>
          <w:tcPr>
            <w:tcW w:w="216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公司办公地址</w:t>
            </w:r>
          </w:p>
        </w:tc>
        <w:tc>
          <w:tcPr>
            <w:tcW w:w="2831" w:type="pct"/>
            <w:tcBorders>
              <w:top w:val="single" w:sz="4" w:space="0" w:color="auto"/>
              <w:left w:val="single" w:sz="4" w:space="0" w:color="auto"/>
              <w:bottom w:val="single" w:sz="4" w:space="0" w:color="auto"/>
            </w:tcBorders>
            <w:vAlign w:val="center"/>
          </w:tcPr>
          <w:p w:rsidR="004A3868" w:rsidRDefault="003F1AB5">
            <w:pPr>
              <w:rPr>
                <w:sz w:val="21"/>
                <w:szCs w:val="21"/>
                <w:highlight w:val="red"/>
              </w:rPr>
            </w:pPr>
            <w:r>
              <w:rPr>
                <w:rFonts w:hint="eastAsia"/>
                <w:sz w:val="21"/>
                <w:szCs w:val="21"/>
              </w:rPr>
              <w:t>重庆市江北区江北城街道江北城西大街</w:t>
            </w:r>
            <w:r>
              <w:rPr>
                <w:sz w:val="21"/>
                <w:szCs w:val="21"/>
              </w:rPr>
              <w:t>3号交通银行大厦12楼</w:t>
            </w:r>
          </w:p>
        </w:tc>
      </w:tr>
      <w:tr w:rsidR="004A3868">
        <w:trPr>
          <w:trHeight w:val="397"/>
          <w:jc w:val="center"/>
        </w:trPr>
        <w:tc>
          <w:tcPr>
            <w:tcW w:w="216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公司办公地址的邮政编码</w:t>
            </w:r>
          </w:p>
        </w:tc>
        <w:tc>
          <w:tcPr>
            <w:tcW w:w="2831" w:type="pct"/>
            <w:tcBorders>
              <w:top w:val="single" w:sz="4" w:space="0" w:color="auto"/>
              <w:left w:val="single" w:sz="4" w:space="0" w:color="auto"/>
              <w:bottom w:val="single" w:sz="4" w:space="0" w:color="auto"/>
            </w:tcBorders>
            <w:vAlign w:val="center"/>
          </w:tcPr>
          <w:p w:rsidR="004A3868" w:rsidRDefault="003F1AB5">
            <w:pPr>
              <w:rPr>
                <w:sz w:val="21"/>
                <w:szCs w:val="21"/>
              </w:rPr>
            </w:pPr>
            <w:r>
              <w:rPr>
                <w:sz w:val="21"/>
                <w:szCs w:val="21"/>
              </w:rPr>
              <w:t>400020</w:t>
            </w:r>
          </w:p>
        </w:tc>
      </w:tr>
      <w:tr w:rsidR="004A3868">
        <w:trPr>
          <w:trHeight w:val="397"/>
          <w:jc w:val="center"/>
        </w:trPr>
        <w:tc>
          <w:tcPr>
            <w:tcW w:w="216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公司网址</w:t>
            </w:r>
          </w:p>
        </w:tc>
        <w:tc>
          <w:tcPr>
            <w:tcW w:w="2831" w:type="pct"/>
            <w:tcBorders>
              <w:top w:val="single" w:sz="4" w:space="0" w:color="auto"/>
              <w:left w:val="single" w:sz="4" w:space="0" w:color="auto"/>
              <w:bottom w:val="single" w:sz="4" w:space="0" w:color="auto"/>
            </w:tcBorders>
            <w:vAlign w:val="center"/>
          </w:tcPr>
          <w:p w:rsidR="004A3868" w:rsidRDefault="003F1AB5">
            <w:pPr>
              <w:rPr>
                <w:sz w:val="21"/>
                <w:szCs w:val="21"/>
              </w:rPr>
            </w:pPr>
            <w:r>
              <w:rPr>
                <w:sz w:val="21"/>
                <w:szCs w:val="21"/>
              </w:rPr>
              <w:t>www.cqwbdq.com</w:t>
            </w:r>
          </w:p>
        </w:tc>
      </w:tr>
      <w:tr w:rsidR="004A3868">
        <w:trPr>
          <w:trHeight w:val="397"/>
          <w:jc w:val="center"/>
        </w:trPr>
        <w:tc>
          <w:tcPr>
            <w:tcW w:w="2169"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电子信箱</w:t>
            </w:r>
          </w:p>
        </w:tc>
        <w:tc>
          <w:tcPr>
            <w:tcW w:w="2831" w:type="pct"/>
            <w:tcBorders>
              <w:top w:val="single" w:sz="4" w:space="0" w:color="auto"/>
              <w:left w:val="single" w:sz="4" w:space="0" w:color="auto"/>
              <w:bottom w:val="single" w:sz="4" w:space="0" w:color="auto"/>
            </w:tcBorders>
            <w:vAlign w:val="center"/>
          </w:tcPr>
          <w:p w:rsidR="004A3868" w:rsidRDefault="003F1AB5">
            <w:pPr>
              <w:rPr>
                <w:sz w:val="21"/>
                <w:szCs w:val="21"/>
              </w:rPr>
            </w:pPr>
            <w:r>
              <w:rPr>
                <w:sz w:val="21"/>
                <w:szCs w:val="21"/>
              </w:rPr>
              <w:t>wbdq_ir@cqwbdq.com</w:t>
            </w:r>
          </w:p>
        </w:tc>
      </w:tr>
    </w:tbl>
    <w:p w:rsidR="004A3868" w:rsidRDefault="004A3868">
      <w:pPr>
        <w:pStyle w:val="Style124"/>
      </w:pPr>
    </w:p>
    <w:p w:rsidR="004A3868" w:rsidRDefault="003F1AB5">
      <w:pPr>
        <w:pStyle w:val="2"/>
        <w:numPr>
          <w:ilvl w:val="1"/>
          <w:numId w:val="15"/>
        </w:numPr>
        <w:rPr>
          <w:rFonts w:ascii="宋体" w:hAnsi="宋体"/>
        </w:rPr>
      </w:pPr>
      <w:r>
        <w:t>信息披露及备置地点</w:t>
      </w:r>
    </w:p>
    <w:tbl>
      <w:tblPr>
        <w:tblStyle w:val="Style740"/>
        <w:tblW w:w="5000" w:type="pct"/>
        <w:jc w:val="center"/>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4108"/>
        <w:gridCol w:w="4715"/>
      </w:tblGrid>
      <w:tr w:rsidR="004A3868">
        <w:trPr>
          <w:trHeight w:val="397"/>
          <w:jc w:val="center"/>
        </w:trPr>
        <w:sdt>
          <w:sdtPr>
            <w:rPr>
              <w:sz w:val="21"/>
              <w:szCs w:val="21"/>
            </w:rPr>
            <w:tag w:val="_PLD_bbba55a3ebda46da946a09caf15c63b6"/>
            <w:id w:val="-2123453646"/>
          </w:sdtPr>
          <w:sdtEndPr/>
          <w:sdtContent>
            <w:tc>
              <w:tcPr>
                <w:tcW w:w="2328"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w:t>
                </w:r>
                <w:r>
                  <w:rPr>
                    <w:rFonts w:hint="eastAsia"/>
                    <w:sz w:val="21"/>
                    <w:szCs w:val="21"/>
                  </w:rPr>
                  <w:t>披露年度报告的媒体</w:t>
                </w:r>
                <w:r>
                  <w:rPr>
                    <w:sz w:val="21"/>
                    <w:szCs w:val="21"/>
                  </w:rPr>
                  <w:t>名称</w:t>
                </w:r>
                <w:r>
                  <w:rPr>
                    <w:rFonts w:hint="eastAsia"/>
                    <w:sz w:val="21"/>
                    <w:szCs w:val="21"/>
                  </w:rPr>
                  <w:t>及网址</w:t>
                </w:r>
              </w:p>
            </w:tc>
          </w:sdtContent>
        </w:sdt>
        <w:tc>
          <w:tcPr>
            <w:tcW w:w="2672" w:type="pct"/>
            <w:tcBorders>
              <w:top w:val="single" w:sz="4" w:space="0" w:color="auto"/>
              <w:left w:val="single" w:sz="4" w:space="0" w:color="auto"/>
              <w:bottom w:val="single" w:sz="4" w:space="0" w:color="auto"/>
            </w:tcBorders>
            <w:vAlign w:val="center"/>
          </w:tcPr>
          <w:p w:rsidR="004A3868" w:rsidRDefault="003F1AB5">
            <w:pPr>
              <w:rPr>
                <w:sz w:val="21"/>
                <w:szCs w:val="21"/>
              </w:rPr>
            </w:pPr>
            <w:r>
              <w:rPr>
                <w:rFonts w:hint="eastAsia"/>
                <w:sz w:val="21"/>
                <w:szCs w:val="21"/>
              </w:rPr>
              <w:t>《上海证券报》《中国证券报》《证券时报》《证券日报》和《经济参考报》</w:t>
            </w:r>
          </w:p>
        </w:tc>
      </w:tr>
      <w:tr w:rsidR="004A3868">
        <w:trPr>
          <w:trHeight w:val="397"/>
          <w:jc w:val="center"/>
        </w:trPr>
        <w:tc>
          <w:tcPr>
            <w:tcW w:w="2328"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公司披露年度报告的证券交易所</w:t>
            </w:r>
            <w:r>
              <w:rPr>
                <w:sz w:val="21"/>
                <w:szCs w:val="21"/>
              </w:rPr>
              <w:t>网址</w:t>
            </w:r>
          </w:p>
        </w:tc>
        <w:tc>
          <w:tcPr>
            <w:tcW w:w="2672" w:type="pct"/>
            <w:tcBorders>
              <w:top w:val="single" w:sz="4" w:space="0" w:color="auto"/>
              <w:left w:val="single" w:sz="4" w:space="0" w:color="auto"/>
              <w:bottom w:val="single" w:sz="4" w:space="0" w:color="auto"/>
            </w:tcBorders>
            <w:vAlign w:val="center"/>
          </w:tcPr>
          <w:p w:rsidR="004A3868" w:rsidRDefault="003F1AB5">
            <w:pPr>
              <w:rPr>
                <w:sz w:val="21"/>
                <w:szCs w:val="21"/>
              </w:rPr>
            </w:pPr>
            <w:r>
              <w:rPr>
                <w:sz w:val="21"/>
                <w:szCs w:val="21"/>
              </w:rPr>
              <w:t>www.sse.com.cn</w:t>
            </w:r>
          </w:p>
        </w:tc>
      </w:tr>
      <w:tr w:rsidR="004A3868">
        <w:trPr>
          <w:trHeight w:val="397"/>
          <w:jc w:val="center"/>
        </w:trPr>
        <w:tc>
          <w:tcPr>
            <w:tcW w:w="2328"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公司年度报告备置地点</w:t>
            </w:r>
          </w:p>
        </w:tc>
        <w:tc>
          <w:tcPr>
            <w:tcW w:w="2672" w:type="pct"/>
            <w:tcBorders>
              <w:top w:val="single" w:sz="4" w:space="0" w:color="auto"/>
              <w:left w:val="single" w:sz="4" w:space="0" w:color="auto"/>
              <w:bottom w:val="single" w:sz="4" w:space="0" w:color="auto"/>
            </w:tcBorders>
            <w:vAlign w:val="center"/>
          </w:tcPr>
          <w:p w:rsidR="004A3868" w:rsidRDefault="003F1AB5">
            <w:pPr>
              <w:rPr>
                <w:sz w:val="21"/>
                <w:szCs w:val="21"/>
              </w:rPr>
            </w:pPr>
            <w:r>
              <w:rPr>
                <w:rFonts w:hint="eastAsia"/>
                <w:sz w:val="21"/>
                <w:szCs w:val="21"/>
              </w:rPr>
              <w:t>重庆市江北区江北城街道江北城西大街</w:t>
            </w:r>
            <w:r>
              <w:rPr>
                <w:sz w:val="21"/>
                <w:szCs w:val="21"/>
              </w:rPr>
              <w:t>3号交通银行大厦12楼</w:t>
            </w:r>
          </w:p>
        </w:tc>
      </w:tr>
    </w:tbl>
    <w:p w:rsidR="004A3868" w:rsidRDefault="004A3868">
      <w:pPr>
        <w:pStyle w:val="Style124"/>
      </w:pPr>
    </w:p>
    <w:p w:rsidR="004A3868" w:rsidRDefault="003F1AB5">
      <w:pPr>
        <w:pStyle w:val="2"/>
        <w:numPr>
          <w:ilvl w:val="1"/>
          <w:numId w:val="15"/>
        </w:numPr>
      </w:pPr>
      <w:r>
        <w:rPr>
          <w:rFonts w:hint="eastAsia"/>
        </w:rPr>
        <w:t>公司股票简况</w:t>
      </w:r>
    </w:p>
    <w:tbl>
      <w:tblPr>
        <w:tblStyle w:val="Style740"/>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64"/>
        <w:gridCol w:w="1764"/>
        <w:gridCol w:w="1765"/>
        <w:gridCol w:w="1765"/>
        <w:gridCol w:w="1765"/>
      </w:tblGrid>
      <w:tr w:rsidR="004A3868">
        <w:trPr>
          <w:trHeight w:val="397"/>
        </w:trPr>
        <w:sdt>
          <w:sdtPr>
            <w:rPr>
              <w:sz w:val="21"/>
              <w:szCs w:val="21"/>
            </w:rPr>
            <w:tag w:val="_PLD_71e874b79d5946dfbee802d1ebcf10a8"/>
            <w:id w:val="-179056515"/>
          </w:sdtPr>
          <w:sdtEndPr/>
          <w:sdtContent>
            <w:tc>
              <w:tcPr>
                <w:tcW w:w="5000" w:type="pct"/>
                <w:gridSpan w:val="5"/>
                <w:tcBorders>
                  <w:top w:val="single" w:sz="4" w:space="0" w:color="auto"/>
                  <w:bottom w:val="single" w:sz="4" w:space="0" w:color="auto"/>
                </w:tcBorders>
                <w:shd w:val="clear" w:color="auto" w:fill="auto"/>
                <w:vAlign w:val="center"/>
              </w:tcPr>
              <w:p w:rsidR="004A3868" w:rsidRDefault="003F1AB5">
                <w:pPr>
                  <w:rPr>
                    <w:sz w:val="21"/>
                    <w:szCs w:val="21"/>
                  </w:rPr>
                </w:pPr>
                <w:r>
                  <w:rPr>
                    <w:rFonts w:hint="eastAsia"/>
                    <w:sz w:val="21"/>
                    <w:szCs w:val="21"/>
                  </w:rPr>
                  <w:t>公司股票简况</w:t>
                </w:r>
              </w:p>
            </w:tc>
          </w:sdtContent>
        </w:sdt>
      </w:tr>
      <w:tr w:rsidR="004A3868">
        <w:trPr>
          <w:trHeight w:val="397"/>
        </w:trPr>
        <w:sdt>
          <w:sdtPr>
            <w:rPr>
              <w:sz w:val="21"/>
              <w:szCs w:val="21"/>
            </w:rPr>
            <w:tag w:val="_PLD_8c7d8e96d5f4491aa9e7c3c601503603"/>
            <w:id w:val="-1049143299"/>
          </w:sdtPr>
          <w:sdtEndPr/>
          <w:sdtContent>
            <w:tc>
              <w:tcPr>
                <w:tcW w:w="1000"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股票种类</w:t>
                </w:r>
              </w:p>
            </w:tc>
          </w:sdtContent>
        </w:sdt>
        <w:sdt>
          <w:sdtPr>
            <w:rPr>
              <w:sz w:val="21"/>
              <w:szCs w:val="21"/>
            </w:rPr>
            <w:tag w:val="_PLD_b56a72f5279041b38925f5228f2089f6"/>
            <w:id w:val="-780111592"/>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股票上市交易所</w:t>
                </w:r>
              </w:p>
            </w:tc>
          </w:sdtContent>
        </w:sdt>
        <w:sdt>
          <w:sdtPr>
            <w:rPr>
              <w:sz w:val="21"/>
              <w:szCs w:val="21"/>
            </w:rPr>
            <w:tag w:val="_PLD_6dd4e584e21c4367b3dfe6f7f5c64696"/>
            <w:id w:val="199906064"/>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股票简称</w:t>
                </w:r>
              </w:p>
            </w:tc>
          </w:sdtContent>
        </w:sdt>
        <w:sdt>
          <w:sdtPr>
            <w:rPr>
              <w:sz w:val="21"/>
              <w:szCs w:val="21"/>
            </w:rPr>
            <w:tag w:val="_PLD_e6f819a9bdc4409c94aa103da8c19dc3"/>
            <w:id w:val="-581753739"/>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股票代码</w:t>
                </w:r>
              </w:p>
            </w:tc>
          </w:sdtContent>
        </w:sdt>
        <w:sdt>
          <w:sdtPr>
            <w:rPr>
              <w:sz w:val="21"/>
              <w:szCs w:val="21"/>
            </w:rPr>
            <w:tag w:val="_PLD_ca5cfb3ed3b74ffa856f651b379dc207"/>
            <w:id w:val="-518543025"/>
          </w:sdtPr>
          <w:sdtEndPr/>
          <w:sdtContent>
            <w:tc>
              <w:tcPr>
                <w:tcW w:w="1000" w:type="pct"/>
                <w:tcBorders>
                  <w:top w:val="single" w:sz="4" w:space="0" w:color="auto"/>
                  <w:left w:val="single" w:sz="4" w:space="0" w:color="auto"/>
                  <w:bottom w:val="single" w:sz="4" w:space="0" w:color="auto"/>
                </w:tcBorders>
                <w:shd w:val="clear" w:color="auto" w:fill="auto"/>
                <w:vAlign w:val="center"/>
              </w:tcPr>
              <w:p w:rsidR="004A3868" w:rsidRDefault="003F1AB5">
                <w:pPr>
                  <w:rPr>
                    <w:sz w:val="21"/>
                    <w:szCs w:val="21"/>
                  </w:rPr>
                </w:pPr>
                <w:r>
                  <w:rPr>
                    <w:rFonts w:hint="eastAsia"/>
                    <w:sz w:val="21"/>
                    <w:szCs w:val="21"/>
                  </w:rPr>
                  <w:t>变更前股票简称</w:t>
                </w:r>
              </w:p>
            </w:tc>
          </w:sdtContent>
        </w:sdt>
      </w:tr>
      <w:tr w:rsidR="004A3868">
        <w:trPr>
          <w:trHeight w:val="397"/>
        </w:trPr>
        <w:tc>
          <w:tcPr>
            <w:tcW w:w="1000" w:type="pct"/>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人民币普通股</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望变电气</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603191</w:t>
            </w:r>
          </w:p>
        </w:tc>
        <w:tc>
          <w:tcPr>
            <w:tcW w:w="1000" w:type="pct"/>
            <w:tcBorders>
              <w:top w:val="single" w:sz="4" w:space="0" w:color="auto"/>
              <w:left w:val="single" w:sz="4" w:space="0" w:color="auto"/>
              <w:bottom w:val="single" w:sz="4" w:space="0" w:color="auto"/>
            </w:tcBorders>
            <w:shd w:val="clear" w:color="auto" w:fill="auto"/>
            <w:vAlign w:val="center"/>
          </w:tcPr>
          <w:p w:rsidR="004A3868" w:rsidRDefault="003F1AB5">
            <w:pPr>
              <w:rPr>
                <w:sz w:val="21"/>
                <w:szCs w:val="21"/>
              </w:rPr>
            </w:pPr>
            <w:r>
              <w:rPr>
                <w:sz w:val="21"/>
                <w:szCs w:val="21"/>
              </w:rPr>
              <w:t>无</w:t>
            </w:r>
          </w:p>
        </w:tc>
      </w:tr>
    </w:tbl>
    <w:p w:rsidR="004A3868" w:rsidRDefault="004A3868">
      <w:pPr>
        <w:pStyle w:val="Style842"/>
      </w:pPr>
    </w:p>
    <w:p w:rsidR="004A3868" w:rsidRDefault="003F1AB5">
      <w:pPr>
        <w:pStyle w:val="2"/>
        <w:numPr>
          <w:ilvl w:val="1"/>
          <w:numId w:val="15"/>
        </w:numPr>
      </w:pPr>
      <w:r>
        <w:t>其他</w:t>
      </w:r>
      <w:r>
        <w:rPr>
          <w:rFonts w:hint="eastAsia"/>
        </w:rPr>
        <w:t>相</w:t>
      </w:r>
      <w:r>
        <w:t>关资料</w:t>
      </w:r>
    </w:p>
    <w:tbl>
      <w:tblPr>
        <w:tblStyle w:val="aff5"/>
        <w:tblW w:w="5000" w:type="pct"/>
        <w:jc w:val="center"/>
        <w:tblLayout w:type="fixed"/>
        <w:tblLook w:val="04A0" w:firstRow="1" w:lastRow="0" w:firstColumn="1" w:lastColumn="0" w:noHBand="0" w:noVBand="1"/>
      </w:tblPr>
      <w:tblGrid>
        <w:gridCol w:w="2460"/>
        <w:gridCol w:w="1849"/>
        <w:gridCol w:w="4514"/>
      </w:tblGrid>
      <w:tr w:rsidR="004A3868">
        <w:trPr>
          <w:trHeight w:val="397"/>
          <w:jc w:val="center"/>
        </w:trPr>
        <w:sdt>
          <w:sdtPr>
            <w:tag w:val="_PLD_e6bf57c678134e2ab9f21f313ee3de3c"/>
            <w:id w:val="-1624771660"/>
          </w:sdtPr>
          <w:sdtEndPr/>
          <w:sdtContent>
            <w:tc>
              <w:tcPr>
                <w:tcW w:w="1394" w:type="pct"/>
                <w:vMerge w:val="restart"/>
                <w:vAlign w:val="center"/>
              </w:tcPr>
              <w:p w:rsidR="004A3868" w:rsidRDefault="003F1AB5">
                <w:pPr>
                  <w:pStyle w:val="Style124"/>
                </w:pPr>
                <w:r>
                  <w:rPr>
                    <w:rFonts w:hint="eastAsia"/>
                  </w:rPr>
                  <w:t>公司聘请的会计师事务所（境内）</w:t>
                </w:r>
              </w:p>
            </w:tc>
          </w:sdtContent>
        </w:sdt>
        <w:sdt>
          <w:sdtPr>
            <w:tag w:val="_PLD_8ca47cc04c324c599365d04f46dbfb0f"/>
            <w:id w:val="-1103097685"/>
          </w:sdtPr>
          <w:sdtEndPr/>
          <w:sdtContent>
            <w:tc>
              <w:tcPr>
                <w:tcW w:w="1048" w:type="pct"/>
                <w:vAlign w:val="center"/>
              </w:tcPr>
              <w:p w:rsidR="004A3868" w:rsidRDefault="003F1AB5">
                <w:pPr>
                  <w:pStyle w:val="Style124"/>
                </w:pPr>
                <w:r>
                  <w:rPr>
                    <w:rFonts w:hint="eastAsia"/>
                  </w:rPr>
                  <w:t>名称</w:t>
                </w:r>
              </w:p>
            </w:tc>
          </w:sdtContent>
        </w:sdt>
        <w:tc>
          <w:tcPr>
            <w:tcW w:w="2558" w:type="pct"/>
            <w:vAlign w:val="center"/>
          </w:tcPr>
          <w:p w:rsidR="004A3868" w:rsidRDefault="003F1AB5">
            <w:pPr>
              <w:pStyle w:val="Style124"/>
            </w:pPr>
            <w:r>
              <w:rPr>
                <w:rFonts w:hint="eastAsia"/>
              </w:rPr>
              <w:t>大华会计师事务所（特殊普通合伙）</w:t>
            </w:r>
          </w:p>
        </w:tc>
      </w:tr>
      <w:tr w:rsidR="004A3868">
        <w:trPr>
          <w:trHeight w:val="397"/>
          <w:jc w:val="center"/>
        </w:trPr>
        <w:tc>
          <w:tcPr>
            <w:tcW w:w="1394" w:type="pct"/>
            <w:vMerge/>
            <w:vAlign w:val="center"/>
          </w:tcPr>
          <w:p w:rsidR="004A3868" w:rsidRDefault="004A3868">
            <w:pPr>
              <w:pStyle w:val="Style124"/>
            </w:pPr>
          </w:p>
        </w:tc>
        <w:tc>
          <w:tcPr>
            <w:tcW w:w="1048" w:type="pct"/>
            <w:vAlign w:val="center"/>
          </w:tcPr>
          <w:p w:rsidR="004A3868" w:rsidRDefault="003F1AB5">
            <w:pPr>
              <w:pStyle w:val="Style124"/>
            </w:pPr>
            <w:r>
              <w:rPr>
                <w:rFonts w:hint="eastAsia"/>
              </w:rPr>
              <w:t>办公地址</w:t>
            </w:r>
          </w:p>
        </w:tc>
        <w:tc>
          <w:tcPr>
            <w:tcW w:w="2558" w:type="pct"/>
            <w:vAlign w:val="center"/>
          </w:tcPr>
          <w:p w:rsidR="004A3868" w:rsidRDefault="003F1AB5">
            <w:pPr>
              <w:pStyle w:val="Style124"/>
            </w:pPr>
            <w:r>
              <w:rPr>
                <w:rFonts w:hint="eastAsia"/>
              </w:rPr>
              <w:t>中国北京海淀区西四环中路</w:t>
            </w:r>
            <w:r>
              <w:t>16号院7号楼12号</w:t>
            </w:r>
          </w:p>
        </w:tc>
      </w:tr>
      <w:tr w:rsidR="004A3868">
        <w:trPr>
          <w:trHeight w:val="397"/>
          <w:jc w:val="center"/>
        </w:trPr>
        <w:tc>
          <w:tcPr>
            <w:tcW w:w="1394" w:type="pct"/>
            <w:vMerge/>
            <w:vAlign w:val="center"/>
          </w:tcPr>
          <w:p w:rsidR="004A3868" w:rsidRDefault="004A3868">
            <w:pPr>
              <w:pStyle w:val="Style124"/>
            </w:pPr>
          </w:p>
        </w:tc>
        <w:tc>
          <w:tcPr>
            <w:tcW w:w="1048" w:type="pct"/>
            <w:vAlign w:val="center"/>
          </w:tcPr>
          <w:p w:rsidR="004A3868" w:rsidRDefault="003F1AB5">
            <w:pPr>
              <w:pStyle w:val="Style124"/>
            </w:pPr>
            <w:r>
              <w:rPr>
                <w:rFonts w:hint="eastAsia"/>
              </w:rPr>
              <w:t>签字会计师姓名</w:t>
            </w:r>
          </w:p>
        </w:tc>
        <w:tc>
          <w:tcPr>
            <w:tcW w:w="2558" w:type="pct"/>
            <w:vAlign w:val="center"/>
          </w:tcPr>
          <w:p w:rsidR="004A3868" w:rsidRDefault="003F1AB5">
            <w:pPr>
              <w:pStyle w:val="Style124"/>
            </w:pPr>
            <w:r>
              <w:rPr>
                <w:rFonts w:hint="eastAsia"/>
              </w:rPr>
              <w:t>王庆莲、邱尔杰</w:t>
            </w:r>
          </w:p>
        </w:tc>
      </w:tr>
      <w:tr w:rsidR="004A3868">
        <w:trPr>
          <w:trHeight w:val="397"/>
          <w:jc w:val="center"/>
        </w:trPr>
        <w:tc>
          <w:tcPr>
            <w:tcW w:w="1394" w:type="pct"/>
            <w:vMerge w:val="restart"/>
            <w:vAlign w:val="center"/>
          </w:tcPr>
          <w:p w:rsidR="004A3868" w:rsidRDefault="003F1AB5">
            <w:pPr>
              <w:pStyle w:val="Style124"/>
            </w:pPr>
            <w:r>
              <w:rPr>
                <w:rFonts w:hint="eastAsia"/>
              </w:rPr>
              <w:t>报告期内履行持续督导职责的保荐机构</w:t>
            </w:r>
          </w:p>
        </w:tc>
        <w:tc>
          <w:tcPr>
            <w:tcW w:w="1048" w:type="pct"/>
            <w:vAlign w:val="center"/>
          </w:tcPr>
          <w:p w:rsidR="004A3868" w:rsidRDefault="003F1AB5">
            <w:pPr>
              <w:pStyle w:val="Style124"/>
            </w:pPr>
            <w:r>
              <w:rPr>
                <w:rFonts w:hint="eastAsia"/>
              </w:rPr>
              <w:t>名称</w:t>
            </w:r>
          </w:p>
        </w:tc>
        <w:tc>
          <w:tcPr>
            <w:tcW w:w="2558" w:type="pct"/>
            <w:vAlign w:val="center"/>
          </w:tcPr>
          <w:p w:rsidR="004A3868" w:rsidRDefault="003F1AB5">
            <w:pPr>
              <w:pStyle w:val="Style124"/>
            </w:pPr>
            <w:r>
              <w:rPr>
                <w:rFonts w:hint="eastAsia"/>
              </w:rPr>
              <w:t>中信证券股份有限公司</w:t>
            </w:r>
          </w:p>
        </w:tc>
      </w:tr>
      <w:tr w:rsidR="004A3868">
        <w:trPr>
          <w:trHeight w:val="397"/>
          <w:jc w:val="center"/>
        </w:trPr>
        <w:tc>
          <w:tcPr>
            <w:tcW w:w="1394" w:type="pct"/>
            <w:vMerge/>
            <w:vAlign w:val="center"/>
          </w:tcPr>
          <w:p w:rsidR="004A3868" w:rsidRDefault="004A3868">
            <w:pPr>
              <w:pStyle w:val="Style124"/>
            </w:pPr>
          </w:p>
        </w:tc>
        <w:tc>
          <w:tcPr>
            <w:tcW w:w="1048" w:type="pct"/>
            <w:vAlign w:val="center"/>
          </w:tcPr>
          <w:p w:rsidR="004A3868" w:rsidRDefault="003F1AB5">
            <w:pPr>
              <w:pStyle w:val="Style124"/>
            </w:pPr>
            <w:r>
              <w:rPr>
                <w:rFonts w:hint="eastAsia"/>
              </w:rPr>
              <w:t>办公地址</w:t>
            </w:r>
          </w:p>
        </w:tc>
        <w:tc>
          <w:tcPr>
            <w:tcW w:w="2558" w:type="pct"/>
            <w:vAlign w:val="center"/>
          </w:tcPr>
          <w:p w:rsidR="004A3868" w:rsidRDefault="003F1AB5">
            <w:pPr>
              <w:pStyle w:val="Style124"/>
            </w:pPr>
            <w:r>
              <w:rPr>
                <w:rFonts w:hint="eastAsia"/>
              </w:rPr>
              <w:t>北京市朝阳区亮马桥路</w:t>
            </w:r>
            <w:r>
              <w:t>48号中信证券大厦21层</w:t>
            </w:r>
          </w:p>
        </w:tc>
      </w:tr>
      <w:tr w:rsidR="004A3868">
        <w:trPr>
          <w:trHeight w:val="397"/>
          <w:jc w:val="center"/>
        </w:trPr>
        <w:tc>
          <w:tcPr>
            <w:tcW w:w="1394" w:type="pct"/>
            <w:vMerge/>
            <w:vAlign w:val="center"/>
          </w:tcPr>
          <w:p w:rsidR="004A3868" w:rsidRDefault="004A3868">
            <w:pPr>
              <w:pStyle w:val="Style124"/>
            </w:pPr>
          </w:p>
        </w:tc>
        <w:tc>
          <w:tcPr>
            <w:tcW w:w="1048" w:type="pct"/>
            <w:vAlign w:val="center"/>
          </w:tcPr>
          <w:p w:rsidR="004A3868" w:rsidRDefault="003F1AB5">
            <w:pPr>
              <w:pStyle w:val="Style124"/>
            </w:pPr>
            <w:r>
              <w:rPr>
                <w:rFonts w:hint="eastAsia"/>
              </w:rPr>
              <w:t>签字的保荐代表人姓名</w:t>
            </w:r>
          </w:p>
        </w:tc>
        <w:tc>
          <w:tcPr>
            <w:tcW w:w="2558" w:type="pct"/>
            <w:vAlign w:val="center"/>
          </w:tcPr>
          <w:p w:rsidR="004A3868" w:rsidRDefault="003F1AB5">
            <w:pPr>
              <w:pStyle w:val="Style124"/>
            </w:pPr>
            <w:r>
              <w:rPr>
                <w:rFonts w:hint="eastAsia"/>
              </w:rPr>
              <w:t>张阳、叶建中</w:t>
            </w:r>
          </w:p>
        </w:tc>
      </w:tr>
      <w:tr w:rsidR="004A3868">
        <w:trPr>
          <w:trHeight w:val="397"/>
          <w:jc w:val="center"/>
        </w:trPr>
        <w:tc>
          <w:tcPr>
            <w:tcW w:w="1394" w:type="pct"/>
            <w:vMerge/>
            <w:vAlign w:val="center"/>
          </w:tcPr>
          <w:p w:rsidR="004A3868" w:rsidRDefault="004A3868">
            <w:pPr>
              <w:pStyle w:val="Style124"/>
            </w:pPr>
          </w:p>
        </w:tc>
        <w:tc>
          <w:tcPr>
            <w:tcW w:w="1048" w:type="pct"/>
            <w:vAlign w:val="center"/>
          </w:tcPr>
          <w:p w:rsidR="004A3868" w:rsidRDefault="003F1AB5">
            <w:pPr>
              <w:pStyle w:val="Style124"/>
            </w:pPr>
            <w:r>
              <w:rPr>
                <w:rFonts w:hint="eastAsia"/>
              </w:rPr>
              <w:t>持续督导的期间</w:t>
            </w:r>
          </w:p>
        </w:tc>
        <w:tc>
          <w:tcPr>
            <w:tcW w:w="2558" w:type="pct"/>
            <w:vAlign w:val="center"/>
          </w:tcPr>
          <w:p w:rsidR="004A3868" w:rsidRDefault="003F1AB5">
            <w:pPr>
              <w:pStyle w:val="Style124"/>
            </w:pPr>
            <w:r>
              <w:t>2022年4月28日</w:t>
            </w:r>
            <w:r>
              <w:rPr>
                <w:rFonts w:hint="eastAsia"/>
              </w:rPr>
              <w:t>—</w:t>
            </w:r>
            <w:r>
              <w:t>2024年12月31日</w:t>
            </w:r>
          </w:p>
        </w:tc>
      </w:tr>
    </w:tbl>
    <w:p w:rsidR="004A3868" w:rsidRDefault="004A3868">
      <w:pPr>
        <w:pStyle w:val="Style124"/>
      </w:pPr>
    </w:p>
    <w:p w:rsidR="004A3868" w:rsidRDefault="003F1AB5">
      <w:pPr>
        <w:pStyle w:val="Style1239"/>
        <w:numPr>
          <w:ilvl w:val="1"/>
          <w:numId w:val="15"/>
        </w:numPr>
      </w:pPr>
      <w:bookmarkStart w:id="12" w:name="_Toc342056397"/>
      <w:bookmarkStart w:id="13" w:name="_Toc342565889"/>
      <w:r>
        <w:rPr>
          <w:rFonts w:hint="eastAsia"/>
        </w:rPr>
        <w:t>近三年主要会计数据和财务指标</w:t>
      </w:r>
      <w:bookmarkEnd w:id="12"/>
      <w:bookmarkEnd w:id="13"/>
    </w:p>
    <w:p w:rsidR="004A3868" w:rsidRDefault="003F1AB5">
      <w:pPr>
        <w:pStyle w:val="Style12711"/>
      </w:pPr>
      <w:r>
        <w:rPr>
          <w:rFonts w:hint="eastAsia"/>
        </w:rPr>
        <w:t>主要会计数据</w:t>
      </w:r>
    </w:p>
    <w:p w:rsidR="004A3868" w:rsidRDefault="003F1AB5">
      <w:pPr>
        <w:jc w:val="right"/>
        <w:rPr>
          <w:sz w:val="21"/>
          <w:szCs w:val="21"/>
        </w:rPr>
      </w:pPr>
      <w:r>
        <w:rPr>
          <w:rFonts w:hint="eastAsia"/>
          <w:sz w:val="21"/>
          <w:szCs w:val="21"/>
        </w:rPr>
        <w:t>单位：</w:t>
      </w:r>
      <w:sdt>
        <w:sdtPr>
          <w:rPr>
            <w:rFonts w:hint="eastAsia"/>
            <w:sz w:val="21"/>
            <w:szCs w:val="21"/>
          </w:rPr>
          <w:alias w:val="单位：报告期末公司前三年主要会计数据和财务指标"/>
          <w:tag w:val="_GBC_831bf622af014dd988d7abf34a230ded"/>
          <w:id w:val="-1227141856"/>
          <w:lock w:val="sdtLocked"/>
          <w:placeholder>
            <w:docPart w:val="583F57A7E05C48ED86FC75DB91F7A82E"/>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万元</w:t>
          </w:r>
        </w:sdtContent>
      </w:sdt>
      <w:r>
        <w:rPr>
          <w:rFonts w:hint="eastAsia"/>
          <w:sz w:val="21"/>
          <w:szCs w:val="21"/>
        </w:rPr>
        <w:t xml:space="preserve">  币种：</w:t>
      </w:r>
      <w:sdt>
        <w:sdtPr>
          <w:rPr>
            <w:rFonts w:hint="eastAsia"/>
            <w:sz w:val="21"/>
            <w:szCs w:val="21"/>
          </w:rPr>
          <w:alias w:val="币种：报告期末公司前三年主要会计数据和财务指标"/>
          <w:tag w:val="_GBC_966177366f0d4256ae6aac54dd779761"/>
          <w:id w:val="498477196"/>
          <w:lock w:val="sdtLocked"/>
          <w:placeholder>
            <w:docPart w:val="583F57A7E05C48ED86FC75DB91F7A82E"/>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sdt>
      <w:sdtPr>
        <w:rPr>
          <w:rFonts w:cs="宋体" w:hint="eastAsia"/>
          <w:kern w:val="0"/>
          <w:sz w:val="24"/>
          <w:szCs w:val="24"/>
        </w:rPr>
        <w:alias w:val="选项模块:主要会计数据(无追溯)"/>
        <w:tag w:val="_SEC_054de9a865fc43068e5affd816d52d7b"/>
        <w:id w:val="695818895"/>
        <w:lock w:val="sdtLocked"/>
        <w:placeholder>
          <w:docPart w:val="583F57A7E05C48ED86FC75DB91F7A82E"/>
        </w:placeholder>
      </w:sdtPr>
      <w:sdtEndPr>
        <w:rPr>
          <w:rFonts w:hint="default"/>
        </w:rPr>
      </w:sdtEndPr>
      <w:sdtContent>
        <w:tbl>
          <w:tblPr>
            <w:tblStyle w:val="g14"/>
            <w:tblW w:w="5000" w:type="pct"/>
            <w:jc w:val="center"/>
            <w:tblInd w:w="0" w:type="dxa"/>
            <w:tblLayout w:type="fixed"/>
            <w:tblCellMar>
              <w:right w:w="28" w:type="dxa"/>
            </w:tblCellMar>
            <w:tblLook w:val="04A0" w:firstRow="1" w:lastRow="0" w:firstColumn="1" w:lastColumn="0" w:noHBand="0" w:noVBand="1"/>
          </w:tblPr>
          <w:tblGrid>
            <w:gridCol w:w="2211"/>
            <w:gridCol w:w="1897"/>
            <w:gridCol w:w="1581"/>
            <w:gridCol w:w="1553"/>
            <w:gridCol w:w="1581"/>
          </w:tblGrid>
          <w:tr w:rsidR="004A3868">
            <w:trPr>
              <w:trHeight w:val="397"/>
              <w:jc w:val="center"/>
            </w:trPr>
            <w:sdt>
              <w:sdtPr>
                <w:rPr>
                  <w:rFonts w:cs="宋体" w:hint="eastAsia"/>
                  <w:kern w:val="0"/>
                  <w:sz w:val="24"/>
                  <w:szCs w:val="24"/>
                </w:rPr>
                <w:tag w:val="_PLD_11b4c598f0e64f3480d144156bedd8c8"/>
                <w:id w:val="-630555341"/>
                <w:lock w:val="sdtLocked"/>
              </w:sdtPr>
              <w:sdtEndPr>
                <w:rPr>
                  <w:rFonts w:ascii="Times New Roman" w:hAnsi="Times New Roman" w:cs="Times New Roman" w:hint="default"/>
                  <w:kern w:val="2"/>
                  <w:sz w:val="21"/>
                  <w:szCs w:val="21"/>
                </w:rPr>
              </w:sdtEndPr>
              <w:sdtContent>
                <w:tc>
                  <w:tcPr>
                    <w:tcW w:w="1253" w:type="pct"/>
                    <w:vAlign w:val="center"/>
                  </w:tcPr>
                  <w:p w:rsidR="004A3868" w:rsidRDefault="003F1AB5">
                    <w:pPr>
                      <w:pStyle w:val="afffb"/>
                    </w:pPr>
                    <w:r>
                      <w:rPr>
                        <w:rFonts w:hint="eastAsia"/>
                      </w:rPr>
                      <w:t>主要会计数据</w:t>
                    </w:r>
                  </w:p>
                </w:tc>
              </w:sdtContent>
            </w:sdt>
            <w:sdt>
              <w:sdtPr>
                <w:tag w:val="_PLD_b13b04da4c2a41028c11512814762a3d"/>
                <w:id w:val="1955596213"/>
                <w:lock w:val="sdtLocked"/>
              </w:sdtPr>
              <w:sdtEndPr/>
              <w:sdtContent>
                <w:tc>
                  <w:tcPr>
                    <w:tcW w:w="1075" w:type="pct"/>
                    <w:vAlign w:val="center"/>
                  </w:tcPr>
                  <w:p w:rsidR="004A3868" w:rsidRDefault="003F1AB5">
                    <w:pPr>
                      <w:pStyle w:val="afffb"/>
                    </w:pPr>
                    <w:r>
                      <w:rPr>
                        <w:rFonts w:hint="eastAsia"/>
                      </w:rPr>
                      <w:t>2023年</w:t>
                    </w:r>
                  </w:p>
                </w:tc>
              </w:sdtContent>
            </w:sdt>
            <w:sdt>
              <w:sdtPr>
                <w:tag w:val="_PLD_0269ed04fa784ad3a61b37ff6ea4e755"/>
                <w:id w:val="-172186306"/>
                <w:lock w:val="sdtLocked"/>
              </w:sdtPr>
              <w:sdtEndPr/>
              <w:sdtContent>
                <w:tc>
                  <w:tcPr>
                    <w:tcW w:w="896" w:type="pct"/>
                    <w:vAlign w:val="center"/>
                  </w:tcPr>
                  <w:p w:rsidR="004A3868" w:rsidRDefault="003F1AB5">
                    <w:pPr>
                      <w:pStyle w:val="afffb"/>
                    </w:pPr>
                    <w:r>
                      <w:rPr>
                        <w:rFonts w:hint="eastAsia"/>
                      </w:rPr>
                      <w:t>2022年</w:t>
                    </w:r>
                  </w:p>
                </w:tc>
              </w:sdtContent>
            </w:sdt>
            <w:sdt>
              <w:sdtPr>
                <w:tag w:val="_PLD_04887d69202349c58f450c785cfaef93"/>
                <w:id w:val="-1540270932"/>
                <w:lock w:val="sdtLocked"/>
              </w:sdtPr>
              <w:sdtEndPr/>
              <w:sdtContent>
                <w:tc>
                  <w:tcPr>
                    <w:tcW w:w="880" w:type="pct"/>
                    <w:vAlign w:val="center"/>
                  </w:tcPr>
                  <w:p w:rsidR="004A3868" w:rsidRDefault="003F1AB5">
                    <w:pPr>
                      <w:pStyle w:val="afffb"/>
                    </w:pPr>
                    <w:r>
                      <w:rPr>
                        <w:rFonts w:hint="eastAsia"/>
                      </w:rPr>
                      <w:t>本期比上年同期增减</w:t>
                    </w:r>
                    <w:r>
                      <w:t>(%)</w:t>
                    </w:r>
                  </w:p>
                </w:tc>
              </w:sdtContent>
            </w:sdt>
            <w:sdt>
              <w:sdtPr>
                <w:tag w:val="_PLD_cf8d3caaf1bc4b2eb15a4b6e1b823368"/>
                <w:id w:val="-1537737184"/>
                <w:lock w:val="sdtLocked"/>
              </w:sdtPr>
              <w:sdtEndPr/>
              <w:sdtContent>
                <w:tc>
                  <w:tcPr>
                    <w:tcW w:w="896" w:type="pct"/>
                    <w:vAlign w:val="center"/>
                  </w:tcPr>
                  <w:p w:rsidR="004A3868" w:rsidRDefault="003F1AB5">
                    <w:pPr>
                      <w:pStyle w:val="afffb"/>
                    </w:pPr>
                    <w:r>
                      <w:rPr>
                        <w:rFonts w:hint="eastAsia"/>
                      </w:rPr>
                      <w:t>2021年</w:t>
                    </w:r>
                  </w:p>
                </w:tc>
              </w:sdtContent>
            </w:sdt>
          </w:tr>
          <w:tr w:rsidR="004A3868">
            <w:trPr>
              <w:trHeight w:val="397"/>
              <w:jc w:val="center"/>
            </w:trPr>
            <w:tc>
              <w:tcPr>
                <w:tcW w:w="1253" w:type="pct"/>
              </w:tcPr>
              <w:p w:rsidR="004A3868" w:rsidRDefault="003F1AB5">
                <w:pPr>
                  <w:pStyle w:val="afff9"/>
                </w:pPr>
                <w:r>
                  <w:rPr>
                    <w:rFonts w:hint="eastAsia"/>
                  </w:rPr>
                  <w:t>营业收入</w:t>
                </w:r>
              </w:p>
            </w:tc>
            <w:tc>
              <w:tcPr>
                <w:tcW w:w="1075" w:type="pct"/>
                <w:vAlign w:val="center"/>
              </w:tcPr>
              <w:p w:rsidR="004A3868" w:rsidRDefault="003F1AB5">
                <w:pPr>
                  <w:pStyle w:val="afff7"/>
                </w:pPr>
                <w:r>
                  <w:rPr>
                    <w:rFonts w:hint="eastAsia"/>
                  </w:rPr>
                  <w:t>271,778.88</w:t>
                </w:r>
              </w:p>
            </w:tc>
            <w:tc>
              <w:tcPr>
                <w:tcW w:w="896" w:type="pct"/>
                <w:vAlign w:val="center"/>
              </w:tcPr>
              <w:p w:rsidR="004A3868" w:rsidRDefault="003F1AB5">
                <w:pPr>
                  <w:pStyle w:val="afff7"/>
                </w:pPr>
                <w:r>
                  <w:rPr>
                    <w:rFonts w:hint="eastAsia"/>
                  </w:rPr>
                  <w:t>252,647.97</w:t>
                </w:r>
              </w:p>
            </w:tc>
            <w:tc>
              <w:tcPr>
                <w:tcW w:w="880" w:type="pct"/>
                <w:vAlign w:val="center"/>
              </w:tcPr>
              <w:p w:rsidR="004A3868" w:rsidRDefault="003F1AB5">
                <w:pPr>
                  <w:pStyle w:val="afff7"/>
                </w:pPr>
                <w:r>
                  <w:rPr>
                    <w:rFonts w:hint="eastAsia"/>
                  </w:rPr>
                  <w:t>7.57</w:t>
                </w:r>
              </w:p>
            </w:tc>
            <w:tc>
              <w:tcPr>
                <w:tcW w:w="896" w:type="pct"/>
                <w:vAlign w:val="center"/>
              </w:tcPr>
              <w:p w:rsidR="004A3868" w:rsidRDefault="003F1AB5">
                <w:pPr>
                  <w:pStyle w:val="afff7"/>
                </w:pPr>
                <w:r>
                  <w:rPr>
                    <w:rFonts w:hint="eastAsia"/>
                  </w:rPr>
                  <w:t>193,334.99</w:t>
                </w:r>
              </w:p>
            </w:tc>
          </w:tr>
          <w:tr w:rsidR="004A3868">
            <w:trPr>
              <w:trHeight w:val="397"/>
              <w:jc w:val="center"/>
            </w:trPr>
            <w:tc>
              <w:tcPr>
                <w:tcW w:w="1253" w:type="pct"/>
              </w:tcPr>
              <w:p w:rsidR="004A3868" w:rsidRDefault="003F1AB5">
                <w:pPr>
                  <w:pStyle w:val="afff9"/>
                </w:pPr>
                <w:r>
                  <w:rPr>
                    <w:rFonts w:hint="eastAsia"/>
                  </w:rPr>
                  <w:t>归属于上市公司股东的净利润</w:t>
                </w:r>
              </w:p>
            </w:tc>
            <w:tc>
              <w:tcPr>
                <w:tcW w:w="1075" w:type="pct"/>
                <w:vAlign w:val="center"/>
              </w:tcPr>
              <w:p w:rsidR="004A3868" w:rsidRDefault="003F1AB5">
                <w:pPr>
                  <w:pStyle w:val="afff7"/>
                </w:pPr>
                <w:r>
                  <w:t xml:space="preserve"> 23,458.67 </w:t>
                </w:r>
              </w:p>
            </w:tc>
            <w:tc>
              <w:tcPr>
                <w:tcW w:w="896" w:type="pct"/>
                <w:vAlign w:val="center"/>
              </w:tcPr>
              <w:p w:rsidR="004A3868" w:rsidRDefault="003F1AB5">
                <w:pPr>
                  <w:pStyle w:val="afff7"/>
                </w:pPr>
                <w:r>
                  <w:rPr>
                    <w:rFonts w:hint="eastAsia"/>
                  </w:rPr>
                  <w:t>29,811.02</w:t>
                </w:r>
              </w:p>
            </w:tc>
            <w:tc>
              <w:tcPr>
                <w:tcW w:w="880" w:type="pct"/>
                <w:vAlign w:val="center"/>
              </w:tcPr>
              <w:p w:rsidR="004A3868" w:rsidRDefault="003F1AB5">
                <w:pPr>
                  <w:pStyle w:val="afff7"/>
                </w:pPr>
                <w:r>
                  <w:t>-21.31</w:t>
                </w:r>
              </w:p>
            </w:tc>
            <w:tc>
              <w:tcPr>
                <w:tcW w:w="896" w:type="pct"/>
                <w:vAlign w:val="center"/>
              </w:tcPr>
              <w:p w:rsidR="004A3868" w:rsidRDefault="003F1AB5">
                <w:pPr>
                  <w:pStyle w:val="afff7"/>
                </w:pPr>
                <w:r>
                  <w:rPr>
                    <w:rFonts w:hint="eastAsia"/>
                  </w:rPr>
                  <w:t>17,814.66</w:t>
                </w:r>
              </w:p>
            </w:tc>
          </w:tr>
          <w:tr w:rsidR="004A3868">
            <w:trPr>
              <w:trHeight w:val="397"/>
              <w:jc w:val="center"/>
            </w:trPr>
            <w:tc>
              <w:tcPr>
                <w:tcW w:w="1253" w:type="pct"/>
              </w:tcPr>
              <w:p w:rsidR="004A3868" w:rsidRDefault="003F1AB5">
                <w:pPr>
                  <w:pStyle w:val="afff9"/>
                </w:pPr>
                <w:r>
                  <w:rPr>
                    <w:rFonts w:hint="eastAsia"/>
                  </w:rPr>
                  <w:t>归属于上市公司股东的扣除非经常性损益的净利润</w:t>
                </w:r>
              </w:p>
            </w:tc>
            <w:tc>
              <w:tcPr>
                <w:tcW w:w="1075" w:type="pct"/>
                <w:vAlign w:val="center"/>
              </w:tcPr>
              <w:p w:rsidR="004A3868" w:rsidRDefault="003F1AB5">
                <w:pPr>
                  <w:pStyle w:val="afff7"/>
                </w:pPr>
                <w:r>
                  <w:t xml:space="preserve"> 22,512.62 </w:t>
                </w:r>
              </w:p>
            </w:tc>
            <w:tc>
              <w:tcPr>
                <w:tcW w:w="896" w:type="pct"/>
                <w:vAlign w:val="center"/>
              </w:tcPr>
              <w:p w:rsidR="004A3868" w:rsidRDefault="003F1AB5">
                <w:pPr>
                  <w:pStyle w:val="afff7"/>
                </w:pPr>
                <w:r>
                  <w:rPr>
                    <w:rFonts w:hint="eastAsia"/>
                  </w:rPr>
                  <w:t>27,639.91</w:t>
                </w:r>
              </w:p>
            </w:tc>
            <w:tc>
              <w:tcPr>
                <w:tcW w:w="880" w:type="pct"/>
                <w:vAlign w:val="center"/>
              </w:tcPr>
              <w:p w:rsidR="004A3868" w:rsidRDefault="003F1AB5">
                <w:pPr>
                  <w:pStyle w:val="afff7"/>
                </w:pPr>
                <w:r>
                  <w:t>-18.55</w:t>
                </w:r>
              </w:p>
            </w:tc>
            <w:tc>
              <w:tcPr>
                <w:tcW w:w="896" w:type="pct"/>
                <w:vAlign w:val="center"/>
              </w:tcPr>
              <w:p w:rsidR="004A3868" w:rsidRDefault="003F1AB5">
                <w:pPr>
                  <w:pStyle w:val="afff7"/>
                </w:pPr>
                <w:r>
                  <w:rPr>
                    <w:rFonts w:hint="eastAsia"/>
                  </w:rPr>
                  <w:t>17,184.03</w:t>
                </w:r>
              </w:p>
            </w:tc>
          </w:tr>
          <w:tr w:rsidR="004A3868">
            <w:trPr>
              <w:trHeight w:val="397"/>
              <w:jc w:val="center"/>
            </w:trPr>
            <w:tc>
              <w:tcPr>
                <w:tcW w:w="1253" w:type="pct"/>
              </w:tcPr>
              <w:p w:rsidR="004A3868" w:rsidRDefault="003F1AB5">
                <w:pPr>
                  <w:pStyle w:val="afff9"/>
                  <w:rPr>
                    <w:highlight w:val="magenta"/>
                  </w:rPr>
                </w:pPr>
                <w:r>
                  <w:rPr>
                    <w:rFonts w:hint="eastAsia"/>
                  </w:rPr>
                  <w:t>经营活动产生的现金流量净额</w:t>
                </w:r>
              </w:p>
            </w:tc>
            <w:tc>
              <w:tcPr>
                <w:tcW w:w="1075" w:type="pct"/>
                <w:vAlign w:val="center"/>
              </w:tcPr>
              <w:p w:rsidR="004A3868" w:rsidRDefault="003F1AB5">
                <w:pPr>
                  <w:pStyle w:val="afff7"/>
                </w:pPr>
                <w:r>
                  <w:rPr>
                    <w:rFonts w:hint="eastAsia"/>
                  </w:rPr>
                  <w:t>29,186.40</w:t>
                </w:r>
              </w:p>
            </w:tc>
            <w:tc>
              <w:tcPr>
                <w:tcW w:w="896" w:type="pct"/>
                <w:vAlign w:val="center"/>
              </w:tcPr>
              <w:p w:rsidR="004A3868" w:rsidRDefault="003F1AB5">
                <w:pPr>
                  <w:pStyle w:val="afff7"/>
                </w:pPr>
                <w:r>
                  <w:rPr>
                    <w:rFonts w:hint="eastAsia"/>
                  </w:rPr>
                  <w:t>20,434.99</w:t>
                </w:r>
              </w:p>
            </w:tc>
            <w:tc>
              <w:tcPr>
                <w:tcW w:w="880" w:type="pct"/>
                <w:vAlign w:val="center"/>
              </w:tcPr>
              <w:p w:rsidR="004A3868" w:rsidRDefault="003F1AB5">
                <w:pPr>
                  <w:pStyle w:val="afff7"/>
                </w:pPr>
                <w:r>
                  <w:rPr>
                    <w:rFonts w:hint="eastAsia"/>
                  </w:rPr>
                  <w:t>42.83</w:t>
                </w:r>
              </w:p>
            </w:tc>
            <w:tc>
              <w:tcPr>
                <w:tcW w:w="896" w:type="pct"/>
                <w:vAlign w:val="center"/>
              </w:tcPr>
              <w:p w:rsidR="004A3868" w:rsidRDefault="003F1AB5">
                <w:pPr>
                  <w:pStyle w:val="afff7"/>
                </w:pPr>
                <w:r>
                  <w:rPr>
                    <w:rFonts w:hint="eastAsia"/>
                  </w:rPr>
                  <w:t>24,173.73</w:t>
                </w:r>
              </w:p>
            </w:tc>
          </w:tr>
          <w:tr w:rsidR="004A3868">
            <w:trPr>
              <w:trHeight w:val="397"/>
              <w:jc w:val="center"/>
            </w:trPr>
            <w:tc>
              <w:tcPr>
                <w:tcW w:w="1253" w:type="pct"/>
              </w:tcPr>
              <w:p w:rsidR="004A3868" w:rsidRDefault="004A3868">
                <w:pPr>
                  <w:pStyle w:val="afff9"/>
                </w:pPr>
              </w:p>
            </w:tc>
            <w:sdt>
              <w:sdtPr>
                <w:tag w:val="_PLD_8b9fbdc9e2634c6292801d605b122b71"/>
                <w:id w:val="-1944753599"/>
                <w:lock w:val="sdtLocked"/>
              </w:sdtPr>
              <w:sdtEndPr/>
              <w:sdtContent>
                <w:tc>
                  <w:tcPr>
                    <w:tcW w:w="1075" w:type="pct"/>
                    <w:vAlign w:val="center"/>
                  </w:tcPr>
                  <w:p w:rsidR="004A3868" w:rsidRDefault="003F1AB5">
                    <w:pPr>
                      <w:pStyle w:val="afffb"/>
                    </w:pPr>
                    <w:r>
                      <w:rPr>
                        <w:rFonts w:hint="eastAsia"/>
                      </w:rPr>
                      <w:t>2023年</w:t>
                    </w:r>
                    <w:r>
                      <w:t>末</w:t>
                    </w:r>
                  </w:p>
                </w:tc>
              </w:sdtContent>
            </w:sdt>
            <w:sdt>
              <w:sdtPr>
                <w:tag w:val="_PLD_81e66f862753453685ceebbc3f216adb"/>
                <w:id w:val="-1830204202"/>
                <w:lock w:val="sdtLocked"/>
              </w:sdtPr>
              <w:sdtEndPr/>
              <w:sdtContent>
                <w:tc>
                  <w:tcPr>
                    <w:tcW w:w="896" w:type="pct"/>
                    <w:vAlign w:val="center"/>
                  </w:tcPr>
                  <w:p w:rsidR="004A3868" w:rsidRDefault="003F1AB5">
                    <w:pPr>
                      <w:pStyle w:val="afffb"/>
                    </w:pPr>
                    <w:r>
                      <w:rPr>
                        <w:rFonts w:hint="eastAsia"/>
                      </w:rPr>
                      <w:t>2022年</w:t>
                    </w:r>
                    <w:r>
                      <w:t>末</w:t>
                    </w:r>
                  </w:p>
                </w:tc>
              </w:sdtContent>
            </w:sdt>
            <w:sdt>
              <w:sdtPr>
                <w:tag w:val="_PLD_eccdaa2d1ee940be88fdba6d8a4ef55d"/>
                <w:id w:val="76566862"/>
                <w:lock w:val="sdtLocked"/>
              </w:sdtPr>
              <w:sdtEndPr/>
              <w:sdtContent>
                <w:tc>
                  <w:tcPr>
                    <w:tcW w:w="880" w:type="pct"/>
                    <w:vAlign w:val="center"/>
                  </w:tcPr>
                  <w:p w:rsidR="004A3868" w:rsidRDefault="003F1AB5">
                    <w:pPr>
                      <w:pStyle w:val="afffb"/>
                    </w:pPr>
                    <w:r>
                      <w:t>本期末比上年同期末增减（</w:t>
                    </w:r>
                    <w:r>
                      <w:rPr>
                        <w:rFonts w:hint="eastAsia"/>
                      </w:rPr>
                      <w:t>%</w:t>
                    </w:r>
                    <w:r>
                      <w:t>）</w:t>
                    </w:r>
                  </w:p>
                </w:tc>
              </w:sdtContent>
            </w:sdt>
            <w:sdt>
              <w:sdtPr>
                <w:tag w:val="_PLD_3af4b93afaec4509befbcf4b19db9883"/>
                <w:id w:val="-2129925774"/>
                <w:lock w:val="sdtLocked"/>
              </w:sdtPr>
              <w:sdtEndPr/>
              <w:sdtContent>
                <w:tc>
                  <w:tcPr>
                    <w:tcW w:w="896" w:type="pct"/>
                    <w:vAlign w:val="center"/>
                  </w:tcPr>
                  <w:p w:rsidR="004A3868" w:rsidRDefault="003F1AB5">
                    <w:pPr>
                      <w:pStyle w:val="afffb"/>
                    </w:pPr>
                    <w:r>
                      <w:rPr>
                        <w:rFonts w:hint="eastAsia"/>
                      </w:rPr>
                      <w:t>2021年末</w:t>
                    </w:r>
                  </w:p>
                </w:tc>
              </w:sdtContent>
            </w:sdt>
          </w:tr>
          <w:tr w:rsidR="004A3868">
            <w:trPr>
              <w:trHeight w:val="397"/>
              <w:jc w:val="center"/>
            </w:trPr>
            <w:tc>
              <w:tcPr>
                <w:tcW w:w="1253" w:type="pct"/>
              </w:tcPr>
              <w:p w:rsidR="004A3868" w:rsidRDefault="003F1AB5">
                <w:pPr>
                  <w:pStyle w:val="afff9"/>
                </w:pPr>
                <w:r>
                  <w:rPr>
                    <w:rFonts w:hint="eastAsia"/>
                  </w:rPr>
                  <w:t>归属于上市公司股东的净资产</w:t>
                </w:r>
              </w:p>
            </w:tc>
            <w:tc>
              <w:tcPr>
                <w:tcW w:w="1075" w:type="pct"/>
                <w:vAlign w:val="center"/>
              </w:tcPr>
              <w:p w:rsidR="004A3868" w:rsidRDefault="003F1AB5">
                <w:pPr>
                  <w:pStyle w:val="afff7"/>
                </w:pPr>
                <w:r>
                  <w:t xml:space="preserve"> 239,080.85 </w:t>
                </w:r>
              </w:p>
            </w:tc>
            <w:tc>
              <w:tcPr>
                <w:tcW w:w="896" w:type="pct"/>
                <w:vAlign w:val="center"/>
              </w:tcPr>
              <w:p w:rsidR="004A3868" w:rsidRDefault="003F1AB5">
                <w:pPr>
                  <w:pStyle w:val="afff7"/>
                </w:pPr>
                <w:r>
                  <w:rPr>
                    <w:rFonts w:hint="eastAsia"/>
                  </w:rPr>
                  <w:t>226,658.58</w:t>
                </w:r>
              </w:p>
            </w:tc>
            <w:tc>
              <w:tcPr>
                <w:tcW w:w="880" w:type="pct"/>
                <w:vAlign w:val="center"/>
              </w:tcPr>
              <w:p w:rsidR="004A3868" w:rsidRDefault="003F1AB5">
                <w:pPr>
                  <w:pStyle w:val="afff7"/>
                </w:pPr>
                <w:r>
                  <w:t>5.48</w:t>
                </w:r>
              </w:p>
            </w:tc>
            <w:tc>
              <w:tcPr>
                <w:tcW w:w="896" w:type="pct"/>
                <w:vAlign w:val="center"/>
              </w:tcPr>
              <w:p w:rsidR="004A3868" w:rsidRDefault="003F1AB5">
                <w:pPr>
                  <w:pStyle w:val="afff7"/>
                </w:pPr>
                <w:r>
                  <w:rPr>
                    <w:rFonts w:hint="eastAsia"/>
                  </w:rPr>
                  <w:t>111,011.92</w:t>
                </w:r>
              </w:p>
            </w:tc>
          </w:tr>
          <w:tr w:rsidR="004A3868">
            <w:trPr>
              <w:trHeight w:val="397"/>
              <w:jc w:val="center"/>
            </w:trPr>
            <w:tc>
              <w:tcPr>
                <w:tcW w:w="1253" w:type="pct"/>
              </w:tcPr>
              <w:p w:rsidR="004A3868" w:rsidRDefault="003F1AB5">
                <w:pPr>
                  <w:pStyle w:val="afff9"/>
                </w:pPr>
                <w:r>
                  <w:rPr>
                    <w:rFonts w:hint="eastAsia"/>
                  </w:rPr>
                  <w:t>总资产</w:t>
                </w:r>
              </w:p>
            </w:tc>
            <w:tc>
              <w:tcPr>
                <w:tcW w:w="1075" w:type="pct"/>
                <w:vAlign w:val="center"/>
              </w:tcPr>
              <w:p w:rsidR="004A3868" w:rsidRDefault="003F1AB5">
                <w:pPr>
                  <w:pStyle w:val="afff7"/>
                </w:pPr>
                <w:r>
                  <w:t xml:space="preserve"> 487,524.19 </w:t>
                </w:r>
              </w:p>
            </w:tc>
            <w:tc>
              <w:tcPr>
                <w:tcW w:w="896" w:type="pct"/>
                <w:vAlign w:val="center"/>
              </w:tcPr>
              <w:p w:rsidR="004A3868" w:rsidRDefault="003F1AB5">
                <w:pPr>
                  <w:pStyle w:val="afff7"/>
                </w:pPr>
                <w:r>
                  <w:rPr>
                    <w:rFonts w:hint="eastAsia"/>
                  </w:rPr>
                  <w:t>350,651.72</w:t>
                </w:r>
              </w:p>
            </w:tc>
            <w:tc>
              <w:tcPr>
                <w:tcW w:w="880" w:type="pct"/>
                <w:vAlign w:val="center"/>
              </w:tcPr>
              <w:p w:rsidR="004A3868" w:rsidRDefault="003F1AB5">
                <w:pPr>
                  <w:pStyle w:val="afff7"/>
                </w:pPr>
                <w:r>
                  <w:t>39.03</w:t>
                </w:r>
              </w:p>
            </w:tc>
            <w:tc>
              <w:tcPr>
                <w:tcW w:w="896" w:type="pct"/>
                <w:vAlign w:val="center"/>
              </w:tcPr>
              <w:p w:rsidR="004A3868" w:rsidRDefault="003F1AB5">
                <w:pPr>
                  <w:pStyle w:val="afff7"/>
                </w:pPr>
                <w:r>
                  <w:rPr>
                    <w:rFonts w:hint="eastAsia"/>
                  </w:rPr>
                  <w:t>223,561.66</w:t>
                </w:r>
              </w:p>
            </w:tc>
          </w:tr>
        </w:tbl>
        <w:p w:rsidR="004A3868" w:rsidRDefault="00B34370">
          <w:pPr>
            <w:pStyle w:val="Style1237"/>
            <w:rPr>
              <w:sz w:val="21"/>
              <w:szCs w:val="21"/>
            </w:rPr>
          </w:pPr>
        </w:p>
      </w:sdtContent>
    </w:sdt>
    <w:sdt>
      <w:sdtPr>
        <w:rPr>
          <w:sz w:val="21"/>
          <w:szCs w:val="21"/>
        </w:rPr>
        <w:alias w:val="选项模块:主要会计数据(无追溯)"/>
        <w:tag w:val="_SEC_054de9a865fc43068e5affd816d52d7b"/>
        <w:id w:val="-2103938804"/>
        <w:lock w:val="sdtLocked"/>
        <w:placeholder>
          <w:docPart w:val="F68006B737DB4B7CB946B1FE051AA511"/>
        </w:placeholder>
      </w:sdtPr>
      <w:sdtEndPr/>
      <w:sdtContent>
        <w:p w:rsidR="004A3868" w:rsidRDefault="003F1AB5">
          <w:pPr>
            <w:pStyle w:val="Style1237"/>
            <w:rPr>
              <w:sz w:val="21"/>
              <w:szCs w:val="21"/>
            </w:rPr>
          </w:pPr>
          <w:r>
            <w:rPr>
              <w:rFonts w:hint="eastAsia"/>
              <w:sz w:val="21"/>
              <w:szCs w:val="21"/>
            </w:rPr>
            <w:t>详见第三节“</w:t>
          </w:r>
          <w:r>
            <w:rPr>
              <w:sz w:val="21"/>
              <w:szCs w:val="21"/>
            </w:rPr>
            <w:t>1.利润表及现金流量表相关科目变动分析表”。</w:t>
          </w:r>
        </w:p>
      </w:sdtContent>
    </w:sdt>
    <w:p w:rsidR="004A3868" w:rsidRDefault="003F1AB5">
      <w:pPr>
        <w:pStyle w:val="Style12711"/>
        <w:rPr>
          <w:rFonts w:ascii="宋体" w:hAnsi="宋体"/>
        </w:rPr>
      </w:pPr>
      <w:r>
        <w:t>主要财务指标</w:t>
      </w:r>
    </w:p>
    <w:tbl>
      <w:tblPr>
        <w:tblStyle w:val="g15"/>
        <w:tblW w:w="5000" w:type="pct"/>
        <w:jc w:val="center"/>
        <w:tblInd w:w="0" w:type="dxa"/>
        <w:tblLayout w:type="fixed"/>
        <w:tblCellMar>
          <w:right w:w="28" w:type="dxa"/>
        </w:tblCellMar>
        <w:tblLook w:val="04A0" w:firstRow="1" w:lastRow="0" w:firstColumn="1" w:lastColumn="0" w:noHBand="0" w:noVBand="1"/>
      </w:tblPr>
      <w:tblGrid>
        <w:gridCol w:w="3114"/>
        <w:gridCol w:w="1417"/>
        <w:gridCol w:w="1292"/>
        <w:gridCol w:w="1500"/>
        <w:gridCol w:w="1500"/>
      </w:tblGrid>
      <w:tr w:rsidR="004A3868">
        <w:trPr>
          <w:trHeight w:val="397"/>
          <w:jc w:val="center"/>
        </w:trPr>
        <w:sdt>
          <w:sdtPr>
            <w:tag w:val="_PLD_a5c59cd3e5544374a4bd7ceda5f62092"/>
            <w:id w:val="1130743800"/>
            <w:lock w:val="sdtLocked"/>
          </w:sdtPr>
          <w:sdtEndPr/>
          <w:sdtContent>
            <w:tc>
              <w:tcPr>
                <w:tcW w:w="1765" w:type="pct"/>
                <w:vAlign w:val="center"/>
              </w:tcPr>
              <w:p w:rsidR="004A3868" w:rsidRDefault="003F1AB5">
                <w:pPr>
                  <w:pStyle w:val="afffb"/>
                </w:pPr>
                <w:r>
                  <w:t>主要财务指标</w:t>
                </w:r>
              </w:p>
            </w:tc>
          </w:sdtContent>
        </w:sdt>
        <w:sdt>
          <w:sdtPr>
            <w:tag w:val="_PLD_1a1e4f34f77949538a9c656b241499b6"/>
            <w:id w:val="-277111569"/>
            <w:lock w:val="sdtLocked"/>
          </w:sdtPr>
          <w:sdtEndPr/>
          <w:sdtContent>
            <w:tc>
              <w:tcPr>
                <w:tcW w:w="803" w:type="pct"/>
                <w:vAlign w:val="center"/>
              </w:tcPr>
              <w:p w:rsidR="004A3868" w:rsidRDefault="003F1AB5">
                <w:pPr>
                  <w:pStyle w:val="afffb"/>
                </w:pPr>
                <w:r>
                  <w:rPr>
                    <w:rFonts w:hint="eastAsia"/>
                  </w:rPr>
                  <w:t>2023年</w:t>
                </w:r>
              </w:p>
            </w:tc>
          </w:sdtContent>
        </w:sdt>
        <w:sdt>
          <w:sdtPr>
            <w:tag w:val="_PLD_9310148e9c2c4e968f8a8cf7147fc9a7"/>
            <w:id w:val="-855344169"/>
            <w:lock w:val="sdtLocked"/>
          </w:sdtPr>
          <w:sdtEndPr/>
          <w:sdtContent>
            <w:tc>
              <w:tcPr>
                <w:tcW w:w="732" w:type="pct"/>
                <w:vAlign w:val="center"/>
              </w:tcPr>
              <w:p w:rsidR="004A3868" w:rsidRDefault="003F1AB5">
                <w:pPr>
                  <w:pStyle w:val="afffb"/>
                </w:pPr>
                <w:r>
                  <w:rPr>
                    <w:rFonts w:hint="eastAsia"/>
                  </w:rPr>
                  <w:t>2022年</w:t>
                </w:r>
              </w:p>
            </w:tc>
          </w:sdtContent>
        </w:sdt>
        <w:sdt>
          <w:sdtPr>
            <w:tag w:val="_PLD_5901f5518cb6434888ae838febb8af68"/>
            <w:id w:val="808984241"/>
            <w:lock w:val="sdtLocked"/>
          </w:sdtPr>
          <w:sdtEndPr/>
          <w:sdtContent>
            <w:tc>
              <w:tcPr>
                <w:tcW w:w="850" w:type="pct"/>
                <w:vAlign w:val="center"/>
              </w:tcPr>
              <w:p w:rsidR="004A3868" w:rsidRDefault="003F1AB5">
                <w:pPr>
                  <w:pStyle w:val="afffb"/>
                </w:pPr>
                <w:r>
                  <w:t>本期比上年同期增减(%)</w:t>
                </w:r>
              </w:p>
            </w:tc>
          </w:sdtContent>
        </w:sdt>
        <w:sdt>
          <w:sdtPr>
            <w:tag w:val="_PLD_437266ed462e4dd1873b86621495169c"/>
            <w:id w:val="-993951675"/>
            <w:lock w:val="sdtLocked"/>
          </w:sdtPr>
          <w:sdtEndPr/>
          <w:sdtContent>
            <w:tc>
              <w:tcPr>
                <w:tcW w:w="850" w:type="pct"/>
                <w:vAlign w:val="center"/>
              </w:tcPr>
              <w:p w:rsidR="004A3868" w:rsidRDefault="003F1AB5">
                <w:pPr>
                  <w:pStyle w:val="afffb"/>
                </w:pPr>
                <w:r>
                  <w:rPr>
                    <w:rFonts w:hint="eastAsia"/>
                  </w:rPr>
                  <w:t>2021年</w:t>
                </w:r>
              </w:p>
            </w:tc>
          </w:sdtContent>
        </w:sdt>
      </w:tr>
      <w:tr w:rsidR="004A3868">
        <w:trPr>
          <w:trHeight w:val="397"/>
          <w:jc w:val="center"/>
        </w:trPr>
        <w:tc>
          <w:tcPr>
            <w:tcW w:w="1765" w:type="pct"/>
            <w:vAlign w:val="bottom"/>
          </w:tcPr>
          <w:p w:rsidR="004A3868" w:rsidRDefault="003F1AB5">
            <w:pPr>
              <w:pStyle w:val="afff9"/>
            </w:pPr>
            <w:r>
              <w:t>基本每股收益（元／股）</w:t>
            </w:r>
          </w:p>
        </w:tc>
        <w:tc>
          <w:tcPr>
            <w:tcW w:w="803" w:type="pct"/>
            <w:vAlign w:val="center"/>
          </w:tcPr>
          <w:p w:rsidR="004A3868" w:rsidRDefault="003F1AB5">
            <w:pPr>
              <w:pStyle w:val="afff7"/>
            </w:pPr>
            <w:r>
              <w:t xml:space="preserve"> 0.70 </w:t>
            </w:r>
          </w:p>
        </w:tc>
        <w:tc>
          <w:tcPr>
            <w:tcW w:w="732" w:type="pct"/>
            <w:vAlign w:val="center"/>
          </w:tcPr>
          <w:p w:rsidR="004A3868" w:rsidRDefault="003F1AB5">
            <w:pPr>
              <w:pStyle w:val="afff7"/>
            </w:pPr>
            <w:r>
              <w:t>0.98</w:t>
            </w:r>
          </w:p>
        </w:tc>
        <w:tc>
          <w:tcPr>
            <w:tcW w:w="850" w:type="pct"/>
            <w:vAlign w:val="center"/>
          </w:tcPr>
          <w:p w:rsidR="004A3868" w:rsidRDefault="003F1AB5">
            <w:pPr>
              <w:pStyle w:val="afff7"/>
            </w:pPr>
            <w:r>
              <w:t xml:space="preserve"> -28.57 </w:t>
            </w:r>
          </w:p>
        </w:tc>
        <w:tc>
          <w:tcPr>
            <w:tcW w:w="850" w:type="pct"/>
            <w:vAlign w:val="center"/>
          </w:tcPr>
          <w:p w:rsidR="004A3868" w:rsidRDefault="003F1AB5">
            <w:pPr>
              <w:pStyle w:val="afff7"/>
            </w:pPr>
            <w:r>
              <w:t>0.71</w:t>
            </w:r>
          </w:p>
        </w:tc>
      </w:tr>
      <w:tr w:rsidR="004A3868">
        <w:trPr>
          <w:trHeight w:val="397"/>
          <w:jc w:val="center"/>
        </w:trPr>
        <w:tc>
          <w:tcPr>
            <w:tcW w:w="1765" w:type="pct"/>
            <w:vAlign w:val="bottom"/>
          </w:tcPr>
          <w:p w:rsidR="004A3868" w:rsidRDefault="003F1AB5">
            <w:pPr>
              <w:pStyle w:val="afff9"/>
            </w:pPr>
            <w:r>
              <w:t>稀释每股收益（元／股）</w:t>
            </w:r>
          </w:p>
        </w:tc>
        <w:tc>
          <w:tcPr>
            <w:tcW w:w="803" w:type="pct"/>
            <w:vAlign w:val="center"/>
          </w:tcPr>
          <w:p w:rsidR="004A3868" w:rsidRDefault="003F1AB5">
            <w:pPr>
              <w:pStyle w:val="afff7"/>
            </w:pPr>
            <w:r>
              <w:t xml:space="preserve"> 0.70 </w:t>
            </w:r>
          </w:p>
        </w:tc>
        <w:tc>
          <w:tcPr>
            <w:tcW w:w="732" w:type="pct"/>
            <w:vAlign w:val="center"/>
          </w:tcPr>
          <w:p w:rsidR="004A3868" w:rsidRDefault="003F1AB5">
            <w:pPr>
              <w:pStyle w:val="afff7"/>
            </w:pPr>
            <w:r>
              <w:t>0.98</w:t>
            </w:r>
          </w:p>
        </w:tc>
        <w:tc>
          <w:tcPr>
            <w:tcW w:w="850" w:type="pct"/>
            <w:vAlign w:val="center"/>
          </w:tcPr>
          <w:p w:rsidR="004A3868" w:rsidRDefault="003F1AB5">
            <w:pPr>
              <w:pStyle w:val="afff7"/>
            </w:pPr>
            <w:r>
              <w:t xml:space="preserve"> -28.57 </w:t>
            </w:r>
          </w:p>
        </w:tc>
        <w:tc>
          <w:tcPr>
            <w:tcW w:w="850" w:type="pct"/>
            <w:vAlign w:val="center"/>
          </w:tcPr>
          <w:p w:rsidR="004A3868" w:rsidRDefault="003F1AB5">
            <w:pPr>
              <w:pStyle w:val="afff7"/>
            </w:pPr>
            <w:r>
              <w:t>0.71</w:t>
            </w:r>
          </w:p>
        </w:tc>
      </w:tr>
      <w:tr w:rsidR="004A3868">
        <w:trPr>
          <w:trHeight w:val="397"/>
          <w:jc w:val="center"/>
        </w:trPr>
        <w:tc>
          <w:tcPr>
            <w:tcW w:w="1765" w:type="pct"/>
            <w:vAlign w:val="bottom"/>
          </w:tcPr>
          <w:p w:rsidR="004A3868" w:rsidRDefault="003F1AB5">
            <w:pPr>
              <w:pStyle w:val="afff9"/>
            </w:pPr>
            <w:r>
              <w:t>扣除非经常性损益后的基本每股收益（元／股）</w:t>
            </w:r>
          </w:p>
        </w:tc>
        <w:tc>
          <w:tcPr>
            <w:tcW w:w="803" w:type="pct"/>
            <w:vAlign w:val="center"/>
          </w:tcPr>
          <w:p w:rsidR="004A3868" w:rsidRDefault="003F1AB5">
            <w:pPr>
              <w:pStyle w:val="afff7"/>
            </w:pPr>
            <w:r>
              <w:t xml:space="preserve"> 0.68 </w:t>
            </w:r>
          </w:p>
        </w:tc>
        <w:tc>
          <w:tcPr>
            <w:tcW w:w="732" w:type="pct"/>
            <w:vAlign w:val="center"/>
          </w:tcPr>
          <w:p w:rsidR="004A3868" w:rsidRDefault="003F1AB5">
            <w:pPr>
              <w:pStyle w:val="afff7"/>
            </w:pPr>
            <w:r>
              <w:t>0.91</w:t>
            </w:r>
          </w:p>
        </w:tc>
        <w:tc>
          <w:tcPr>
            <w:tcW w:w="850" w:type="pct"/>
            <w:vAlign w:val="center"/>
          </w:tcPr>
          <w:p w:rsidR="004A3868" w:rsidRDefault="003F1AB5">
            <w:pPr>
              <w:pStyle w:val="afff7"/>
            </w:pPr>
            <w:r>
              <w:t xml:space="preserve"> -25.27 </w:t>
            </w:r>
          </w:p>
        </w:tc>
        <w:tc>
          <w:tcPr>
            <w:tcW w:w="850" w:type="pct"/>
            <w:vAlign w:val="center"/>
          </w:tcPr>
          <w:p w:rsidR="004A3868" w:rsidRDefault="003F1AB5">
            <w:pPr>
              <w:pStyle w:val="afff7"/>
            </w:pPr>
            <w:r>
              <w:t>0.69</w:t>
            </w:r>
          </w:p>
        </w:tc>
      </w:tr>
      <w:tr w:rsidR="004A3868">
        <w:trPr>
          <w:trHeight w:val="397"/>
          <w:jc w:val="center"/>
        </w:trPr>
        <w:tc>
          <w:tcPr>
            <w:tcW w:w="1765" w:type="pct"/>
            <w:vAlign w:val="bottom"/>
          </w:tcPr>
          <w:p w:rsidR="004A3868" w:rsidRDefault="003F1AB5">
            <w:pPr>
              <w:pStyle w:val="afff9"/>
            </w:pPr>
            <w:r>
              <w:t>加权平均净资产收益率（</w:t>
            </w:r>
            <w:r>
              <w:t>%</w:t>
            </w:r>
            <w:r>
              <w:t>）</w:t>
            </w:r>
          </w:p>
        </w:tc>
        <w:tc>
          <w:tcPr>
            <w:tcW w:w="803" w:type="pct"/>
            <w:vAlign w:val="center"/>
          </w:tcPr>
          <w:p w:rsidR="004A3868" w:rsidRDefault="003F1AB5">
            <w:pPr>
              <w:pStyle w:val="afff7"/>
            </w:pPr>
            <w:r>
              <w:t xml:space="preserve"> 10.02 </w:t>
            </w:r>
          </w:p>
        </w:tc>
        <w:tc>
          <w:tcPr>
            <w:tcW w:w="732" w:type="pct"/>
            <w:vAlign w:val="center"/>
          </w:tcPr>
          <w:p w:rsidR="004A3868" w:rsidRDefault="003F1AB5">
            <w:pPr>
              <w:pStyle w:val="afff7"/>
            </w:pPr>
            <w:r>
              <w:t>16.28</w:t>
            </w:r>
          </w:p>
        </w:tc>
        <w:tc>
          <w:tcPr>
            <w:tcW w:w="850" w:type="pct"/>
            <w:vAlign w:val="center"/>
          </w:tcPr>
          <w:p w:rsidR="004A3868" w:rsidRDefault="003F1AB5">
            <w:pPr>
              <w:pStyle w:val="afff7"/>
            </w:pPr>
            <w:r>
              <w:t xml:space="preserve"> -6.26 </w:t>
            </w:r>
          </w:p>
        </w:tc>
        <w:tc>
          <w:tcPr>
            <w:tcW w:w="850" w:type="pct"/>
            <w:vAlign w:val="center"/>
          </w:tcPr>
          <w:p w:rsidR="004A3868" w:rsidRDefault="003F1AB5">
            <w:pPr>
              <w:pStyle w:val="afff7"/>
            </w:pPr>
            <w:r>
              <w:t>17.47</w:t>
            </w:r>
          </w:p>
        </w:tc>
      </w:tr>
      <w:tr w:rsidR="004A3868">
        <w:trPr>
          <w:trHeight w:val="397"/>
          <w:jc w:val="center"/>
        </w:trPr>
        <w:tc>
          <w:tcPr>
            <w:tcW w:w="1765" w:type="pct"/>
            <w:vAlign w:val="bottom"/>
          </w:tcPr>
          <w:p w:rsidR="004A3868" w:rsidRDefault="003F1AB5">
            <w:pPr>
              <w:pStyle w:val="afff9"/>
            </w:pPr>
            <w:r>
              <w:t>扣除非经常性损益后的加权平均净资产收益率（</w:t>
            </w:r>
            <w:r>
              <w:t>%</w:t>
            </w:r>
            <w:r>
              <w:t>）</w:t>
            </w:r>
          </w:p>
        </w:tc>
        <w:tc>
          <w:tcPr>
            <w:tcW w:w="803" w:type="pct"/>
            <w:vAlign w:val="center"/>
          </w:tcPr>
          <w:p w:rsidR="004A3868" w:rsidRDefault="003F1AB5">
            <w:pPr>
              <w:pStyle w:val="afff7"/>
            </w:pPr>
            <w:r>
              <w:t xml:space="preserve"> 9.62 </w:t>
            </w:r>
          </w:p>
        </w:tc>
        <w:tc>
          <w:tcPr>
            <w:tcW w:w="732" w:type="pct"/>
            <w:vAlign w:val="center"/>
          </w:tcPr>
          <w:p w:rsidR="004A3868" w:rsidRDefault="003F1AB5">
            <w:pPr>
              <w:pStyle w:val="afff7"/>
            </w:pPr>
            <w:r>
              <w:t>15.10</w:t>
            </w:r>
          </w:p>
        </w:tc>
        <w:tc>
          <w:tcPr>
            <w:tcW w:w="850" w:type="pct"/>
            <w:vAlign w:val="center"/>
          </w:tcPr>
          <w:p w:rsidR="004A3868" w:rsidRDefault="003F1AB5">
            <w:pPr>
              <w:pStyle w:val="afff7"/>
            </w:pPr>
            <w:r>
              <w:t xml:space="preserve"> -5.48 </w:t>
            </w:r>
          </w:p>
        </w:tc>
        <w:tc>
          <w:tcPr>
            <w:tcW w:w="850" w:type="pct"/>
            <w:vAlign w:val="center"/>
          </w:tcPr>
          <w:p w:rsidR="004A3868" w:rsidRDefault="003F1AB5">
            <w:pPr>
              <w:pStyle w:val="afff7"/>
            </w:pPr>
            <w:r>
              <w:t>16.9</w:t>
            </w:r>
          </w:p>
        </w:tc>
      </w:tr>
    </w:tbl>
    <w:p w:rsidR="004A3868" w:rsidRDefault="004A3868">
      <w:pPr>
        <w:pStyle w:val="Style1248"/>
      </w:pPr>
    </w:p>
    <w:p w:rsidR="004A3868" w:rsidRDefault="003F1AB5">
      <w:pPr>
        <w:pStyle w:val="Style1237"/>
      </w:pPr>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1141763516"/>
        <w:lock w:val="sdtLocked"/>
        <w:placeholder>
          <w:docPart w:val="GBC22222222222222222222222222222"/>
        </w:placeholder>
      </w:sdtPr>
      <w:sdtEndPr>
        <w:rPr>
          <w:sz w:val="21"/>
          <w:szCs w:val="21"/>
        </w:rPr>
      </w:sdtEndPr>
      <w:sdtContent>
        <w:p w:rsidR="004A3868" w:rsidRDefault="003F1AB5">
          <w:pPr>
            <w:pStyle w:val="Style1237"/>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39"/>
        <w:numPr>
          <w:ilvl w:val="1"/>
          <w:numId w:val="15"/>
        </w:numPr>
      </w:pPr>
      <w:r>
        <w:rPr>
          <w:rFonts w:hint="eastAsia"/>
        </w:rPr>
        <w:t>境内外会计准则下会计数据差异</w:t>
      </w:r>
    </w:p>
    <w:p w:rsidR="004A3868" w:rsidRDefault="003F1AB5">
      <w:pPr>
        <w:pStyle w:val="Style1351"/>
      </w:pPr>
      <w:r>
        <w:rPr>
          <w:rFonts w:hint="eastAsia"/>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1432730040"/>
        <w:lock w:val="sdtLocked"/>
        <w:placeholder>
          <w:docPart w:val="GBC22222222222222222222222222222"/>
        </w:placeholder>
      </w:sdtPr>
      <w:sdtEndPr>
        <w:rPr>
          <w:sz w:val="21"/>
          <w:szCs w:val="21"/>
        </w:rPr>
      </w:sdtEndPr>
      <w:sdtContent>
        <w:p w:rsidR="004A3868" w:rsidRDefault="003F1AB5">
          <w:pPr>
            <w:pStyle w:val="Style1248"/>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351"/>
      </w:pPr>
      <w:r>
        <w:lastRenderedPageBreak/>
        <w:t>同时按照境外会计准则与按中国会计准则披露的财务报告中净利润和</w:t>
      </w:r>
      <w:r>
        <w:rPr>
          <w:rFonts w:hint="eastAsia"/>
        </w:rPr>
        <w:t>归</w:t>
      </w:r>
      <w:r>
        <w:t>属于上市公司股东的净资产差异情况</w:t>
      </w:r>
    </w:p>
    <w:sdt>
      <w:sdtPr>
        <w:alias w:val="是否适用：同时按照境外会计准则与按中国会计准则披露的财务报告中净利润和净资产差异情况[双击切换]"/>
        <w:tag w:val="_GBC_a97367c44d2842a1bfb53d78727711bb"/>
        <w:id w:val="-1686510941"/>
        <w:lock w:val="sdtLocked"/>
        <w:placeholder>
          <w:docPart w:val="GBC22222222222222222222222222222"/>
        </w:placeholder>
      </w:sdtPr>
      <w:sdtEndPr>
        <w:rPr>
          <w:sz w:val="21"/>
          <w:szCs w:val="21"/>
        </w:rPr>
      </w:sdtEndPr>
      <w:sdtContent>
        <w:p w:rsidR="004A3868" w:rsidRDefault="003F1AB5">
          <w:pPr>
            <w:pStyle w:val="Style1248"/>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351"/>
      </w:pPr>
      <w:r>
        <w:t>境内外会计准则差异的说明：</w:t>
      </w:r>
    </w:p>
    <w:sdt>
      <w:sdtPr>
        <w:alias w:val="是否适用：境内外会计准则差异的说明[双击切换]"/>
        <w:tag w:val="_GBC_fb9a5edc484f49ab948423fc0bade519"/>
        <w:id w:val="-539973263"/>
        <w:lock w:val="sdtLocked"/>
        <w:placeholder>
          <w:docPart w:val="GBC22222222222222222222222222222"/>
        </w:placeholder>
      </w:sdtPr>
      <w:sdtEndPr>
        <w:rPr>
          <w:sz w:val="21"/>
          <w:szCs w:val="21"/>
        </w:rPr>
      </w:sdtEndPr>
      <w:sdtContent>
        <w:p w:rsidR="004A3868" w:rsidRDefault="003F1AB5">
          <w:pPr>
            <w:pStyle w:val="Style1237"/>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39"/>
        <w:numPr>
          <w:ilvl w:val="1"/>
          <w:numId w:val="15"/>
        </w:numPr>
      </w:pPr>
      <w:r>
        <w:rPr>
          <w:rFonts w:hint="eastAsia"/>
        </w:rPr>
        <w:t>2023</w:t>
      </w:r>
      <w:r>
        <w:rPr>
          <w:rFonts w:hint="eastAsia"/>
        </w:rPr>
        <w:t>年分季度主要财务数据</w:t>
      </w:r>
    </w:p>
    <w:p w:rsidR="004A3868" w:rsidRDefault="003F1AB5">
      <w:pPr>
        <w:pStyle w:val="Style1615"/>
      </w:pPr>
      <w:r>
        <w:rPr>
          <w:rFonts w:hint="eastAsia"/>
        </w:rPr>
        <w:t>单位：</w:t>
      </w:r>
      <w:sdt>
        <w:sdtPr>
          <w:rPr>
            <w:rFonts w:hint="eastAsia"/>
          </w:rPr>
          <w:alias w:val="单位：分季度主要财务数据"/>
          <w:tag w:val="_GBC_c7bf8a69799342519e2da375e77f8d89"/>
          <w:id w:val="-12578148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分季度主要财务数据"/>
          <w:tag w:val="_GBC_e825fbcd15674ffd86165e4ed7dcbbaf"/>
          <w:id w:val="17261818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989"/>
        <w:gridCol w:w="1708"/>
        <w:gridCol w:w="1709"/>
        <w:gridCol w:w="1708"/>
        <w:gridCol w:w="1709"/>
      </w:tblGrid>
      <w:tr w:rsidR="004A3868">
        <w:trPr>
          <w:trHeight w:val="397"/>
          <w:jc w:val="center"/>
        </w:trPr>
        <w:tc>
          <w:tcPr>
            <w:tcW w:w="1989" w:type="dxa"/>
            <w:vAlign w:val="center"/>
          </w:tcPr>
          <w:p w:rsidR="004A3868" w:rsidRDefault="004A3868">
            <w:pPr>
              <w:pStyle w:val="Style1237"/>
              <w:rPr>
                <w:sz w:val="21"/>
                <w:szCs w:val="21"/>
              </w:rPr>
            </w:pPr>
          </w:p>
        </w:tc>
        <w:sdt>
          <w:sdtPr>
            <w:tag w:val="_PLD_2d7ae3b1c4bd43a98e284f10d0bdc51f"/>
            <w:id w:val="-791586108"/>
          </w:sdtPr>
          <w:sdtEndPr/>
          <w:sdtContent>
            <w:tc>
              <w:tcPr>
                <w:tcW w:w="1708" w:type="dxa"/>
                <w:vAlign w:val="center"/>
              </w:tcPr>
              <w:p w:rsidR="004A3868" w:rsidRDefault="003F1AB5">
                <w:pPr>
                  <w:pStyle w:val="Style1622"/>
                  <w:jc w:val="center"/>
                </w:pPr>
                <w:r>
                  <w:rPr>
                    <w:rFonts w:hint="eastAsia"/>
                  </w:rPr>
                  <w:t>第一季度</w:t>
                </w:r>
              </w:p>
              <w:p w:rsidR="004A3868" w:rsidRDefault="003F1AB5">
                <w:pPr>
                  <w:pStyle w:val="Style1622"/>
                  <w:jc w:val="center"/>
                </w:pPr>
                <w:r>
                  <w:rPr>
                    <w:rFonts w:hint="eastAsia"/>
                  </w:rPr>
                  <w:t>（1-3月份）</w:t>
                </w:r>
              </w:p>
            </w:tc>
          </w:sdtContent>
        </w:sdt>
        <w:sdt>
          <w:sdtPr>
            <w:tag w:val="_PLD_07258d0e3e7e4393960c3400b24cda70"/>
            <w:id w:val="1505635099"/>
          </w:sdtPr>
          <w:sdtEndPr/>
          <w:sdtContent>
            <w:tc>
              <w:tcPr>
                <w:tcW w:w="1709" w:type="dxa"/>
                <w:vAlign w:val="center"/>
              </w:tcPr>
              <w:p w:rsidR="004A3868" w:rsidRDefault="003F1AB5">
                <w:pPr>
                  <w:pStyle w:val="Style1622"/>
                  <w:jc w:val="center"/>
                </w:pPr>
                <w:r>
                  <w:rPr>
                    <w:rFonts w:hint="eastAsia"/>
                  </w:rPr>
                  <w:t>第二季度</w:t>
                </w:r>
              </w:p>
              <w:p w:rsidR="004A3868" w:rsidRDefault="003F1AB5">
                <w:pPr>
                  <w:pStyle w:val="Style1622"/>
                  <w:jc w:val="center"/>
                </w:pPr>
                <w:r>
                  <w:rPr>
                    <w:rFonts w:hint="eastAsia"/>
                  </w:rPr>
                  <w:t>（4-6月份）</w:t>
                </w:r>
              </w:p>
            </w:tc>
          </w:sdtContent>
        </w:sdt>
        <w:sdt>
          <w:sdtPr>
            <w:tag w:val="_PLD_f34790307d174eceaa953001c5186096"/>
            <w:id w:val="-345251111"/>
          </w:sdtPr>
          <w:sdtEndPr/>
          <w:sdtContent>
            <w:tc>
              <w:tcPr>
                <w:tcW w:w="1708" w:type="dxa"/>
                <w:vAlign w:val="center"/>
              </w:tcPr>
              <w:p w:rsidR="004A3868" w:rsidRDefault="003F1AB5">
                <w:pPr>
                  <w:pStyle w:val="Style1622"/>
                  <w:jc w:val="center"/>
                </w:pPr>
                <w:r>
                  <w:rPr>
                    <w:rFonts w:hint="eastAsia"/>
                  </w:rPr>
                  <w:t>第三季度</w:t>
                </w:r>
              </w:p>
              <w:p w:rsidR="004A3868" w:rsidRDefault="003F1AB5">
                <w:pPr>
                  <w:pStyle w:val="Style1622"/>
                  <w:jc w:val="center"/>
                </w:pPr>
                <w:r>
                  <w:rPr>
                    <w:rFonts w:hint="eastAsia"/>
                  </w:rPr>
                  <w:t>（7-9月份）</w:t>
                </w:r>
              </w:p>
            </w:tc>
          </w:sdtContent>
        </w:sdt>
        <w:sdt>
          <w:sdtPr>
            <w:tag w:val="_PLD_18cc80c8863d4859a79676f49ef83412"/>
            <w:id w:val="49433915"/>
          </w:sdtPr>
          <w:sdtEndPr/>
          <w:sdtContent>
            <w:tc>
              <w:tcPr>
                <w:tcW w:w="1709" w:type="dxa"/>
                <w:vAlign w:val="center"/>
              </w:tcPr>
              <w:p w:rsidR="004A3868" w:rsidRDefault="003F1AB5">
                <w:pPr>
                  <w:pStyle w:val="Style1622"/>
                  <w:jc w:val="center"/>
                </w:pPr>
                <w:r>
                  <w:rPr>
                    <w:rFonts w:hint="eastAsia"/>
                  </w:rPr>
                  <w:t>第四季度</w:t>
                </w:r>
              </w:p>
              <w:p w:rsidR="004A3868" w:rsidRDefault="003F1AB5">
                <w:pPr>
                  <w:pStyle w:val="Style1622"/>
                  <w:jc w:val="center"/>
                </w:pPr>
                <w:r>
                  <w:rPr>
                    <w:rFonts w:hint="eastAsia"/>
                  </w:rPr>
                  <w:t>（10-12月份）</w:t>
                </w:r>
              </w:p>
            </w:tc>
          </w:sdtContent>
        </w:sdt>
      </w:tr>
      <w:tr w:rsidR="004A3868">
        <w:trPr>
          <w:trHeight w:val="397"/>
          <w:jc w:val="center"/>
        </w:trPr>
        <w:tc>
          <w:tcPr>
            <w:tcW w:w="1989" w:type="dxa"/>
            <w:vAlign w:val="center"/>
          </w:tcPr>
          <w:p w:rsidR="004A3868" w:rsidRDefault="003F1AB5">
            <w:pPr>
              <w:pStyle w:val="afff9"/>
            </w:pPr>
            <w:r>
              <w:rPr>
                <w:rFonts w:hint="eastAsia"/>
              </w:rPr>
              <w:t>营业收入</w:t>
            </w:r>
          </w:p>
        </w:tc>
        <w:tc>
          <w:tcPr>
            <w:tcW w:w="1708" w:type="dxa"/>
            <w:vAlign w:val="center"/>
          </w:tcPr>
          <w:p w:rsidR="004A3868" w:rsidRDefault="003F1AB5">
            <w:pPr>
              <w:pStyle w:val="afff7"/>
            </w:pPr>
            <w:r>
              <w:t xml:space="preserve"> 57,165.06 </w:t>
            </w:r>
          </w:p>
        </w:tc>
        <w:tc>
          <w:tcPr>
            <w:tcW w:w="1709" w:type="dxa"/>
            <w:vAlign w:val="center"/>
          </w:tcPr>
          <w:p w:rsidR="004A3868" w:rsidRDefault="003F1AB5">
            <w:pPr>
              <w:pStyle w:val="afff7"/>
            </w:pPr>
            <w:r>
              <w:t xml:space="preserve"> 66,323.09 </w:t>
            </w:r>
          </w:p>
        </w:tc>
        <w:tc>
          <w:tcPr>
            <w:tcW w:w="1708" w:type="dxa"/>
            <w:vAlign w:val="center"/>
          </w:tcPr>
          <w:p w:rsidR="004A3868" w:rsidRDefault="003F1AB5">
            <w:pPr>
              <w:pStyle w:val="afff7"/>
            </w:pPr>
            <w:r>
              <w:t xml:space="preserve"> 73,380.51 </w:t>
            </w:r>
          </w:p>
        </w:tc>
        <w:tc>
          <w:tcPr>
            <w:tcW w:w="1709" w:type="dxa"/>
            <w:vAlign w:val="center"/>
          </w:tcPr>
          <w:p w:rsidR="004A3868" w:rsidRDefault="003F1AB5">
            <w:pPr>
              <w:pStyle w:val="afff7"/>
            </w:pPr>
            <w:r>
              <w:t xml:space="preserve"> 74,910.22 </w:t>
            </w:r>
          </w:p>
        </w:tc>
      </w:tr>
      <w:tr w:rsidR="004A3868">
        <w:trPr>
          <w:trHeight w:val="397"/>
          <w:jc w:val="center"/>
        </w:trPr>
        <w:tc>
          <w:tcPr>
            <w:tcW w:w="1989" w:type="dxa"/>
            <w:vAlign w:val="center"/>
          </w:tcPr>
          <w:p w:rsidR="004A3868" w:rsidRDefault="003F1AB5">
            <w:pPr>
              <w:pStyle w:val="afff9"/>
            </w:pPr>
            <w:r>
              <w:rPr>
                <w:rFonts w:hint="eastAsia"/>
              </w:rPr>
              <w:t>归属于上市公司股东的净利润</w:t>
            </w:r>
          </w:p>
        </w:tc>
        <w:tc>
          <w:tcPr>
            <w:tcW w:w="1708" w:type="dxa"/>
            <w:vAlign w:val="center"/>
          </w:tcPr>
          <w:p w:rsidR="004A3868" w:rsidRDefault="003F1AB5">
            <w:pPr>
              <w:pStyle w:val="afff7"/>
            </w:pPr>
            <w:r>
              <w:t xml:space="preserve"> 8,033.90 </w:t>
            </w:r>
          </w:p>
        </w:tc>
        <w:tc>
          <w:tcPr>
            <w:tcW w:w="1709" w:type="dxa"/>
            <w:vAlign w:val="center"/>
          </w:tcPr>
          <w:p w:rsidR="004A3868" w:rsidRDefault="003F1AB5">
            <w:pPr>
              <w:pStyle w:val="afff7"/>
            </w:pPr>
            <w:r>
              <w:t xml:space="preserve"> 7,374.13 </w:t>
            </w:r>
          </w:p>
        </w:tc>
        <w:tc>
          <w:tcPr>
            <w:tcW w:w="1708" w:type="dxa"/>
            <w:vAlign w:val="center"/>
          </w:tcPr>
          <w:p w:rsidR="004A3868" w:rsidRDefault="003F1AB5">
            <w:pPr>
              <w:pStyle w:val="afff7"/>
            </w:pPr>
            <w:r>
              <w:t xml:space="preserve"> 6,170.32 </w:t>
            </w:r>
          </w:p>
        </w:tc>
        <w:tc>
          <w:tcPr>
            <w:tcW w:w="1709" w:type="dxa"/>
            <w:vAlign w:val="center"/>
          </w:tcPr>
          <w:p w:rsidR="004A3868" w:rsidRDefault="003F1AB5">
            <w:pPr>
              <w:pStyle w:val="afff7"/>
            </w:pPr>
            <w:r>
              <w:t xml:space="preserve"> 1,880.32 </w:t>
            </w:r>
          </w:p>
        </w:tc>
      </w:tr>
      <w:tr w:rsidR="004A3868">
        <w:trPr>
          <w:trHeight w:val="397"/>
          <w:jc w:val="center"/>
        </w:trPr>
        <w:tc>
          <w:tcPr>
            <w:tcW w:w="1989" w:type="dxa"/>
            <w:vAlign w:val="center"/>
          </w:tcPr>
          <w:p w:rsidR="004A3868" w:rsidRDefault="003F1AB5">
            <w:pPr>
              <w:pStyle w:val="afff9"/>
            </w:pPr>
            <w:r>
              <w:rPr>
                <w:rFonts w:hint="eastAsia"/>
              </w:rPr>
              <w:t>归属于上市公司股东的扣除非经常性损益后的净利润</w:t>
            </w:r>
          </w:p>
        </w:tc>
        <w:tc>
          <w:tcPr>
            <w:tcW w:w="1708" w:type="dxa"/>
            <w:vAlign w:val="center"/>
          </w:tcPr>
          <w:p w:rsidR="004A3868" w:rsidRDefault="003F1AB5">
            <w:pPr>
              <w:pStyle w:val="afff7"/>
            </w:pPr>
            <w:r>
              <w:t xml:space="preserve"> 8,028.38 </w:t>
            </w:r>
          </w:p>
        </w:tc>
        <w:tc>
          <w:tcPr>
            <w:tcW w:w="1709" w:type="dxa"/>
            <w:vAlign w:val="center"/>
          </w:tcPr>
          <w:p w:rsidR="004A3868" w:rsidRDefault="003F1AB5">
            <w:pPr>
              <w:pStyle w:val="afff7"/>
            </w:pPr>
            <w:r>
              <w:t xml:space="preserve"> 7,190.22 </w:t>
            </w:r>
          </w:p>
        </w:tc>
        <w:tc>
          <w:tcPr>
            <w:tcW w:w="1708" w:type="dxa"/>
            <w:vAlign w:val="center"/>
          </w:tcPr>
          <w:p w:rsidR="004A3868" w:rsidRDefault="003F1AB5">
            <w:pPr>
              <w:pStyle w:val="afff7"/>
            </w:pPr>
            <w:r>
              <w:t xml:space="preserve"> 6,192.14 </w:t>
            </w:r>
          </w:p>
        </w:tc>
        <w:tc>
          <w:tcPr>
            <w:tcW w:w="1709" w:type="dxa"/>
            <w:vAlign w:val="center"/>
          </w:tcPr>
          <w:p w:rsidR="004A3868" w:rsidRDefault="003F1AB5">
            <w:pPr>
              <w:pStyle w:val="afff7"/>
            </w:pPr>
            <w:r>
              <w:t xml:space="preserve"> 1,101.90 </w:t>
            </w:r>
          </w:p>
        </w:tc>
      </w:tr>
      <w:tr w:rsidR="004A3868">
        <w:trPr>
          <w:trHeight w:val="397"/>
          <w:jc w:val="center"/>
        </w:trPr>
        <w:tc>
          <w:tcPr>
            <w:tcW w:w="1989" w:type="dxa"/>
            <w:vAlign w:val="center"/>
          </w:tcPr>
          <w:p w:rsidR="004A3868" w:rsidRDefault="003F1AB5">
            <w:pPr>
              <w:pStyle w:val="afff9"/>
            </w:pPr>
            <w:r>
              <w:rPr>
                <w:rFonts w:hint="eastAsia"/>
              </w:rPr>
              <w:t>经营活动产生的现金流量净额</w:t>
            </w:r>
          </w:p>
        </w:tc>
        <w:tc>
          <w:tcPr>
            <w:tcW w:w="1708" w:type="dxa"/>
            <w:vAlign w:val="center"/>
          </w:tcPr>
          <w:p w:rsidR="004A3868" w:rsidRDefault="003F1AB5">
            <w:pPr>
              <w:pStyle w:val="afff7"/>
            </w:pPr>
            <w:r>
              <w:t xml:space="preserve"> -6,680.12 </w:t>
            </w:r>
          </w:p>
        </w:tc>
        <w:tc>
          <w:tcPr>
            <w:tcW w:w="1709" w:type="dxa"/>
            <w:vAlign w:val="center"/>
          </w:tcPr>
          <w:p w:rsidR="004A3868" w:rsidRDefault="003F1AB5">
            <w:pPr>
              <w:pStyle w:val="afff7"/>
            </w:pPr>
            <w:r>
              <w:t xml:space="preserve"> 1,851.85 </w:t>
            </w:r>
          </w:p>
        </w:tc>
        <w:tc>
          <w:tcPr>
            <w:tcW w:w="1708" w:type="dxa"/>
            <w:vAlign w:val="center"/>
          </w:tcPr>
          <w:p w:rsidR="004A3868" w:rsidRDefault="003F1AB5">
            <w:pPr>
              <w:pStyle w:val="afff7"/>
            </w:pPr>
            <w:r>
              <w:t xml:space="preserve"> 11,937.14 </w:t>
            </w:r>
          </w:p>
        </w:tc>
        <w:tc>
          <w:tcPr>
            <w:tcW w:w="1709" w:type="dxa"/>
            <w:vAlign w:val="center"/>
          </w:tcPr>
          <w:p w:rsidR="004A3868" w:rsidRDefault="003F1AB5">
            <w:pPr>
              <w:pStyle w:val="afff7"/>
            </w:pPr>
            <w:r>
              <w:t xml:space="preserve"> 22,077.53 </w:t>
            </w:r>
          </w:p>
        </w:tc>
      </w:tr>
    </w:tbl>
    <w:p w:rsidR="004A3868" w:rsidRDefault="004A3868">
      <w:pPr>
        <w:pStyle w:val="Style1248"/>
      </w:pPr>
    </w:p>
    <w:p w:rsidR="004A3868" w:rsidRDefault="003F1AB5">
      <w:pPr>
        <w:pStyle w:val="Style1237"/>
        <w:rPr>
          <w:sz w:val="21"/>
          <w:szCs w:val="21"/>
        </w:rPr>
      </w:pPr>
      <w:r>
        <w:rPr>
          <w:rFonts w:hint="eastAsia"/>
          <w:sz w:val="21"/>
          <w:szCs w:val="21"/>
        </w:rPr>
        <w:t>季度数据与已披露定期报告数据差异说明</w:t>
      </w:r>
    </w:p>
    <w:p w:rsidR="004A3868" w:rsidRDefault="00B34370">
      <w:pPr>
        <w:pStyle w:val="Style1237"/>
        <w:rPr>
          <w:sz w:val="21"/>
          <w:szCs w:val="21"/>
        </w:rPr>
      </w:pPr>
      <w:sdt>
        <w:sdtPr>
          <w:rPr>
            <w:sz w:val="21"/>
            <w:szCs w:val="21"/>
          </w:rPr>
          <w:alias w:val="是否适用：季度数据与已披露定期报告数据差异说明[双击切换]"/>
          <w:tag w:val="_GBC_90abe51569fb4ccda7eaf6149fe8f3a9"/>
          <w:id w:val="491301856"/>
          <w:lock w:val="sdtLocked"/>
          <w:placeholder>
            <w:docPart w:val="GBC22222222222222222222222222222"/>
          </w:placeholder>
        </w:sdtPr>
        <w:sdtEndPr/>
        <w:sdtContent>
          <w:r w:rsidR="003F1AB5">
            <w:rPr>
              <w:sz w:val="21"/>
              <w:szCs w:val="21"/>
            </w:rPr>
            <w:fldChar w:fldCharType="begin"/>
          </w:r>
          <w:r w:rsidR="003F1AB5">
            <w:rPr>
              <w:sz w:val="21"/>
              <w:szCs w:val="21"/>
            </w:rPr>
            <w:instrText xml:space="preserve"> MACROBUTTON  SnrToggleCheckbox □适用  </w:instrText>
          </w:r>
          <w:r w:rsidR="003F1AB5">
            <w:rPr>
              <w:sz w:val="21"/>
              <w:szCs w:val="21"/>
            </w:rPr>
            <w:fldChar w:fldCharType="end"/>
          </w:r>
          <w:r w:rsidR="003F1AB5">
            <w:rPr>
              <w:sz w:val="21"/>
              <w:szCs w:val="21"/>
            </w:rPr>
            <w:fldChar w:fldCharType="begin"/>
          </w:r>
          <w:r w:rsidR="003F1AB5">
            <w:rPr>
              <w:sz w:val="21"/>
              <w:szCs w:val="21"/>
            </w:rPr>
            <w:instrText xml:space="preserve"> MACROBUTTON  SnrToggleCheckbox √不适用 </w:instrText>
          </w:r>
          <w:r w:rsidR="003F1AB5">
            <w:rPr>
              <w:sz w:val="21"/>
              <w:szCs w:val="21"/>
            </w:rPr>
            <w:fldChar w:fldCharType="end"/>
          </w:r>
        </w:sdtContent>
      </w:sdt>
    </w:p>
    <w:p w:rsidR="004A3868" w:rsidRDefault="003F1AB5">
      <w:pPr>
        <w:pStyle w:val="Style1239"/>
        <w:numPr>
          <w:ilvl w:val="1"/>
          <w:numId w:val="15"/>
        </w:numPr>
      </w:pPr>
      <w:r>
        <w:rPr>
          <w:rFonts w:hint="eastAsia"/>
        </w:rPr>
        <w:t>非经常性损益项目和金额</w:t>
      </w:r>
    </w:p>
    <w:bookmarkStart w:id="14" w:name="_Hlk24640273" w:displacedByCustomXml="next"/>
    <w:bookmarkStart w:id="15" w:name="_Hlk152579713" w:displacedByCustomXml="next"/>
    <w:sdt>
      <w:sdtPr>
        <w:alias w:val="是否适用：扣除非经常性损益项目和金额[双击切换]"/>
        <w:tag w:val="_GBC_d311c3479a4945ceb1266734910915b6"/>
        <w:id w:val="561146900"/>
        <w:placeholder>
          <w:docPart w:val="GBC22222222222222222222222222222"/>
        </w:placeholder>
      </w:sdtPr>
      <w:sdtEndPr>
        <w:rPr>
          <w:sz w:val="21"/>
          <w:szCs w:val="21"/>
        </w:rPr>
      </w:sdtEndPr>
      <w:sdtContent>
        <w:p w:rsidR="004A3868" w:rsidRDefault="003F1AB5">
          <w:pPr>
            <w:pStyle w:val="Style1237"/>
            <w:rPr>
              <w:sz w:val="21"/>
              <w:szCs w:val="21"/>
            </w:rPr>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615"/>
      </w:pPr>
      <w:r>
        <w:rPr>
          <w:rFonts w:hint="eastAsia"/>
        </w:rPr>
        <w:t>单位</w:t>
      </w:r>
      <w:r>
        <w:rPr>
          <w:rFonts w:hint="eastAsia"/>
        </w:rPr>
        <w:t>:</w:t>
      </w:r>
      <w:sdt>
        <w:sdtPr>
          <w:rPr>
            <w:rFonts w:hint="eastAsia"/>
          </w:rPr>
          <w:alias w:val="单位：扣除非经常性损益项目和金额"/>
          <w:tag w:val="_GBC_120471c8e4434d7bbf8c91141121ab39"/>
          <w:id w:val="-1829816463"/>
          <w:placeholder>
            <w:docPart w:val="GBC22222222222222222222222222222"/>
          </w:placeholder>
          <w:dataBinding w:prefixMappings="xmlns:clcid-ci-ar='clcid-ci-ar'" w:xpath="/*/clcid-ci-ar:DanWeiKouChuFeiJingChangXingSunYiXiangMuHeJinE[not(@periodRef)]" w:storeItemID="{89EBAB94-44A0-46A2-B712-30D997D04A6D}"/>
          <w:comboBox w:lastValue="10000">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r>
        <w:rPr>
          <w:rFonts w:hint="eastAsia"/>
        </w:rPr>
        <w:t>:</w:t>
      </w:r>
      <w:sdt>
        <w:sdtPr>
          <w:rPr>
            <w:rFonts w:hint="eastAsia"/>
          </w:rPr>
          <w:alias w:val="币种：扣除非经常性损益项目和金额"/>
          <w:tag w:val="_GBC_8d756f42e06c4610a2149f35e1d51a62"/>
          <w:id w:val="1192723247"/>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5"/>
        <w:tblW w:w="5000" w:type="pct"/>
        <w:jc w:val="center"/>
        <w:tblInd w:w="0" w:type="dxa"/>
        <w:tblLayout w:type="fixed"/>
        <w:tblCellMar>
          <w:right w:w="28" w:type="dxa"/>
        </w:tblCellMar>
        <w:tblLook w:val="04A0" w:firstRow="1" w:lastRow="0" w:firstColumn="1" w:lastColumn="0" w:noHBand="0" w:noVBand="1"/>
      </w:tblPr>
      <w:tblGrid>
        <w:gridCol w:w="3677"/>
        <w:gridCol w:w="1287"/>
        <w:gridCol w:w="1287"/>
        <w:gridCol w:w="1286"/>
        <w:gridCol w:w="1286"/>
      </w:tblGrid>
      <w:tr w:rsidR="004A3868">
        <w:trPr>
          <w:trHeight w:val="397"/>
          <w:jc w:val="center"/>
        </w:trPr>
        <w:sdt>
          <w:sdtPr>
            <w:tag w:val="_PLD_451a5b1d22614c45b1fbba1d8acc3cbb"/>
            <w:id w:val="166450240"/>
          </w:sdtPr>
          <w:sdtEndPr/>
          <w:sdtContent>
            <w:tc>
              <w:tcPr>
                <w:tcW w:w="2083" w:type="pct"/>
                <w:vAlign w:val="center"/>
              </w:tcPr>
              <w:p w:rsidR="004A3868" w:rsidRDefault="003F1AB5">
                <w:pPr>
                  <w:pStyle w:val="Style152"/>
                </w:pPr>
                <w:r>
                  <w:rPr>
                    <w:rFonts w:hint="eastAsia"/>
                  </w:rPr>
                  <w:t>非经常性损益项目</w:t>
                </w:r>
              </w:p>
            </w:tc>
          </w:sdtContent>
        </w:sdt>
        <w:sdt>
          <w:sdtPr>
            <w:rPr>
              <w:rFonts w:ascii="Times New Roman" w:hAnsi="Times New Roman"/>
              <w:szCs w:val="21"/>
            </w:rPr>
            <w:tag w:val="_PLD_75a853b22038430db055de446a19d683"/>
            <w:id w:val="-215277685"/>
          </w:sdtPr>
          <w:sdtEndPr/>
          <w:sdtContent>
            <w:tc>
              <w:tcPr>
                <w:tcW w:w="729" w:type="pct"/>
                <w:vAlign w:val="bottom"/>
              </w:tcPr>
              <w:p w:rsidR="004A3868" w:rsidRDefault="003F1AB5">
                <w:pPr>
                  <w:pStyle w:val="Style152"/>
                  <w:jc w:val="right"/>
                  <w:rPr>
                    <w:szCs w:val="21"/>
                  </w:rPr>
                </w:pPr>
                <w:r>
                  <w:rPr>
                    <w:rFonts w:hint="eastAsia"/>
                    <w:szCs w:val="21"/>
                  </w:rPr>
                  <w:t>2023</w:t>
                </w:r>
                <w:r>
                  <w:rPr>
                    <w:rFonts w:hint="eastAsia"/>
                    <w:szCs w:val="21"/>
                  </w:rPr>
                  <w:t>年金额</w:t>
                </w:r>
              </w:p>
            </w:tc>
          </w:sdtContent>
        </w:sdt>
        <w:sdt>
          <w:sdtPr>
            <w:rPr>
              <w:rFonts w:ascii="Times New Roman" w:hAnsi="Times New Roman"/>
              <w:szCs w:val="21"/>
            </w:rPr>
            <w:tag w:val="_PLD_c571f80c57314d5cbbb4106b26568a8c"/>
            <w:id w:val="1680156580"/>
          </w:sdtPr>
          <w:sdtEndPr/>
          <w:sdtContent>
            <w:tc>
              <w:tcPr>
                <w:tcW w:w="729" w:type="pct"/>
                <w:vAlign w:val="bottom"/>
              </w:tcPr>
              <w:p w:rsidR="004A3868" w:rsidRDefault="003F1AB5">
                <w:pPr>
                  <w:pStyle w:val="Style152"/>
                  <w:ind w:right="420"/>
                  <w:jc w:val="right"/>
                  <w:rPr>
                    <w:szCs w:val="21"/>
                  </w:rPr>
                </w:pPr>
                <w:r>
                  <w:rPr>
                    <w:rFonts w:hint="eastAsia"/>
                    <w:szCs w:val="21"/>
                  </w:rPr>
                  <w:t>附注</w:t>
                </w:r>
              </w:p>
              <w:p w:rsidR="004A3868" w:rsidRDefault="003F1AB5">
                <w:pPr>
                  <w:pStyle w:val="Style152"/>
                  <w:jc w:val="right"/>
                  <w:rPr>
                    <w:szCs w:val="21"/>
                  </w:rPr>
                </w:pPr>
                <w:r>
                  <w:rPr>
                    <w:rFonts w:hint="eastAsia"/>
                    <w:szCs w:val="21"/>
                  </w:rPr>
                  <w:t>（如适用）</w:t>
                </w:r>
              </w:p>
            </w:tc>
          </w:sdtContent>
        </w:sdt>
        <w:sdt>
          <w:sdtPr>
            <w:rPr>
              <w:rFonts w:ascii="Times New Roman" w:hAnsi="Times New Roman"/>
              <w:szCs w:val="21"/>
            </w:rPr>
            <w:tag w:val="_PLD_7178520950424696adfe1eb7e010035c"/>
            <w:id w:val="432095648"/>
          </w:sdtPr>
          <w:sdtEndPr/>
          <w:sdtContent>
            <w:tc>
              <w:tcPr>
                <w:tcW w:w="729" w:type="pct"/>
                <w:vAlign w:val="bottom"/>
              </w:tcPr>
              <w:p w:rsidR="004A3868" w:rsidRDefault="003F1AB5">
                <w:pPr>
                  <w:pStyle w:val="Style152"/>
                  <w:jc w:val="right"/>
                  <w:rPr>
                    <w:szCs w:val="21"/>
                  </w:rPr>
                </w:pPr>
                <w:r>
                  <w:rPr>
                    <w:rFonts w:hint="eastAsia"/>
                    <w:szCs w:val="21"/>
                  </w:rPr>
                  <w:t>2022</w:t>
                </w:r>
                <w:r>
                  <w:rPr>
                    <w:rFonts w:hint="eastAsia"/>
                    <w:szCs w:val="21"/>
                  </w:rPr>
                  <w:t>年金额</w:t>
                </w:r>
              </w:p>
            </w:tc>
          </w:sdtContent>
        </w:sdt>
        <w:sdt>
          <w:sdtPr>
            <w:rPr>
              <w:rFonts w:ascii="Times New Roman" w:hAnsi="Times New Roman"/>
              <w:szCs w:val="21"/>
            </w:rPr>
            <w:tag w:val="_PLD_870e9453ef9d4928968c60216a29f211"/>
            <w:id w:val="-314024803"/>
          </w:sdtPr>
          <w:sdtEndPr/>
          <w:sdtContent>
            <w:tc>
              <w:tcPr>
                <w:tcW w:w="729" w:type="pct"/>
                <w:vAlign w:val="bottom"/>
              </w:tcPr>
              <w:p w:rsidR="004A3868" w:rsidRDefault="003F1AB5">
                <w:pPr>
                  <w:pStyle w:val="Style152"/>
                  <w:jc w:val="right"/>
                  <w:rPr>
                    <w:szCs w:val="21"/>
                  </w:rPr>
                </w:pPr>
                <w:r>
                  <w:rPr>
                    <w:rFonts w:hint="eastAsia"/>
                    <w:szCs w:val="21"/>
                  </w:rPr>
                  <w:t>2021</w:t>
                </w:r>
                <w:r>
                  <w:rPr>
                    <w:rFonts w:hint="eastAsia"/>
                    <w:szCs w:val="21"/>
                  </w:rPr>
                  <w:t>年金额</w:t>
                </w:r>
              </w:p>
            </w:tc>
          </w:sdtContent>
        </w:sdt>
      </w:tr>
      <w:tr w:rsidR="004A3868">
        <w:trPr>
          <w:trHeight w:val="397"/>
          <w:jc w:val="center"/>
        </w:trPr>
        <w:tc>
          <w:tcPr>
            <w:tcW w:w="2083" w:type="pct"/>
            <w:vAlign w:val="center"/>
          </w:tcPr>
          <w:p w:rsidR="004A3868" w:rsidRDefault="003F1AB5">
            <w:pPr>
              <w:pStyle w:val="Style152"/>
            </w:pPr>
            <w:r>
              <w:t>非流动</w:t>
            </w:r>
            <w:r>
              <w:rPr>
                <w:rFonts w:hint="eastAsia"/>
              </w:rPr>
              <w:t>性</w:t>
            </w:r>
            <w:r>
              <w:t>资产处置损益</w:t>
            </w:r>
            <w:r>
              <w:rPr>
                <w:rFonts w:hint="eastAsia"/>
              </w:rPr>
              <w:t>，包括已计提资产减值准备的冲销部分</w:t>
            </w:r>
          </w:p>
        </w:tc>
        <w:tc>
          <w:tcPr>
            <w:tcW w:w="729" w:type="pct"/>
            <w:vAlign w:val="bottom"/>
          </w:tcPr>
          <w:p w:rsidR="004A3868" w:rsidRDefault="003F1AB5">
            <w:pPr>
              <w:jc w:val="right"/>
              <w:rPr>
                <w:sz w:val="21"/>
                <w:szCs w:val="21"/>
              </w:rPr>
            </w:pPr>
            <w:r>
              <w:rPr>
                <w:sz w:val="21"/>
                <w:szCs w:val="21"/>
              </w:rPr>
              <w:t>-75.74</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-128.62</w:t>
            </w:r>
          </w:p>
        </w:tc>
        <w:tc>
          <w:tcPr>
            <w:tcW w:w="729" w:type="pct"/>
            <w:vAlign w:val="bottom"/>
          </w:tcPr>
          <w:p w:rsidR="004A3868" w:rsidRDefault="003F1AB5">
            <w:pPr>
              <w:jc w:val="right"/>
              <w:rPr>
                <w:sz w:val="21"/>
                <w:szCs w:val="21"/>
              </w:rPr>
            </w:pPr>
            <w:r>
              <w:rPr>
                <w:sz w:val="21"/>
                <w:szCs w:val="21"/>
              </w:rPr>
              <w:t>-286.73</w:t>
            </w:r>
          </w:p>
        </w:tc>
      </w:tr>
      <w:tr w:rsidR="004A3868">
        <w:trPr>
          <w:trHeight w:val="397"/>
          <w:jc w:val="center"/>
        </w:trPr>
        <w:tc>
          <w:tcPr>
            <w:tcW w:w="2083" w:type="pct"/>
            <w:vAlign w:val="center"/>
          </w:tcPr>
          <w:p w:rsidR="004A3868" w:rsidRDefault="003F1AB5">
            <w:pPr>
              <w:pStyle w:val="Style152"/>
            </w:pPr>
            <w:r>
              <w:t>计入当期损益的政府补助</w:t>
            </w:r>
            <w:r>
              <w:rPr>
                <w:rFonts w:hint="eastAsia"/>
              </w:rPr>
              <w:t>，但与公司正常经营业务密切相关、符合国家政策规定、按照确定的标准享有、对公司损益产生持续影响的政府补助除外</w:t>
            </w:r>
          </w:p>
        </w:tc>
        <w:tc>
          <w:tcPr>
            <w:tcW w:w="729" w:type="pct"/>
            <w:vAlign w:val="bottom"/>
          </w:tcPr>
          <w:p w:rsidR="004A3868" w:rsidRDefault="003F1AB5">
            <w:pPr>
              <w:jc w:val="right"/>
              <w:rPr>
                <w:sz w:val="21"/>
                <w:szCs w:val="21"/>
              </w:rPr>
            </w:pPr>
            <w:r>
              <w:rPr>
                <w:sz w:val="21"/>
                <w:szCs w:val="21"/>
              </w:rPr>
              <w:t>1,169.12</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1,497.27</w:t>
            </w:r>
          </w:p>
        </w:tc>
        <w:tc>
          <w:tcPr>
            <w:tcW w:w="729" w:type="pct"/>
            <w:vAlign w:val="bottom"/>
          </w:tcPr>
          <w:p w:rsidR="004A3868" w:rsidRDefault="003F1AB5">
            <w:pPr>
              <w:jc w:val="right"/>
              <w:rPr>
                <w:sz w:val="21"/>
                <w:szCs w:val="21"/>
              </w:rPr>
            </w:pPr>
            <w:r>
              <w:rPr>
                <w:sz w:val="21"/>
                <w:szCs w:val="21"/>
              </w:rPr>
              <w:t>795.83</w:t>
            </w:r>
          </w:p>
        </w:tc>
      </w:tr>
      <w:tr w:rsidR="004A3868">
        <w:trPr>
          <w:trHeight w:val="397"/>
          <w:jc w:val="center"/>
        </w:trPr>
        <w:tc>
          <w:tcPr>
            <w:tcW w:w="2083" w:type="pct"/>
            <w:vAlign w:val="center"/>
          </w:tcPr>
          <w:p w:rsidR="004A3868" w:rsidRDefault="003F1AB5">
            <w:pPr>
              <w:pStyle w:val="Style152"/>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729" w:type="pct"/>
            <w:vAlign w:val="bottom"/>
          </w:tcPr>
          <w:p w:rsidR="004A3868" w:rsidRDefault="003F1AB5">
            <w:pPr>
              <w:jc w:val="right"/>
              <w:rPr>
                <w:sz w:val="21"/>
                <w:szCs w:val="21"/>
              </w:rPr>
            </w:pPr>
            <w:r>
              <w:rPr>
                <w:sz w:val="21"/>
                <w:szCs w:val="21"/>
              </w:rPr>
              <w:t>8.04</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106.96</w:t>
            </w:r>
          </w:p>
        </w:tc>
        <w:tc>
          <w:tcPr>
            <w:tcW w:w="729" w:type="pct"/>
            <w:vAlign w:val="bottom"/>
          </w:tcPr>
          <w:p w:rsidR="004A3868" w:rsidRDefault="004A3868">
            <w:pPr>
              <w:jc w:val="right"/>
              <w:rPr>
                <w:sz w:val="21"/>
                <w:szCs w:val="21"/>
              </w:rPr>
            </w:pPr>
          </w:p>
        </w:tc>
      </w:tr>
      <w:tr w:rsidR="004A3868">
        <w:trPr>
          <w:trHeight w:val="397"/>
          <w:jc w:val="center"/>
        </w:trPr>
        <w:tc>
          <w:tcPr>
            <w:tcW w:w="2083" w:type="pct"/>
            <w:vAlign w:val="center"/>
          </w:tcPr>
          <w:p w:rsidR="004A3868" w:rsidRDefault="003F1AB5">
            <w:pPr>
              <w:pStyle w:val="Style152"/>
            </w:pPr>
            <w:r>
              <w:rPr>
                <w:rFonts w:hint="eastAsia"/>
              </w:rPr>
              <w:t>单独进行减值测试的应收款项减值准备转回</w:t>
            </w:r>
          </w:p>
        </w:tc>
        <w:tc>
          <w:tcPr>
            <w:tcW w:w="729" w:type="pct"/>
            <w:vAlign w:val="bottom"/>
          </w:tcPr>
          <w:p w:rsidR="004A3868" w:rsidRDefault="003F1AB5">
            <w:pPr>
              <w:jc w:val="right"/>
              <w:rPr>
                <w:sz w:val="21"/>
                <w:szCs w:val="21"/>
              </w:rPr>
            </w:pPr>
            <w:r>
              <w:rPr>
                <w:sz w:val="21"/>
                <w:szCs w:val="21"/>
              </w:rPr>
              <w:t>304.35</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228.86</w:t>
            </w:r>
          </w:p>
        </w:tc>
        <w:tc>
          <w:tcPr>
            <w:tcW w:w="729" w:type="pct"/>
            <w:vAlign w:val="bottom"/>
          </w:tcPr>
          <w:p w:rsidR="004A3868" w:rsidRDefault="003F1AB5">
            <w:pPr>
              <w:jc w:val="right"/>
              <w:rPr>
                <w:sz w:val="21"/>
                <w:szCs w:val="21"/>
              </w:rPr>
            </w:pPr>
            <w:r>
              <w:rPr>
                <w:sz w:val="21"/>
                <w:szCs w:val="21"/>
              </w:rPr>
              <w:t>280.12</w:t>
            </w:r>
          </w:p>
        </w:tc>
      </w:tr>
      <w:tr w:rsidR="004A3868">
        <w:trPr>
          <w:trHeight w:val="397"/>
          <w:jc w:val="center"/>
        </w:trPr>
        <w:tc>
          <w:tcPr>
            <w:tcW w:w="2083" w:type="pct"/>
            <w:vAlign w:val="center"/>
          </w:tcPr>
          <w:p w:rsidR="004A3868" w:rsidRDefault="003F1AB5">
            <w:pPr>
              <w:pStyle w:val="Style152"/>
            </w:pPr>
            <w:r>
              <w:t>除上述各项之外的其他营业外收入和支出</w:t>
            </w:r>
          </w:p>
        </w:tc>
        <w:tc>
          <w:tcPr>
            <w:tcW w:w="729" w:type="pct"/>
            <w:vAlign w:val="bottom"/>
          </w:tcPr>
          <w:p w:rsidR="004A3868" w:rsidRDefault="003F1AB5">
            <w:pPr>
              <w:jc w:val="right"/>
              <w:rPr>
                <w:sz w:val="21"/>
                <w:szCs w:val="21"/>
              </w:rPr>
            </w:pPr>
            <w:r>
              <w:rPr>
                <w:sz w:val="21"/>
                <w:szCs w:val="21"/>
              </w:rPr>
              <w:t>-278.03</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-113.31</w:t>
            </w:r>
          </w:p>
        </w:tc>
        <w:tc>
          <w:tcPr>
            <w:tcW w:w="729" w:type="pct"/>
            <w:vAlign w:val="bottom"/>
          </w:tcPr>
          <w:p w:rsidR="004A3868" w:rsidRDefault="003F1AB5">
            <w:pPr>
              <w:jc w:val="right"/>
              <w:rPr>
                <w:sz w:val="21"/>
                <w:szCs w:val="21"/>
              </w:rPr>
            </w:pPr>
            <w:r>
              <w:rPr>
                <w:sz w:val="21"/>
                <w:szCs w:val="21"/>
              </w:rPr>
              <w:t>-39.94</w:t>
            </w:r>
          </w:p>
        </w:tc>
      </w:tr>
      <w:tr w:rsidR="004A3868">
        <w:trPr>
          <w:trHeight w:val="397"/>
          <w:jc w:val="center"/>
        </w:trPr>
        <w:tc>
          <w:tcPr>
            <w:tcW w:w="2083" w:type="pct"/>
            <w:vAlign w:val="center"/>
          </w:tcPr>
          <w:p w:rsidR="004A3868" w:rsidRDefault="003F1AB5">
            <w:pPr>
              <w:pStyle w:val="Style152"/>
            </w:pPr>
            <w:r>
              <w:t>其他符合非经常性损益定义的损益项目</w:t>
            </w:r>
          </w:p>
        </w:tc>
        <w:tc>
          <w:tcPr>
            <w:tcW w:w="729" w:type="pct"/>
            <w:vAlign w:val="bottom"/>
          </w:tcPr>
          <w:p w:rsidR="004A3868" w:rsidRDefault="003F1AB5">
            <w:pPr>
              <w:jc w:val="right"/>
              <w:rPr>
                <w:sz w:val="21"/>
                <w:szCs w:val="21"/>
              </w:rPr>
            </w:pPr>
            <w:r>
              <w:rPr>
                <w:sz w:val="21"/>
                <w:szCs w:val="21"/>
              </w:rPr>
              <w:t>9.00</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809.02</w:t>
            </w:r>
          </w:p>
        </w:tc>
        <w:tc>
          <w:tcPr>
            <w:tcW w:w="729" w:type="pct"/>
            <w:vAlign w:val="bottom"/>
          </w:tcPr>
          <w:p w:rsidR="004A3868" w:rsidRDefault="004A3868">
            <w:pPr>
              <w:jc w:val="right"/>
              <w:rPr>
                <w:sz w:val="21"/>
                <w:szCs w:val="21"/>
              </w:rPr>
            </w:pPr>
          </w:p>
        </w:tc>
      </w:tr>
      <w:tr w:rsidR="004A3868">
        <w:trPr>
          <w:trHeight w:val="397"/>
          <w:jc w:val="center"/>
        </w:trPr>
        <w:tc>
          <w:tcPr>
            <w:tcW w:w="2083" w:type="pct"/>
            <w:vAlign w:val="center"/>
          </w:tcPr>
          <w:p w:rsidR="004A3868" w:rsidRDefault="003F1AB5">
            <w:pPr>
              <w:pStyle w:val="Style152"/>
            </w:pPr>
            <w:r>
              <w:rPr>
                <w:rFonts w:hint="eastAsia"/>
              </w:rPr>
              <w:t>减：</w:t>
            </w:r>
            <w:r>
              <w:t>所得税影响额</w:t>
            </w:r>
          </w:p>
        </w:tc>
        <w:tc>
          <w:tcPr>
            <w:tcW w:w="729" w:type="pct"/>
            <w:vAlign w:val="bottom"/>
          </w:tcPr>
          <w:p w:rsidR="004A3868" w:rsidRDefault="003F1AB5">
            <w:pPr>
              <w:jc w:val="right"/>
              <w:rPr>
                <w:sz w:val="21"/>
                <w:szCs w:val="21"/>
              </w:rPr>
            </w:pPr>
            <w:r>
              <w:rPr>
                <w:rFonts w:hint="eastAsia"/>
                <w:sz w:val="21"/>
                <w:szCs w:val="21"/>
              </w:rPr>
              <w:t>1</w:t>
            </w:r>
            <w:r>
              <w:rPr>
                <w:sz w:val="21"/>
                <w:szCs w:val="21"/>
              </w:rPr>
              <w:t>65.65</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224.97</w:t>
            </w:r>
          </w:p>
        </w:tc>
        <w:tc>
          <w:tcPr>
            <w:tcW w:w="729" w:type="pct"/>
            <w:vAlign w:val="bottom"/>
          </w:tcPr>
          <w:p w:rsidR="004A3868" w:rsidRDefault="003F1AB5">
            <w:pPr>
              <w:jc w:val="right"/>
              <w:rPr>
                <w:sz w:val="21"/>
                <w:szCs w:val="21"/>
              </w:rPr>
            </w:pPr>
            <w:r>
              <w:rPr>
                <w:sz w:val="21"/>
                <w:szCs w:val="21"/>
              </w:rPr>
              <w:t>118.82</w:t>
            </w:r>
          </w:p>
        </w:tc>
      </w:tr>
      <w:tr w:rsidR="004A3868">
        <w:trPr>
          <w:trHeight w:val="397"/>
          <w:jc w:val="center"/>
        </w:trPr>
        <w:tc>
          <w:tcPr>
            <w:tcW w:w="2083" w:type="pct"/>
            <w:vAlign w:val="center"/>
          </w:tcPr>
          <w:p w:rsidR="004A3868" w:rsidRDefault="003F1AB5">
            <w:pPr>
              <w:pStyle w:val="Style152"/>
            </w:pPr>
            <w:r>
              <w:t>少数股东权益影响额</w:t>
            </w:r>
            <w:r>
              <w:rPr>
                <w:rFonts w:hint="eastAsia"/>
              </w:rPr>
              <w:t>（税后）</w:t>
            </w:r>
          </w:p>
        </w:tc>
        <w:tc>
          <w:tcPr>
            <w:tcW w:w="729" w:type="pct"/>
            <w:vAlign w:val="bottom"/>
          </w:tcPr>
          <w:p w:rsidR="004A3868" w:rsidRDefault="003F1AB5">
            <w:pPr>
              <w:jc w:val="right"/>
              <w:rPr>
                <w:sz w:val="21"/>
                <w:szCs w:val="21"/>
              </w:rPr>
            </w:pPr>
            <w:r>
              <w:rPr>
                <w:sz w:val="21"/>
                <w:szCs w:val="21"/>
              </w:rPr>
              <w:t>25.03</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4.11</w:t>
            </w:r>
          </w:p>
        </w:tc>
        <w:tc>
          <w:tcPr>
            <w:tcW w:w="729" w:type="pct"/>
            <w:vAlign w:val="bottom"/>
          </w:tcPr>
          <w:p w:rsidR="004A3868" w:rsidRDefault="003F1AB5">
            <w:pPr>
              <w:jc w:val="right"/>
              <w:rPr>
                <w:sz w:val="21"/>
                <w:szCs w:val="21"/>
              </w:rPr>
            </w:pPr>
            <w:r>
              <w:rPr>
                <w:sz w:val="21"/>
                <w:szCs w:val="21"/>
              </w:rPr>
              <w:t>-0.18</w:t>
            </w:r>
          </w:p>
        </w:tc>
      </w:tr>
      <w:tr w:rsidR="004A3868">
        <w:trPr>
          <w:trHeight w:val="397"/>
          <w:jc w:val="center"/>
        </w:trPr>
        <w:tc>
          <w:tcPr>
            <w:tcW w:w="2083" w:type="pct"/>
            <w:vAlign w:val="center"/>
          </w:tcPr>
          <w:p w:rsidR="004A3868" w:rsidRDefault="003F1AB5">
            <w:pPr>
              <w:pStyle w:val="Style152"/>
            </w:pPr>
            <w:r>
              <w:lastRenderedPageBreak/>
              <w:t>合计</w:t>
            </w:r>
          </w:p>
        </w:tc>
        <w:tc>
          <w:tcPr>
            <w:tcW w:w="729" w:type="pct"/>
            <w:vAlign w:val="bottom"/>
          </w:tcPr>
          <w:p w:rsidR="004A3868" w:rsidRDefault="003F1AB5">
            <w:pPr>
              <w:jc w:val="right"/>
              <w:rPr>
                <w:sz w:val="21"/>
                <w:szCs w:val="21"/>
              </w:rPr>
            </w:pPr>
            <w:r>
              <w:rPr>
                <w:sz w:val="21"/>
                <w:szCs w:val="21"/>
              </w:rPr>
              <w:t>946.05</w:t>
            </w:r>
          </w:p>
        </w:tc>
        <w:tc>
          <w:tcPr>
            <w:tcW w:w="729" w:type="pct"/>
            <w:vAlign w:val="bottom"/>
          </w:tcPr>
          <w:p w:rsidR="004A3868" w:rsidRDefault="004A3868">
            <w:pPr>
              <w:jc w:val="right"/>
              <w:rPr>
                <w:sz w:val="21"/>
                <w:szCs w:val="21"/>
              </w:rPr>
            </w:pPr>
          </w:p>
        </w:tc>
        <w:tc>
          <w:tcPr>
            <w:tcW w:w="729" w:type="pct"/>
            <w:vAlign w:val="bottom"/>
          </w:tcPr>
          <w:p w:rsidR="004A3868" w:rsidRDefault="003F1AB5">
            <w:pPr>
              <w:jc w:val="right"/>
              <w:rPr>
                <w:sz w:val="21"/>
                <w:szCs w:val="21"/>
              </w:rPr>
            </w:pPr>
            <w:r>
              <w:rPr>
                <w:sz w:val="21"/>
                <w:szCs w:val="21"/>
              </w:rPr>
              <w:t>2,171.11</w:t>
            </w:r>
          </w:p>
        </w:tc>
        <w:tc>
          <w:tcPr>
            <w:tcW w:w="729" w:type="pct"/>
            <w:vAlign w:val="bottom"/>
          </w:tcPr>
          <w:p w:rsidR="004A3868" w:rsidRDefault="003F1AB5">
            <w:pPr>
              <w:jc w:val="right"/>
              <w:rPr>
                <w:sz w:val="21"/>
                <w:szCs w:val="21"/>
              </w:rPr>
            </w:pPr>
            <w:r>
              <w:rPr>
                <w:sz w:val="21"/>
                <w:szCs w:val="21"/>
              </w:rPr>
              <w:t>630.63</w:t>
            </w:r>
          </w:p>
        </w:tc>
      </w:tr>
      <w:bookmarkEnd w:id="14"/>
    </w:tbl>
    <w:p w:rsidR="004A3868" w:rsidRDefault="004A3868">
      <w:pPr>
        <w:pStyle w:val="Style1248"/>
      </w:pPr>
    </w:p>
    <w:p w:rsidR="004A3868" w:rsidRDefault="003F1AB5">
      <w:pPr>
        <w:pStyle w:val="Style1611"/>
        <w:ind w:firstLine="420"/>
      </w:pPr>
      <w:r>
        <w:rPr>
          <w:rFonts w:hint="eastAsia"/>
        </w:rPr>
        <w:t>对公司将《公开发行证券的公司信息披露解释性公告第</w:t>
      </w:r>
      <w: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bookmarkEnd w:id="15" w:displacedByCustomXml="next"/>
    <w:bookmarkStart w:id="16" w:name="_Hlk89096484" w:displacedByCustomXml="next"/>
    <w:bookmarkStart w:id="17" w:name="_Hlk41379873" w:displacedByCustomXml="next"/>
    <w:sdt>
      <w:sdtPr>
        <w:alias w:val="是否适用：将非经常性损益项目界定为经常性损益项目[双击切换]"/>
        <w:tag w:val="_GBC_a4930715ddcb47d484e7fbd516fb3ac1"/>
        <w:id w:val="1126353577"/>
        <w:lock w:val="sdtLocked"/>
        <w:placeholder>
          <w:docPart w:val="GBC22222222222222222222222222222"/>
        </w:placeholder>
      </w:sdtPr>
      <w:sdtEndPr/>
      <w:sdtContent>
        <w:p w:rsidR="004A3868" w:rsidRDefault="003F1AB5">
          <w:pPr>
            <w:pStyle w:val="Style1248"/>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7"/>
    <w:bookmarkEnd w:id="16"/>
    <w:p w:rsidR="004A3868" w:rsidRDefault="003F1AB5">
      <w:pPr>
        <w:pStyle w:val="Style1239"/>
        <w:numPr>
          <w:ilvl w:val="1"/>
          <w:numId w:val="15"/>
        </w:numPr>
      </w:pPr>
      <w:r>
        <w:rPr>
          <w:rFonts w:hint="eastAsia"/>
        </w:rPr>
        <w:t>采用公允价值计量的项目</w:t>
      </w:r>
    </w:p>
    <w:sdt>
      <w:sdtPr>
        <w:alias w:val="是否适用：采用公允价值计量的项目[双击切换]"/>
        <w:tag w:val="_GBC_e89d76d7486246e0ac1d3db15e4df008"/>
        <w:id w:val="333582445"/>
        <w:placeholder>
          <w:docPart w:val="GBC22222222222222222222222222222"/>
        </w:placeholder>
      </w:sdtPr>
      <w:sdtEndPr/>
      <w:sdtContent>
        <w:p w:rsidR="004A3868" w:rsidRDefault="003F1AB5">
          <w:pPr>
            <w:pStyle w:val="Style1248"/>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b"/>
        <w:ind w:firstLineChars="2900" w:firstLine="6090"/>
      </w:pPr>
      <w:r>
        <w:rPr>
          <w:rFonts w:hint="eastAsia"/>
        </w:rPr>
        <w:t>单位：</w:t>
      </w:r>
      <w:sdt>
        <w:sdtPr>
          <w:rPr>
            <w:rFonts w:hint="eastAsia"/>
          </w:rPr>
          <w:alias w:val="单位：采用公允价值计量的项目"/>
          <w:tag w:val="_GBC_3db790decc6f48c79df9bb825ea34c80"/>
          <w:id w:val="9472026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采用公允价值计量的项目"/>
          <w:tag w:val="_GBC_6f16a5f9084343f1b7cf46e770d31080"/>
          <w:id w:val="-3362355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5"/>
        <w:tblW w:w="5000" w:type="pct"/>
        <w:jc w:val="center"/>
        <w:tblInd w:w="0" w:type="dxa"/>
        <w:tblLayout w:type="fixed"/>
        <w:tblCellMar>
          <w:right w:w="28" w:type="dxa"/>
        </w:tblCellMar>
        <w:tblLook w:val="04A0" w:firstRow="1" w:lastRow="0" w:firstColumn="1" w:lastColumn="0" w:noHBand="0" w:noVBand="1"/>
      </w:tblPr>
      <w:tblGrid>
        <w:gridCol w:w="2643"/>
        <w:gridCol w:w="2022"/>
        <w:gridCol w:w="1409"/>
        <w:gridCol w:w="1572"/>
        <w:gridCol w:w="1177"/>
      </w:tblGrid>
      <w:tr w:rsidR="004A3868">
        <w:trPr>
          <w:trHeight w:val="397"/>
          <w:jc w:val="center"/>
        </w:trPr>
        <w:sdt>
          <w:sdtPr>
            <w:rPr>
              <w:rFonts w:ascii="Times New Roman" w:hAnsi="Times New Roman"/>
              <w:sz w:val="21"/>
              <w:szCs w:val="21"/>
            </w:rPr>
            <w:tag w:val="_PLD_7afb41bb6f11412490d2cf97e6a8af4a"/>
            <w:id w:val="-292132172"/>
            <w:lock w:val="sdtLocked"/>
          </w:sdtPr>
          <w:sdtEndPr/>
          <w:sdtContent>
            <w:tc>
              <w:tcPr>
                <w:tcW w:w="2547" w:type="dxa"/>
                <w:vAlign w:val="center"/>
              </w:tcPr>
              <w:p w:rsidR="004A3868" w:rsidRDefault="003F1AB5">
                <w:pPr>
                  <w:pStyle w:val="Style1237"/>
                  <w:jc w:val="center"/>
                  <w:rPr>
                    <w:sz w:val="21"/>
                    <w:szCs w:val="21"/>
                  </w:rPr>
                </w:pPr>
                <w:r>
                  <w:rPr>
                    <w:rFonts w:hint="eastAsia"/>
                    <w:sz w:val="21"/>
                    <w:szCs w:val="21"/>
                  </w:rPr>
                  <w:t>项目名称</w:t>
                </w:r>
              </w:p>
            </w:tc>
          </w:sdtContent>
        </w:sdt>
        <w:sdt>
          <w:sdtPr>
            <w:rPr>
              <w:rFonts w:ascii="Times New Roman" w:hAnsi="Times New Roman"/>
              <w:sz w:val="21"/>
              <w:szCs w:val="21"/>
            </w:rPr>
            <w:tag w:val="_PLD_da0df6228e264965b54ebbf01610457e"/>
            <w:id w:val="-709949912"/>
            <w:lock w:val="sdtLocked"/>
          </w:sdtPr>
          <w:sdtEndPr/>
          <w:sdtContent>
            <w:tc>
              <w:tcPr>
                <w:tcW w:w="1948" w:type="dxa"/>
                <w:vAlign w:val="center"/>
              </w:tcPr>
              <w:p w:rsidR="004A3868" w:rsidRDefault="003F1AB5">
                <w:pPr>
                  <w:pStyle w:val="Style1237"/>
                  <w:jc w:val="center"/>
                  <w:rPr>
                    <w:sz w:val="21"/>
                    <w:szCs w:val="21"/>
                  </w:rPr>
                </w:pPr>
                <w:r>
                  <w:rPr>
                    <w:rFonts w:hint="eastAsia"/>
                    <w:sz w:val="21"/>
                    <w:szCs w:val="21"/>
                  </w:rPr>
                  <w:t>期初余额</w:t>
                </w:r>
              </w:p>
            </w:tc>
          </w:sdtContent>
        </w:sdt>
        <w:sdt>
          <w:sdtPr>
            <w:rPr>
              <w:rFonts w:ascii="Times New Roman" w:hAnsi="Times New Roman"/>
              <w:sz w:val="21"/>
              <w:szCs w:val="21"/>
            </w:rPr>
            <w:tag w:val="_PLD_32f24a9a3da24799945b9be672e1778c"/>
            <w:id w:val="1959145125"/>
            <w:lock w:val="sdtLocked"/>
          </w:sdtPr>
          <w:sdtEndPr/>
          <w:sdtContent>
            <w:tc>
              <w:tcPr>
                <w:tcW w:w="1357" w:type="dxa"/>
                <w:vAlign w:val="center"/>
              </w:tcPr>
              <w:p w:rsidR="004A3868" w:rsidRDefault="003F1AB5">
                <w:pPr>
                  <w:pStyle w:val="Style1237"/>
                  <w:jc w:val="center"/>
                  <w:rPr>
                    <w:sz w:val="21"/>
                    <w:szCs w:val="21"/>
                  </w:rPr>
                </w:pPr>
                <w:r>
                  <w:rPr>
                    <w:rFonts w:hint="eastAsia"/>
                    <w:sz w:val="21"/>
                    <w:szCs w:val="21"/>
                  </w:rPr>
                  <w:t>期末余额</w:t>
                </w:r>
              </w:p>
            </w:tc>
          </w:sdtContent>
        </w:sdt>
        <w:sdt>
          <w:sdtPr>
            <w:rPr>
              <w:rFonts w:ascii="Times New Roman" w:hAnsi="Times New Roman"/>
              <w:sz w:val="21"/>
              <w:szCs w:val="21"/>
            </w:rPr>
            <w:tag w:val="_PLD_e96c7ea54e9845adafdee1a3e4d1777a"/>
            <w:id w:val="-945312518"/>
            <w:lock w:val="sdtLocked"/>
          </w:sdtPr>
          <w:sdtEndPr/>
          <w:sdtContent>
            <w:tc>
              <w:tcPr>
                <w:tcW w:w="1514" w:type="dxa"/>
                <w:vAlign w:val="center"/>
              </w:tcPr>
              <w:p w:rsidR="004A3868" w:rsidRDefault="003F1AB5">
                <w:pPr>
                  <w:pStyle w:val="Style1237"/>
                  <w:jc w:val="center"/>
                  <w:rPr>
                    <w:sz w:val="21"/>
                    <w:szCs w:val="21"/>
                  </w:rPr>
                </w:pPr>
                <w:r>
                  <w:rPr>
                    <w:rFonts w:hint="eastAsia"/>
                    <w:sz w:val="21"/>
                    <w:szCs w:val="21"/>
                  </w:rPr>
                  <w:t>当期变动</w:t>
                </w:r>
              </w:p>
            </w:tc>
          </w:sdtContent>
        </w:sdt>
        <w:sdt>
          <w:sdtPr>
            <w:rPr>
              <w:rFonts w:ascii="Times New Roman" w:hAnsi="Times New Roman"/>
              <w:sz w:val="21"/>
              <w:szCs w:val="21"/>
            </w:rPr>
            <w:tag w:val="_PLD_1472a884c9f543dba7a82865e73f1536"/>
            <w:id w:val="1225875746"/>
            <w:lock w:val="sdtLocked"/>
          </w:sdtPr>
          <w:sdtEndPr/>
          <w:sdtContent>
            <w:tc>
              <w:tcPr>
                <w:tcW w:w="1134" w:type="dxa"/>
                <w:vAlign w:val="center"/>
              </w:tcPr>
              <w:p w:rsidR="004A3868" w:rsidRDefault="003F1AB5">
                <w:pPr>
                  <w:pStyle w:val="Style1237"/>
                  <w:jc w:val="center"/>
                  <w:rPr>
                    <w:sz w:val="21"/>
                    <w:szCs w:val="21"/>
                  </w:rPr>
                </w:pPr>
                <w:r>
                  <w:rPr>
                    <w:rFonts w:hint="eastAsia"/>
                    <w:sz w:val="21"/>
                    <w:szCs w:val="21"/>
                  </w:rPr>
                  <w:t>对当期利润的影响金额</w:t>
                </w:r>
              </w:p>
            </w:tc>
          </w:sdtContent>
        </w:sdt>
      </w:tr>
      <w:tr w:rsidR="004A3868">
        <w:trPr>
          <w:trHeight w:val="397"/>
          <w:jc w:val="center"/>
        </w:trPr>
        <w:tc>
          <w:tcPr>
            <w:tcW w:w="2547" w:type="dxa"/>
          </w:tcPr>
          <w:p w:rsidR="004A3868" w:rsidRDefault="003F1AB5">
            <w:pPr>
              <w:rPr>
                <w:rFonts w:asciiTheme="minorEastAsia" w:eastAsiaTheme="minorEastAsia" w:hAnsiTheme="minorEastAsia"/>
                <w:sz w:val="21"/>
                <w:szCs w:val="21"/>
              </w:rPr>
            </w:pPr>
            <w:r>
              <w:rPr>
                <w:sz w:val="21"/>
                <w:szCs w:val="21"/>
              </w:rPr>
              <w:t>交易性金融资产</w:t>
            </w:r>
          </w:p>
        </w:tc>
        <w:tc>
          <w:tcPr>
            <w:tcW w:w="1948" w:type="dxa"/>
            <w:vAlign w:val="bottom"/>
          </w:tcPr>
          <w:p w:rsidR="004A3868" w:rsidRDefault="003F1AB5">
            <w:pPr>
              <w:pStyle w:val="Style1618"/>
              <w:rPr>
                <w:rFonts w:asciiTheme="minorEastAsia" w:eastAsiaTheme="minorEastAsia" w:hAnsiTheme="minorEastAsia"/>
                <w:sz w:val="21"/>
                <w:szCs w:val="21"/>
              </w:rPr>
            </w:pPr>
            <w:r>
              <w:rPr>
                <w:sz w:val="21"/>
                <w:szCs w:val="21"/>
              </w:rPr>
              <w:t xml:space="preserve">3,002.14 </w:t>
            </w:r>
          </w:p>
        </w:tc>
        <w:tc>
          <w:tcPr>
            <w:tcW w:w="1357" w:type="dxa"/>
            <w:vAlign w:val="bottom"/>
          </w:tcPr>
          <w:p w:rsidR="004A3868" w:rsidRDefault="004A3868">
            <w:pPr>
              <w:pStyle w:val="Style1618"/>
              <w:rPr>
                <w:sz w:val="21"/>
                <w:szCs w:val="21"/>
              </w:rPr>
            </w:pPr>
          </w:p>
        </w:tc>
        <w:tc>
          <w:tcPr>
            <w:tcW w:w="1514" w:type="dxa"/>
            <w:vAlign w:val="bottom"/>
          </w:tcPr>
          <w:p w:rsidR="004A3868" w:rsidRDefault="003F1AB5">
            <w:pPr>
              <w:pStyle w:val="Style1618"/>
              <w:rPr>
                <w:rFonts w:asciiTheme="minorEastAsia" w:eastAsiaTheme="minorEastAsia" w:hAnsiTheme="minorEastAsia"/>
                <w:sz w:val="21"/>
                <w:szCs w:val="21"/>
              </w:rPr>
            </w:pPr>
            <w:r>
              <w:rPr>
                <w:sz w:val="21"/>
                <w:szCs w:val="21"/>
              </w:rPr>
              <w:t xml:space="preserve">3,002.14 </w:t>
            </w:r>
          </w:p>
        </w:tc>
        <w:tc>
          <w:tcPr>
            <w:tcW w:w="1134" w:type="dxa"/>
            <w:vAlign w:val="bottom"/>
          </w:tcPr>
          <w:p w:rsidR="004A3868" w:rsidRDefault="003F1AB5">
            <w:pPr>
              <w:pStyle w:val="Style1618"/>
              <w:rPr>
                <w:rFonts w:asciiTheme="minorEastAsia" w:eastAsiaTheme="minorEastAsia" w:hAnsiTheme="minorEastAsia"/>
                <w:sz w:val="21"/>
                <w:szCs w:val="21"/>
              </w:rPr>
            </w:pPr>
            <w:r>
              <w:rPr>
                <w:sz w:val="21"/>
                <w:szCs w:val="21"/>
              </w:rPr>
              <w:t xml:space="preserve"> 8.04 </w:t>
            </w:r>
          </w:p>
        </w:tc>
      </w:tr>
      <w:tr w:rsidR="004A3868">
        <w:trPr>
          <w:trHeight w:val="397"/>
          <w:jc w:val="center"/>
        </w:trPr>
        <w:tc>
          <w:tcPr>
            <w:tcW w:w="2547" w:type="dxa"/>
          </w:tcPr>
          <w:p w:rsidR="004A3868" w:rsidRDefault="003F1AB5">
            <w:pPr>
              <w:rPr>
                <w:rFonts w:asciiTheme="minorEastAsia" w:eastAsiaTheme="minorEastAsia" w:hAnsiTheme="minorEastAsia"/>
                <w:sz w:val="21"/>
                <w:szCs w:val="21"/>
              </w:rPr>
            </w:pPr>
            <w:r>
              <w:rPr>
                <w:sz w:val="21"/>
                <w:szCs w:val="21"/>
              </w:rPr>
              <w:t>应收款项融资</w:t>
            </w:r>
          </w:p>
        </w:tc>
        <w:tc>
          <w:tcPr>
            <w:tcW w:w="1948" w:type="dxa"/>
            <w:vAlign w:val="bottom"/>
          </w:tcPr>
          <w:p w:rsidR="004A3868" w:rsidRDefault="003F1AB5">
            <w:pPr>
              <w:pStyle w:val="Style1618"/>
              <w:rPr>
                <w:rFonts w:asciiTheme="minorEastAsia" w:eastAsiaTheme="minorEastAsia" w:hAnsiTheme="minorEastAsia"/>
                <w:sz w:val="21"/>
                <w:szCs w:val="21"/>
              </w:rPr>
            </w:pPr>
            <w:r>
              <w:rPr>
                <w:sz w:val="21"/>
                <w:szCs w:val="21"/>
              </w:rPr>
              <w:t xml:space="preserve">1,643.47 </w:t>
            </w:r>
          </w:p>
        </w:tc>
        <w:tc>
          <w:tcPr>
            <w:tcW w:w="1357" w:type="dxa"/>
            <w:vAlign w:val="bottom"/>
          </w:tcPr>
          <w:p w:rsidR="004A3868" w:rsidRDefault="003F1AB5">
            <w:pPr>
              <w:pStyle w:val="Style1618"/>
              <w:rPr>
                <w:rFonts w:asciiTheme="minorEastAsia" w:eastAsiaTheme="minorEastAsia" w:hAnsiTheme="minorEastAsia"/>
                <w:sz w:val="21"/>
                <w:szCs w:val="21"/>
              </w:rPr>
            </w:pPr>
            <w:r>
              <w:rPr>
                <w:sz w:val="21"/>
                <w:szCs w:val="21"/>
              </w:rPr>
              <w:t xml:space="preserve">1,224.47 </w:t>
            </w:r>
          </w:p>
        </w:tc>
        <w:tc>
          <w:tcPr>
            <w:tcW w:w="1514" w:type="dxa"/>
            <w:vAlign w:val="bottom"/>
          </w:tcPr>
          <w:p w:rsidR="004A3868" w:rsidRDefault="003F1AB5">
            <w:pPr>
              <w:pStyle w:val="Style1618"/>
              <w:rPr>
                <w:rFonts w:asciiTheme="minorEastAsia" w:eastAsiaTheme="minorEastAsia" w:hAnsiTheme="minorEastAsia"/>
                <w:sz w:val="21"/>
                <w:szCs w:val="21"/>
              </w:rPr>
            </w:pPr>
            <w:r>
              <w:rPr>
                <w:sz w:val="21"/>
                <w:szCs w:val="21"/>
              </w:rPr>
              <w:t xml:space="preserve">419.00 </w:t>
            </w:r>
          </w:p>
        </w:tc>
        <w:tc>
          <w:tcPr>
            <w:tcW w:w="1134" w:type="dxa"/>
            <w:vAlign w:val="bottom"/>
          </w:tcPr>
          <w:p w:rsidR="004A3868" w:rsidRDefault="003F1AB5">
            <w:pPr>
              <w:pStyle w:val="Style1618"/>
              <w:rPr>
                <w:sz w:val="21"/>
                <w:szCs w:val="21"/>
              </w:rPr>
            </w:pPr>
            <w:r>
              <w:rPr>
                <w:rFonts w:hint="eastAsia"/>
                <w:sz w:val="21"/>
                <w:szCs w:val="21"/>
              </w:rPr>
              <w:t>-</w:t>
            </w:r>
            <w:r>
              <w:rPr>
                <w:sz w:val="21"/>
                <w:szCs w:val="21"/>
              </w:rPr>
              <w:t>5.72</w:t>
            </w:r>
          </w:p>
        </w:tc>
      </w:tr>
      <w:tr w:rsidR="004A3868">
        <w:trPr>
          <w:trHeight w:val="397"/>
          <w:jc w:val="center"/>
        </w:trPr>
        <w:tc>
          <w:tcPr>
            <w:tcW w:w="2547" w:type="dxa"/>
            <w:tcBorders>
              <w:bottom w:val="single" w:sz="4" w:space="0" w:color="auto"/>
            </w:tcBorders>
            <w:vAlign w:val="center"/>
          </w:tcPr>
          <w:p w:rsidR="004A3868" w:rsidRDefault="003F1AB5">
            <w:pPr>
              <w:pStyle w:val="Style1237"/>
              <w:rPr>
                <w:sz w:val="21"/>
                <w:szCs w:val="21"/>
              </w:rPr>
            </w:pPr>
            <w:r>
              <w:rPr>
                <w:rFonts w:hint="eastAsia"/>
                <w:sz w:val="21"/>
                <w:szCs w:val="21"/>
              </w:rPr>
              <w:t>合计</w:t>
            </w:r>
          </w:p>
        </w:tc>
        <w:tc>
          <w:tcPr>
            <w:tcW w:w="1948" w:type="dxa"/>
            <w:vAlign w:val="bottom"/>
          </w:tcPr>
          <w:p w:rsidR="004A3868" w:rsidRDefault="003F1AB5">
            <w:pPr>
              <w:pStyle w:val="Style1618"/>
              <w:rPr>
                <w:rFonts w:asciiTheme="minorEastAsia" w:eastAsiaTheme="minorEastAsia" w:hAnsiTheme="minorEastAsia"/>
                <w:sz w:val="21"/>
                <w:szCs w:val="21"/>
              </w:rPr>
            </w:pPr>
            <w:r>
              <w:rPr>
                <w:sz w:val="21"/>
                <w:szCs w:val="21"/>
              </w:rPr>
              <w:t>4,645.61</w:t>
            </w:r>
          </w:p>
        </w:tc>
        <w:tc>
          <w:tcPr>
            <w:tcW w:w="1357" w:type="dxa"/>
            <w:vAlign w:val="bottom"/>
          </w:tcPr>
          <w:p w:rsidR="004A3868" w:rsidRDefault="003F1AB5">
            <w:pPr>
              <w:pStyle w:val="Style1618"/>
              <w:rPr>
                <w:rFonts w:asciiTheme="minorEastAsia" w:eastAsiaTheme="minorEastAsia" w:hAnsiTheme="minorEastAsia"/>
                <w:sz w:val="21"/>
                <w:szCs w:val="21"/>
              </w:rPr>
            </w:pPr>
            <w:r>
              <w:rPr>
                <w:sz w:val="21"/>
                <w:szCs w:val="21"/>
              </w:rPr>
              <w:t>1,224.47</w:t>
            </w:r>
          </w:p>
        </w:tc>
        <w:tc>
          <w:tcPr>
            <w:tcW w:w="1514" w:type="dxa"/>
            <w:vAlign w:val="bottom"/>
          </w:tcPr>
          <w:p w:rsidR="004A3868" w:rsidRDefault="003F1AB5">
            <w:pPr>
              <w:pStyle w:val="Style1618"/>
              <w:rPr>
                <w:rFonts w:asciiTheme="minorEastAsia" w:eastAsiaTheme="minorEastAsia" w:hAnsiTheme="minorEastAsia"/>
                <w:sz w:val="21"/>
                <w:szCs w:val="21"/>
              </w:rPr>
            </w:pPr>
            <w:r>
              <w:rPr>
                <w:sz w:val="21"/>
                <w:szCs w:val="21"/>
              </w:rPr>
              <w:t>3,421.14</w:t>
            </w:r>
          </w:p>
        </w:tc>
        <w:tc>
          <w:tcPr>
            <w:tcW w:w="1134" w:type="dxa"/>
            <w:vAlign w:val="bottom"/>
          </w:tcPr>
          <w:p w:rsidR="004A3868" w:rsidRDefault="003F1AB5">
            <w:pPr>
              <w:pStyle w:val="Style1618"/>
              <w:rPr>
                <w:rFonts w:asciiTheme="minorEastAsia" w:eastAsiaTheme="minorEastAsia" w:hAnsiTheme="minorEastAsia"/>
                <w:sz w:val="21"/>
                <w:szCs w:val="21"/>
              </w:rPr>
            </w:pPr>
            <w:r>
              <w:rPr>
                <w:sz w:val="21"/>
                <w:szCs w:val="21"/>
              </w:rPr>
              <w:t xml:space="preserve"> 2.32 </w:t>
            </w:r>
          </w:p>
        </w:tc>
      </w:tr>
    </w:tbl>
    <w:p w:rsidR="004A3868" w:rsidRDefault="004A3868">
      <w:pPr>
        <w:pStyle w:val="Style1248"/>
      </w:pPr>
    </w:p>
    <w:p w:rsidR="004A3868" w:rsidRDefault="003F1AB5">
      <w:pPr>
        <w:pStyle w:val="Style1239"/>
        <w:numPr>
          <w:ilvl w:val="1"/>
          <w:numId w:val="15"/>
        </w:numPr>
      </w:pPr>
      <w:r>
        <w:rPr>
          <w:rFonts w:hint="eastAsia"/>
        </w:rPr>
        <w:t>其他</w:t>
      </w:r>
    </w:p>
    <w:sdt>
      <w:sdtPr>
        <w:alias w:val="是否适用：公司简介和主要财务指标其他说明[双击切换]"/>
        <w:tag w:val="_GBC_ac20c9ad49eb470dba71a763f930572f"/>
        <w:id w:val="-1249416571"/>
        <w:placeholder>
          <w:docPart w:val="GBC22222222222222222222222222222"/>
        </w:placeholder>
      </w:sdtPr>
      <w:sdtEndPr/>
      <w:sdtContent>
        <w:p w:rsidR="004A3868" w:rsidRDefault="003F1AB5">
          <w:pPr>
            <w:pStyle w:val="Style1248"/>
          </w:pPr>
          <w:r>
            <w:rPr>
              <w:sz w:val="21"/>
              <w:szCs w:val="21"/>
            </w:rPr>
            <w:fldChar w:fldCharType="begin"/>
          </w:r>
          <w:r>
            <w:rPr>
              <w:sz w:val="21"/>
              <w:szCs w:val="21"/>
            </w:rPr>
            <w:instrText xml:space="preserve">MACROBUTTON  SnrToggleCheckbox □适用 </w:instrText>
          </w:r>
          <w:r>
            <w:rPr>
              <w:sz w:val="21"/>
              <w:szCs w:val="21"/>
            </w:rPr>
            <w:fldChar w:fldCharType="end"/>
          </w:r>
          <w:r>
            <w:fldChar w:fldCharType="begin"/>
          </w:r>
          <w:r>
            <w:instrText xml:space="preserve"> MACROBUTTON  SnrToggleCheckbox √不适用 </w:instrText>
          </w:r>
          <w:r>
            <w:fldChar w:fldCharType="end"/>
          </w:r>
        </w:p>
      </w:sdtContent>
    </w:sdt>
    <w:p w:rsidR="004A3868" w:rsidRDefault="004A3868">
      <w:pPr>
        <w:pStyle w:val="Style1248"/>
      </w:pPr>
    </w:p>
    <w:p w:rsidR="004A3868" w:rsidRDefault="003F1AB5">
      <w:pPr>
        <w:pStyle w:val="1"/>
      </w:pPr>
      <w:bookmarkStart w:id="18" w:name="_Toc164947202"/>
      <w:r>
        <w:rPr>
          <w:rFonts w:hint="eastAsia"/>
        </w:rPr>
        <w:t>管理层讨论与分析</w:t>
      </w:r>
      <w:bookmarkEnd w:id="18"/>
    </w:p>
    <w:p w:rsidR="004A3868" w:rsidRDefault="004A3868">
      <w:pPr>
        <w:pStyle w:val="Style124"/>
      </w:pPr>
    </w:p>
    <w:p w:rsidR="004A3868" w:rsidRDefault="003F1AB5">
      <w:pPr>
        <w:pStyle w:val="2"/>
      </w:pPr>
      <w:r>
        <w:rPr>
          <w:rFonts w:hint="eastAsia"/>
        </w:rPr>
        <w:t>经营情况</w:t>
      </w:r>
      <w:r>
        <w:t>讨论与分析</w:t>
      </w:r>
    </w:p>
    <w:p w:rsidR="004A3868" w:rsidRDefault="003F1AB5">
      <w:pPr>
        <w:pStyle w:val="afff1"/>
        <w:ind w:firstLine="420"/>
        <w:rPr>
          <w:szCs w:val="21"/>
        </w:rPr>
      </w:pPr>
      <w:r>
        <w:rPr>
          <w:rFonts w:hint="eastAsia"/>
          <w:szCs w:val="21"/>
        </w:rPr>
        <w:t>2023年，公司面临已经开工建设的八万吨高端磁性新材料项目、低铁损高磁感硅钢铁心智能制造项目以及110kV及以下节能型变压器智能化工厂技改等项目进入建设高峰的同时需要全力以赴完成现有生产装置安全稳定运行，确保各项产品保质保量按时交付的双重目标，通过全体员工勇于担当负责、追求卓越创新的奋斗精神，全面完成了项目建设和生产经营任务双目标。</w:t>
      </w:r>
    </w:p>
    <w:p w:rsidR="004A3868" w:rsidRDefault="003F1AB5">
      <w:pPr>
        <w:pStyle w:val="afff1"/>
        <w:ind w:firstLine="420"/>
        <w:rPr>
          <w:szCs w:val="21"/>
        </w:rPr>
      </w:pPr>
      <w:r>
        <w:rPr>
          <w:rFonts w:hint="eastAsia"/>
          <w:szCs w:val="21"/>
        </w:rPr>
        <w:t>2</w:t>
      </w:r>
      <w:r>
        <w:rPr>
          <w:szCs w:val="21"/>
        </w:rPr>
        <w:t>023</w:t>
      </w:r>
      <w:r>
        <w:rPr>
          <w:rFonts w:hint="eastAsia"/>
          <w:szCs w:val="21"/>
        </w:rPr>
        <w:t>年，公司抓住全球能源转型的有利时机，紧紧围绕公司的年度生产经营目标开展各项工作，通过全体望变人的共同努力，以“稳生产、拓市场、保基建、促增长”为工作方针；以“强基固本抓生产、项目建设平且顺、开源拓新扩市场、智能智造注新质、科研引领促创新、能力建设助发展”为工作主线；全面完成年初制定的各项生产经营及项目建设目标。</w:t>
      </w:r>
    </w:p>
    <w:p w:rsidR="004A3868" w:rsidRDefault="003F1AB5">
      <w:pPr>
        <w:pStyle w:val="afff1"/>
        <w:ind w:firstLine="420"/>
        <w:rPr>
          <w:szCs w:val="21"/>
        </w:rPr>
      </w:pPr>
      <w:r>
        <w:rPr>
          <w:rFonts w:hint="eastAsia"/>
          <w:szCs w:val="21"/>
        </w:rPr>
        <w:t>同时，公司通过积极赋予在建八万吨高端磁性新材料项目、低铁损高磁感硅钢铁心智能制造项目以及110kV及以下节能型变压器智能化工厂等相关项目产线智能化、智慧化“双智”功能，创新性配置各项生产要素，加速激活新质生产力，驱动公司创新发展；通过自建“综合零碳示范样板区”，用实际行动谱写瞭望变电气“绿色”“低碳”高质量发展的新篇章。</w:t>
      </w:r>
    </w:p>
    <w:p w:rsidR="004A3868" w:rsidRDefault="003F1AB5">
      <w:pPr>
        <w:pStyle w:val="afff1"/>
        <w:ind w:firstLine="420"/>
        <w:outlineLvl w:val="2"/>
        <w:rPr>
          <w:szCs w:val="21"/>
        </w:rPr>
      </w:pPr>
      <w:r>
        <w:rPr>
          <w:rFonts w:hint="eastAsia"/>
          <w:szCs w:val="21"/>
        </w:rPr>
        <w:t>（一）强基固本抓生产，齐头并进创佳绩</w:t>
      </w:r>
    </w:p>
    <w:p w:rsidR="004A3868" w:rsidRDefault="003F1AB5">
      <w:pPr>
        <w:pStyle w:val="afff1"/>
        <w:ind w:firstLine="420"/>
        <w:rPr>
          <w:szCs w:val="21"/>
        </w:rPr>
      </w:pPr>
      <w:r>
        <w:rPr>
          <w:rFonts w:hint="eastAsia"/>
          <w:szCs w:val="21"/>
        </w:rPr>
        <w:t>公司主营业务中的电力变压器、箱式变电站、其他成套设备属于输配电及控制设备业务；高</w:t>
      </w:r>
      <w:r>
        <w:rPr>
          <w:rFonts w:hint="eastAsia"/>
          <w:szCs w:val="21"/>
        </w:rPr>
        <w:lastRenderedPageBreak/>
        <w:t>磁感取向硅钢、一般取向硅钢产品属于取向硅钢业务。</w:t>
      </w:r>
    </w:p>
    <w:p w:rsidR="004A3868" w:rsidRDefault="003F1AB5">
      <w:pPr>
        <w:pStyle w:val="afff1"/>
        <w:ind w:firstLine="420"/>
        <w:outlineLvl w:val="3"/>
        <w:rPr>
          <w:szCs w:val="21"/>
        </w:rPr>
      </w:pPr>
      <w:r>
        <w:rPr>
          <w:rFonts w:hint="eastAsia"/>
          <w:szCs w:val="21"/>
        </w:rPr>
        <w:t>1、两大主业均坚持生产、基建两手抓两手都要硬的工作基调，确保公司基本盘稳定</w:t>
      </w:r>
    </w:p>
    <w:p w:rsidR="004A3868" w:rsidRDefault="003F1AB5">
      <w:pPr>
        <w:pStyle w:val="afff1"/>
        <w:ind w:firstLine="420"/>
        <w:rPr>
          <w:szCs w:val="21"/>
        </w:rPr>
      </w:pPr>
      <w:r>
        <w:rPr>
          <w:rFonts w:hint="eastAsia"/>
          <w:szCs w:val="21"/>
        </w:rPr>
        <w:t>2</w:t>
      </w:r>
      <w:r>
        <w:rPr>
          <w:szCs w:val="21"/>
        </w:rPr>
        <w:t>023</w:t>
      </w:r>
      <w:r>
        <w:rPr>
          <w:rFonts w:hint="eastAsia"/>
          <w:szCs w:val="21"/>
        </w:rPr>
        <w:t>年，公司经营管理层紧紧围绕年度生产经营目标，坚持强化现有生产装置“安、稳、长、满、优”的持续稳定运行，确保公司基本盘稳定；两大产业齐头并进，两大产业均坚持一手抓现有装置生产一手抓在建项目建设两手都要硬的总体工作部署，两大产业产量均创历史新高，是公司全面完成2023年生产经营任务的定心丸和稳定剂。在抓好生产经营的同时，公司有力推进了八万吨高端磁性新材料项目、110kV及以下节能型变压器智能化工厂技改项目等项目建设；实现了现有装置生产与新建项目建设两手抓两手都要硬的“双赢”局面。</w:t>
      </w:r>
    </w:p>
    <w:p w:rsidR="004A3868" w:rsidRDefault="003F1AB5">
      <w:pPr>
        <w:pStyle w:val="afff1"/>
        <w:ind w:firstLine="420"/>
        <w:outlineLvl w:val="3"/>
        <w:rPr>
          <w:szCs w:val="21"/>
        </w:rPr>
      </w:pPr>
      <w:r>
        <w:rPr>
          <w:rFonts w:hint="eastAsia"/>
          <w:szCs w:val="21"/>
        </w:rPr>
        <w:t>2、两大主业协同发挥优势，产业链优势进一步发挥，公司抗风险能力持续提升</w:t>
      </w:r>
    </w:p>
    <w:p w:rsidR="004A3868" w:rsidRDefault="003F1AB5">
      <w:pPr>
        <w:pStyle w:val="afff1"/>
        <w:ind w:firstLine="420"/>
        <w:rPr>
          <w:szCs w:val="21"/>
        </w:rPr>
      </w:pPr>
      <w:r>
        <w:rPr>
          <w:rFonts w:hint="eastAsia"/>
          <w:szCs w:val="21"/>
        </w:rPr>
        <w:t>2023年，公司在国内取向硅钢大量产能投放市场、销售价格持续下跌的激烈市场竞争环境下，仍然实现了两大业务产销量双双增长，尤其抓住了输配电行业持续景气的有利时机，全年实现营业总收入27.18亿元，同比增长7.57%。其中，输配电及其控制设备业务实现营业收入13.53亿元，同比增长38.52%；取向硅钢业务现在产量增加1</w:t>
      </w:r>
      <w:r>
        <w:rPr>
          <w:szCs w:val="21"/>
        </w:rPr>
        <w:t>.47</w:t>
      </w:r>
      <w:r>
        <w:rPr>
          <w:rFonts w:hint="eastAsia"/>
          <w:szCs w:val="21"/>
        </w:rPr>
        <w:t>万吨、销量增加</w:t>
      </w:r>
      <w:r>
        <w:rPr>
          <w:szCs w:val="21"/>
        </w:rPr>
        <w:t>0.87</w:t>
      </w:r>
      <w:r>
        <w:rPr>
          <w:rFonts w:hint="eastAsia"/>
          <w:szCs w:val="21"/>
        </w:rPr>
        <w:t>万吨的情况下，由于销售价格下降导致取向硅钢业务营业总收入同比下降13.14%。公司两大主营业务在面对激烈市场竞争的情况下所表现的增长态势，凸显了两大产业相互补充和依存的战略定位精准及产业链协同优势——公司主营业务不仅呈现出较强的行业竞争力，同时还具有较强的稳定性及抗风险能力。</w:t>
      </w:r>
    </w:p>
    <w:p w:rsidR="004A3868" w:rsidRDefault="003F1AB5">
      <w:pPr>
        <w:pStyle w:val="afff1"/>
        <w:ind w:firstLine="420"/>
        <w:outlineLvl w:val="3"/>
        <w:rPr>
          <w:szCs w:val="21"/>
        </w:rPr>
      </w:pPr>
      <w:r>
        <w:rPr>
          <w:rFonts w:hint="eastAsia"/>
          <w:szCs w:val="21"/>
        </w:rPr>
        <w:t>3、全年产销情况</w:t>
      </w:r>
    </w:p>
    <w:p w:rsidR="004A3868" w:rsidRDefault="003F1AB5">
      <w:pPr>
        <w:pStyle w:val="afff1"/>
        <w:ind w:firstLine="420"/>
        <w:outlineLvl w:val="4"/>
        <w:rPr>
          <w:szCs w:val="21"/>
        </w:rPr>
      </w:pPr>
      <w:r>
        <w:rPr>
          <w:rFonts w:hint="eastAsia"/>
          <w:szCs w:val="21"/>
        </w:rPr>
        <w:t>（</w:t>
      </w:r>
      <w:r>
        <w:rPr>
          <w:szCs w:val="21"/>
        </w:rPr>
        <w:t>1</w:t>
      </w:r>
      <w:r>
        <w:rPr>
          <w:rFonts w:hint="eastAsia"/>
          <w:szCs w:val="21"/>
        </w:rPr>
        <w:t>）输配电及控制设备</w:t>
      </w:r>
    </w:p>
    <w:p w:rsidR="004A3868" w:rsidRDefault="003F1AB5">
      <w:pPr>
        <w:pStyle w:val="afff1"/>
        <w:ind w:firstLine="420"/>
        <w:rPr>
          <w:szCs w:val="21"/>
        </w:rPr>
      </w:pPr>
      <w:r>
        <w:rPr>
          <w:rFonts w:hint="eastAsia"/>
          <w:szCs w:val="21"/>
        </w:rPr>
        <w:t>2</w:t>
      </w:r>
      <w:r>
        <w:rPr>
          <w:szCs w:val="21"/>
        </w:rPr>
        <w:t>023</w:t>
      </w:r>
      <w:r>
        <w:rPr>
          <w:rFonts w:hint="eastAsia"/>
          <w:szCs w:val="21"/>
        </w:rPr>
        <w:t>年，公司生产电力变压器1,133.25万kVA，较去年增加280.55万kVA，同比增长32.90%；全年生产箱式变电站1,557台，较去年增加419台，同比增长36.82%；全年生产成套电气设备10,101台/套，较去年增加610台/套，同比增长6.43%。</w:t>
      </w:r>
    </w:p>
    <w:p w:rsidR="004A3868" w:rsidRDefault="003F1AB5">
      <w:pPr>
        <w:pStyle w:val="afff1"/>
        <w:ind w:firstLine="420"/>
        <w:rPr>
          <w:szCs w:val="21"/>
        </w:rPr>
      </w:pPr>
      <w:r>
        <w:rPr>
          <w:rFonts w:hint="eastAsia"/>
          <w:szCs w:val="21"/>
        </w:rPr>
        <w:t>2</w:t>
      </w:r>
      <w:r>
        <w:rPr>
          <w:szCs w:val="21"/>
        </w:rPr>
        <w:t>023</w:t>
      </w:r>
      <w:r>
        <w:rPr>
          <w:rFonts w:hint="eastAsia"/>
          <w:szCs w:val="21"/>
        </w:rPr>
        <w:t>年，输配电及控制设备实现营业收入13.53亿元，同比增长38.52%。</w:t>
      </w:r>
    </w:p>
    <w:p w:rsidR="004A3868" w:rsidRDefault="003F1AB5">
      <w:pPr>
        <w:pStyle w:val="afff1"/>
        <w:ind w:firstLine="420"/>
        <w:outlineLvl w:val="4"/>
        <w:rPr>
          <w:szCs w:val="21"/>
        </w:rPr>
      </w:pPr>
      <w:r>
        <w:rPr>
          <w:rFonts w:hint="eastAsia"/>
          <w:szCs w:val="21"/>
        </w:rPr>
        <w:t>（</w:t>
      </w:r>
      <w:r>
        <w:rPr>
          <w:szCs w:val="21"/>
        </w:rPr>
        <w:t>2</w:t>
      </w:r>
      <w:r>
        <w:rPr>
          <w:rFonts w:hint="eastAsia"/>
          <w:szCs w:val="21"/>
        </w:rPr>
        <w:t>）取向硅钢</w:t>
      </w:r>
    </w:p>
    <w:p w:rsidR="004A3868" w:rsidRDefault="003F1AB5">
      <w:pPr>
        <w:pStyle w:val="afff1"/>
        <w:ind w:firstLine="420"/>
        <w:rPr>
          <w:szCs w:val="21"/>
        </w:rPr>
      </w:pPr>
      <w:r>
        <w:rPr>
          <w:rFonts w:hint="eastAsia"/>
          <w:szCs w:val="21"/>
        </w:rPr>
        <w:t>2</w:t>
      </w:r>
      <w:r>
        <w:rPr>
          <w:szCs w:val="21"/>
        </w:rPr>
        <w:t>023</w:t>
      </w:r>
      <w:r>
        <w:rPr>
          <w:rFonts w:hint="eastAsia"/>
          <w:szCs w:val="21"/>
        </w:rPr>
        <w:t>年，公司全年生产取向硅钢12.59万吨，较去年增加1.47万吨, 同比增长13.25%；全年实现营业收入12.93亿元，由于取向硅钢价格下降，在销售总量增加0</w:t>
      </w:r>
      <w:r>
        <w:rPr>
          <w:szCs w:val="21"/>
        </w:rPr>
        <w:t>.87</w:t>
      </w:r>
      <w:r>
        <w:rPr>
          <w:rFonts w:hint="eastAsia"/>
          <w:szCs w:val="21"/>
        </w:rPr>
        <w:t>万吨的同时营业收入同比下降13.14%。</w:t>
      </w:r>
    </w:p>
    <w:p w:rsidR="004A3868" w:rsidRDefault="003F1AB5">
      <w:pPr>
        <w:pStyle w:val="afff1"/>
        <w:ind w:firstLine="420"/>
        <w:outlineLvl w:val="2"/>
        <w:rPr>
          <w:szCs w:val="21"/>
        </w:rPr>
      </w:pPr>
      <w:r>
        <w:rPr>
          <w:rFonts w:hint="eastAsia"/>
          <w:szCs w:val="21"/>
        </w:rPr>
        <w:t>（二）项目建设平且顺，助力公司再奋进</w:t>
      </w:r>
    </w:p>
    <w:p w:rsidR="004A3868" w:rsidRDefault="003F1AB5">
      <w:pPr>
        <w:pStyle w:val="afff1"/>
        <w:ind w:firstLine="420"/>
        <w:rPr>
          <w:szCs w:val="21"/>
        </w:rPr>
      </w:pPr>
      <w:r>
        <w:rPr>
          <w:rFonts w:hint="eastAsia"/>
          <w:szCs w:val="21"/>
        </w:rPr>
        <w:t>2</w:t>
      </w:r>
      <w:r>
        <w:rPr>
          <w:szCs w:val="21"/>
        </w:rPr>
        <w:t>023</w:t>
      </w:r>
      <w:r>
        <w:rPr>
          <w:rFonts w:hint="eastAsia"/>
          <w:szCs w:val="21"/>
        </w:rPr>
        <w:t>年，公司多个建设项目平稳顺利按计划推进，新项目、新产能的陆续投产，为公司未来经营业绩不断开拓奋进打下了坚实的硬件基础。</w:t>
      </w:r>
    </w:p>
    <w:p w:rsidR="004A3868" w:rsidRDefault="003F1AB5">
      <w:pPr>
        <w:pStyle w:val="afff1"/>
        <w:ind w:firstLine="420"/>
        <w:outlineLvl w:val="3"/>
        <w:rPr>
          <w:szCs w:val="21"/>
        </w:rPr>
      </w:pPr>
      <w:r>
        <w:rPr>
          <w:rFonts w:hint="eastAsia"/>
          <w:szCs w:val="21"/>
        </w:rPr>
        <w:t>1、八万吨高端磁性新材料项目建设情况</w:t>
      </w:r>
    </w:p>
    <w:p w:rsidR="004A3868" w:rsidRDefault="003F1AB5">
      <w:pPr>
        <w:pStyle w:val="afff1"/>
        <w:ind w:firstLine="420"/>
        <w:rPr>
          <w:szCs w:val="21"/>
        </w:rPr>
      </w:pPr>
      <w:r>
        <w:rPr>
          <w:rFonts w:hint="eastAsia"/>
          <w:szCs w:val="21"/>
        </w:rPr>
        <w:lastRenderedPageBreak/>
        <w:t>八万吨高端磁性新材料项目于2022年7月份开工，截止2023年12月31日，三期产线除关键国外进口设备（例如激光刻痕、退火炉）外已全面投产；截止本报告披露日，德国进口激光刻痕设备已完成联动试车、已正常投入并线运行；德国进口退火炉设备已完成联动试车，现在处于调试工艺阶段，首批取向硅钢成品卷预计2024年4月底下线；至此，本项目进入全线调试阶段。</w:t>
      </w:r>
    </w:p>
    <w:p w:rsidR="004A3868" w:rsidRDefault="003F1AB5">
      <w:pPr>
        <w:pStyle w:val="afff1"/>
        <w:ind w:firstLine="420"/>
        <w:rPr>
          <w:szCs w:val="21"/>
        </w:rPr>
      </w:pPr>
      <w:r>
        <w:rPr>
          <w:rFonts w:hint="eastAsia"/>
          <w:szCs w:val="21"/>
        </w:rPr>
        <w:t>随着该项目的全面建成，公司高磁感取向硅钢的高牌号产品将大幅度提升，与同行龙头企业的差距正在逐步缩小，在取向硅钢行业的核心竞争力将进一步提升。</w:t>
      </w:r>
    </w:p>
    <w:p w:rsidR="004A3868" w:rsidRDefault="003F1AB5">
      <w:pPr>
        <w:pStyle w:val="afff1"/>
        <w:ind w:firstLine="420"/>
        <w:outlineLvl w:val="3"/>
        <w:rPr>
          <w:szCs w:val="21"/>
        </w:rPr>
      </w:pPr>
      <w:r>
        <w:rPr>
          <w:rFonts w:hint="eastAsia"/>
          <w:szCs w:val="21"/>
        </w:rPr>
        <w:t>2、低铁损高磁感硅钢铁心智能制造项目建设情况</w:t>
      </w:r>
    </w:p>
    <w:p w:rsidR="004A3868" w:rsidRDefault="003F1AB5">
      <w:pPr>
        <w:pStyle w:val="afff1"/>
        <w:ind w:firstLine="420"/>
        <w:rPr>
          <w:szCs w:val="21"/>
        </w:rPr>
      </w:pPr>
      <w:r>
        <w:rPr>
          <w:rFonts w:hint="eastAsia"/>
          <w:szCs w:val="21"/>
        </w:rPr>
        <w:t>低铁损高磁感硅钢铁心智能制造项目已于2023年投入使用，该项目是我国西南地区首个智能化硅钢剪配中心，已成为重庆市、区两级数字化工厂“新范本”，该项目的全面建成投产，进一步延展了公司的产业链优势和智能智造优势，为持续提升公司产品市场竞争力提供了有力的支持。</w:t>
      </w:r>
    </w:p>
    <w:p w:rsidR="004A3868" w:rsidRDefault="003F1AB5">
      <w:pPr>
        <w:pStyle w:val="afff1"/>
        <w:ind w:firstLine="420"/>
        <w:outlineLvl w:val="3"/>
        <w:rPr>
          <w:szCs w:val="21"/>
        </w:rPr>
      </w:pPr>
      <w:r>
        <w:rPr>
          <w:rFonts w:hint="eastAsia"/>
          <w:szCs w:val="21"/>
        </w:rPr>
        <w:t>3、110kV及以下节能型变压器智能化工厂技改项目建设情况</w:t>
      </w:r>
    </w:p>
    <w:p w:rsidR="004A3868" w:rsidRDefault="003F1AB5">
      <w:pPr>
        <w:pStyle w:val="afff1"/>
        <w:ind w:firstLine="420"/>
        <w:rPr>
          <w:szCs w:val="21"/>
        </w:rPr>
      </w:pPr>
      <w:r>
        <w:rPr>
          <w:rFonts w:hint="eastAsia"/>
          <w:szCs w:val="21"/>
        </w:rPr>
        <w:t xml:space="preserve">110kV及以下节能型变压器智能化工厂技改项目已于2023年8月开工建设；截止2023年12月31日，建筑工程已完成90%工程进度，设备定制合同全面完成，2024年1季度将进入设备交付安装高峰期，预计2024年4月底完成交付投入试生产。 </w:t>
      </w:r>
    </w:p>
    <w:p w:rsidR="004A3868" w:rsidRDefault="003F1AB5">
      <w:pPr>
        <w:pStyle w:val="afff1"/>
        <w:ind w:firstLine="420"/>
        <w:rPr>
          <w:szCs w:val="21"/>
        </w:rPr>
      </w:pPr>
      <w:r>
        <w:rPr>
          <w:rFonts w:hint="eastAsia"/>
          <w:szCs w:val="21"/>
        </w:rPr>
        <w:t>随着公司各在建项目的不断推进，公司产业链日趋完整，高磁感取向硅钢生产、低铁损高磁感硅钢铁心加工制造、更高电压等级电力变压器生产资质取得等延链补链项目顺利实施，为公司持续努力奋进提供了强有力的支撑。</w:t>
      </w:r>
    </w:p>
    <w:p w:rsidR="004A3868" w:rsidRDefault="003F1AB5">
      <w:pPr>
        <w:pStyle w:val="afff1"/>
        <w:ind w:firstLine="420"/>
        <w:outlineLvl w:val="2"/>
        <w:rPr>
          <w:szCs w:val="21"/>
        </w:rPr>
      </w:pPr>
      <w:r>
        <w:rPr>
          <w:rFonts w:hint="eastAsia"/>
          <w:szCs w:val="21"/>
        </w:rPr>
        <w:t>（三）开源拓新扩市场，营销永远在冲刺</w:t>
      </w:r>
    </w:p>
    <w:p w:rsidR="004A3868" w:rsidRDefault="003F1AB5">
      <w:pPr>
        <w:pStyle w:val="afff1"/>
        <w:ind w:firstLine="420"/>
        <w:rPr>
          <w:szCs w:val="21"/>
        </w:rPr>
      </w:pPr>
      <w:r>
        <w:rPr>
          <w:rFonts w:hint="eastAsia"/>
          <w:szCs w:val="21"/>
        </w:rPr>
        <w:t>2</w:t>
      </w:r>
      <w:r>
        <w:rPr>
          <w:szCs w:val="21"/>
        </w:rPr>
        <w:t>023</w:t>
      </w:r>
      <w:r>
        <w:rPr>
          <w:rFonts w:hint="eastAsia"/>
          <w:szCs w:val="21"/>
        </w:rPr>
        <w:t>年，公司取向硅钢产品终端使用国家从2022年的10个国家和地区进一步扩大到2023年的1</w:t>
      </w:r>
      <w:r>
        <w:rPr>
          <w:szCs w:val="21"/>
        </w:rPr>
        <w:t>5</w:t>
      </w:r>
      <w:r>
        <w:rPr>
          <w:rFonts w:hint="eastAsia"/>
          <w:szCs w:val="21"/>
        </w:rPr>
        <w:t>个国家和地区；销售大单获单能力进一步增强，两大产业大客户营业收入占比持续提升，为公司长期持续稳定发展奠定了坚实的客户基础。</w:t>
      </w:r>
    </w:p>
    <w:p w:rsidR="004A3868" w:rsidRDefault="003F1AB5">
      <w:pPr>
        <w:pStyle w:val="afff1"/>
        <w:ind w:firstLine="420"/>
        <w:outlineLvl w:val="3"/>
        <w:rPr>
          <w:szCs w:val="21"/>
        </w:rPr>
      </w:pPr>
      <w:r>
        <w:rPr>
          <w:szCs w:val="21"/>
        </w:rPr>
        <w:t>1</w:t>
      </w:r>
      <w:r>
        <w:rPr>
          <w:rFonts w:hint="eastAsia"/>
          <w:szCs w:val="21"/>
        </w:rPr>
        <w:t>、公司销售以“立足北京、辐射全国、走向世界”的战略指引为指导开展各项工作，营销战略转型初见成效</w:t>
      </w:r>
    </w:p>
    <w:p w:rsidR="004A3868" w:rsidRDefault="003F1AB5">
      <w:pPr>
        <w:pStyle w:val="afff1"/>
        <w:ind w:firstLine="420"/>
        <w:rPr>
          <w:szCs w:val="21"/>
        </w:rPr>
      </w:pPr>
      <w:r>
        <w:rPr>
          <w:rFonts w:hint="eastAsia"/>
          <w:szCs w:val="21"/>
        </w:rPr>
        <w:t>公司取向硅钢产品客户已经覆盖印度、土耳其、墨西哥、韩国、巴西、沙特等15个国家和地区，并与之建立了良好的合作关系，取向硅钢产品在国际上已经树立了“宝武、首、望”的良好品牌形象；2023年，公司取向硅钢出口实现营业收入2.74亿元，占取向硅钢营业收入的比例为21.18%。公司前述国家和地区的取向硅钢客户储备，为2024年八万吨高端磁性新材料项目全面投产打下了良好的市场基础。</w:t>
      </w:r>
    </w:p>
    <w:p w:rsidR="004A3868" w:rsidRDefault="003F1AB5">
      <w:pPr>
        <w:pStyle w:val="afff1"/>
        <w:ind w:firstLine="420"/>
        <w:outlineLvl w:val="3"/>
        <w:rPr>
          <w:szCs w:val="21"/>
        </w:rPr>
      </w:pPr>
      <w:r>
        <w:rPr>
          <w:szCs w:val="21"/>
        </w:rPr>
        <w:t>2</w:t>
      </w:r>
      <w:r>
        <w:rPr>
          <w:rFonts w:hint="eastAsia"/>
          <w:szCs w:val="21"/>
        </w:rPr>
        <w:t>、输配电及控制设备大单获单能力进一步提升，大客户占比持续提升</w:t>
      </w:r>
    </w:p>
    <w:p w:rsidR="004A3868" w:rsidRDefault="003F1AB5">
      <w:pPr>
        <w:pStyle w:val="afff1"/>
        <w:ind w:firstLine="420"/>
        <w:rPr>
          <w:szCs w:val="21"/>
        </w:rPr>
      </w:pPr>
      <w:r>
        <w:rPr>
          <w:rFonts w:hint="eastAsia"/>
          <w:szCs w:val="21"/>
        </w:rPr>
        <w:lastRenderedPageBreak/>
        <w:t>公司持续拓展输配电及控制设备的大型央企、国企及上市公司客户，2023年前十客户营业收入占比达到44.90%，较去年增加6</w:t>
      </w:r>
      <w:r>
        <w:rPr>
          <w:szCs w:val="21"/>
        </w:rPr>
        <w:t>.04</w:t>
      </w:r>
      <w:r>
        <w:rPr>
          <w:rFonts w:hint="eastAsia"/>
          <w:szCs w:val="21"/>
        </w:rPr>
        <w:t>个百分点，公司输配电业务客户转型成效显著。</w:t>
      </w:r>
    </w:p>
    <w:p w:rsidR="004A3868" w:rsidRDefault="003F1AB5">
      <w:pPr>
        <w:pStyle w:val="afff1"/>
        <w:ind w:firstLine="420"/>
        <w:outlineLvl w:val="3"/>
        <w:rPr>
          <w:szCs w:val="21"/>
        </w:rPr>
      </w:pPr>
      <w:r>
        <w:rPr>
          <w:szCs w:val="21"/>
        </w:rPr>
        <w:t>3</w:t>
      </w:r>
      <w:r>
        <w:rPr>
          <w:rFonts w:hint="eastAsia"/>
          <w:szCs w:val="21"/>
        </w:rPr>
        <w:t>、公司积极拓展输配电及控制设备产品在太阳能、风能、储能、人工智能、汽车充电桩和5G基站建设等新能源新基建领域的运用，2</w:t>
      </w:r>
      <w:r>
        <w:rPr>
          <w:szCs w:val="21"/>
        </w:rPr>
        <w:t>023</w:t>
      </w:r>
      <w:r>
        <w:rPr>
          <w:rFonts w:hint="eastAsia"/>
          <w:szCs w:val="21"/>
        </w:rPr>
        <w:t>年前述领域客户营业收入占比为2</w:t>
      </w:r>
      <w:r>
        <w:rPr>
          <w:szCs w:val="21"/>
        </w:rPr>
        <w:t>4.85</w:t>
      </w:r>
      <w:r>
        <w:rPr>
          <w:rFonts w:hint="eastAsia"/>
          <w:szCs w:val="21"/>
        </w:rPr>
        <w:t>%，较去年增加3</w:t>
      </w:r>
      <w:r>
        <w:rPr>
          <w:szCs w:val="21"/>
        </w:rPr>
        <w:t>.36</w:t>
      </w:r>
      <w:r>
        <w:rPr>
          <w:rFonts w:hint="eastAsia"/>
          <w:szCs w:val="21"/>
        </w:rPr>
        <w:t>个百分点。</w:t>
      </w:r>
    </w:p>
    <w:p w:rsidR="004A3868" w:rsidRDefault="003F1AB5">
      <w:pPr>
        <w:pStyle w:val="afff1"/>
        <w:ind w:firstLine="420"/>
        <w:rPr>
          <w:szCs w:val="21"/>
        </w:rPr>
      </w:pPr>
      <w:r>
        <w:rPr>
          <w:rFonts w:hint="eastAsia"/>
          <w:szCs w:val="21"/>
        </w:rPr>
        <w:t>综上，望变电气的营销队伍永远是一支勇于担当、冲锋在前的排头兵，公司经营业绩，特别是输配电及控制设备业务营业收入能长期维持2</w:t>
      </w:r>
      <w:r>
        <w:rPr>
          <w:szCs w:val="21"/>
        </w:rPr>
        <w:t>6.49%</w:t>
      </w:r>
      <w:r>
        <w:rPr>
          <w:rFonts w:hint="eastAsia"/>
          <w:szCs w:val="21"/>
        </w:rPr>
        <w:t>的快速复合增长，与公司有一支能打胜仗的营销队伍密不可分。</w:t>
      </w:r>
    </w:p>
    <w:p w:rsidR="004A3868" w:rsidRDefault="003F1AB5">
      <w:pPr>
        <w:pStyle w:val="afff1"/>
        <w:ind w:firstLine="420"/>
        <w:outlineLvl w:val="2"/>
        <w:rPr>
          <w:szCs w:val="21"/>
        </w:rPr>
      </w:pPr>
      <w:r>
        <w:rPr>
          <w:rFonts w:hint="eastAsia"/>
          <w:szCs w:val="21"/>
        </w:rPr>
        <w:t>（四）智能智造注新质，持续发展添活力</w:t>
      </w:r>
    </w:p>
    <w:p w:rsidR="004A3868" w:rsidRDefault="003F1AB5">
      <w:pPr>
        <w:pStyle w:val="afff1"/>
        <w:ind w:firstLine="420"/>
        <w:rPr>
          <w:szCs w:val="21"/>
        </w:rPr>
      </w:pPr>
      <w:r>
        <w:rPr>
          <w:rFonts w:hint="eastAsia"/>
          <w:szCs w:val="21"/>
        </w:rPr>
        <w:t>习近平总书记在党的二十大报告中强调，“高质量发展是全面建设社会主义现代化国家的首要任务”；原国家发展改革委主任何立峰在学习《高质量发展是全面建设社会主义现代化国家的首要任务（认真学习宣传贯彻党的二十大精神）》的心得中提到“</w:t>
      </w:r>
      <w:r>
        <w:rPr>
          <w:rFonts w:hint="eastAsia"/>
          <w:color w:val="333333"/>
          <w:szCs w:val="21"/>
          <w:shd w:val="clear" w:color="auto" w:fill="FFFFFF"/>
        </w:rPr>
        <w:t>把增强产业链韧性和竞争力放在更加重要的位置，着力打造自主可控、安全可靠的产业链供应链。深入实施质量强国建设和产业基础再造工程，加快发展先进制造业集群，壮大智能制造、生命健康、新材料等战略性新兴产业，做大做强做优数字经济，深入推进传统产业数字化转型和数字产业创新发展。”</w:t>
      </w:r>
      <w:r>
        <w:rPr>
          <w:rFonts w:hint="eastAsia"/>
          <w:szCs w:val="21"/>
        </w:rPr>
        <w:t>是实现高质量发展的具体工作措施之一。</w:t>
      </w:r>
    </w:p>
    <w:p w:rsidR="004A3868" w:rsidRDefault="003F1AB5">
      <w:pPr>
        <w:pStyle w:val="afff1"/>
        <w:ind w:firstLine="420"/>
        <w:rPr>
          <w:szCs w:val="21"/>
        </w:rPr>
      </w:pPr>
      <w:r>
        <w:rPr>
          <w:rFonts w:hint="eastAsia"/>
          <w:szCs w:val="21"/>
        </w:rPr>
        <w:t>习总书记关于加快培育和发展新质生产力的论述，是新时代全面把握新一轮科技革命突破方向，推动生产力高质量发展，全面推进中国式现代化建设的理论指导和行动指南；新质生产力是新质态的先进生产力，其构成要素具有新质态，核心要素是创新，包括理念创新、科技创新、产业创新、管理创新、文化创新、制度创新等。</w:t>
      </w:r>
    </w:p>
    <w:p w:rsidR="004A3868" w:rsidRDefault="003F1AB5">
      <w:pPr>
        <w:pStyle w:val="afff1"/>
        <w:ind w:firstLine="420"/>
        <w:rPr>
          <w:szCs w:val="21"/>
        </w:rPr>
      </w:pPr>
      <w:r>
        <w:rPr>
          <w:rFonts w:hint="eastAsia"/>
          <w:szCs w:val="21"/>
        </w:rPr>
        <w:t>望变电气在新建改建相关项目建设过程中，大力推进现代化产业体系建设，新建产线在设计之初就全面统筹机器、产业工人、生产过程管控、物流信息、上下游供应商和客户、市场等相关大数据采集、人工智能运用等技术的深度融合，实现了数字经济和实体经济融合发展；实现了科技创新和产业创新，有效注入并激活各项新质生产力。充分发挥公司创新主导作用，以科技创新推动产业创新，加快推进新型工业化建设，提高全要素生产率，不断塑造发展新动能、新优势，促进公司新质生产力向更高水平跃升。</w:t>
      </w:r>
    </w:p>
    <w:p w:rsidR="004A3868" w:rsidRDefault="003F1AB5">
      <w:pPr>
        <w:pStyle w:val="afff1"/>
        <w:ind w:firstLine="420"/>
        <w:rPr>
          <w:szCs w:val="21"/>
        </w:rPr>
      </w:pPr>
      <w:r>
        <w:rPr>
          <w:rFonts w:hint="eastAsia"/>
          <w:szCs w:val="21"/>
        </w:rPr>
        <w:t>2</w:t>
      </w:r>
      <w:r>
        <w:rPr>
          <w:szCs w:val="21"/>
        </w:rPr>
        <w:t>023</w:t>
      </w:r>
      <w:r>
        <w:rPr>
          <w:rFonts w:hint="eastAsia"/>
          <w:szCs w:val="21"/>
        </w:rPr>
        <w:t>年，公司高磁感取向硅钢智能工厂、低铁损高磁感硅钢铁心智能工厂陆续建成，正在建设的110kV及以下节能型变压器智能化工厂和智控设备及金属制品智能工厂等各智能化工厂正在通过引进先进工艺装备、搭载智能智造系统加速推进公司智能化和信息化建设，不断注入新质生产力，为公司持续发展添活力。</w:t>
      </w:r>
    </w:p>
    <w:p w:rsidR="004A3868" w:rsidRDefault="003F1AB5">
      <w:pPr>
        <w:pStyle w:val="afff1"/>
        <w:ind w:firstLine="420"/>
        <w:outlineLvl w:val="3"/>
        <w:rPr>
          <w:szCs w:val="21"/>
        </w:rPr>
      </w:pPr>
      <w:r>
        <w:rPr>
          <w:rFonts w:hint="eastAsia"/>
          <w:szCs w:val="21"/>
        </w:rPr>
        <w:t>1、高磁感取向硅钢智能工厂（一期）已初步建成投入试运行</w:t>
      </w:r>
    </w:p>
    <w:p w:rsidR="004A3868" w:rsidRDefault="003F1AB5">
      <w:pPr>
        <w:pStyle w:val="afff1"/>
        <w:ind w:firstLine="420"/>
        <w:rPr>
          <w:szCs w:val="21"/>
        </w:rPr>
      </w:pPr>
      <w:r>
        <w:rPr>
          <w:rFonts w:hint="eastAsia"/>
          <w:szCs w:val="21"/>
        </w:rPr>
        <w:lastRenderedPageBreak/>
        <w:t>20</w:t>
      </w:r>
      <w:r>
        <w:rPr>
          <w:szCs w:val="21"/>
        </w:rPr>
        <w:t>23</w:t>
      </w:r>
      <w:r>
        <w:rPr>
          <w:rFonts w:hint="eastAsia"/>
          <w:szCs w:val="21"/>
        </w:rPr>
        <w:t>年，公司高磁感取向硅钢智能工厂（一期）工业互联网平台系统部署已经完成，可以提供数字化、网络化、智能化的需求服务；其中已建成的工业应用管理平台、数据资产管理平台、系统集成服务平台、智能IOT物联网数采平台等平台体系，向下能够对接海量工业设备，将数据汇聚到平台，向上能够提供模块化组件，支撑工业智能化应用的快速开发和部署；正在建设的取向硅钢MES平台在工业互联网平台的基础上，拥有计划排程、质量管理、工艺管理、成本能源介质管理、设备管理、仓储管理、安环管理、生产精益管理等智能化生产应用，同时实现数据及应用的统一管理及横向扩展。</w:t>
      </w:r>
    </w:p>
    <w:p w:rsidR="004A3868" w:rsidRDefault="003F1AB5">
      <w:pPr>
        <w:pStyle w:val="afff1"/>
        <w:ind w:firstLine="420"/>
        <w:outlineLvl w:val="3"/>
        <w:rPr>
          <w:szCs w:val="21"/>
        </w:rPr>
      </w:pPr>
      <w:r>
        <w:rPr>
          <w:rFonts w:hint="eastAsia"/>
          <w:szCs w:val="21"/>
        </w:rPr>
        <w:t>2、低铁损高磁感硅钢铁心工厂智能化和信息化平台已全面建成投入运用</w:t>
      </w:r>
    </w:p>
    <w:p w:rsidR="004A3868" w:rsidRDefault="003F1AB5">
      <w:pPr>
        <w:pStyle w:val="afff1"/>
        <w:ind w:firstLine="420"/>
        <w:rPr>
          <w:szCs w:val="21"/>
        </w:rPr>
      </w:pPr>
      <w:r>
        <w:rPr>
          <w:rFonts w:hint="eastAsia"/>
          <w:szCs w:val="21"/>
        </w:rPr>
        <w:t>2023年6月，公司建成低铁损高磁感硅钢铁心工厂智能化产线MES和WMS系统，创新性实现铁心原料溯源、技术设计配料、生产计划排产、排刀计划、发运安排、客户追踪等全流程数据采集信息化、人工操作智能化、设备运行自动化功能，充分发挥公司自主创新主导作用，以科技创新推动产业创新，加快推进新型工业化建设，提高全要素生产率，不断塑造发展新动能、新优势，促进公司新质生产力向更高水平跃升。</w:t>
      </w:r>
    </w:p>
    <w:p w:rsidR="004A3868" w:rsidRDefault="003F1AB5">
      <w:pPr>
        <w:pStyle w:val="afff1"/>
        <w:ind w:firstLine="420"/>
        <w:outlineLvl w:val="3"/>
        <w:rPr>
          <w:szCs w:val="21"/>
        </w:rPr>
      </w:pPr>
      <w:r>
        <w:rPr>
          <w:rFonts w:hint="eastAsia"/>
          <w:szCs w:val="21"/>
        </w:rPr>
        <w:t>3、“低碳”“绿色”打造零碳样板示范区，带动公司产品及服务向低碳化发展、绿色化转型、循环化利用、智慧化管理转型升级</w:t>
      </w:r>
    </w:p>
    <w:p w:rsidR="004A3868" w:rsidRDefault="003F1AB5">
      <w:pPr>
        <w:pStyle w:val="afff1"/>
        <w:ind w:firstLine="420"/>
        <w:rPr>
          <w:szCs w:val="21"/>
        </w:rPr>
      </w:pPr>
      <w:r>
        <w:rPr>
          <w:rFonts w:hint="eastAsia"/>
          <w:szCs w:val="21"/>
        </w:rPr>
        <w:t>公司深刻践行国家“双碳”战略、实施节能减排，在项目建设中落实“零碳”“绿色”双标准；将数字化、智慧化理念贯穿在零碳园区的规划、建设、运营管理的全过程；通过产业低碳化发展、能源绿色化转型、资源循环化利用、碳素智慧化管理等方法，实现碳排放与吸收的循环平衡，最终实现“零碳”目标。</w:t>
      </w:r>
    </w:p>
    <w:p w:rsidR="004A3868" w:rsidRDefault="003F1AB5">
      <w:pPr>
        <w:pStyle w:val="afff1"/>
        <w:ind w:firstLine="420"/>
        <w:rPr>
          <w:szCs w:val="21"/>
        </w:rPr>
      </w:pPr>
      <w:r>
        <w:rPr>
          <w:rFonts w:hint="eastAsia"/>
          <w:szCs w:val="21"/>
        </w:rPr>
        <w:t>公司通过自主研发的光伏箱变、充气柜等输配电及控制设备，利用无人机智慧运维系统、综合智慧能源管控平台、光储一体化智能配电系统、分布式并网电站、智慧路灯、智慧座椅、光伏车棚等智能产品和系统配套储能设施和充电桩，打造了涵盖光电、储能、智慧能源的“零碳”样板示范区，实现生产、生态、生活深度融合；通过样板示范区的示范效应，可以持续带动公司产品及服务向低碳化发展、绿色化转型、循环化利用、智慧化管理转型升级。</w:t>
      </w:r>
    </w:p>
    <w:p w:rsidR="004A3868" w:rsidRDefault="003F1AB5">
      <w:pPr>
        <w:pStyle w:val="afff1"/>
        <w:ind w:firstLine="420"/>
        <w:rPr>
          <w:szCs w:val="21"/>
        </w:rPr>
      </w:pPr>
      <w:r>
        <w:rPr>
          <w:rFonts w:hint="eastAsia"/>
          <w:szCs w:val="21"/>
        </w:rPr>
        <w:t>2</w:t>
      </w:r>
      <w:r>
        <w:rPr>
          <w:szCs w:val="21"/>
        </w:rPr>
        <w:t>023</w:t>
      </w:r>
      <w:r>
        <w:rPr>
          <w:rFonts w:hint="eastAsia"/>
          <w:szCs w:val="21"/>
        </w:rPr>
        <w:t>年，公司建成投运长寿区首个集光伏电站、充电站、储能电站为一体的综合零碳样板区。</w:t>
      </w:r>
    </w:p>
    <w:p w:rsidR="004A3868" w:rsidRDefault="003F1AB5">
      <w:pPr>
        <w:pStyle w:val="afff1"/>
        <w:ind w:firstLine="420"/>
      </w:pPr>
      <w:r>
        <w:rPr>
          <w:rFonts w:hint="eastAsia"/>
          <w:szCs w:val="21"/>
        </w:rPr>
        <w:t>2023年，公司荣获工信部评定的“国家绿色工厂”认证，未来公司将按照“1楼+1厂+1园区”的思路，着力打造零碳产业园。以建设重庆市数字工厂典范为契机，以零碳智慧综合示范园区建设为抓手，牵头打造并丰富应用场景，抢抓能源变革新机遇和绿色低碳发展窗口期；强化自身建设，自建绿色低碳样板，从绿色能源专业设备制造企业，延伸拓展技术咨询、工程总承包、设备运维、升级改造等全周期性服务，向低（零）碳绿色能源设备服务商转型；持续增加服务要素在投入和产出中的比重，结合自身优势，逐步掌握关键核心技术和自主创新能力，积极发展清洁能源。在全球能源转型和能源革命催生行业需求持续旺盛的市场大背景下，公司定当继续围绕新能</w:t>
      </w:r>
      <w:r>
        <w:rPr>
          <w:rFonts w:hint="eastAsia"/>
          <w:szCs w:val="21"/>
        </w:rPr>
        <w:lastRenderedPageBreak/>
        <w:t>源材料及装备产业，不断提升研发、制造及解决方案构建能力，主动作为、不辱使命、迎难而上，力争在全球能源转型和能源革命浪潮中发挥更大作用，展现更大作为！</w:t>
      </w:r>
    </w:p>
    <w:p w:rsidR="004A3868" w:rsidRDefault="003F1AB5">
      <w:pPr>
        <w:pStyle w:val="afff1"/>
        <w:ind w:firstLine="420"/>
        <w:outlineLvl w:val="2"/>
        <w:rPr>
          <w:szCs w:val="21"/>
        </w:rPr>
      </w:pPr>
      <w:r>
        <w:rPr>
          <w:rFonts w:hint="eastAsia"/>
          <w:szCs w:val="21"/>
        </w:rPr>
        <w:t>（五）科研引领促创新，后续发展可期待</w:t>
      </w:r>
    </w:p>
    <w:p w:rsidR="004A3868" w:rsidRDefault="003F1AB5">
      <w:pPr>
        <w:pStyle w:val="afff1"/>
        <w:ind w:firstLine="420"/>
        <w:rPr>
          <w:szCs w:val="21"/>
        </w:rPr>
      </w:pPr>
      <w:r>
        <w:rPr>
          <w:rFonts w:hint="eastAsia"/>
          <w:szCs w:val="21"/>
        </w:rPr>
        <w:t>2</w:t>
      </w:r>
      <w:r>
        <w:rPr>
          <w:szCs w:val="21"/>
        </w:rPr>
        <w:t>023</w:t>
      </w:r>
      <w:r>
        <w:rPr>
          <w:rFonts w:hint="eastAsia"/>
          <w:szCs w:val="21"/>
        </w:rPr>
        <w:t>年，公司持续加大研发投入，全年研发投入1.70亿元，同比增长70%；随着研发项目的陆续完成，以23QH085/23QH090牌号为代表的高端取向硅钢产品已研发成功并陆续实现销售，电力变压器二级能效产品、新型智能多功能低压开关设备、新能源箱变等输配电产品的迭代产品在国家电网和南方电网以及其他市场逐步推广使用，取向硅钢废钢制备先进电子软磁材料技术开发已经完成小试和中试。</w:t>
      </w:r>
    </w:p>
    <w:p w:rsidR="004A3868" w:rsidRDefault="003F1AB5">
      <w:pPr>
        <w:pStyle w:val="afff1"/>
        <w:ind w:firstLine="420"/>
        <w:rPr>
          <w:szCs w:val="21"/>
        </w:rPr>
      </w:pPr>
      <w:r>
        <w:rPr>
          <w:rFonts w:hint="eastAsia"/>
          <w:szCs w:val="21"/>
        </w:rPr>
        <w:t>同时，重庆市工业和信息化重点实验室、重庆总部研发基地等筑巢引凤的研发软硬件设施、设备已经投入使用，科研引领促创新，后续发展可期待。</w:t>
      </w:r>
    </w:p>
    <w:p w:rsidR="004A3868" w:rsidRDefault="003F1AB5">
      <w:pPr>
        <w:pStyle w:val="afff1"/>
        <w:ind w:firstLine="420"/>
        <w:rPr>
          <w:szCs w:val="21"/>
        </w:rPr>
      </w:pPr>
      <w:r>
        <w:rPr>
          <w:rFonts w:hint="eastAsia"/>
          <w:szCs w:val="21"/>
        </w:rPr>
        <w:t>2</w:t>
      </w:r>
      <w:r>
        <w:rPr>
          <w:szCs w:val="21"/>
        </w:rPr>
        <w:t>023</w:t>
      </w:r>
      <w:r>
        <w:rPr>
          <w:rFonts w:hint="eastAsia"/>
          <w:szCs w:val="21"/>
        </w:rPr>
        <w:t>年，公司持续加大创新合作力度，公司与中国钢铁研究总院、华菱钢铁、首钢股份、马钢股份、重庆大学、重庆理工大学、武汉科技大学、天通控股和汪卫华院士团队等科研院所、企业建立了良好的合作关系。2</w:t>
      </w:r>
      <w:r>
        <w:rPr>
          <w:szCs w:val="21"/>
        </w:rPr>
        <w:t>023</w:t>
      </w:r>
      <w:r>
        <w:rPr>
          <w:rFonts w:hint="eastAsia"/>
          <w:szCs w:val="21"/>
        </w:rPr>
        <w:t>年，公司新增申请专利44项，其中发明专利22项；获得专利授权12项，其中发明专利6项；获评“国家绿色工厂”“国家知识产权示范企业”“2023变压器十大创新标杆企业”“重庆市民营制造业100强”及“重庆市民营企业科技创新指数100强”等荣誉。</w:t>
      </w:r>
    </w:p>
    <w:p w:rsidR="004A3868" w:rsidRDefault="003F1AB5">
      <w:pPr>
        <w:pStyle w:val="afff1"/>
        <w:ind w:firstLine="420"/>
        <w:outlineLvl w:val="3"/>
        <w:rPr>
          <w:szCs w:val="21"/>
        </w:rPr>
      </w:pPr>
      <w:r>
        <w:rPr>
          <w:rFonts w:hint="eastAsia"/>
          <w:szCs w:val="21"/>
        </w:rPr>
        <w:t>1、高性能取向电工钢制备技术及工艺研究开发项目</w:t>
      </w:r>
    </w:p>
    <w:p w:rsidR="004A3868" w:rsidRDefault="003F1AB5">
      <w:pPr>
        <w:pStyle w:val="afff1"/>
        <w:ind w:firstLine="420"/>
        <w:rPr>
          <w:szCs w:val="21"/>
        </w:rPr>
      </w:pPr>
      <w:r>
        <w:rPr>
          <w:rFonts w:hint="eastAsia"/>
          <w:szCs w:val="21"/>
        </w:rPr>
        <w:t>“2035”强国战略目标已明确“低铁损高磁感取向硅钢”为国家重点发展新材料之一，对国家实施节能减排及变压器的升级换代具有重要的经济和社会效益。公司持续研究低铁损高磁感的高端取向硅钢产品，不断提升产品质量同时降低生产成本。</w:t>
      </w:r>
    </w:p>
    <w:p w:rsidR="004A3868" w:rsidRDefault="003F1AB5">
      <w:pPr>
        <w:pStyle w:val="afff1"/>
        <w:ind w:firstLine="420"/>
        <w:outlineLvl w:val="4"/>
        <w:rPr>
          <w:szCs w:val="21"/>
        </w:rPr>
      </w:pPr>
      <w:r>
        <w:rPr>
          <w:rFonts w:hint="eastAsia"/>
          <w:szCs w:val="21"/>
        </w:rPr>
        <w:t>（1）取向硅钢高牌号技术研究项目</w:t>
      </w:r>
    </w:p>
    <w:p w:rsidR="004A3868" w:rsidRDefault="003F1AB5">
      <w:pPr>
        <w:pStyle w:val="afff1"/>
        <w:ind w:firstLine="420"/>
        <w:rPr>
          <w:szCs w:val="21"/>
        </w:rPr>
      </w:pPr>
      <w:r>
        <w:rPr>
          <w:rFonts w:hint="eastAsia"/>
          <w:szCs w:val="21"/>
        </w:rPr>
        <w:t>为满足国家节能降耗的需求，公司加大低损耗高性能取向硅钢技术和工艺研发力度，基于取向硅钢现有1</w:t>
      </w:r>
      <w:r>
        <w:rPr>
          <w:szCs w:val="21"/>
        </w:rPr>
        <w:t>0</w:t>
      </w:r>
      <w:r>
        <w:rPr>
          <w:rFonts w:hint="eastAsia"/>
          <w:szCs w:val="21"/>
        </w:rPr>
        <w:t>万吨产线，全年共投入13批次的低温HiB钢的批量试制工作，实现0.20mm、0.23mm和0.27mm厚度规格产品稳定生产，突破了23QH080牌号的技术瓶颈，在取向硅钢高牌号研究项目上取得了重大突破，极大地提升了公司在电力变压器行业高端原材料的供应能力。随着该项目的持续研发，公司将进一步提升和优化取向硅钢产品的牌号结构。</w:t>
      </w:r>
    </w:p>
    <w:p w:rsidR="004A3868" w:rsidRDefault="003F1AB5">
      <w:pPr>
        <w:pStyle w:val="afff1"/>
        <w:ind w:firstLine="420"/>
        <w:outlineLvl w:val="4"/>
        <w:rPr>
          <w:szCs w:val="21"/>
        </w:rPr>
      </w:pPr>
      <w:r>
        <w:rPr>
          <w:rFonts w:hint="eastAsia"/>
          <w:szCs w:val="21"/>
        </w:rPr>
        <w:t>（2）取向硅钢工艺技术研究项目</w:t>
      </w:r>
    </w:p>
    <w:p w:rsidR="004A3868" w:rsidRDefault="003F1AB5">
      <w:pPr>
        <w:pStyle w:val="afff1"/>
        <w:ind w:firstLine="420"/>
        <w:rPr>
          <w:szCs w:val="21"/>
        </w:rPr>
      </w:pPr>
      <w:r>
        <w:rPr>
          <w:rFonts w:hint="eastAsia"/>
          <w:szCs w:val="21"/>
        </w:rPr>
        <w:t>2</w:t>
      </w:r>
      <w:r>
        <w:rPr>
          <w:szCs w:val="21"/>
        </w:rPr>
        <w:t>023</w:t>
      </w:r>
      <w:r>
        <w:rPr>
          <w:rFonts w:hint="eastAsia"/>
          <w:szCs w:val="21"/>
        </w:rPr>
        <w:t>年，公司实施了一次冷轧板引带焊接工艺、氧化镁含水率控制工艺、燃气式高温罩式退火炉工艺等相关工艺技术的研究，取向硅钢工艺技术得到不断改进和提升，为公司取向硅钢产品质量持续提升和成本不断优化提供了强力支持。</w:t>
      </w:r>
    </w:p>
    <w:p w:rsidR="004A3868" w:rsidRDefault="003F1AB5">
      <w:pPr>
        <w:pStyle w:val="afff1"/>
        <w:ind w:firstLine="420"/>
        <w:rPr>
          <w:szCs w:val="21"/>
        </w:rPr>
      </w:pPr>
      <w:r>
        <w:rPr>
          <w:rFonts w:hint="eastAsia"/>
          <w:szCs w:val="21"/>
        </w:rPr>
        <w:lastRenderedPageBreak/>
        <w:t>其中，一次冷轧板引带焊接工艺经过反复研究和探索，实现了HiB钢头尾焊接引带并满足轧制工艺的要求，该项目将取向硅钢的成材率提升0.5%以上。</w:t>
      </w:r>
    </w:p>
    <w:p w:rsidR="004A3868" w:rsidRDefault="003F1AB5">
      <w:pPr>
        <w:pStyle w:val="afff1"/>
        <w:ind w:firstLine="420"/>
        <w:rPr>
          <w:szCs w:val="21"/>
        </w:rPr>
      </w:pPr>
      <w:r>
        <w:rPr>
          <w:rFonts w:hint="eastAsia"/>
          <w:szCs w:val="21"/>
        </w:rPr>
        <w:t>氧化镁含水率控制工艺研究是基于与设备厂家共同合作开发的首台套国产化红外干燥炉成功投用，实现氧化镁含水率的精准控制，降低取向硅钢表面缺陷的发生率，降低表面让步率5%以上，确保公司持续为客户提供优质产品。</w:t>
      </w:r>
    </w:p>
    <w:p w:rsidR="004A3868" w:rsidRDefault="003F1AB5">
      <w:pPr>
        <w:pStyle w:val="afff1"/>
        <w:ind w:firstLine="420"/>
        <w:rPr>
          <w:szCs w:val="21"/>
        </w:rPr>
      </w:pPr>
      <w:r>
        <w:rPr>
          <w:rFonts w:hint="eastAsia"/>
          <w:szCs w:val="21"/>
        </w:rPr>
        <w:t>燃气式高温罩式退火炉工艺研究是基于现有的电加热高温罩式炉工艺，与设备供应商合作研发了国产首台套燃气式高温罩式炉，已实现一拖三式取向硅钢卷的高温退火生产，提高热能的利用率和生产效率。</w:t>
      </w:r>
    </w:p>
    <w:p w:rsidR="004A3868" w:rsidRDefault="003F1AB5">
      <w:pPr>
        <w:pStyle w:val="afff1"/>
        <w:ind w:firstLine="420"/>
        <w:outlineLvl w:val="3"/>
        <w:rPr>
          <w:szCs w:val="21"/>
        </w:rPr>
      </w:pPr>
      <w:bookmarkStart w:id="19" w:name="_Hlk163750610"/>
      <w:r>
        <w:rPr>
          <w:rFonts w:hint="eastAsia"/>
          <w:szCs w:val="21"/>
        </w:rPr>
        <w:t>2、取向硅钢废钢制备先进电子软磁材料技术开发项目</w:t>
      </w:r>
    </w:p>
    <w:bookmarkEnd w:id="19"/>
    <w:p w:rsidR="004A3868" w:rsidRDefault="003F1AB5">
      <w:pPr>
        <w:pStyle w:val="afff1"/>
        <w:ind w:firstLine="420"/>
        <w:rPr>
          <w:szCs w:val="21"/>
        </w:rPr>
      </w:pPr>
      <w:r>
        <w:rPr>
          <w:rFonts w:hint="eastAsia"/>
          <w:szCs w:val="21"/>
        </w:rPr>
        <w:t>公司取向硅钢在酸洗、冷轧、脱碳退火等工艺过程中会产生部分废料。为了提高原材料的综合利用效率，公司拟通过取向硅钢废钢制备先进电子软磁材料技术开发对取向硅钢余料进行二次开发利用，通过取向硅钢废钢制备先进电子软磁材料，打造新的利润增长点，拓宽取向硅钢产品的应用领域，实现节能减排绿色可持续发展。</w:t>
      </w:r>
    </w:p>
    <w:p w:rsidR="004A3868" w:rsidRDefault="003F1AB5">
      <w:pPr>
        <w:pStyle w:val="afff1"/>
        <w:ind w:firstLine="420"/>
        <w:rPr>
          <w:szCs w:val="21"/>
        </w:rPr>
      </w:pPr>
      <w:r>
        <w:rPr>
          <w:rFonts w:hint="eastAsia"/>
          <w:szCs w:val="21"/>
        </w:rPr>
        <w:t>2023年度，公司已全面打通从废料到磁性粉末的全部生产工艺路线；完成一条250KG级真空气雾化制粉装置的建设；已成功实现FeSi,FeSiAl和FeSiCr三种粉末的中试生产；已经通过用户的小批量试验认证；形成了特有的取向硅钢废料底层去除技术，属全球首创技术；为后续的产线建设奠定基础，为废钢循环经济利用开辟新的渠道。</w:t>
      </w:r>
    </w:p>
    <w:p w:rsidR="004A3868" w:rsidRDefault="003F1AB5">
      <w:pPr>
        <w:pStyle w:val="afff1"/>
        <w:ind w:firstLine="420"/>
        <w:rPr>
          <w:szCs w:val="21"/>
        </w:rPr>
      </w:pPr>
      <w:r>
        <w:rPr>
          <w:rFonts w:hint="eastAsia"/>
          <w:szCs w:val="21"/>
        </w:rPr>
        <w:t>上述项目的重大突破，为公司后续产业规划及发展奠定了坚实的技术基础。</w:t>
      </w:r>
    </w:p>
    <w:p w:rsidR="004A3868" w:rsidRDefault="003F1AB5">
      <w:pPr>
        <w:pStyle w:val="afff1"/>
        <w:ind w:firstLine="420"/>
        <w:outlineLvl w:val="2"/>
        <w:rPr>
          <w:szCs w:val="21"/>
        </w:rPr>
      </w:pPr>
      <w:r>
        <w:rPr>
          <w:rFonts w:hint="eastAsia"/>
          <w:szCs w:val="21"/>
        </w:rPr>
        <w:t>（六）能力建设助发展，自我革新创伟业</w:t>
      </w:r>
    </w:p>
    <w:p w:rsidR="004A3868" w:rsidRDefault="003F1AB5">
      <w:pPr>
        <w:pStyle w:val="afff1"/>
        <w:ind w:firstLine="420"/>
        <w:rPr>
          <w:szCs w:val="21"/>
        </w:rPr>
      </w:pPr>
      <w:r>
        <w:rPr>
          <w:rFonts w:hint="eastAsia"/>
          <w:szCs w:val="21"/>
        </w:rPr>
        <w:t>随着公司的高速发展，公司对现代化管理体系的需求日益增长。2</w:t>
      </w:r>
      <w:r>
        <w:rPr>
          <w:szCs w:val="21"/>
        </w:rPr>
        <w:t>023</w:t>
      </w:r>
      <w:r>
        <w:rPr>
          <w:rFonts w:hint="eastAsia"/>
          <w:szCs w:val="21"/>
        </w:rPr>
        <w:t>年，公司初步完成战略转型后的组织架构和体系建设框架，为公司稳定可持续发展提供了保障。</w:t>
      </w:r>
    </w:p>
    <w:p w:rsidR="004A3868" w:rsidRDefault="003F1AB5">
      <w:pPr>
        <w:pStyle w:val="afff1"/>
        <w:ind w:firstLine="420"/>
        <w:outlineLvl w:val="3"/>
        <w:rPr>
          <w:szCs w:val="21"/>
        </w:rPr>
      </w:pPr>
      <w:r>
        <w:rPr>
          <w:rFonts w:hint="eastAsia"/>
          <w:szCs w:val="21"/>
        </w:rPr>
        <w:t>1、积极宣传望变电气核心价值观和企业文化，公司文化建设卓有成效</w:t>
      </w:r>
    </w:p>
    <w:p w:rsidR="004A3868" w:rsidRDefault="003F1AB5">
      <w:pPr>
        <w:pStyle w:val="afff1"/>
        <w:ind w:firstLine="420"/>
        <w:rPr>
          <w:szCs w:val="21"/>
        </w:rPr>
      </w:pPr>
      <w:r>
        <w:rPr>
          <w:rFonts w:hint="eastAsia"/>
          <w:szCs w:val="21"/>
        </w:rPr>
        <w:t>公司通过微信公众号、企业新闻、各项组织培训等多渠道宣传望变电气核心价值观和企业文化，统一集团员工的思想意识和行为规范，以此加强望变电气不断发展过程中各型人才对望变电气文化的认同和归属，通过文化认同打造一支强有力的战斗队伍。</w:t>
      </w:r>
    </w:p>
    <w:p w:rsidR="004A3868" w:rsidRDefault="003F1AB5">
      <w:pPr>
        <w:pStyle w:val="afff1"/>
        <w:ind w:firstLine="420"/>
        <w:outlineLvl w:val="3"/>
        <w:rPr>
          <w:szCs w:val="21"/>
        </w:rPr>
      </w:pPr>
      <w:r>
        <w:rPr>
          <w:rFonts w:hint="eastAsia"/>
          <w:szCs w:val="21"/>
        </w:rPr>
        <w:t>2、适应公司发展需求，自我革新组织体系，深入推进组织机构建设和各项能力建设</w:t>
      </w:r>
    </w:p>
    <w:p w:rsidR="004A3868" w:rsidRDefault="003F1AB5">
      <w:pPr>
        <w:pStyle w:val="afff1"/>
        <w:ind w:firstLine="420"/>
        <w:rPr>
          <w:szCs w:val="21"/>
        </w:rPr>
      </w:pPr>
      <w:r>
        <w:rPr>
          <w:rFonts w:hint="eastAsia"/>
          <w:szCs w:val="21"/>
        </w:rPr>
        <w:t>2</w:t>
      </w:r>
      <w:r>
        <w:rPr>
          <w:szCs w:val="21"/>
        </w:rPr>
        <w:t>023</w:t>
      </w:r>
      <w:r>
        <w:rPr>
          <w:rFonts w:hint="eastAsia"/>
          <w:szCs w:val="21"/>
        </w:rPr>
        <w:t>年，公司以建立垂直的管理体系为导向，以机构改革为切入点，深入推进组织机构建设和各项能力建设，不断完善现代企业制度要求的组织体系和管理体系。</w:t>
      </w:r>
    </w:p>
    <w:p w:rsidR="004A3868" w:rsidRDefault="003F1AB5">
      <w:pPr>
        <w:pStyle w:val="afff1"/>
        <w:ind w:firstLine="420"/>
        <w:rPr>
          <w:szCs w:val="21"/>
        </w:rPr>
      </w:pPr>
      <w:r>
        <w:rPr>
          <w:rFonts w:hint="eastAsia"/>
          <w:szCs w:val="21"/>
        </w:rPr>
        <w:t>2</w:t>
      </w:r>
      <w:r>
        <w:rPr>
          <w:szCs w:val="21"/>
        </w:rPr>
        <w:t>023</w:t>
      </w:r>
      <w:r>
        <w:rPr>
          <w:rFonts w:hint="eastAsia"/>
          <w:szCs w:val="21"/>
        </w:rPr>
        <w:t>年，公司建立了以集团分管副职为主要责任人的垂直管理事业部和一级机构的垂直管理体系，全面撤并集团部分二级机构，减少基层组织汇报层级，快速提升公司各职能部门的反应速</w:t>
      </w:r>
      <w:r>
        <w:rPr>
          <w:rFonts w:hint="eastAsia"/>
          <w:szCs w:val="21"/>
        </w:rPr>
        <w:lastRenderedPageBreak/>
        <w:t>度。</w:t>
      </w:r>
    </w:p>
    <w:p w:rsidR="004A3868" w:rsidRDefault="003F1AB5">
      <w:pPr>
        <w:pStyle w:val="afff1"/>
        <w:ind w:firstLine="420"/>
        <w:outlineLvl w:val="3"/>
        <w:rPr>
          <w:szCs w:val="21"/>
        </w:rPr>
      </w:pPr>
      <w:r>
        <w:rPr>
          <w:rFonts w:hint="eastAsia"/>
          <w:szCs w:val="21"/>
        </w:rPr>
        <w:t>3、完善了与企业发展速度及规模相匹配的绩效考核体系和员工职业发展通道体系，公司运营管理能力持续提升</w:t>
      </w:r>
    </w:p>
    <w:p w:rsidR="004A3868" w:rsidRDefault="003F1AB5">
      <w:pPr>
        <w:pStyle w:val="afff1"/>
        <w:ind w:firstLine="420"/>
        <w:rPr>
          <w:szCs w:val="21"/>
        </w:rPr>
      </w:pPr>
      <w:r>
        <w:rPr>
          <w:rFonts w:hint="eastAsia"/>
          <w:szCs w:val="21"/>
        </w:rPr>
        <w:t>2</w:t>
      </w:r>
      <w:r>
        <w:rPr>
          <w:szCs w:val="21"/>
        </w:rPr>
        <w:t>023</w:t>
      </w:r>
      <w:r>
        <w:rPr>
          <w:rFonts w:hint="eastAsia"/>
          <w:szCs w:val="21"/>
        </w:rPr>
        <w:t>年，公司修正和完善了员工职业发展通道体系及与企业发展速度及规模相匹配的绩效考核体系，为职工提供了从入职到退休的全职业周期的成长空间，持续跟踪和对标市场薪酬水平，民主确定岗位价值，真正实现定薪有标准、涨薪有依据、调薪有规则、激励考核有标准、晋升有通道的体系建设。</w:t>
      </w:r>
    </w:p>
    <w:p w:rsidR="004A3868" w:rsidRDefault="003F1AB5">
      <w:pPr>
        <w:pStyle w:val="afff1"/>
        <w:ind w:firstLine="420"/>
        <w:rPr>
          <w:szCs w:val="21"/>
        </w:rPr>
      </w:pPr>
      <w:r>
        <w:rPr>
          <w:rFonts w:hint="eastAsia"/>
          <w:szCs w:val="21"/>
        </w:rPr>
        <w:t>公司持续完善制度和流程体系，做到办事有依据、考核有标准、执行有效率，持续提升预算精细化与业务的融合度，完善目标管理体系，优化评价标准。</w:t>
      </w:r>
    </w:p>
    <w:p w:rsidR="004A3868" w:rsidRDefault="003F1AB5">
      <w:pPr>
        <w:pStyle w:val="afff1"/>
        <w:ind w:firstLine="420"/>
        <w:outlineLvl w:val="3"/>
        <w:rPr>
          <w:szCs w:val="21"/>
        </w:rPr>
      </w:pPr>
      <w:r>
        <w:rPr>
          <w:rFonts w:hint="eastAsia"/>
          <w:szCs w:val="21"/>
        </w:rPr>
        <w:t>4、重塑供应链体系管理，与合作伙伴共创共建望变电气品牌，共享望变电气发展成果的理念得到广泛认可，供应商的管理能力进一步提升</w:t>
      </w:r>
    </w:p>
    <w:p w:rsidR="004A3868" w:rsidRDefault="003F1AB5">
      <w:pPr>
        <w:pStyle w:val="afff1"/>
        <w:ind w:firstLine="420"/>
        <w:rPr>
          <w:szCs w:val="21"/>
        </w:rPr>
      </w:pPr>
      <w:r>
        <w:rPr>
          <w:rFonts w:hint="eastAsia"/>
          <w:szCs w:val="21"/>
        </w:rPr>
        <w:t>2</w:t>
      </w:r>
      <w:r>
        <w:rPr>
          <w:szCs w:val="21"/>
        </w:rPr>
        <w:t>023</w:t>
      </w:r>
      <w:r>
        <w:rPr>
          <w:rFonts w:hint="eastAsia"/>
          <w:szCs w:val="21"/>
        </w:rPr>
        <w:t>年，公司优化了集团供应商统筹机制，定期或不定期开展供应商履约能力评估；完成</w:t>
      </w:r>
      <w:r>
        <w:rPr>
          <w:szCs w:val="21"/>
        </w:rPr>
        <w:t>550</w:t>
      </w:r>
      <w:r>
        <w:rPr>
          <w:rFonts w:hint="eastAsia"/>
          <w:szCs w:val="21"/>
        </w:rPr>
        <w:t>余家供应商路线图优化，淘汰约</w:t>
      </w:r>
      <w:r>
        <w:rPr>
          <w:szCs w:val="21"/>
        </w:rPr>
        <w:t>80</w:t>
      </w:r>
      <w:r>
        <w:rPr>
          <w:rFonts w:hint="eastAsia"/>
          <w:szCs w:val="21"/>
        </w:rPr>
        <w:t>家供应商，引进重点供应商4</w:t>
      </w:r>
      <w:r>
        <w:rPr>
          <w:szCs w:val="21"/>
        </w:rPr>
        <w:t>0</w:t>
      </w:r>
      <w:r>
        <w:rPr>
          <w:rFonts w:hint="eastAsia"/>
          <w:szCs w:val="21"/>
        </w:rPr>
        <w:t>余家；通过供应商合作伙伴的不断优化，各方建立价值认同和战略合作的关系，与合作伙伴共同分享望变电气发展成果的理念得到广泛认可，供应商的管理能力进一步提升。</w:t>
      </w:r>
    </w:p>
    <w:p w:rsidR="004A3868" w:rsidRDefault="003F1AB5">
      <w:pPr>
        <w:pStyle w:val="afff1"/>
        <w:ind w:firstLine="420"/>
        <w:outlineLvl w:val="3"/>
        <w:rPr>
          <w:szCs w:val="21"/>
        </w:rPr>
      </w:pPr>
      <w:r>
        <w:rPr>
          <w:rFonts w:hint="eastAsia"/>
          <w:szCs w:val="21"/>
        </w:rPr>
        <w:t>5、稳健匹配财务资源，在确保公司发展需求的同时不出现财务风险</w:t>
      </w:r>
    </w:p>
    <w:p w:rsidR="004A3868" w:rsidRDefault="003F1AB5">
      <w:pPr>
        <w:pStyle w:val="afff1"/>
        <w:ind w:firstLine="420"/>
        <w:rPr>
          <w:szCs w:val="21"/>
        </w:rPr>
      </w:pPr>
      <w:r>
        <w:rPr>
          <w:rFonts w:hint="eastAsia"/>
          <w:szCs w:val="21"/>
        </w:rPr>
        <w:t>公司2</w:t>
      </w:r>
      <w:r>
        <w:rPr>
          <w:szCs w:val="21"/>
        </w:rPr>
        <w:t>023</w:t>
      </w:r>
      <w:r>
        <w:rPr>
          <w:rFonts w:hint="eastAsia"/>
          <w:szCs w:val="21"/>
        </w:rPr>
        <w:t>年末资产总额为4</w:t>
      </w:r>
      <w:r>
        <w:rPr>
          <w:szCs w:val="21"/>
        </w:rPr>
        <w:t>8.75</w:t>
      </w:r>
      <w:r>
        <w:rPr>
          <w:rFonts w:hint="eastAsia"/>
          <w:szCs w:val="21"/>
        </w:rPr>
        <w:t>亿元，较2022年末增长3</w:t>
      </w:r>
      <w:r>
        <w:rPr>
          <w:szCs w:val="21"/>
        </w:rPr>
        <w:t>9</w:t>
      </w:r>
      <w:r>
        <w:rPr>
          <w:rFonts w:hint="eastAsia"/>
          <w:szCs w:val="21"/>
        </w:rPr>
        <w:t>.</w:t>
      </w:r>
      <w:r>
        <w:rPr>
          <w:szCs w:val="21"/>
        </w:rPr>
        <w:t>03%</w:t>
      </w:r>
      <w:r>
        <w:rPr>
          <w:rFonts w:hint="eastAsia"/>
          <w:szCs w:val="21"/>
        </w:rPr>
        <w:t>；2</w:t>
      </w:r>
      <w:r>
        <w:rPr>
          <w:szCs w:val="21"/>
        </w:rPr>
        <w:t>023</w:t>
      </w:r>
      <w:r>
        <w:rPr>
          <w:rFonts w:hint="eastAsia"/>
          <w:szCs w:val="21"/>
        </w:rPr>
        <w:t>年末资产负债率为5</w:t>
      </w:r>
      <w:r>
        <w:rPr>
          <w:szCs w:val="21"/>
        </w:rPr>
        <w:t>0.96%</w:t>
      </w:r>
      <w:r>
        <w:rPr>
          <w:rFonts w:hint="eastAsia"/>
          <w:szCs w:val="21"/>
        </w:rPr>
        <w:t>，处于较合理水平；同时，公司2</w:t>
      </w:r>
      <w:r>
        <w:rPr>
          <w:szCs w:val="21"/>
        </w:rPr>
        <w:t>023</w:t>
      </w:r>
      <w:r>
        <w:rPr>
          <w:rFonts w:hint="eastAsia"/>
          <w:szCs w:val="21"/>
        </w:rPr>
        <w:t>年度银行</w:t>
      </w:r>
      <w:r>
        <w:t>授信额度与已使用授信</w:t>
      </w:r>
      <w:r>
        <w:rPr>
          <w:rFonts w:hint="eastAsia"/>
        </w:rPr>
        <w:t>额度</w:t>
      </w:r>
      <w:r>
        <w:t>比例为</w:t>
      </w:r>
      <w:r>
        <w:rPr>
          <w:rFonts w:hint="eastAsia"/>
          <w:szCs w:val="21"/>
        </w:rPr>
        <w:t>2.33，银行授信充裕。公司在快速发展的同时，采用稳健的财务政策，确保公司在正常经营情况下不出现财务风险和危机。</w:t>
      </w:r>
    </w:p>
    <w:p w:rsidR="004A3868" w:rsidRDefault="003F1AB5">
      <w:pPr>
        <w:pStyle w:val="2"/>
      </w:pPr>
      <w:r>
        <w:t>报告期内公司所处行业情况</w:t>
      </w:r>
    </w:p>
    <w:sdt>
      <w:sdtPr>
        <w:rPr>
          <w:rFonts w:hint="eastAsia"/>
          <w:szCs w:val="21"/>
        </w:rPr>
        <w:alias w:val="报告期内公司所处行业情况 "/>
        <w:tag w:val="_GBC_62343dd2540e4e58bef438888246bd32"/>
        <w:id w:val="-663393228"/>
        <w:placeholder>
          <w:docPart w:val="GBC22222222222222222222222222222"/>
        </w:placeholder>
      </w:sdtPr>
      <w:sdtEndPr/>
      <w:sdtContent>
        <w:sdt>
          <w:sdtPr>
            <w:rPr>
              <w:rFonts w:hint="eastAsia"/>
              <w:szCs w:val="21"/>
            </w:rPr>
            <w:alias w:val="报告期内公司所处行业情况 "/>
            <w:tag w:val="_GBC_62343dd2540e4e58bef438888246bd32"/>
            <w:id w:val="-395905302"/>
            <w:lock w:val="sdtLocked"/>
          </w:sdtPr>
          <w:sdtEndPr/>
          <w:sdtContent>
            <w:sdt>
              <w:sdtPr>
                <w:rPr>
                  <w:rFonts w:hint="eastAsia"/>
                  <w:szCs w:val="21"/>
                </w:rPr>
                <w:alias w:val="报告期内公司所从事的主要业务、经营模式及行业情况说明"/>
                <w:tag w:val="_GBC_5c28d6f46eea48f892bed0c5fc99ab60"/>
                <w:id w:val="-1912537979"/>
                <w:lock w:val="sdtLocked"/>
              </w:sdtPr>
              <w:sdtEndPr/>
              <w:sdtContent>
                <w:p w:rsidR="004A3868" w:rsidRDefault="003F1AB5">
                  <w:pPr>
                    <w:pStyle w:val="afff1"/>
                    <w:ind w:firstLine="420"/>
                    <w:outlineLvl w:val="2"/>
                    <w:rPr>
                      <w:rFonts w:ascii="Calibri" w:hAnsi="Calibri"/>
                      <w:szCs w:val="21"/>
                    </w:rPr>
                  </w:pPr>
                  <w:r>
                    <w:rPr>
                      <w:rFonts w:hint="eastAsia"/>
                      <w:szCs w:val="21"/>
                    </w:rPr>
                    <w:t>（一）公司主营所属行业情况</w:t>
                  </w:r>
                </w:p>
                <w:p w:rsidR="004A3868" w:rsidRDefault="003F1AB5">
                  <w:pPr>
                    <w:pStyle w:val="afff1"/>
                    <w:ind w:firstLine="420"/>
                    <w:rPr>
                      <w:rFonts w:ascii="Calibri" w:hAnsi="Calibri"/>
                      <w:szCs w:val="21"/>
                    </w:rPr>
                  </w:pPr>
                  <w:r>
                    <w:rPr>
                      <w:rFonts w:hint="eastAsia"/>
                      <w:szCs w:val="21"/>
                    </w:rPr>
                    <w:t>公司主营业务分属两个行业：输配电及控制设备业务属于电气机械和器材制造业的输配电及控制设备制造子行业；取向硅钢业务属于黑色金属冶炼和压延加工业的钢压延加工子行业。</w:t>
                  </w:r>
                </w:p>
                <w:p w:rsidR="004A3868" w:rsidRDefault="003F1AB5">
                  <w:pPr>
                    <w:pStyle w:val="afff1"/>
                    <w:ind w:firstLine="420"/>
                    <w:outlineLvl w:val="3"/>
                    <w:rPr>
                      <w:rFonts w:ascii="Calibri" w:hAnsi="Calibri"/>
                      <w:szCs w:val="21"/>
                    </w:rPr>
                  </w:pPr>
                  <w:r>
                    <w:rPr>
                      <w:rFonts w:ascii="Calibri" w:hAnsi="Calibri" w:cs="Calibri"/>
                      <w:szCs w:val="21"/>
                    </w:rPr>
                    <w:t>1</w:t>
                  </w:r>
                  <w:r>
                    <w:rPr>
                      <w:rFonts w:hint="eastAsia"/>
                      <w:szCs w:val="21"/>
                    </w:rPr>
                    <w:t>、输配电及控制设备行业情况</w:t>
                  </w:r>
                </w:p>
                <w:p w:rsidR="004A3868" w:rsidRDefault="003F1AB5">
                  <w:pPr>
                    <w:pStyle w:val="afff1"/>
                    <w:ind w:firstLine="420"/>
                    <w:outlineLvl w:val="4"/>
                    <w:rPr>
                      <w:rFonts w:ascii="Calibri" w:hAnsi="Calibri"/>
                      <w:szCs w:val="21"/>
                    </w:rPr>
                  </w:pPr>
                  <w:r>
                    <w:rPr>
                      <w:rFonts w:hint="eastAsia"/>
                      <w:szCs w:val="21"/>
                    </w:rPr>
                    <w:t>（</w:t>
                  </w:r>
                  <w:r>
                    <w:rPr>
                      <w:rFonts w:ascii="Calibri" w:hAnsi="Calibri" w:cs="Calibri" w:hint="eastAsia"/>
                      <w:szCs w:val="21"/>
                    </w:rPr>
                    <w:t>1</w:t>
                  </w:r>
                  <w:r>
                    <w:rPr>
                      <w:rFonts w:hint="eastAsia"/>
                      <w:szCs w:val="21"/>
                    </w:rPr>
                    <w:t>）基本情况</w:t>
                  </w:r>
                </w:p>
                <w:p w:rsidR="004A3868" w:rsidRDefault="003F1AB5">
                  <w:pPr>
                    <w:pStyle w:val="afff1"/>
                    <w:ind w:firstLine="420"/>
                    <w:rPr>
                      <w:rFonts w:ascii="Calibri" w:hAnsi="Calibri"/>
                      <w:szCs w:val="21"/>
                    </w:rPr>
                  </w:pPr>
                  <w:r>
                    <w:rPr>
                      <w:rFonts w:hint="eastAsia"/>
                      <w:szCs w:val="21"/>
                    </w:rPr>
                    <w:t>根据国家统计局《国民经济行业分类与代码》（</w:t>
                  </w:r>
                  <w:r>
                    <w:rPr>
                      <w:rFonts w:ascii="Calibri" w:hAnsi="Calibri" w:cs="Calibri" w:hint="eastAsia"/>
                      <w:szCs w:val="21"/>
                    </w:rPr>
                    <w:t>GB/T4754</w:t>
                  </w:r>
                  <w:r>
                    <w:rPr>
                      <w:rFonts w:hint="eastAsia"/>
                      <w:szCs w:val="21"/>
                    </w:rPr>
                    <w:t>－</w:t>
                  </w:r>
                  <w:r>
                    <w:rPr>
                      <w:rFonts w:ascii="Calibri" w:hAnsi="Calibri" w:cs="Calibri" w:hint="eastAsia"/>
                      <w:szCs w:val="21"/>
                    </w:rPr>
                    <w:t>2017</w:t>
                  </w:r>
                  <w:r>
                    <w:rPr>
                      <w:rFonts w:hint="eastAsia"/>
                      <w:szCs w:val="21"/>
                    </w:rPr>
                    <w:t>），公司输配电及控制设备所处行业属于“</w:t>
                  </w:r>
                  <w:r>
                    <w:rPr>
                      <w:rFonts w:ascii="Calibri" w:hAnsi="Calibri" w:cs="Calibri" w:hint="eastAsia"/>
                      <w:szCs w:val="21"/>
                    </w:rPr>
                    <w:t>C</w:t>
                  </w:r>
                  <w:r>
                    <w:rPr>
                      <w:rFonts w:hint="eastAsia"/>
                      <w:szCs w:val="21"/>
                    </w:rPr>
                    <w:t>制造业”的“</w:t>
                  </w:r>
                  <w:r>
                    <w:rPr>
                      <w:rFonts w:ascii="Calibri" w:hAnsi="Calibri" w:cs="Calibri" w:hint="eastAsia"/>
                      <w:szCs w:val="21"/>
                    </w:rPr>
                    <w:t>C382</w:t>
                  </w:r>
                  <w:r>
                    <w:rPr>
                      <w:rFonts w:hint="eastAsia"/>
                      <w:szCs w:val="21"/>
                    </w:rPr>
                    <w:t>输配电及控制设备制造”。</w:t>
                  </w:r>
                </w:p>
                <w:p w:rsidR="004A3868" w:rsidRDefault="003F1AB5">
                  <w:pPr>
                    <w:pStyle w:val="afff1"/>
                    <w:ind w:firstLine="420"/>
                    <w:rPr>
                      <w:rFonts w:ascii="Calibri" w:hAnsi="Calibri"/>
                      <w:szCs w:val="21"/>
                    </w:rPr>
                  </w:pPr>
                  <w:r>
                    <w:rPr>
                      <w:rFonts w:hint="eastAsia"/>
                      <w:szCs w:val="21"/>
                    </w:rPr>
                    <w:t>电力从生产到最终运用，需要经过发电、输电、配电以及用电四个过程。输配电及控制设备主要应用于电力系统和下游用电企业的电能传输和电能控制等，直接影响电网的建设、安全与可</w:t>
                  </w:r>
                  <w:r>
                    <w:rPr>
                      <w:rFonts w:hint="eastAsia"/>
                      <w:szCs w:val="21"/>
                    </w:rPr>
                    <w:lastRenderedPageBreak/>
                    <w:t>靠运行，输配电及控制设备行业属于国家重点鼓励发展的领域之一，是我国重要的战略性产业。</w:t>
                  </w:r>
                </w:p>
                <w:p w:rsidR="004A3868" w:rsidRDefault="003F1AB5">
                  <w:pPr>
                    <w:pStyle w:val="afff1"/>
                    <w:ind w:firstLine="420"/>
                    <w:outlineLvl w:val="4"/>
                    <w:rPr>
                      <w:rFonts w:ascii="Calibri" w:hAnsi="Calibri"/>
                      <w:szCs w:val="21"/>
                    </w:rPr>
                  </w:pPr>
                  <w:r>
                    <w:rPr>
                      <w:rFonts w:hint="eastAsia"/>
                      <w:szCs w:val="21"/>
                    </w:rPr>
                    <w:t>（</w:t>
                  </w:r>
                  <w:r>
                    <w:rPr>
                      <w:rFonts w:ascii="Calibri" w:hAnsi="Calibri" w:cs="Calibri" w:hint="eastAsia"/>
                      <w:szCs w:val="21"/>
                    </w:rPr>
                    <w:t>2</w:t>
                  </w:r>
                  <w:r>
                    <w:rPr>
                      <w:rFonts w:hint="eastAsia"/>
                      <w:szCs w:val="21"/>
                    </w:rPr>
                    <w:t>）行业发展情况</w:t>
                  </w:r>
                </w:p>
                <w:p w:rsidR="004A3868" w:rsidRDefault="003F1AB5">
                  <w:pPr>
                    <w:pStyle w:val="afff1"/>
                    <w:ind w:firstLine="420"/>
                    <w:outlineLvl w:val="5"/>
                    <w:rPr>
                      <w:rFonts w:ascii="Calibri" w:hAnsi="Calibri"/>
                      <w:szCs w:val="21"/>
                    </w:rPr>
                  </w:pPr>
                  <w:r>
                    <w:rPr>
                      <w:rFonts w:hint="eastAsia"/>
                      <w:szCs w:val="21"/>
                    </w:rPr>
                    <w:t>1）国家产业规划全力打造安全高效电力供应保障体系为输配电产业发展提供了有力保障</w:t>
                  </w:r>
                </w:p>
                <w:p w:rsidR="004A3868" w:rsidRDefault="003F1AB5">
                  <w:pPr>
                    <w:pStyle w:val="afff1"/>
                    <w:ind w:firstLine="420"/>
                    <w:rPr>
                      <w:rFonts w:ascii="Calibri" w:hAnsi="Calibri"/>
                      <w:szCs w:val="21"/>
                    </w:rPr>
                  </w:pPr>
                  <w:r>
                    <w:rPr>
                      <w:rFonts w:hint="eastAsia"/>
                      <w:szCs w:val="21"/>
                    </w:rPr>
                    <w:t>从行业规划历程来看，“八五”时期，我国政策侧重点是大力发展电力基础设施；“九五”时期，提出了积极研究和应用输变电技术；“十五”“十一五”和“十二五”时期，提出加强城乡电网建设和改造，深化电力体制改革；“十三五”和“十四五”时期，重点提到加快智能电网建设，提高电网与发电侧、需求侧交互响应能力，提高特高压输电利用率。</w:t>
                  </w:r>
                </w:p>
                <w:p w:rsidR="004A3868" w:rsidRDefault="003F1AB5">
                  <w:pPr>
                    <w:pStyle w:val="afff1"/>
                    <w:ind w:firstLine="420"/>
                    <w:rPr>
                      <w:szCs w:val="21"/>
                    </w:rPr>
                  </w:pPr>
                  <w:r>
                    <w:rPr>
                      <w:rFonts w:hint="eastAsia"/>
                      <w:szCs w:val="21"/>
                    </w:rPr>
                    <w:t>“十四五”时期，国家加快建设清洁低碳、安全高效的能源体系，以新能源为主体的新型电力系统快速发展，大规模风光新能源基地等项目相继获批，输变电行业需求显著增长；同时以智能化、数字化、高端化的新型输变电设备作为支撑，推动了相关产业加速升级转型。</w:t>
                  </w:r>
                </w:p>
                <w:p w:rsidR="004A3868" w:rsidRDefault="003F1AB5">
                  <w:pPr>
                    <w:pStyle w:val="afff1"/>
                    <w:ind w:firstLine="420"/>
                    <w:rPr>
                      <w:rFonts w:ascii="Calibri" w:hAnsi="Calibri"/>
                      <w:szCs w:val="21"/>
                    </w:rPr>
                  </w:pPr>
                  <w:r>
                    <w:rPr>
                      <w:rFonts w:hint="eastAsia"/>
                      <w:szCs w:val="21"/>
                    </w:rPr>
                    <w:t>随着我国各地特高压项目先后落地，输配电及控制设备产品市场有望迎来较快发展。</w:t>
                  </w:r>
                </w:p>
                <w:p w:rsidR="004A3868" w:rsidRDefault="003F1AB5">
                  <w:pPr>
                    <w:pStyle w:val="afff1"/>
                    <w:ind w:firstLine="420"/>
                    <w:outlineLvl w:val="5"/>
                    <w:rPr>
                      <w:szCs w:val="21"/>
                    </w:rPr>
                  </w:pPr>
                  <w:r>
                    <w:rPr>
                      <w:rFonts w:ascii="Calibri" w:hAnsi="Calibri" w:cs="Calibri"/>
                      <w:szCs w:val="21"/>
                    </w:rPr>
                    <w:t>2</w:t>
                  </w:r>
                  <w:r>
                    <w:rPr>
                      <w:rFonts w:cs="Calibri"/>
                      <w:szCs w:val="21"/>
                    </w:rPr>
                    <w:t>）</w:t>
                  </w:r>
                  <w:r>
                    <w:rPr>
                      <w:rFonts w:hint="eastAsia"/>
                      <w:szCs w:val="21"/>
                    </w:rPr>
                    <w:t>国家“双碳”政策为输配电及控制设备制造企业提供了广阔的发展空间</w:t>
                  </w:r>
                </w:p>
                <w:p w:rsidR="004A3868" w:rsidRDefault="003F1AB5">
                  <w:pPr>
                    <w:pStyle w:val="afff1"/>
                    <w:ind w:firstLine="420"/>
                    <w:rPr>
                      <w:rFonts w:ascii="Calibri" w:hAnsi="Calibri"/>
                      <w:szCs w:val="21"/>
                    </w:rPr>
                  </w:pPr>
                  <w:r>
                    <w:rPr>
                      <w:rFonts w:hint="eastAsia"/>
                      <w:szCs w:val="21"/>
                    </w:rPr>
                    <w:t>在国家宏观经济和行业政策的促进下，在“双碳”经济的影响下，国内电网改造带动能效产品的需求急剧增长，为输配电及控制设备制造企业提供了广阔的发展空间；同时随着技术升级及产业变革，输配电及控制设备在新能源光伏、风电、充电桩、轨道交通、数据中心、新型基础设施等新兴领域上的应用增强，具有良好的市场前景。</w:t>
                  </w:r>
                </w:p>
                <w:p w:rsidR="004A3868" w:rsidRDefault="003F1AB5">
                  <w:pPr>
                    <w:pStyle w:val="afff1"/>
                    <w:ind w:firstLine="420"/>
                    <w:rPr>
                      <w:rFonts w:ascii="Calibri" w:hAnsi="Calibri"/>
                      <w:szCs w:val="21"/>
                    </w:rPr>
                  </w:pPr>
                  <w:r>
                    <w:rPr>
                      <w:rFonts w:hint="eastAsia"/>
                      <w:szCs w:val="21"/>
                    </w:rPr>
                    <w:t>输配电设备行业的需求方主要是电网行业，是输配电及控制设备行业收入的主要来源。电力是能源转型的中心环节、碳减排的关键领域，随着我国“双碳”战略的提出，我国新能源、智能电网快速发展，低碳经济逐步成为新的增长模式。“双碳”战略为大力发展发电设备、输变电设备、高压电器、低压电器以及适用于绿色低碳产业的工业电器产品带来了市场机遇。在国内总发电量保持稳定增长的情况，预示电力变压器市场的对应增长，其中风光类发电量增长最快，新增装机量也在逐步提升，瞄准风光发电的电力变压器市场有望取得更高收益。</w:t>
                  </w:r>
                </w:p>
                <w:p w:rsidR="004A3868" w:rsidRDefault="003F1AB5">
                  <w:pPr>
                    <w:pStyle w:val="afff1"/>
                    <w:ind w:firstLine="420"/>
                    <w:outlineLvl w:val="5"/>
                    <w:rPr>
                      <w:rFonts w:ascii="Calibri" w:hAnsi="Calibri" w:cs="Times New Roman"/>
                      <w:szCs w:val="21"/>
                    </w:rPr>
                  </w:pPr>
                  <w:r>
                    <w:rPr>
                      <w:rFonts w:ascii="Calibri" w:hAnsi="Calibri"/>
                      <w:szCs w:val="21"/>
                    </w:rPr>
                    <w:t>3</w:t>
                  </w:r>
                  <w:r>
                    <w:rPr>
                      <w:szCs w:val="21"/>
                    </w:rPr>
                    <w:t>）</w:t>
                  </w:r>
                  <w:r>
                    <w:rPr>
                      <w:rFonts w:hint="eastAsia"/>
                      <w:szCs w:val="21"/>
                    </w:rPr>
                    <w:t>行业政策的陆续发布，有力</w:t>
                  </w:r>
                  <w:r>
                    <w:rPr>
                      <w:rFonts w:cs="Times New Roman" w:hint="eastAsia"/>
                      <w:szCs w:val="21"/>
                    </w:rPr>
                    <w:t>促进输配电设备行业发展</w:t>
                  </w:r>
                </w:p>
                <w:p w:rsidR="004A3868" w:rsidRDefault="003F1AB5">
                  <w:pPr>
                    <w:pStyle w:val="afff1"/>
                    <w:ind w:firstLine="420"/>
                    <w:rPr>
                      <w:szCs w:val="21"/>
                    </w:rPr>
                  </w:pPr>
                  <w:r>
                    <w:rPr>
                      <w:rFonts w:ascii="Calibri" w:hAnsi="Calibri" w:cs="Calibri"/>
                      <w:szCs w:val="21"/>
                    </w:rPr>
                    <w:t>①</w:t>
                  </w:r>
                  <w:r>
                    <w:rPr>
                      <w:rFonts w:hint="eastAsia"/>
                      <w:szCs w:val="21"/>
                    </w:rPr>
                    <w:t>公司输配电及控制设备行业的发展与国家宏观经济、电工电器行业的发展息息相关。近年来随着国家“双碳”政策和《变压器能效提升计划（</w:t>
                  </w:r>
                  <w:r>
                    <w:rPr>
                      <w:rFonts w:ascii="Calibri" w:hAnsi="Calibri" w:cs="Calibri" w:hint="eastAsia"/>
                      <w:szCs w:val="21"/>
                    </w:rPr>
                    <w:t>2021</w:t>
                  </w:r>
                  <w:r>
                    <w:rPr>
                      <w:rFonts w:hint="eastAsia"/>
                      <w:szCs w:val="21"/>
                    </w:rPr>
                    <w:t>—</w:t>
                  </w:r>
                  <w:r>
                    <w:rPr>
                      <w:rFonts w:ascii="Calibri" w:hAnsi="Calibri" w:cs="Calibri" w:hint="eastAsia"/>
                      <w:szCs w:val="21"/>
                    </w:rPr>
                    <w:t>2023</w:t>
                  </w:r>
                  <w:r>
                    <w:rPr>
                      <w:rFonts w:hint="eastAsia"/>
                      <w:szCs w:val="21"/>
                    </w:rPr>
                    <w:t>年）》的政策发布，输配电及控制设备行业相关产品，特别是节能电力变压器的需求增长明显。</w:t>
                  </w:r>
                </w:p>
                <w:p w:rsidR="004A3868" w:rsidRDefault="003F1AB5">
                  <w:pPr>
                    <w:pStyle w:val="afff1"/>
                    <w:ind w:firstLine="420"/>
                    <w:rPr>
                      <w:szCs w:val="21"/>
                    </w:rPr>
                  </w:pPr>
                  <w:r>
                    <w:rPr>
                      <w:rFonts w:ascii="Calibri" w:hAnsi="Calibri" w:cs="Calibri"/>
                      <w:szCs w:val="21"/>
                    </w:rPr>
                    <w:t>②</w:t>
                  </w:r>
                  <w:r>
                    <w:rPr>
                      <w:rFonts w:ascii="Calibri" w:hAnsi="Calibri"/>
                      <w:szCs w:val="21"/>
                    </w:rPr>
                    <w:t>2023</w:t>
                  </w:r>
                  <w:r>
                    <w:rPr>
                      <w:szCs w:val="21"/>
                    </w:rPr>
                    <w:t>年</w:t>
                  </w:r>
                  <w:r>
                    <w:rPr>
                      <w:rFonts w:ascii="Calibri" w:hAnsi="Calibri" w:cs="Calibri"/>
                      <w:szCs w:val="21"/>
                    </w:rPr>
                    <w:t>6</w:t>
                  </w:r>
                  <w:r>
                    <w:rPr>
                      <w:szCs w:val="21"/>
                    </w:rPr>
                    <w:t>月，国家电网有限公司印发《绿色采购指南》（以下简称</w:t>
                  </w:r>
                  <w:r>
                    <w:rPr>
                      <w:rFonts w:ascii="Calibri" w:hAnsi="Calibri" w:cs="Calibri"/>
                      <w:szCs w:val="21"/>
                    </w:rPr>
                    <w:t>“</w:t>
                  </w:r>
                  <w:r>
                    <w:rPr>
                      <w:szCs w:val="21"/>
                    </w:rPr>
                    <w:t>指南</w:t>
                  </w:r>
                  <w:r>
                    <w:rPr>
                      <w:rFonts w:ascii="Calibri" w:hAnsi="Calibri" w:cs="Calibri"/>
                      <w:szCs w:val="21"/>
                    </w:rPr>
                    <w:t>”</w:t>
                  </w:r>
                  <w:r>
                    <w:rPr>
                      <w:szCs w:val="21"/>
                    </w:rPr>
                    <w:t>），发挥供应链</w:t>
                  </w:r>
                  <w:r>
                    <w:rPr>
                      <w:rFonts w:ascii="Calibri" w:hAnsi="Calibri" w:cs="Calibri"/>
                      <w:szCs w:val="21"/>
                    </w:rPr>
                    <w:t>“</w:t>
                  </w:r>
                  <w:r>
                    <w:rPr>
                      <w:szCs w:val="21"/>
                    </w:rPr>
                    <w:t>链主</w:t>
                  </w:r>
                  <w:r>
                    <w:rPr>
                      <w:rFonts w:ascii="Calibri" w:hAnsi="Calibri" w:cs="Calibri"/>
                      <w:szCs w:val="21"/>
                    </w:rPr>
                    <w:t>”</w:t>
                  </w:r>
                  <w:r>
                    <w:rPr>
                      <w:szCs w:val="21"/>
                    </w:rPr>
                    <w:t>作用，大力推广环境保护、资源节约、安全健康、循环低碳、回收促进，推动实施绿色采购，以高度的政治责任感和历史使命感积极履行社会责任。指南提出，要加强绿色采购顶层设计、深化绿色采购需求牵引、推进绿色采购全面落地、强化供应链全环节应用驱动，促进了电力设备</w:t>
                  </w:r>
                  <w:r>
                    <w:rPr>
                      <w:szCs w:val="21"/>
                    </w:rPr>
                    <w:lastRenderedPageBreak/>
                    <w:t>行业的绿色发展，给绿色电力设备供应商提供了更多的发展空间。</w:t>
                  </w:r>
                </w:p>
                <w:p w:rsidR="004A3868" w:rsidRDefault="003F1AB5">
                  <w:pPr>
                    <w:pStyle w:val="afff1"/>
                    <w:ind w:firstLine="420"/>
                    <w:rPr>
                      <w:szCs w:val="21"/>
                    </w:rPr>
                  </w:pPr>
                  <w:r>
                    <w:rPr>
                      <w:rFonts w:ascii="Calibri" w:hAnsi="Calibri" w:cs="Calibri"/>
                      <w:szCs w:val="21"/>
                    </w:rPr>
                    <w:t>③</w:t>
                  </w:r>
                  <w:r>
                    <w:rPr>
                      <w:rFonts w:ascii="Calibri" w:hAnsi="Calibri"/>
                      <w:szCs w:val="21"/>
                    </w:rPr>
                    <w:t>2023</w:t>
                  </w:r>
                  <w:r>
                    <w:rPr>
                      <w:szCs w:val="21"/>
                    </w:rPr>
                    <w:t>年</w:t>
                  </w:r>
                  <w:r>
                    <w:rPr>
                      <w:rFonts w:ascii="Calibri" w:hAnsi="Calibri"/>
                      <w:szCs w:val="21"/>
                    </w:rPr>
                    <w:t>7</w:t>
                  </w:r>
                  <w:r>
                    <w:rPr>
                      <w:szCs w:val="21"/>
                    </w:rPr>
                    <w:t>月，中央深改委会议审议通过《关于深化电力体制改革加快构建新型电力系统的指导意见》，强调要深化电力体制改革，加快构建清洁低碳、安全充裕、经济高效、供需协同、灵活智能的新型电力系统，更好推动能源生产和消费革命，保障国家能源安全，进一步加强了节能电力设备的市场需求。</w:t>
                  </w:r>
                </w:p>
                <w:p w:rsidR="004A3868" w:rsidRDefault="003F1AB5">
                  <w:pPr>
                    <w:pStyle w:val="afff1"/>
                    <w:ind w:firstLine="420"/>
                    <w:rPr>
                      <w:szCs w:val="21"/>
                    </w:rPr>
                  </w:pPr>
                  <w:r>
                    <w:rPr>
                      <w:rFonts w:ascii="微软雅黑" w:eastAsia="微软雅黑" w:hAnsi="微软雅黑" w:cs="微软雅黑" w:hint="eastAsia"/>
                      <w:szCs w:val="21"/>
                    </w:rPr>
                    <w:t>④</w:t>
                  </w:r>
                  <w:r>
                    <w:rPr>
                      <w:rFonts w:ascii="Calibri" w:hAnsi="Calibri"/>
                      <w:szCs w:val="21"/>
                    </w:rPr>
                    <w:t>2023</w:t>
                  </w:r>
                  <w:r>
                    <w:rPr>
                      <w:rFonts w:hint="eastAsia"/>
                      <w:szCs w:val="21"/>
                    </w:rPr>
                    <w:t>年</w:t>
                  </w:r>
                  <w:r>
                    <w:rPr>
                      <w:rFonts w:ascii="Calibri" w:hAnsi="Calibri" w:cs="Calibri" w:hint="eastAsia"/>
                      <w:szCs w:val="21"/>
                    </w:rPr>
                    <w:t>7</w:t>
                  </w:r>
                  <w:r>
                    <w:rPr>
                      <w:rFonts w:hint="eastAsia"/>
                      <w:szCs w:val="21"/>
                    </w:rPr>
                    <w:t>月，国家发改委、国家能源局、国家乡村振兴局发布《关于实施农村电网巩固提升工程的指导意见》（以下简称《意见》）指出，到</w:t>
                  </w:r>
                  <w:r>
                    <w:rPr>
                      <w:rFonts w:ascii="Calibri" w:hAnsi="Calibri"/>
                      <w:szCs w:val="21"/>
                    </w:rPr>
                    <w:t>2025</w:t>
                  </w:r>
                  <w:r>
                    <w:rPr>
                      <w:szCs w:val="21"/>
                    </w:rPr>
                    <w:t>年农村电网网架结构更加坚强，装备水平不断提升，数字化、智能化发展初见成效；到</w:t>
                  </w:r>
                  <w:r>
                    <w:rPr>
                      <w:rFonts w:ascii="Calibri" w:hAnsi="Calibri" w:cs="Calibri"/>
                      <w:szCs w:val="21"/>
                    </w:rPr>
                    <w:t>2035</w:t>
                  </w:r>
                  <w:r>
                    <w:rPr>
                      <w:szCs w:val="21"/>
                    </w:rPr>
                    <w:t>年基本建成安全可靠、智能开放的现代化农村电网，农村地区电力供应保障能力全面提升，城乡电力服务基本实现均等化，全面承载分布式可再生能源开发利用和就地消纳，</w:t>
                  </w:r>
                  <w:r>
                    <w:rPr>
                      <w:rFonts w:hint="eastAsia"/>
                      <w:szCs w:val="21"/>
                    </w:rPr>
                    <w:t>将刺激输配电设备的需求。</w:t>
                  </w:r>
                </w:p>
                <w:p w:rsidR="004A3868" w:rsidRDefault="003F1AB5">
                  <w:pPr>
                    <w:pStyle w:val="afff1"/>
                    <w:ind w:firstLine="420"/>
                    <w:rPr>
                      <w:szCs w:val="21"/>
                    </w:rPr>
                  </w:pPr>
                  <w:r>
                    <w:rPr>
                      <w:rFonts w:ascii="微软雅黑" w:eastAsia="微软雅黑" w:hAnsi="微软雅黑" w:cs="微软雅黑" w:hint="eastAsia"/>
                      <w:szCs w:val="21"/>
                    </w:rPr>
                    <w:t>⑤</w:t>
                  </w:r>
                  <w:r>
                    <w:rPr>
                      <w:rFonts w:hint="eastAsia"/>
                      <w:szCs w:val="21"/>
                    </w:rPr>
                    <w:t>2</w:t>
                  </w:r>
                  <w:r>
                    <w:rPr>
                      <w:szCs w:val="21"/>
                    </w:rPr>
                    <w:t>023</w:t>
                  </w:r>
                  <w:r>
                    <w:rPr>
                      <w:rFonts w:hint="eastAsia"/>
                      <w:szCs w:val="21"/>
                    </w:rPr>
                    <w:t>年8月，工业和信息化部关于印发电力装备行业稳增长工作方案（</w:t>
                  </w:r>
                  <w:r>
                    <w:rPr>
                      <w:szCs w:val="21"/>
                    </w:rPr>
                    <w:t>2023-2024年）的通知</w:t>
                  </w:r>
                  <w:r>
                    <w:rPr>
                      <w:rFonts w:hint="eastAsia"/>
                      <w:szCs w:val="21"/>
                    </w:rPr>
                    <w:t>（工信部重装〔</w:t>
                  </w:r>
                  <w:r>
                    <w:rPr>
                      <w:szCs w:val="21"/>
                    </w:rPr>
                    <w:t>2023〕119号</w:t>
                  </w:r>
                  <w:r>
                    <w:rPr>
                      <w:rFonts w:hint="eastAsia"/>
                      <w:szCs w:val="21"/>
                    </w:rPr>
                    <w:t>）（以下简称“工作方案”）。根据工作方案，为发挥电力装备行业带动作用，同时考虑目标可实现性，通过实施一系列工作举措，稳定电力装备行业增长，力争</w:t>
                  </w:r>
                  <w:r>
                    <w:rPr>
                      <w:szCs w:val="21"/>
                    </w:rPr>
                    <w:t>2023-2024年电力装备行业主营业务收入年均增速达9%以上，工业增加值年均增速9%左右。</w:t>
                  </w:r>
                </w:p>
                <w:p w:rsidR="004A3868" w:rsidRDefault="003F1AB5">
                  <w:pPr>
                    <w:pStyle w:val="afff1"/>
                    <w:ind w:firstLine="420"/>
                    <w:rPr>
                      <w:szCs w:val="21"/>
                    </w:rPr>
                  </w:pPr>
                  <w:r>
                    <w:rPr>
                      <w:rFonts w:ascii="微软雅黑" w:eastAsia="微软雅黑" w:hAnsi="微软雅黑" w:cs="微软雅黑" w:hint="eastAsia"/>
                      <w:szCs w:val="21"/>
                    </w:rPr>
                    <w:t>⑥</w:t>
                  </w:r>
                  <w:r>
                    <w:rPr>
                      <w:rFonts w:hint="eastAsia"/>
                      <w:szCs w:val="21"/>
                    </w:rPr>
                    <w:t>2023年，国家发改委、能源局等部门先后发布了《关于统筹节能降碳和回收利用加快重点领域产品设备更新改造的指导意见》《电力变压器更新改造和回收利用实施指南》《关于加快推进能源数字化智能化发展的若干意见》《新型电力系统发展蓝皮书》等系列政策措施，提出要持续提升高效节能电力变压器供给能力，有序实施在运电力变压器节能降碳改造，逐步淘汰低效落后电力变压器，到 2025 年，在运能效达到节能水平（能效 2 级）及以上的高效节能电力变压器占比较 2021 年提高超过 10 个百分点，当年新增高效节能电力变压器占比达到80%以上。</w:t>
                  </w:r>
                </w:p>
                <w:p w:rsidR="004A3868" w:rsidRDefault="003F1AB5">
                  <w:pPr>
                    <w:pStyle w:val="afff1"/>
                    <w:ind w:firstLine="420"/>
                    <w:rPr>
                      <w:szCs w:val="21"/>
                    </w:rPr>
                  </w:pPr>
                  <w:r>
                    <w:rPr>
                      <w:rFonts w:ascii="微软雅黑" w:eastAsia="微软雅黑" w:hAnsi="微软雅黑" w:cs="微软雅黑" w:hint="eastAsia"/>
                      <w:szCs w:val="21"/>
                    </w:rPr>
                    <w:t>⑦</w:t>
                  </w:r>
                  <w:r>
                    <w:rPr>
                      <w:szCs w:val="21"/>
                    </w:rPr>
                    <w:t>2024年2月6日，国家发展改革委、国家能源局发布《关于新形势下配电</w:t>
                  </w:r>
                  <w:r>
                    <w:rPr>
                      <w:rFonts w:hint="eastAsia"/>
                      <w:szCs w:val="21"/>
                    </w:rPr>
                    <w:t>网高质量发展的指导意见》中明确配电网的发展目标是围绕建设新型能源体系和新型电力系统的总目标，打造安全高效、清洁低碳、柔性灵活、智慧融合的新型配电系统，在增强保供能力的基础上，推动配电网在形态上从传统的“无源”单向辐射网络向“有源”双向交互系统转变，在功能上从单一供配电服务主体向源网荷储资源高效配置平台转变。</w:t>
                  </w:r>
                </w:p>
                <w:p w:rsidR="004A3868" w:rsidRDefault="003F1AB5">
                  <w:pPr>
                    <w:pStyle w:val="afff1"/>
                    <w:ind w:firstLine="420"/>
                    <w:rPr>
                      <w:szCs w:val="21"/>
                    </w:rPr>
                  </w:pPr>
                  <w:r>
                    <w:rPr>
                      <w:rFonts w:hint="eastAsia"/>
                      <w:szCs w:val="21"/>
                    </w:rPr>
                    <w:t>到2025年，配电网网架结构更加坚强清晰，供配电能力合理充裕；配电网承载力和灵活性显著提升，具备5亿千瓦左右分布式新能源、1200万台左右充电桩接入能力；有源配电网与大电网兼容并蓄，配电网数字化转型全面推进，开放共享系统逐步形成，支撑多元创新发展；智慧调控运行体系加快升级，在具备条件地区推广车网协调互动和构网型新能源、构网型储能等新技术；</w:t>
                  </w:r>
                  <w:r>
                    <w:rPr>
                      <w:szCs w:val="21"/>
                    </w:rPr>
                    <w:t>电网企业全面淘汰 S7(含 S8)型和运行年限超 25 年且能效达不到准入水平的配电电力变压器，全社会在运能效节能水平及以上电力变压器占比较 2021 年提高超过 10 个百分点。</w:t>
                  </w:r>
                </w:p>
                <w:p w:rsidR="004A3868" w:rsidRDefault="003F1AB5">
                  <w:pPr>
                    <w:pStyle w:val="afff1"/>
                    <w:ind w:firstLine="420"/>
                    <w:rPr>
                      <w:szCs w:val="21"/>
                    </w:rPr>
                  </w:pPr>
                  <w:r>
                    <w:rPr>
                      <w:rFonts w:hint="eastAsia"/>
                      <w:szCs w:val="21"/>
                    </w:rPr>
                    <w:lastRenderedPageBreak/>
                    <w:t>到2030年，基本完成配电网柔性化、智能化、数字化转型，实现主配微网多级协同、海量资源聚合互动、多元用户即插即用，有效促进分布式智能电网与大电网融合发展，较好满足分布式电源、新型储能及各类新业态发展需求，为建成覆盖广泛、规模适度、结构合理、功能完善的高质量充电基础设施体系提供有力支撑，以高水平电气化推动实现非化石能源消费目标。</w:t>
                  </w:r>
                </w:p>
                <w:p w:rsidR="004A3868" w:rsidRDefault="003F1AB5">
                  <w:pPr>
                    <w:pStyle w:val="afff1"/>
                    <w:ind w:firstLine="420"/>
                    <w:rPr>
                      <w:szCs w:val="21"/>
                    </w:rPr>
                  </w:pPr>
                  <w:r>
                    <w:rPr>
                      <w:rFonts w:ascii="微软雅黑" w:eastAsia="微软雅黑" w:hAnsi="微软雅黑" w:cs="微软雅黑" w:hint="eastAsia"/>
                      <w:szCs w:val="21"/>
                    </w:rPr>
                    <w:t>⑧</w:t>
                  </w:r>
                  <w:r>
                    <w:rPr>
                      <w:rFonts w:hint="eastAsia"/>
                      <w:szCs w:val="21"/>
                    </w:rPr>
                    <w:t>根据国家能源局、统计局数据，2023 年，全国主要发电企业电源工程完成投资 9,675 亿元，同比增长 30.1%；电网工程完成投资 5,275 亿元，同比增长 5.4%。中国电力企业联合会发布的《2023-2024 年度全国电力供需形势分析预测报告》指出，2023 年我国新增 220 千伏及以上输电线路长度 3.81 万千米；新增 220 千伏及以上变电设备容量（交流）2.57 亿千伏安；截至 2023 年底，全国全口径发电装机容量约 29.2 亿千瓦，同比增长 13.9%。</w:t>
                  </w:r>
                </w:p>
                <w:p w:rsidR="004A3868" w:rsidRDefault="003F1AB5">
                  <w:pPr>
                    <w:pStyle w:val="afff1"/>
                    <w:ind w:firstLine="420"/>
                    <w:rPr>
                      <w:szCs w:val="21"/>
                    </w:rPr>
                  </w:pPr>
                  <w:r>
                    <w:rPr>
                      <w:rFonts w:hint="eastAsia"/>
                      <w:szCs w:val="21"/>
                    </w:rPr>
                    <w:t>随着各项政策逐步落地，新型电网体系建设的加速推进，为智能配网自动化系统、智能变电自动化系统、用电信息采集系统及终端、高低压费控系统、智能电能表、高低压开关及成套设备等产品提供了广阔的市场空间，成为输配电设备行业发展的主要动力。</w:t>
                  </w:r>
                </w:p>
                <w:p w:rsidR="004A3868" w:rsidRDefault="003F1AB5">
                  <w:pPr>
                    <w:pStyle w:val="afff1"/>
                    <w:ind w:firstLine="420"/>
                    <w:outlineLvl w:val="4"/>
                    <w:rPr>
                      <w:rFonts w:ascii="Calibri" w:hAnsi="Calibri"/>
                      <w:szCs w:val="21"/>
                    </w:rPr>
                  </w:pPr>
                  <w:r>
                    <w:rPr>
                      <w:rFonts w:hint="eastAsia"/>
                      <w:szCs w:val="21"/>
                    </w:rPr>
                    <w:t>（</w:t>
                  </w:r>
                  <w:r>
                    <w:rPr>
                      <w:rFonts w:ascii="Calibri" w:hAnsi="Calibri" w:cs="Calibri" w:hint="eastAsia"/>
                      <w:szCs w:val="21"/>
                    </w:rPr>
                    <w:t>3</w:t>
                  </w:r>
                  <w:r>
                    <w:rPr>
                      <w:rFonts w:hint="eastAsia"/>
                      <w:szCs w:val="21"/>
                    </w:rPr>
                    <w:t>）行业地位</w:t>
                  </w:r>
                </w:p>
                <w:p w:rsidR="004A3868" w:rsidRDefault="003F1AB5">
                  <w:pPr>
                    <w:pStyle w:val="afff1"/>
                    <w:ind w:firstLine="420"/>
                    <w:rPr>
                      <w:rFonts w:ascii="Calibri" w:hAnsi="Calibri"/>
                      <w:szCs w:val="21"/>
                    </w:rPr>
                  </w:pPr>
                  <w:r>
                    <w:rPr>
                      <w:rFonts w:hint="eastAsia"/>
                      <w:szCs w:val="21"/>
                    </w:rPr>
                    <w:t>公司的输配电及控制设备产品主要以11</w:t>
                  </w:r>
                  <w:r>
                    <w:rPr>
                      <w:rFonts w:ascii="Calibri" w:hAnsi="Calibri" w:cs="Calibri" w:hint="eastAsia"/>
                      <w:szCs w:val="21"/>
                    </w:rPr>
                    <w:t>0kV</w:t>
                  </w:r>
                  <w:r>
                    <w:rPr>
                      <w:rFonts w:hint="eastAsia"/>
                      <w:szCs w:val="21"/>
                    </w:rPr>
                    <w:t>及以下电力设备为主，在细分领域经营</w:t>
                  </w:r>
                  <w:r>
                    <w:rPr>
                      <w:rFonts w:ascii="Calibri" w:hAnsi="Calibri" w:cs="Calibri" w:hint="eastAsia"/>
                      <w:szCs w:val="21"/>
                    </w:rPr>
                    <w:t>30</w:t>
                  </w:r>
                  <w:r>
                    <w:rPr>
                      <w:rFonts w:hint="eastAsia"/>
                      <w:szCs w:val="21"/>
                    </w:rPr>
                    <w:t>年，业务逐步建立了以西南地区为核心，华北、华东、华中、西北等地区快速增长区域相结合的销售区域布局，与国家电网、南方电网、中国电气装备集团有限公司、中国电力建设集团有限公司、中国长江三峡集团有限公司、中国铁路工程集团有限公司、中国交通建设集团有限公司、中国能源建设集团有限公司等优质客户建立了长期稳定的合作关系，具有良好的品牌口碑和服务水平，市场认可度较高。</w:t>
                  </w:r>
                </w:p>
                <w:p w:rsidR="004A3868" w:rsidRDefault="003F1AB5">
                  <w:pPr>
                    <w:pStyle w:val="afff1"/>
                    <w:ind w:firstLine="420"/>
                    <w:rPr>
                      <w:rFonts w:ascii="Calibri" w:hAnsi="Calibri"/>
                      <w:szCs w:val="21"/>
                    </w:rPr>
                  </w:pPr>
                  <w:r>
                    <w:rPr>
                      <w:rFonts w:hint="eastAsia"/>
                      <w:szCs w:val="21"/>
                    </w:rPr>
                    <w:t>公司是我国西南区域输配电及控制设备研发、生产和销售龙头企业。</w:t>
                  </w:r>
                </w:p>
                <w:p w:rsidR="004A3868" w:rsidRDefault="003F1AB5">
                  <w:pPr>
                    <w:pStyle w:val="afff1"/>
                    <w:ind w:firstLine="420"/>
                    <w:outlineLvl w:val="3"/>
                    <w:rPr>
                      <w:rFonts w:ascii="Calibri" w:hAnsi="Calibri"/>
                      <w:szCs w:val="21"/>
                    </w:rPr>
                  </w:pPr>
                  <w:r>
                    <w:rPr>
                      <w:rFonts w:ascii="Calibri" w:hAnsi="Calibri" w:cs="Calibri"/>
                      <w:szCs w:val="21"/>
                    </w:rPr>
                    <w:t>2</w:t>
                  </w:r>
                  <w:r>
                    <w:rPr>
                      <w:rFonts w:hint="eastAsia"/>
                      <w:szCs w:val="21"/>
                    </w:rPr>
                    <w:t>、取向硅钢业务行业情况</w:t>
                  </w:r>
                </w:p>
                <w:p w:rsidR="004A3868" w:rsidRDefault="003F1AB5">
                  <w:pPr>
                    <w:pStyle w:val="afff1"/>
                    <w:ind w:firstLine="420"/>
                    <w:outlineLvl w:val="4"/>
                    <w:rPr>
                      <w:rFonts w:ascii="Calibri" w:hAnsi="Calibri"/>
                      <w:szCs w:val="21"/>
                    </w:rPr>
                  </w:pPr>
                  <w:r>
                    <w:rPr>
                      <w:rFonts w:hint="eastAsia"/>
                      <w:szCs w:val="21"/>
                    </w:rPr>
                    <w:t>（</w:t>
                  </w:r>
                  <w:r>
                    <w:rPr>
                      <w:rFonts w:ascii="Calibri" w:hAnsi="Calibri" w:cs="Calibri" w:hint="eastAsia"/>
                      <w:szCs w:val="21"/>
                    </w:rPr>
                    <w:t>1</w:t>
                  </w:r>
                  <w:r>
                    <w:rPr>
                      <w:rFonts w:hint="eastAsia"/>
                      <w:szCs w:val="21"/>
                    </w:rPr>
                    <w:t>）基本情况</w:t>
                  </w:r>
                </w:p>
                <w:p w:rsidR="004A3868" w:rsidRDefault="003F1AB5">
                  <w:pPr>
                    <w:pStyle w:val="afff1"/>
                    <w:ind w:firstLine="420"/>
                    <w:rPr>
                      <w:rFonts w:ascii="Calibri" w:hAnsi="Calibri"/>
                      <w:szCs w:val="21"/>
                    </w:rPr>
                  </w:pPr>
                  <w:r>
                    <w:rPr>
                      <w:rFonts w:hint="eastAsia"/>
                      <w:szCs w:val="21"/>
                    </w:rPr>
                    <w:t>根据国家统计局《国民经济行业分类与代码》（</w:t>
                  </w:r>
                  <w:r>
                    <w:rPr>
                      <w:rFonts w:ascii="Calibri" w:hAnsi="Calibri" w:cs="Calibri" w:hint="eastAsia"/>
                      <w:szCs w:val="21"/>
                    </w:rPr>
                    <w:t>GB/T4754</w:t>
                  </w:r>
                  <w:r>
                    <w:rPr>
                      <w:rFonts w:hint="eastAsia"/>
                      <w:szCs w:val="21"/>
                    </w:rPr>
                    <w:t>－</w:t>
                  </w:r>
                  <w:r>
                    <w:rPr>
                      <w:rFonts w:ascii="Calibri" w:hAnsi="Calibri" w:cs="Calibri" w:hint="eastAsia"/>
                      <w:szCs w:val="21"/>
                    </w:rPr>
                    <w:t>2017</w:t>
                  </w:r>
                  <w:r>
                    <w:rPr>
                      <w:rFonts w:hint="eastAsia"/>
                      <w:szCs w:val="21"/>
                    </w:rPr>
                    <w:t>），公司取向硅钢业务所处行业归属于“</w:t>
                  </w:r>
                  <w:r>
                    <w:rPr>
                      <w:rFonts w:ascii="Calibri" w:hAnsi="Calibri" w:cs="Calibri" w:hint="eastAsia"/>
                      <w:szCs w:val="21"/>
                    </w:rPr>
                    <w:t>C</w:t>
                  </w:r>
                  <w:r>
                    <w:rPr>
                      <w:rFonts w:hint="eastAsia"/>
                      <w:szCs w:val="21"/>
                    </w:rPr>
                    <w:t>制造业”的“</w:t>
                  </w:r>
                  <w:r>
                    <w:rPr>
                      <w:rFonts w:ascii="Calibri" w:hAnsi="Calibri" w:cs="Calibri" w:hint="eastAsia"/>
                      <w:szCs w:val="21"/>
                    </w:rPr>
                    <w:t>C3130</w:t>
                  </w:r>
                  <w:r>
                    <w:rPr>
                      <w:rFonts w:hint="eastAsia"/>
                      <w:szCs w:val="21"/>
                    </w:rPr>
                    <w:t>钢压延加工”；公司的高磁感取向硅钢属于国家统计局《战略性新兴产业分类（</w:t>
                  </w:r>
                  <w:r>
                    <w:rPr>
                      <w:rFonts w:ascii="Calibri" w:hAnsi="Calibri" w:cs="Calibri" w:hint="eastAsia"/>
                      <w:szCs w:val="21"/>
                    </w:rPr>
                    <w:t>2018</w:t>
                  </w:r>
                  <w:r>
                    <w:rPr>
                      <w:rFonts w:hint="eastAsia"/>
                      <w:szCs w:val="21"/>
                    </w:rPr>
                    <w:t>）》中第三大类“新材料产业之</w:t>
                  </w:r>
                  <w:r>
                    <w:rPr>
                      <w:rFonts w:ascii="Calibri" w:hAnsi="Calibri" w:cs="Calibri" w:hint="eastAsia"/>
                      <w:szCs w:val="21"/>
                    </w:rPr>
                    <w:t>3.1.5.3</w:t>
                  </w:r>
                  <w:r>
                    <w:rPr>
                      <w:rFonts w:hint="eastAsia"/>
                      <w:szCs w:val="21"/>
                    </w:rPr>
                    <w:t>高性能电工钢加工”。</w:t>
                  </w:r>
                </w:p>
                <w:p w:rsidR="004A3868" w:rsidRDefault="003F1AB5">
                  <w:pPr>
                    <w:pStyle w:val="afff1"/>
                    <w:ind w:firstLine="420"/>
                    <w:rPr>
                      <w:rFonts w:ascii="Calibri" w:hAnsi="Calibri"/>
                      <w:szCs w:val="21"/>
                    </w:rPr>
                  </w:pPr>
                  <w:r>
                    <w:rPr>
                      <w:rFonts w:hint="eastAsia"/>
                      <w:szCs w:val="21"/>
                    </w:rPr>
                    <w:t>电工钢是中国式现代化建设、高质量发展及人民生活不可缺少的重要原材料，是电力行业的“芯片”，取向硅钢又是电工钢金字塔尖的产品，被誉为钢铁工业“皇冠上的明珠”，特别是高等级取向硅钢更是电力传输中必备的尖端功能材料，是各类电力变压器产品的关键原材料，主要用于电力变压器（铁心）的制造，还可应用于大型电机（水电、风电、火电）铁心等领域。近年来，新能源汽车、特高压工程、高铁及轨道交通、智能家电、光伏发电、风电、数据中心等新兴领域对电工钢的需求也日益增多。</w:t>
                  </w:r>
                </w:p>
                <w:p w:rsidR="004A3868" w:rsidRDefault="003F1AB5">
                  <w:pPr>
                    <w:pStyle w:val="afff1"/>
                    <w:ind w:firstLine="420"/>
                    <w:outlineLvl w:val="4"/>
                    <w:rPr>
                      <w:rFonts w:ascii="Calibri" w:hAnsi="Calibri"/>
                      <w:szCs w:val="21"/>
                    </w:rPr>
                  </w:pPr>
                  <w:r>
                    <w:rPr>
                      <w:rFonts w:hint="eastAsia"/>
                      <w:szCs w:val="21"/>
                    </w:rPr>
                    <w:lastRenderedPageBreak/>
                    <w:t>（</w:t>
                  </w:r>
                  <w:r>
                    <w:rPr>
                      <w:rFonts w:ascii="Calibri" w:hAnsi="Calibri" w:cs="Calibri" w:hint="eastAsia"/>
                      <w:szCs w:val="21"/>
                    </w:rPr>
                    <w:t>2</w:t>
                  </w:r>
                  <w:r>
                    <w:rPr>
                      <w:rFonts w:hint="eastAsia"/>
                      <w:szCs w:val="21"/>
                    </w:rPr>
                    <w:t>）行业发展情况</w:t>
                  </w:r>
                </w:p>
                <w:p w:rsidR="004A3868" w:rsidRDefault="003F1AB5">
                  <w:pPr>
                    <w:pStyle w:val="afff1"/>
                    <w:ind w:firstLine="420"/>
                    <w:rPr>
                      <w:rFonts w:ascii="Calibri" w:hAnsi="Calibri"/>
                      <w:szCs w:val="21"/>
                    </w:rPr>
                  </w:pPr>
                  <w:r>
                    <w:rPr>
                      <w:rFonts w:hint="eastAsia"/>
                      <w:szCs w:val="21"/>
                    </w:rPr>
                    <w:t>建国初期，我国取向硅钢主要依赖于向日本、美国、德国等国际厂商采购，</w:t>
                  </w:r>
                  <w:r>
                    <w:rPr>
                      <w:rFonts w:ascii="Calibri" w:hAnsi="Calibri" w:cs="Calibri" w:hint="eastAsia"/>
                      <w:szCs w:val="21"/>
                    </w:rPr>
                    <w:t>1974</w:t>
                  </w:r>
                  <w:r>
                    <w:rPr>
                      <w:rFonts w:hint="eastAsia"/>
                      <w:szCs w:val="21"/>
                    </w:rPr>
                    <w:t>年武汉钢铁（集团）有限公司自日本引进了全套一般取向硅钢装备和技术，并于</w:t>
                  </w:r>
                  <w:r>
                    <w:rPr>
                      <w:rFonts w:ascii="Calibri" w:hAnsi="Calibri" w:cs="Calibri" w:hint="eastAsia"/>
                      <w:szCs w:val="21"/>
                    </w:rPr>
                    <w:t>1978</w:t>
                  </w:r>
                  <w:r>
                    <w:rPr>
                      <w:rFonts w:hint="eastAsia"/>
                      <w:szCs w:val="21"/>
                    </w:rPr>
                    <w:t>年建成投产。</w:t>
                  </w:r>
                  <w:r>
                    <w:rPr>
                      <w:rFonts w:ascii="Calibri" w:hAnsi="Calibri" w:cs="Calibri" w:hint="eastAsia"/>
                      <w:szCs w:val="21"/>
                    </w:rPr>
                    <w:t>1995</w:t>
                  </w:r>
                  <w:r>
                    <w:rPr>
                      <w:rFonts w:hint="eastAsia"/>
                      <w:szCs w:val="21"/>
                    </w:rPr>
                    <w:t>年，武汉钢铁（集团）有限公司自日本引进了高磁感取向硅钢生产设备和技术。</w:t>
                  </w:r>
                  <w:r>
                    <w:rPr>
                      <w:rFonts w:ascii="Calibri" w:hAnsi="Calibri" w:cs="Calibri" w:hint="eastAsia"/>
                      <w:szCs w:val="21"/>
                    </w:rPr>
                    <w:t>2007</w:t>
                  </w:r>
                  <w:r>
                    <w:rPr>
                      <w:rFonts w:hint="eastAsia"/>
                      <w:szCs w:val="21"/>
                    </w:rPr>
                    <w:t>年底，我国仅有武汉钢铁（集团）有限公司可以生产取向硅钢，国内需求一半以上依赖进口。随着国内电网大规模建设，电力变压器需求相应以较大幅度增长，取向硅钢整体供不应求的局面较大程度抑制了电力变压器及铁心制造行业的市场化发展。</w:t>
                  </w:r>
                  <w:r>
                    <w:rPr>
                      <w:rFonts w:ascii="Calibri" w:hAnsi="Calibri" w:cs="Calibri" w:hint="eastAsia"/>
                      <w:szCs w:val="21"/>
                    </w:rPr>
                    <w:t>2007</w:t>
                  </w:r>
                  <w:r>
                    <w:rPr>
                      <w:rFonts w:hint="eastAsia"/>
                      <w:szCs w:val="21"/>
                    </w:rPr>
                    <w:t>年以后，武汉钢铁（集团）有限公司逐步进行产能扩张，宝钢集团有限公司、首钢集团有限公司等厂商纷纷投资建设取向硅钢生产线，我国取向硅钢产能大幅提高。</w:t>
                  </w:r>
                </w:p>
                <w:p w:rsidR="004A3868" w:rsidRDefault="003F1AB5">
                  <w:pPr>
                    <w:pStyle w:val="afff1"/>
                    <w:ind w:firstLine="420"/>
                    <w:rPr>
                      <w:rFonts w:ascii="Calibri" w:hAnsi="Calibri"/>
                      <w:szCs w:val="21"/>
                    </w:rPr>
                  </w:pPr>
                  <w:r>
                    <w:rPr>
                      <w:rFonts w:hint="eastAsia"/>
                      <w:szCs w:val="21"/>
                    </w:rPr>
                    <w:t>目前我国已生产出多规格、多牌号、更低铁损、更高磁感的取向硅钢，满足了国家电力工业高质量发展和电力变压器能效升级的需要。在我国特高压电网建设中，高磁感取向硅钢发挥了重要的作用。在这期间，我国经历了从依赖进口高磁感取向硅钢到基本使用国产高磁感取向硅钢的巨变。</w:t>
                  </w:r>
                </w:p>
                <w:p w:rsidR="004A3868" w:rsidRDefault="003F1AB5">
                  <w:pPr>
                    <w:pStyle w:val="afff1"/>
                    <w:ind w:firstLine="420"/>
                    <w:rPr>
                      <w:rFonts w:ascii="Calibri" w:hAnsi="Calibri"/>
                      <w:szCs w:val="21"/>
                    </w:rPr>
                  </w:pPr>
                  <w:r>
                    <w:rPr>
                      <w:rFonts w:hint="eastAsia"/>
                      <w:szCs w:val="21"/>
                    </w:rPr>
                    <w:t>根据《中华人民共和国反倾销条例》的规定，国务院关税税则委员会决定自</w:t>
                  </w:r>
                  <w:r>
                    <w:rPr>
                      <w:rFonts w:ascii="Calibri" w:hAnsi="Calibri" w:cs="Calibri" w:hint="eastAsia"/>
                      <w:szCs w:val="21"/>
                    </w:rPr>
                    <w:t>2022</w:t>
                  </w:r>
                  <w:r>
                    <w:rPr>
                      <w:rFonts w:hint="eastAsia"/>
                      <w:szCs w:val="21"/>
                    </w:rPr>
                    <w:t>年</w:t>
                  </w:r>
                  <w:r>
                    <w:rPr>
                      <w:rFonts w:ascii="Calibri" w:hAnsi="Calibri" w:cs="Calibri" w:hint="eastAsia"/>
                      <w:szCs w:val="21"/>
                    </w:rPr>
                    <w:t>7</w:t>
                  </w:r>
                  <w:r>
                    <w:rPr>
                      <w:rFonts w:hint="eastAsia"/>
                      <w:szCs w:val="21"/>
                    </w:rPr>
                    <w:t>月</w:t>
                  </w:r>
                  <w:r>
                    <w:rPr>
                      <w:rFonts w:ascii="Calibri" w:hAnsi="Calibri" w:cs="Calibri" w:hint="eastAsia"/>
                      <w:szCs w:val="21"/>
                    </w:rPr>
                    <w:t>23</w:t>
                  </w:r>
                  <w:r>
                    <w:rPr>
                      <w:rFonts w:hint="eastAsia"/>
                      <w:szCs w:val="21"/>
                    </w:rPr>
                    <w:t>日起，对原产于日本、韩国和欧盟的进口取向电工钢继续征收反倾销税，实施期限为</w:t>
                  </w:r>
                  <w:r>
                    <w:rPr>
                      <w:rFonts w:ascii="Calibri" w:hAnsi="Calibri" w:cs="Calibri" w:hint="eastAsia"/>
                      <w:szCs w:val="21"/>
                    </w:rPr>
                    <w:t>5</w:t>
                  </w:r>
                  <w:r>
                    <w:rPr>
                      <w:rFonts w:hint="eastAsia"/>
                      <w:szCs w:val="21"/>
                    </w:rPr>
                    <w:t>年。商务部发布了</w:t>
                  </w:r>
                  <w:r>
                    <w:rPr>
                      <w:rFonts w:ascii="Calibri" w:hAnsi="Calibri" w:cs="Calibri" w:hint="eastAsia"/>
                      <w:szCs w:val="21"/>
                    </w:rPr>
                    <w:t>2022</w:t>
                  </w:r>
                  <w:r>
                    <w:rPr>
                      <w:rFonts w:hint="eastAsia"/>
                      <w:szCs w:val="21"/>
                    </w:rPr>
                    <w:t>年第</w:t>
                  </w:r>
                  <w:r>
                    <w:rPr>
                      <w:rFonts w:ascii="Calibri" w:hAnsi="Calibri" w:cs="Calibri" w:hint="eastAsia"/>
                      <w:szCs w:val="21"/>
                    </w:rPr>
                    <w:t>22</w:t>
                  </w:r>
                  <w:r>
                    <w:rPr>
                      <w:rFonts w:hint="eastAsia"/>
                      <w:szCs w:val="21"/>
                    </w:rPr>
                    <w:t>号公告，明确了实施反倾销措施产品的具体商品范围和相应的反倾销税率。</w:t>
                  </w:r>
                </w:p>
                <w:p w:rsidR="004A3868" w:rsidRDefault="003F1AB5">
                  <w:pPr>
                    <w:pStyle w:val="afff1"/>
                    <w:ind w:firstLine="420"/>
                    <w:rPr>
                      <w:szCs w:val="21"/>
                    </w:rPr>
                  </w:pPr>
                  <w:r>
                    <w:rPr>
                      <w:rFonts w:hint="eastAsia"/>
                      <w:szCs w:val="21"/>
                    </w:rPr>
                    <w:t>随着国家“双碳”政策和《变压器能效提升计划（</w:t>
                  </w:r>
                  <w:r>
                    <w:rPr>
                      <w:rFonts w:ascii="Calibri" w:hAnsi="Calibri" w:cs="Calibri" w:hint="eastAsia"/>
                      <w:szCs w:val="21"/>
                    </w:rPr>
                    <w:t>2021</w:t>
                  </w:r>
                  <w:r>
                    <w:rPr>
                      <w:rFonts w:hint="eastAsia"/>
                      <w:szCs w:val="21"/>
                    </w:rPr>
                    <w:t>年—</w:t>
                  </w:r>
                  <w:r>
                    <w:rPr>
                      <w:rFonts w:ascii="Calibri" w:hAnsi="Calibri" w:cs="Calibri" w:hint="eastAsia"/>
                      <w:szCs w:val="21"/>
                    </w:rPr>
                    <w:t>2023</w:t>
                  </w:r>
                  <w:r>
                    <w:rPr>
                      <w:rFonts w:hint="eastAsia"/>
                      <w:szCs w:val="21"/>
                    </w:rPr>
                    <w:t>年）》的政策发布和新能源光伏、风电、充电桩、特高压、轨道交通、数据中心、新型基础设施等新兴产业的投资以及“一带一路”倡议拉动相关行业发展，取向硅钢需求迅猛增长。</w:t>
                  </w:r>
                </w:p>
                <w:p w:rsidR="004A3868" w:rsidRDefault="003F1AB5">
                  <w:pPr>
                    <w:pStyle w:val="afff1"/>
                    <w:ind w:firstLine="420"/>
                    <w:rPr>
                      <w:szCs w:val="21"/>
                    </w:rPr>
                  </w:pPr>
                  <w:r>
                    <w:rPr>
                      <w:rFonts w:hint="eastAsia"/>
                      <w:szCs w:val="21"/>
                    </w:rPr>
                    <w:t>在国家政策和各类标准的带动下，近年来取向硅钢，特别是高牌号取向硅钢发展呈现新趋势，从历年取向硅钢价格走势看，价格涨跌基本形成了</w:t>
                  </w:r>
                  <w:r>
                    <w:rPr>
                      <w:rFonts w:ascii="Calibri" w:hAnsi="Calibri" w:cs="Calibri" w:hint="eastAsia"/>
                      <w:szCs w:val="21"/>
                    </w:rPr>
                    <w:t>3</w:t>
                  </w:r>
                  <w:r>
                    <w:rPr>
                      <w:rFonts w:hint="eastAsia"/>
                      <w:szCs w:val="21"/>
                    </w:rPr>
                    <w:t>至</w:t>
                  </w:r>
                  <w:r>
                    <w:rPr>
                      <w:rFonts w:ascii="Calibri" w:hAnsi="Calibri" w:cs="Calibri" w:hint="eastAsia"/>
                      <w:szCs w:val="21"/>
                    </w:rPr>
                    <w:t>5</w:t>
                  </w:r>
                  <w:r>
                    <w:rPr>
                      <w:rFonts w:hint="eastAsia"/>
                      <w:szCs w:val="21"/>
                    </w:rPr>
                    <w:t>年一次波动的规律，随着电力变压器能效升级的推进，预计未来一般取向硅钢的市场需求会继续减少，高磁感取向硅钢需求增加，取向硅钢价格在经历市场调整后将趋向稳定。</w:t>
                  </w:r>
                </w:p>
                <w:p w:rsidR="004A3868" w:rsidRDefault="003F1AB5">
                  <w:pPr>
                    <w:pStyle w:val="afff1"/>
                    <w:ind w:firstLine="420"/>
                    <w:rPr>
                      <w:szCs w:val="21"/>
                    </w:rPr>
                  </w:pPr>
                  <w:r>
                    <w:rPr>
                      <w:rFonts w:hint="eastAsia"/>
                      <w:szCs w:val="21"/>
                    </w:rPr>
                    <w:t>2023年，我国硅钢市场整体在产量增长中伴随着价格震荡下行，在结构优化中增强国际市场潜能。这一年，中国硅钢继续肩负国家电力建设、绿色产业链及低碳社会构建的产业使命，为我国经济建设做出了应有的贡献，为我国经济结构转型及高质量发展强化着产业支点。这一年，中国硅钢深度融入国内国外双循环经济格局，积极出海，在海外市场展示着高端硅钢的竞争力与中国制造的效能。</w:t>
                  </w:r>
                </w:p>
                <w:p w:rsidR="004A3868" w:rsidRDefault="003F1AB5">
                  <w:pPr>
                    <w:pStyle w:val="afff1"/>
                    <w:ind w:firstLine="420"/>
                    <w:rPr>
                      <w:szCs w:val="21"/>
                    </w:rPr>
                  </w:pPr>
                  <w:r>
                    <w:rPr>
                      <w:rFonts w:hint="eastAsia"/>
                      <w:szCs w:val="21"/>
                    </w:rPr>
                    <w:t>据电工钢分会统计：2023年，中国硅钢产量全球为冠：我国取向硅钢产量约263.7万吨，同比增量46.3万吨，增长21%；保持全球最大冷轧硅钢产地国、消费国的地位；部分民营企业在 090 及以上牌号制造能力不断提升。</w:t>
                  </w:r>
                </w:p>
                <w:p w:rsidR="004A3868" w:rsidRDefault="003F1AB5">
                  <w:pPr>
                    <w:pStyle w:val="afff1"/>
                    <w:ind w:firstLine="420"/>
                    <w:rPr>
                      <w:color w:val="FF0000"/>
                      <w:szCs w:val="21"/>
                    </w:rPr>
                  </w:pPr>
                  <w:r>
                    <w:rPr>
                      <w:szCs w:val="21"/>
                    </w:rPr>
                    <w:lastRenderedPageBreak/>
                    <w:t>随着新能源汽车、高能效电力变压器及工业电机、抽水蓄能大型发电机等市场处于增量通道，硅钢整体表观需求呈现增长态势，其中也存在高等级的结构性机会。然而，随着资本市场及行业投资人的关注增加，高于需求增速的产能增速正在形成，这一方面导致整个行业供需态势正在向结构性过剩演</w:t>
                  </w:r>
                  <w:r>
                    <w:rPr>
                      <w:rFonts w:hint="eastAsia"/>
                      <w:szCs w:val="21"/>
                    </w:rPr>
                    <w:t>变</w:t>
                  </w:r>
                  <w:r>
                    <w:rPr>
                      <w:szCs w:val="21"/>
                    </w:rPr>
                    <w:t>，一方面也是为进入新赛道的中国硅钢高质量发展注入新的潜能和动能。</w:t>
                  </w:r>
                </w:p>
                <w:p w:rsidR="004A3868" w:rsidRDefault="003F1AB5">
                  <w:pPr>
                    <w:pStyle w:val="afff1"/>
                    <w:ind w:firstLine="420"/>
                    <w:outlineLvl w:val="4"/>
                    <w:rPr>
                      <w:rFonts w:ascii="Calibri" w:hAnsi="Calibri"/>
                      <w:szCs w:val="21"/>
                    </w:rPr>
                  </w:pPr>
                  <w:r>
                    <w:rPr>
                      <w:rFonts w:hint="eastAsia"/>
                      <w:szCs w:val="21"/>
                    </w:rPr>
                    <w:t>（</w:t>
                  </w:r>
                  <w:r>
                    <w:rPr>
                      <w:rFonts w:ascii="Calibri" w:hAnsi="Calibri" w:cs="Calibri" w:hint="eastAsia"/>
                      <w:szCs w:val="21"/>
                    </w:rPr>
                    <w:t>3</w:t>
                  </w:r>
                  <w:r>
                    <w:rPr>
                      <w:rFonts w:hint="eastAsia"/>
                      <w:szCs w:val="21"/>
                    </w:rPr>
                    <w:t>）公司行业地位</w:t>
                  </w:r>
                </w:p>
                <w:p w:rsidR="004A3868" w:rsidRDefault="003F1AB5">
                  <w:pPr>
                    <w:pStyle w:val="afff1"/>
                    <w:ind w:firstLine="420"/>
                    <w:rPr>
                      <w:rFonts w:ascii="Calibri" w:hAnsi="Calibri"/>
                      <w:szCs w:val="21"/>
                    </w:rPr>
                  </w:pPr>
                  <w:r>
                    <w:rPr>
                      <w:rFonts w:hint="eastAsia"/>
                      <w:szCs w:val="21"/>
                    </w:rPr>
                    <w:t>取向硅钢，尤其是高磁感取向硅钢，因工艺窗口参数控制技术壁垒较高，国内能够生产高磁感取向硅钢的企业较少，行业内企业主要集中在大型的国有钢铁企业和较少数的民营企业。</w:t>
                  </w:r>
                </w:p>
                <w:p w:rsidR="004A3868" w:rsidRDefault="003F1AB5">
                  <w:pPr>
                    <w:pStyle w:val="afff1"/>
                    <w:ind w:firstLine="420"/>
                    <w:rPr>
                      <w:szCs w:val="21"/>
                    </w:rPr>
                  </w:pPr>
                  <w:r>
                    <w:rPr>
                      <w:rFonts w:hint="eastAsia"/>
                      <w:szCs w:val="21"/>
                    </w:rPr>
                    <w:t>根据电工钢分会关于《</w:t>
                  </w:r>
                  <w:r>
                    <w:rPr>
                      <w:rFonts w:ascii="Calibri" w:hAnsi="Calibri" w:cs="Calibri"/>
                      <w:szCs w:val="21"/>
                    </w:rPr>
                    <w:t>2023</w:t>
                  </w:r>
                  <w:r>
                    <w:rPr>
                      <w:rFonts w:ascii="Calibri" w:hAnsi="Calibri" w:cs="Calibri" w:hint="eastAsia"/>
                      <w:szCs w:val="21"/>
                    </w:rPr>
                    <w:t>年</w:t>
                  </w:r>
                  <w:r>
                    <w:rPr>
                      <w:rFonts w:hint="eastAsia"/>
                      <w:szCs w:val="21"/>
                    </w:rPr>
                    <w:t>中国电工钢产业发展报告》，</w:t>
                  </w:r>
                  <w:r>
                    <w:rPr>
                      <w:szCs w:val="21"/>
                    </w:rPr>
                    <w:t>2023年</w:t>
                  </w:r>
                  <w:r>
                    <w:rPr>
                      <w:rFonts w:hint="eastAsia"/>
                      <w:szCs w:val="21"/>
                    </w:rPr>
                    <w:t>我</w:t>
                  </w:r>
                  <w:r>
                    <w:rPr>
                      <w:szCs w:val="21"/>
                    </w:rPr>
                    <w:t>国取向硅钢产量263.7万吨，同比增量46.3万吨，增长21%</w:t>
                  </w:r>
                  <w:r>
                    <w:rPr>
                      <w:rFonts w:hint="eastAsia"/>
                      <w:szCs w:val="21"/>
                    </w:rPr>
                    <w:t>；这是在</w:t>
                  </w:r>
                  <w:r>
                    <w:rPr>
                      <w:szCs w:val="21"/>
                    </w:rPr>
                    <w:t>2022年历史上第一次跨</w:t>
                  </w:r>
                  <w:r>
                    <w:rPr>
                      <w:rFonts w:hint="eastAsia"/>
                      <w:szCs w:val="21"/>
                    </w:rPr>
                    <w:t>过</w:t>
                  </w:r>
                  <w:r>
                    <w:rPr>
                      <w:szCs w:val="21"/>
                    </w:rPr>
                    <w:t>200万吨产量里程碑后连续第二次大幅度提</w:t>
                  </w:r>
                  <w:r>
                    <w:rPr>
                      <w:rFonts w:hint="eastAsia"/>
                      <w:szCs w:val="21"/>
                    </w:rPr>
                    <w:t>升；</w:t>
                  </w:r>
                  <w:r>
                    <w:rPr>
                      <w:szCs w:val="21"/>
                    </w:rPr>
                    <w:t>2023年我国民</w:t>
                  </w:r>
                  <w:r>
                    <w:rPr>
                      <w:rFonts w:hint="eastAsia"/>
                      <w:szCs w:val="21"/>
                    </w:rPr>
                    <w:t>营取向硅钢厂合计产量</w:t>
                  </w:r>
                  <w:r>
                    <w:rPr>
                      <w:szCs w:val="21"/>
                    </w:rPr>
                    <w:t xml:space="preserve"> 11</w:t>
                  </w:r>
                  <w:r>
                    <w:rPr>
                      <w:rFonts w:hint="eastAsia"/>
                      <w:szCs w:val="21"/>
                    </w:rPr>
                    <w:t>8.2</w:t>
                  </w:r>
                  <w:r>
                    <w:rPr>
                      <w:szCs w:val="21"/>
                    </w:rPr>
                    <w:t>万吨、产量占比44%，同比提升3</w:t>
                  </w:r>
                  <w:r>
                    <w:rPr>
                      <w:rFonts w:hint="eastAsia"/>
                      <w:szCs w:val="21"/>
                    </w:rPr>
                    <w:t>个</w:t>
                  </w:r>
                  <w:r>
                    <w:rPr>
                      <w:szCs w:val="21"/>
                    </w:rPr>
                    <w:t>百分点。2023年</w:t>
                  </w:r>
                  <w:r>
                    <w:rPr>
                      <w:rFonts w:hint="eastAsia"/>
                      <w:szCs w:val="21"/>
                    </w:rPr>
                    <w:t>取向硅钢在产企业数量</w:t>
                  </w:r>
                  <w:r>
                    <w:rPr>
                      <w:szCs w:val="21"/>
                    </w:rPr>
                    <w:t>27家（按生产法人口径），环比增加3家，其中18家产量</w:t>
                  </w:r>
                  <w:r>
                    <w:rPr>
                      <w:rFonts w:hint="eastAsia"/>
                      <w:szCs w:val="21"/>
                    </w:rPr>
                    <w:t>上升。公司排名全国第三，民营企业第一。</w:t>
                  </w:r>
                </w:p>
                <w:p w:rsidR="004A3868" w:rsidRDefault="003F1AB5">
                  <w:pPr>
                    <w:pStyle w:val="afff1"/>
                    <w:ind w:firstLine="420"/>
                    <w:rPr>
                      <w:szCs w:val="21"/>
                    </w:rPr>
                  </w:pPr>
                  <w:r>
                    <w:rPr>
                      <w:rFonts w:hint="eastAsia"/>
                      <w:szCs w:val="21"/>
                    </w:rPr>
                    <w:t>公司取向硅钢产品被中国金属学会评审认为“性能国内领先”，在国内享有良好知名度，产品质量可与国有大型钢铁企业媲美。公司取向硅钢主要销往华东、华南和西南地区，并远销东南亚、中东、非洲、欧洲、南美洲、北美洲等市场。公司取向硅钢版块国内客户主要有特变电工、金盘科技、正泰集团股份有限公司、中国电气装备集团有限公司等；海外客户主要包括</w:t>
                  </w:r>
                  <w:r>
                    <w:rPr>
                      <w:szCs w:val="21"/>
                    </w:rPr>
                    <w:t>HYOSUNG TNC CORPORATION</w:t>
                  </w:r>
                  <w:r>
                    <w:rPr>
                      <w:rFonts w:hint="eastAsia"/>
                      <w:szCs w:val="21"/>
                    </w:rPr>
                    <w:t>（晓星天禧）</w:t>
                  </w:r>
                  <w:r>
                    <w:rPr>
                      <w:szCs w:val="21"/>
                    </w:rPr>
                    <w:t>、MARUBENI-ITOCHU STEEL INC</w:t>
                  </w:r>
                  <w:r>
                    <w:rPr>
                      <w:rFonts w:hint="eastAsia"/>
                      <w:szCs w:val="21"/>
                    </w:rPr>
                    <w:t>（伊藤忠丸红钢铁公司）</w:t>
                  </w:r>
                  <w:r>
                    <w:rPr>
                      <w:szCs w:val="21"/>
                    </w:rPr>
                    <w:t>、POSCO INTERNATIONAL CORPORATION</w:t>
                  </w:r>
                  <w:r>
                    <w:rPr>
                      <w:rFonts w:hint="eastAsia"/>
                      <w:szCs w:val="21"/>
                    </w:rPr>
                    <w:t>（浦项国际公司）等</w:t>
                  </w:r>
                  <w:r>
                    <w:rPr>
                      <w:szCs w:val="21"/>
                    </w:rPr>
                    <w:t>。</w:t>
                  </w:r>
                </w:p>
                <w:p w:rsidR="004A3868" w:rsidRDefault="003F1AB5">
                  <w:pPr>
                    <w:pStyle w:val="afff1"/>
                    <w:ind w:firstLine="420"/>
                    <w:outlineLvl w:val="2"/>
                    <w:rPr>
                      <w:rFonts w:ascii="Calibri" w:hAnsi="Calibri"/>
                      <w:szCs w:val="21"/>
                    </w:rPr>
                  </w:pPr>
                  <w:r>
                    <w:rPr>
                      <w:rFonts w:hint="eastAsia"/>
                      <w:szCs w:val="21"/>
                    </w:rPr>
                    <w:t>（二）公司主营业务相关行业与国家及地方战略之间的关系</w:t>
                  </w:r>
                </w:p>
                <w:p w:rsidR="004A3868" w:rsidRDefault="003F1AB5">
                  <w:pPr>
                    <w:pStyle w:val="afff1"/>
                    <w:ind w:firstLine="420"/>
                    <w:outlineLvl w:val="3"/>
                    <w:rPr>
                      <w:szCs w:val="21"/>
                    </w:rPr>
                  </w:pPr>
                  <w:r>
                    <w:rPr>
                      <w:rFonts w:ascii="Calibri" w:hAnsi="Calibri" w:cs="Calibri" w:hint="eastAsia"/>
                      <w:szCs w:val="21"/>
                    </w:rPr>
                    <w:t>1</w:t>
                  </w:r>
                  <w:r>
                    <w:rPr>
                      <w:rFonts w:hint="eastAsia"/>
                      <w:szCs w:val="21"/>
                    </w:rPr>
                    <w:t>、党的“二十大”报告关于加快建设制造强国的意见，为公司两大主营业务指明了方向和路径</w:t>
                  </w:r>
                </w:p>
                <w:p w:rsidR="004A3868" w:rsidRDefault="003F1AB5">
                  <w:pPr>
                    <w:pStyle w:val="afff1"/>
                    <w:ind w:firstLine="420"/>
                    <w:rPr>
                      <w:rFonts w:ascii="Calibri" w:hAnsi="Calibri"/>
                      <w:szCs w:val="21"/>
                    </w:rPr>
                  </w:pPr>
                  <w:r>
                    <w:rPr>
                      <w:rFonts w:hint="eastAsia"/>
                      <w:szCs w:val="21"/>
                    </w:rPr>
                    <w:t>党的“二十大”报告指出，“推进新型工业化，加快建设制造强国、质量强国、航天强国、交通强国、网络强国、数字中国”“实施产业基础再造工程和重大技术装备攻关工程，支持专精特新企业发展，推动制造业高端化、智能化、绿色化发展。巩固优势产业领先地位，在关系安全发展的领域加快补齐短板，提升战略性资源供应保障能力”“推动战略性新兴产业融合集群发展，构建新一代信息技术、人工智能、生物技术、新能源、新材料、高端装备、绿色环保等一批新的增长引擎”。</w:t>
                  </w:r>
                </w:p>
                <w:p w:rsidR="004A3868" w:rsidRDefault="003F1AB5">
                  <w:pPr>
                    <w:pStyle w:val="afff1"/>
                    <w:ind w:firstLine="420"/>
                    <w:rPr>
                      <w:rFonts w:ascii="Calibri" w:hAnsi="Calibri"/>
                      <w:szCs w:val="21"/>
                    </w:rPr>
                  </w:pPr>
                  <w:r>
                    <w:rPr>
                      <w:rFonts w:hint="eastAsia"/>
                      <w:szCs w:val="21"/>
                    </w:rPr>
                    <w:t>公司所从事的取向硅钢、输配电及控制设备行业属于上述报告关于战略性新兴产业融合集群中的“新材料”和“高端装备”，公司两大主营业务均服务于中国制造强国战略。</w:t>
                  </w:r>
                </w:p>
                <w:p w:rsidR="004A3868" w:rsidRDefault="003F1AB5">
                  <w:pPr>
                    <w:pStyle w:val="afff1"/>
                    <w:ind w:firstLine="420"/>
                    <w:outlineLvl w:val="3"/>
                    <w:rPr>
                      <w:rFonts w:ascii="Calibri" w:hAnsi="Calibri"/>
                      <w:szCs w:val="21"/>
                    </w:rPr>
                  </w:pPr>
                  <w:r>
                    <w:rPr>
                      <w:rFonts w:ascii="Calibri" w:hAnsi="Calibri" w:cs="Calibri" w:hint="eastAsia"/>
                      <w:szCs w:val="21"/>
                    </w:rPr>
                    <w:t>2</w:t>
                  </w:r>
                  <w:r>
                    <w:rPr>
                      <w:rFonts w:hint="eastAsia"/>
                      <w:szCs w:val="21"/>
                    </w:rPr>
                    <w:t>、公司的产业发展与地方产业发展规划高度契合，将助力公司未来持续高质量发展战略</w:t>
                  </w:r>
                </w:p>
                <w:p w:rsidR="004A3868" w:rsidRDefault="003F1AB5">
                  <w:pPr>
                    <w:pStyle w:val="afff1"/>
                    <w:ind w:firstLine="420"/>
                    <w:rPr>
                      <w:szCs w:val="21"/>
                    </w:rPr>
                  </w:pPr>
                  <w:r>
                    <w:rPr>
                      <w:rFonts w:hint="eastAsia"/>
                      <w:szCs w:val="21"/>
                    </w:rPr>
                    <w:t>根据公司注册地重庆市长寿区委、区政府《关于印发〈长寿区“</w:t>
                  </w:r>
                  <w:r>
                    <w:rPr>
                      <w:rFonts w:ascii="Calibri" w:hAnsi="Calibri" w:cs="Calibri" w:hint="eastAsia"/>
                      <w:szCs w:val="21"/>
                    </w:rPr>
                    <w:t>3113</w:t>
                  </w:r>
                  <w:r>
                    <w:rPr>
                      <w:rFonts w:hint="eastAsia"/>
                      <w:szCs w:val="21"/>
                    </w:rPr>
                    <w:t>”项目攻坚行动计划实</w:t>
                  </w:r>
                  <w:r>
                    <w:rPr>
                      <w:rFonts w:hint="eastAsia"/>
                      <w:szCs w:val="21"/>
                    </w:rPr>
                    <w:lastRenderedPageBreak/>
                    <w:t>施意见〉的通知》（长寿委发〔</w:t>
                  </w:r>
                  <w:r>
                    <w:rPr>
                      <w:rFonts w:ascii="Calibri" w:hAnsi="Calibri" w:cs="Calibri" w:hint="eastAsia"/>
                      <w:szCs w:val="21"/>
                    </w:rPr>
                    <w:t>2022</w:t>
                  </w:r>
                  <w:r>
                    <w:rPr>
                      <w:rFonts w:hint="eastAsia"/>
                      <w:szCs w:val="21"/>
                    </w:rPr>
                    <w:t>〕</w:t>
                  </w:r>
                  <w:r>
                    <w:rPr>
                      <w:rFonts w:ascii="Calibri" w:hAnsi="Calibri" w:cs="Calibri" w:hint="eastAsia"/>
                      <w:szCs w:val="21"/>
                    </w:rPr>
                    <w:t>4</w:t>
                  </w:r>
                  <w:r>
                    <w:rPr>
                      <w:rFonts w:hint="eastAsia"/>
                      <w:szCs w:val="21"/>
                    </w:rPr>
                    <w:t>号），长寿区将加快推进“具有全球影响力的新材料高地”建设工作，公司取向硅钢与输配电及控制设备业务与长寿区打造“具有全球影响力的新材料高地”规划高度契合。公司产业发展将迎来前所未有的历史机遇，公司将持续打造国际一流的高端磁性材料—电力装备制造—智能电网解决方案服务一体化产业链，提高自身企业的核心竞争力的同时，为长寿区域以及西部发展添砖加瓦。</w:t>
                  </w:r>
                </w:p>
              </w:sdtContent>
            </w:sdt>
          </w:sdtContent>
        </w:sdt>
      </w:sdtContent>
    </w:sdt>
    <w:p w:rsidR="004A3868" w:rsidRDefault="003F1AB5">
      <w:pPr>
        <w:pStyle w:val="2"/>
      </w:pPr>
      <w:r>
        <w:t>报告期内公司从事的业务情况</w:t>
      </w:r>
    </w:p>
    <w:sdt>
      <w:sdtPr>
        <w:rPr>
          <w:szCs w:val="21"/>
        </w:rPr>
        <w:alias w:val="报告期内公司从事的业务情况 "/>
        <w:tag w:val="_GBC_5c2ed6623d994f569eb07915af842807"/>
        <w:id w:val="979270269"/>
        <w:placeholder>
          <w:docPart w:val="GBC22222222222222222222222222222"/>
        </w:placeholder>
      </w:sdtPr>
      <w:sdtEndPr/>
      <w:sdtContent>
        <w:sdt>
          <w:sdtPr>
            <w:rPr>
              <w:rFonts w:hint="eastAsia"/>
              <w:szCs w:val="21"/>
            </w:rPr>
            <w:alias w:val="报告期内公司从事的业务情况 "/>
            <w:tag w:val="_GBC_5c2ed6623d994f569eb07915af842807"/>
            <w:id w:val="1735349277"/>
            <w:lock w:val="sdtLocked"/>
          </w:sdtPr>
          <w:sdtEndPr/>
          <w:sdtContent>
            <w:p w:rsidR="004A3868" w:rsidRDefault="003F1AB5">
              <w:pPr>
                <w:pStyle w:val="afff1"/>
                <w:ind w:firstLine="420"/>
                <w:rPr>
                  <w:szCs w:val="21"/>
                </w:rPr>
              </w:pPr>
              <w:r>
                <w:rPr>
                  <w:rFonts w:hint="eastAsia"/>
                  <w:szCs w:val="21"/>
                </w:rPr>
                <w:t>公司主营业务为取向硅钢和输配电及控制设备和的研发、生产与销售。</w:t>
              </w:r>
            </w:p>
            <w:p w:rsidR="004A3868" w:rsidRDefault="003F1AB5">
              <w:pPr>
                <w:pStyle w:val="afff1"/>
                <w:ind w:firstLine="420"/>
                <w:rPr>
                  <w:szCs w:val="21"/>
                </w:rPr>
              </w:pPr>
              <w:r>
                <w:rPr>
                  <w:rFonts w:hint="eastAsia"/>
                  <w:szCs w:val="21"/>
                </w:rPr>
                <w:t>报告期内，公司一直从事取向硅钢和输配电及控制设备的研发、生产与销售，主营业务未发生变化。</w:t>
              </w:r>
            </w:p>
            <w:p w:rsidR="004A3868" w:rsidRDefault="003F1AB5">
              <w:pPr>
                <w:pStyle w:val="afff1"/>
                <w:ind w:firstLine="420"/>
                <w:outlineLvl w:val="2"/>
                <w:rPr>
                  <w:szCs w:val="21"/>
                </w:rPr>
              </w:pPr>
              <w:r>
                <w:rPr>
                  <w:rFonts w:hint="eastAsia"/>
                  <w:szCs w:val="21"/>
                </w:rPr>
                <w:t>（一）主要产品</w:t>
              </w:r>
            </w:p>
            <w:p w:rsidR="004A3868" w:rsidRDefault="003F1AB5">
              <w:pPr>
                <w:pStyle w:val="afff1"/>
                <w:ind w:firstLine="420"/>
                <w:rPr>
                  <w:szCs w:val="21"/>
                </w:rPr>
              </w:pPr>
              <w:r>
                <w:rPr>
                  <w:rFonts w:hint="eastAsia"/>
                  <w:szCs w:val="21"/>
                </w:rPr>
                <w:t>公司主要产品分为输配电及控制和取向硅钢设备两大类。</w:t>
              </w:r>
            </w:p>
            <w:p w:rsidR="004A3868" w:rsidRDefault="003F1AB5">
              <w:pPr>
                <w:pStyle w:val="afff1"/>
                <w:ind w:firstLine="420"/>
                <w:rPr>
                  <w:szCs w:val="21"/>
                </w:rPr>
              </w:pPr>
              <w:r>
                <w:rPr>
                  <w:rFonts w:hint="eastAsia"/>
                  <w:szCs w:val="21"/>
                </w:rPr>
                <w:t>公司输配电及控制设备主要包括电力变压器、箱式变电站、成套电气设备相关产品，产品不仅应用于电力、农、工、商业及居民用电、基础设施建设等传统领域，还可用于新能源光伏、风电、充电桩、储能、轨道交通、数据中心、新型基础设施等新兴领域。</w:t>
              </w:r>
            </w:p>
            <w:p w:rsidR="004A3868" w:rsidRDefault="003F1AB5">
              <w:pPr>
                <w:pStyle w:val="afff1"/>
                <w:ind w:firstLine="420"/>
                <w:rPr>
                  <w:szCs w:val="21"/>
                </w:rPr>
              </w:pPr>
              <w:r>
                <w:rPr>
                  <w:rFonts w:hint="eastAsia"/>
                  <w:szCs w:val="21"/>
                </w:rPr>
                <w:t>公司取向硅钢主要包含一般取向硅钢（CGO）和高磁感取向硅钢（HiB），主要用于电力变压器（铁心）的制造，还可应用于大型电机（水电、风电）等领域，客户群体包括了国内外知名电力变压器及电机制造企业。</w:t>
              </w:r>
            </w:p>
            <w:p w:rsidR="004A3868" w:rsidRDefault="003F1AB5">
              <w:pPr>
                <w:pStyle w:val="afff1"/>
                <w:ind w:firstLine="420"/>
                <w:rPr>
                  <w:szCs w:val="21"/>
                </w:rPr>
              </w:pPr>
              <w:r>
                <w:rPr>
                  <w:rFonts w:hint="eastAsia"/>
                  <w:szCs w:val="21"/>
                </w:rPr>
                <w:t>公司主要产品在产业链内覆盖情况如下：</w:t>
              </w:r>
            </w:p>
            <w:p w:rsidR="004A3868" w:rsidRDefault="003F1AB5">
              <w:pPr>
                <w:pStyle w:val="afff1"/>
                <w:ind w:firstLine="420"/>
              </w:pPr>
              <w:r>
                <w:rPr>
                  <w:noProof/>
                </w:rPr>
                <w:drawing>
                  <wp:inline distT="0" distB="0" distL="0" distR="0">
                    <wp:extent cx="5257800" cy="3017520"/>
                    <wp:effectExtent l="0" t="0" r="0" b="0"/>
                    <wp:docPr id="1" name="图片 1" descr="C:\Users\W\AppData\Local\Temp\ksohtml30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AppData\Local\Temp\ksohtml3056\wp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57800" cy="3017520"/>
                            </a:xfrm>
                            <a:prstGeom prst="rect">
                              <a:avLst/>
                            </a:prstGeom>
                            <a:noFill/>
                            <a:ln>
                              <a:noFill/>
                            </a:ln>
                          </pic:spPr>
                        </pic:pic>
                      </a:graphicData>
                    </a:graphic>
                  </wp:inline>
                </w:drawing>
              </w:r>
              <w:r>
                <w:rPr>
                  <w:rFonts w:hint="eastAsia"/>
                </w:rPr>
                <w:t xml:space="preserve"> </w:t>
              </w:r>
            </w:p>
            <w:p w:rsidR="004A3868" w:rsidRDefault="003F1AB5">
              <w:pPr>
                <w:pStyle w:val="afff1"/>
                <w:ind w:firstLine="420"/>
              </w:pPr>
              <w:r>
                <w:rPr>
                  <w:rFonts w:hint="eastAsia"/>
                </w:rPr>
                <w:t xml:space="preserve"> </w:t>
              </w:r>
            </w:p>
            <w:p w:rsidR="004A3868" w:rsidRDefault="003F1AB5">
              <w:pPr>
                <w:pStyle w:val="afff1"/>
                <w:ind w:firstLine="420"/>
                <w:rPr>
                  <w:szCs w:val="21"/>
                </w:rPr>
              </w:pPr>
              <w:r>
                <w:rPr>
                  <w:rFonts w:hint="eastAsia"/>
                  <w:szCs w:val="21"/>
                </w:rPr>
                <w:lastRenderedPageBreak/>
                <w:t>注：上图红色虚线框内为公司主要产品覆盖情况。</w:t>
              </w:r>
            </w:p>
            <w:p w:rsidR="003D5EBE" w:rsidRDefault="003F1AB5" w:rsidP="003D5EBE">
              <w:pPr>
                <w:pStyle w:val="afff1"/>
                <w:ind w:firstLine="420"/>
                <w:rPr>
                  <w:szCs w:val="21"/>
                </w:rPr>
              </w:pPr>
              <w:r>
                <w:rPr>
                  <w:rFonts w:hint="eastAsia"/>
                  <w:szCs w:val="21"/>
                </w:rPr>
                <w:t>公司的主要产品基本情况如下：</w:t>
              </w:r>
            </w:p>
            <w:p w:rsidR="003D5EBE" w:rsidRPr="003D5EBE" w:rsidRDefault="003F1AB5" w:rsidP="003D5EBE">
              <w:pPr>
                <w:ind w:firstLineChars="200" w:firstLine="480"/>
                <w:rPr>
                  <w:szCs w:val="21"/>
                </w:rPr>
              </w:pPr>
              <w:r>
                <w:rPr>
                  <w:rFonts w:hint="eastAsia"/>
                </w:rPr>
                <w:t xml:space="preserve"> </w:t>
              </w:r>
            </w:p>
            <w:tbl>
              <w:tblPr>
                <w:tblStyle w:val="g16"/>
                <w:tblW w:w="8916"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7"/>
                <w:gridCol w:w="892"/>
                <w:gridCol w:w="1563"/>
                <w:gridCol w:w="2636"/>
                <w:gridCol w:w="2968"/>
              </w:tblGrid>
              <w:tr w:rsidR="003D5EBE" w:rsidRPr="003D5EBE" w:rsidTr="000E4135">
                <w:trPr>
                  <w:trHeight w:val="397"/>
                  <w:tblHeader/>
                  <w:jc w:val="center"/>
                </w:trPr>
                <w:tc>
                  <w:tcPr>
                    <w:tcW w:w="857" w:type="dxa"/>
                    <w:vAlign w:val="center"/>
                  </w:tcPr>
                  <w:p w:rsidR="003D5EBE" w:rsidRPr="003D5EBE" w:rsidRDefault="003D5EBE" w:rsidP="003D5EBE">
                    <w:pPr>
                      <w:widowControl/>
                      <w:spacing w:line="240" w:lineRule="auto"/>
                      <w:jc w:val="center"/>
                      <w:rPr>
                        <w:rFonts w:ascii="Times New Roman" w:hAnsi="Times New Roman"/>
                        <w:b/>
                        <w:bCs/>
                        <w:szCs w:val="21"/>
                      </w:rPr>
                    </w:pPr>
                    <w:r w:rsidRPr="003D5EBE">
                      <w:rPr>
                        <w:rFonts w:ascii="Times New Roman" w:hAnsi="Times New Roman"/>
                        <w:b/>
                        <w:szCs w:val="21"/>
                      </w:rPr>
                      <w:t>业务</w:t>
                    </w:r>
                  </w:p>
                  <w:p w:rsidR="003D5EBE" w:rsidRPr="003D5EBE" w:rsidRDefault="003D5EBE" w:rsidP="003D5EBE">
                    <w:pPr>
                      <w:widowControl/>
                      <w:spacing w:line="240" w:lineRule="auto"/>
                      <w:jc w:val="center"/>
                      <w:rPr>
                        <w:rFonts w:ascii="Times New Roman" w:hAnsi="Times New Roman"/>
                        <w:b/>
                        <w:bCs/>
                        <w:szCs w:val="21"/>
                      </w:rPr>
                    </w:pPr>
                    <w:r w:rsidRPr="003D5EBE">
                      <w:rPr>
                        <w:rFonts w:ascii="Times New Roman" w:hAnsi="Times New Roman"/>
                        <w:b/>
                        <w:szCs w:val="21"/>
                      </w:rPr>
                      <w:t>板块</w:t>
                    </w:r>
                  </w:p>
                </w:tc>
                <w:tc>
                  <w:tcPr>
                    <w:tcW w:w="892" w:type="dxa"/>
                    <w:vAlign w:val="center"/>
                  </w:tcPr>
                  <w:p w:rsidR="003D5EBE" w:rsidRPr="003D5EBE" w:rsidRDefault="003D5EBE" w:rsidP="003D5EBE">
                    <w:pPr>
                      <w:widowControl/>
                      <w:spacing w:line="240" w:lineRule="auto"/>
                      <w:jc w:val="center"/>
                      <w:rPr>
                        <w:rFonts w:ascii="Times New Roman" w:hAnsi="Times New Roman"/>
                        <w:b/>
                        <w:bCs/>
                        <w:szCs w:val="21"/>
                      </w:rPr>
                    </w:pPr>
                    <w:r w:rsidRPr="003D5EBE">
                      <w:rPr>
                        <w:rFonts w:ascii="Times New Roman" w:hAnsi="Times New Roman"/>
                        <w:b/>
                        <w:szCs w:val="21"/>
                      </w:rPr>
                      <w:t>产品</w:t>
                    </w:r>
                  </w:p>
                  <w:p w:rsidR="003D5EBE" w:rsidRPr="003D5EBE" w:rsidRDefault="003D5EBE" w:rsidP="003D5EBE">
                    <w:pPr>
                      <w:widowControl/>
                      <w:spacing w:line="240" w:lineRule="auto"/>
                      <w:jc w:val="center"/>
                      <w:rPr>
                        <w:rFonts w:ascii="Times New Roman" w:hAnsi="Times New Roman"/>
                        <w:b/>
                        <w:bCs/>
                        <w:szCs w:val="21"/>
                      </w:rPr>
                    </w:pPr>
                    <w:r w:rsidRPr="003D5EBE">
                      <w:rPr>
                        <w:rFonts w:ascii="Times New Roman" w:hAnsi="Times New Roman"/>
                        <w:b/>
                        <w:szCs w:val="21"/>
                      </w:rPr>
                      <w:t>类别</w:t>
                    </w:r>
                  </w:p>
                </w:tc>
                <w:tc>
                  <w:tcPr>
                    <w:tcW w:w="1563" w:type="dxa"/>
                    <w:vAlign w:val="center"/>
                  </w:tcPr>
                  <w:p w:rsidR="003D5EBE" w:rsidRPr="003D5EBE" w:rsidRDefault="003D5EBE" w:rsidP="003D5EBE">
                    <w:pPr>
                      <w:widowControl/>
                      <w:spacing w:line="240" w:lineRule="auto"/>
                      <w:jc w:val="center"/>
                      <w:rPr>
                        <w:rFonts w:ascii="Times New Roman" w:hAnsi="Times New Roman"/>
                        <w:b/>
                        <w:bCs/>
                        <w:szCs w:val="21"/>
                      </w:rPr>
                    </w:pPr>
                    <w:r w:rsidRPr="003D5EBE">
                      <w:rPr>
                        <w:rFonts w:ascii="Times New Roman" w:hAnsi="Times New Roman"/>
                        <w:b/>
                        <w:szCs w:val="21"/>
                      </w:rPr>
                      <w:t>主要产品</w:t>
                    </w:r>
                  </w:p>
                </w:tc>
                <w:tc>
                  <w:tcPr>
                    <w:tcW w:w="2636" w:type="dxa"/>
                    <w:vAlign w:val="center"/>
                  </w:tcPr>
                  <w:p w:rsidR="003D5EBE" w:rsidRPr="003D5EBE" w:rsidRDefault="003D5EBE" w:rsidP="003D5EBE">
                    <w:pPr>
                      <w:widowControl/>
                      <w:spacing w:line="240" w:lineRule="auto"/>
                      <w:jc w:val="center"/>
                      <w:rPr>
                        <w:rFonts w:ascii="Times New Roman" w:hAnsi="Times New Roman"/>
                        <w:b/>
                        <w:bCs/>
                        <w:szCs w:val="21"/>
                      </w:rPr>
                    </w:pPr>
                    <w:r w:rsidRPr="003D5EBE">
                      <w:rPr>
                        <w:rFonts w:ascii="Times New Roman" w:hAnsi="Times New Roman"/>
                        <w:b/>
                        <w:szCs w:val="21"/>
                      </w:rPr>
                      <w:t>产品简介</w:t>
                    </w:r>
                  </w:p>
                </w:tc>
                <w:tc>
                  <w:tcPr>
                    <w:tcW w:w="2968" w:type="dxa"/>
                    <w:vAlign w:val="center"/>
                  </w:tcPr>
                  <w:p w:rsidR="003D5EBE" w:rsidRPr="003D5EBE" w:rsidRDefault="003D5EBE" w:rsidP="003D5EBE">
                    <w:pPr>
                      <w:widowControl/>
                      <w:spacing w:line="240" w:lineRule="auto"/>
                      <w:jc w:val="center"/>
                      <w:rPr>
                        <w:rFonts w:ascii="Times New Roman" w:hAnsi="Times New Roman"/>
                        <w:b/>
                        <w:bCs/>
                        <w:szCs w:val="21"/>
                      </w:rPr>
                    </w:pPr>
                    <w:r w:rsidRPr="003D5EBE">
                      <w:rPr>
                        <w:rFonts w:ascii="Times New Roman"/>
                        <w:b/>
                        <w:szCs w:val="21"/>
                      </w:rPr>
                      <w:t>代表产品图示</w:t>
                    </w:r>
                  </w:p>
                </w:tc>
              </w:tr>
              <w:tr w:rsidR="003D5EBE" w:rsidRPr="003D5EBE" w:rsidTr="000E4135">
                <w:trPr>
                  <w:trHeight w:val="397"/>
                  <w:jc w:val="center"/>
                </w:trPr>
                <w:tc>
                  <w:tcPr>
                    <w:tcW w:w="857" w:type="dxa"/>
                    <w:vMerge w:val="restart"/>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输配电及控制设备业务板块</w:t>
                    </w:r>
                  </w:p>
                </w:tc>
                <w:tc>
                  <w:tcPr>
                    <w:tcW w:w="892" w:type="dxa"/>
                    <w:vMerge w:val="restart"/>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电力变压器</w:t>
                    </w:r>
                  </w:p>
                </w:tc>
                <w:tc>
                  <w:tcPr>
                    <w:tcW w:w="1563" w:type="dxa"/>
                    <w:vMerge w:val="restart"/>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常规硅钢片变压器</w:t>
                    </w:r>
                  </w:p>
                </w:tc>
                <w:tc>
                  <w:tcPr>
                    <w:tcW w:w="2636" w:type="dxa"/>
                    <w:vMerge w:val="restart"/>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采用取向硅钢作为铁心材料的变压器，产品按绝缘材料不同可分为干式变压器及油浸式变压器。</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17D59DA8" wp14:editId="790DE77B">
                          <wp:extent cx="1233170" cy="955675"/>
                          <wp:effectExtent l="0" t="0" r="5080" b="0"/>
                          <wp:docPr id="20" name="图片 20" descr="说明: 42JNE_SPUB){U3EE}`6KI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42JNE_SPUB){U3EE}`6KIY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33170" cy="955675"/>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2636" w:type="dxa"/>
                    <w:vMerge/>
                    <w:vAlign w:val="center"/>
                  </w:tcPr>
                  <w:p w:rsidR="003D5EBE" w:rsidRPr="003D5EBE" w:rsidRDefault="003D5EBE" w:rsidP="003D5EBE">
                    <w:pPr>
                      <w:widowControl/>
                      <w:spacing w:line="240" w:lineRule="auto"/>
                      <w:jc w:val="left"/>
                      <w:rPr>
                        <w:rFonts w:ascii="Times New Roman" w:hAnsi="Times New Roman"/>
                        <w:szCs w:val="21"/>
                      </w:rPr>
                    </w:pP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25765564" wp14:editId="47B6B2F9">
                          <wp:extent cx="1295400" cy="110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95400" cy="1108075"/>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非晶合金变压器</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以铁基非晶态金属作为铁心，非晶合金变压器的铁损比硅钢片铁心变压器低</w:t>
                    </w:r>
                    <w:r w:rsidRPr="003D5EBE">
                      <w:rPr>
                        <w:rFonts w:ascii="Times New Roman" w:hAnsi="Times New Roman"/>
                        <w:szCs w:val="21"/>
                      </w:rPr>
                      <w:t>50%</w:t>
                    </w:r>
                    <w:r w:rsidRPr="003D5EBE">
                      <w:rPr>
                        <w:rFonts w:ascii="Times New Roman" w:hAnsi="Times New Roman"/>
                        <w:szCs w:val="21"/>
                      </w:rPr>
                      <w:t>以上，节能性能优越。</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46FCC589" wp14:editId="6A32F2C2">
                          <wp:extent cx="1537970" cy="13576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37970" cy="1357630"/>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三维立体卷铁</w:t>
                    </w:r>
                    <w:r w:rsidRPr="003D5EBE">
                      <w:rPr>
                        <w:rFonts w:ascii="Times New Roman" w:hAnsi="Times New Roman" w:hint="eastAsia"/>
                        <w:szCs w:val="21"/>
                      </w:rPr>
                      <w:t>心</w:t>
                    </w:r>
                    <w:r w:rsidRPr="003D5EBE">
                      <w:rPr>
                        <w:rFonts w:ascii="Times New Roman" w:hAnsi="Times New Roman"/>
                        <w:szCs w:val="21"/>
                      </w:rPr>
                      <w:t>变压器</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立体卷铁心变压器是一种节能型电力变压器，产品性能更为优化，相比于常规变压器节电效果显著、噪音大大降低、散热及</w:t>
                    </w:r>
                    <w:hyperlink r:id="rId19" w:tgtFrame="https://baike.baidu.com/item/%E7%AB%8B%E4%BD%93%E5%8D%B7%E9%93%81%E5%BF%83%E5%8F%98%E5%8E%8B%E5%99%A8/_blank" w:history="1">
                      <w:r w:rsidRPr="003D5EBE">
                        <w:rPr>
                          <w:rFonts w:ascii="Times New Roman" w:hAnsi="Times New Roman"/>
                          <w:szCs w:val="21"/>
                        </w:rPr>
                        <w:t>过载能力</w:t>
                      </w:r>
                    </w:hyperlink>
                    <w:r w:rsidRPr="003D5EBE">
                      <w:rPr>
                        <w:rFonts w:ascii="Times New Roman" w:hAnsi="Times New Roman"/>
                        <w:szCs w:val="21"/>
                      </w:rPr>
                      <w:t>更强。</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3F97DC16" wp14:editId="3FE30924">
                          <wp:extent cx="1233170" cy="1461770"/>
                          <wp:effectExtent l="0" t="0" r="5080" b="5080"/>
                          <wp:docPr id="23" name="图片 23" descr="说明: C:/Users/Administrator/AppData/Local/Temp/picturecompress_202105081030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说明: C:/Users/Administrator/AppData/Local/Temp/picturecompress_20210508103042/output_1.jpgoutput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3170" cy="1461770"/>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无励磁调压变压器</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110kV</w:t>
                    </w:r>
                    <w:r w:rsidRPr="003D5EBE">
                      <w:rPr>
                        <w:rFonts w:ascii="Times New Roman" w:hAnsi="Times New Roman"/>
                        <w:szCs w:val="21"/>
                      </w:rPr>
                      <w:t>级及以下三相双绕组、三绕组无励磁调压变压器；具有噪声低、低损耗、局放低、抗短路能力强、运行安全可靠等特点。</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03E2790E" wp14:editId="224AD2CC">
                          <wp:extent cx="1233170" cy="1011555"/>
                          <wp:effectExtent l="0" t="0" r="5080" b="0"/>
                          <wp:docPr id="24" name="图片 24" descr="说明: BY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BYQ(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33170" cy="1011555"/>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有载调压变压器</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110kV</w:t>
                    </w:r>
                    <w:r w:rsidRPr="003D5EBE">
                      <w:rPr>
                        <w:rFonts w:ascii="Times New Roman" w:hAnsi="Times New Roman"/>
                        <w:szCs w:val="21"/>
                      </w:rPr>
                      <w:t>级及以下三相双绕组、三绕组有载调压电力变压器；具有噪声低、低损耗、局放低、抗短路能力强、运行安全可靠等特点。</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2B85A53E" wp14:editId="4120F9CA">
                          <wp:extent cx="1482725" cy="12814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82725" cy="1281430"/>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调容调压变压器</w:t>
                    </w:r>
                  </w:p>
                </w:tc>
                <w:tc>
                  <w:tcPr>
                    <w:tcW w:w="2636" w:type="dxa"/>
                    <w:vAlign w:val="center"/>
                  </w:tcPr>
                  <w:p w:rsidR="003D5EBE" w:rsidRPr="003D5EBE" w:rsidRDefault="003D5EBE" w:rsidP="003D5EBE">
                    <w:pPr>
                      <w:widowControl/>
                      <w:shd w:val="clear" w:color="auto" w:fill="FFFFFF"/>
                      <w:spacing w:line="240" w:lineRule="auto"/>
                      <w:jc w:val="left"/>
                      <w:rPr>
                        <w:rFonts w:ascii="Times New Roman" w:hAnsi="Times New Roman"/>
                        <w:szCs w:val="21"/>
                      </w:rPr>
                    </w:pPr>
                    <w:r w:rsidRPr="003D5EBE">
                      <w:rPr>
                        <w:rFonts w:ascii="Times New Roman" w:hAnsi="Times New Roman"/>
                        <w:szCs w:val="21"/>
                      </w:rPr>
                      <w:t>调容调压变压器通过监测变压器低压侧的电压、电流，来判断当前负荷电流大小，有载调容开关根据信息进行容量切换，实现变压器内部高、低压线圈的星、角变换和串、并联转换，在带励磁状态下，完成变压器的自动容量转换。</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291B920D" wp14:editId="21BEC422">
                          <wp:extent cx="1226185" cy="1066800"/>
                          <wp:effectExtent l="0" t="0" r="0" b="0"/>
                          <wp:docPr id="26" name="图片 26" descr="说明: 084897d6738c3690ea25ac113364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说明: 084897d6738c3690ea25ac1133644c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226185" cy="1066800"/>
                                  </a:xfrm>
                                  <a:prstGeom prst="rect">
                                    <a:avLst/>
                                  </a:prstGeom>
                                  <a:solidFill>
                                    <a:srgbClr val="FFF1F0">
                                      <a:alpha val="0"/>
                                    </a:srgbClr>
                                  </a:solid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restart"/>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箱式变电站</w:t>
                    </w: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预制仓式变电站</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由变压器、高压开关、中压电器设备及相应辅助配套设备等紧凑式组合，集中布置在多个预制仓体内，通过灵活排列布置集成新型预制舱式模块化变电站，有工厂预制装配，具有现场拼装组合、结构紧凑、施工快捷、节约成本、缩短周期等优点。</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2E7703CD" wp14:editId="26D992D6">
                          <wp:extent cx="1205230" cy="112204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05230" cy="1122045"/>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欧式箱变</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由高压室由负荷开关、熔断器和避雷器等组成；低压室由空气开关、电流互感器、电流电压表等组成，变压器采用油浸式或干式。</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03E2DA89" wp14:editId="30E6757D">
                          <wp:extent cx="1212215" cy="644525"/>
                          <wp:effectExtent l="0" t="0" r="6985" b="3175"/>
                          <wp:docPr id="28" name="图片 28" descr="说明: 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说明: X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12215" cy="644525"/>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华式箱变</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采用独特</w:t>
                    </w:r>
                    <w:r w:rsidRPr="003D5EBE">
                      <w:rPr>
                        <w:rFonts w:ascii="Times New Roman" w:hAnsi="Times New Roman"/>
                        <w:szCs w:val="21"/>
                      </w:rPr>
                      <w:t>R</w:t>
                    </w:r>
                    <w:r w:rsidRPr="003D5EBE">
                      <w:rPr>
                        <w:rFonts w:ascii="Times New Roman" w:hAnsi="Times New Roman"/>
                        <w:szCs w:val="21"/>
                      </w:rPr>
                      <w:t>法高压连接，各单元相互独立的结构，高压断路器室、低压开关室、变压器室独立，通过导线连成一个完整的供电系统。</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14360D56" wp14:editId="78AA564F">
                          <wp:extent cx="1170940" cy="803275"/>
                          <wp:effectExtent l="0" t="0" r="0" b="0"/>
                          <wp:docPr id="29" name="图片 29" descr="说明: 华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说明: 华变"/>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70940" cy="803275"/>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美式箱变</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由变压器、高压受电部分的负荷开关及保护装置、低压配电装置、低压计量系统和无功补偿装置组合在一起的成套变配电设备。</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39BE0C23" wp14:editId="4AE462DF">
                          <wp:extent cx="1233170" cy="838200"/>
                          <wp:effectExtent l="0" t="0" r="5080" b="0"/>
                          <wp:docPr id="30" name="图片 30" descr="说明: 美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说明: 美的"/>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33170" cy="838200"/>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hint="eastAsia"/>
                        <w:szCs w:val="21"/>
                      </w:rPr>
                      <w:t>新能源（风</w:t>
                    </w:r>
                    <w:r w:rsidRPr="003D5EBE">
                      <w:rPr>
                        <w:rFonts w:ascii="Times New Roman" w:hAnsi="Times New Roman"/>
                        <w:szCs w:val="21"/>
                      </w:rPr>
                      <w:t>/</w:t>
                    </w:r>
                    <w:r w:rsidRPr="003D5EBE">
                      <w:rPr>
                        <w:rFonts w:ascii="Times New Roman" w:hAnsi="Times New Roman"/>
                        <w:szCs w:val="21"/>
                      </w:rPr>
                      <w:t>光）箱变</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hint="eastAsia"/>
                        <w:szCs w:val="21"/>
                      </w:rPr>
                      <w:t>新能源箱式变电站（箱变）是将太阳能</w:t>
                    </w:r>
                    <w:r w:rsidRPr="003D5EBE">
                      <w:rPr>
                        <w:rFonts w:ascii="Times New Roman" w:hAnsi="Times New Roman"/>
                        <w:szCs w:val="21"/>
                      </w:rPr>
                      <w:t>/</w:t>
                    </w:r>
                    <w:r w:rsidRPr="003D5EBE">
                      <w:rPr>
                        <w:rFonts w:ascii="Times New Roman" w:hAnsi="Times New Roman"/>
                        <w:szCs w:val="21"/>
                      </w:rPr>
                      <w:t>风能箱式逆变站或逆变房逆变送出的三相交流电能经升压变压器，就地升压为</w:t>
                    </w:r>
                    <w:r w:rsidRPr="003D5EBE">
                      <w:rPr>
                        <w:rFonts w:ascii="Times New Roman" w:hAnsi="Times New Roman"/>
                        <w:szCs w:val="21"/>
                      </w:rPr>
                      <w:t>35kV/10kV</w:t>
                    </w:r>
                    <w:r w:rsidRPr="003D5EBE">
                      <w:rPr>
                        <w:rFonts w:ascii="Times New Roman" w:hAnsi="Times New Roman"/>
                        <w:szCs w:val="21"/>
                      </w:rPr>
                      <w:t>三相交流电能并入电网运行的箱式变电站。</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noProof/>
                      </w:rPr>
                      <w:drawing>
                        <wp:inline distT="0" distB="0" distL="0" distR="0" wp14:anchorId="36B1DBC8" wp14:editId="6049482B">
                          <wp:extent cx="1269365" cy="1087120"/>
                          <wp:effectExtent l="0" t="0" r="6985"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01256" cy="1114549"/>
                                  </a:xfrm>
                                  <a:prstGeom prst="rect">
                                    <a:avLst/>
                                  </a:prstGeom>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restart"/>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成套电气设备</w:t>
                    </w: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中高压开关柜</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由柜体和手车两大部分组成。仪表室面板可安装各种类型微机综合保护装置，可实现系统的智能化控制，具有遥控、遥测、遥信及遥调功能。</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76628285" wp14:editId="3C360D8C">
                          <wp:extent cx="983615" cy="831215"/>
                          <wp:effectExtent l="0" t="0" r="6985" b="6985"/>
                          <wp:docPr id="31" name="图片 31" descr="说明: 1570858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说明: 157085840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83615" cy="831215"/>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中高压环网柜</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环网柜是一组输配电气设备（高压开关设备）装在金属或非金属绝缘柜体内或做成拼装间隔式环网供电单元的电气设备，其核心部分采用负荷开关和熔断器，具有结构简单、体积小、可提高供电参数和性能以及供电安全等优点。</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00B276A0" wp14:editId="597D8588">
                          <wp:extent cx="1059815" cy="852170"/>
                          <wp:effectExtent l="0" t="0" r="6985" b="5080"/>
                          <wp:docPr id="32" name="图片 32" descr="说明: 1570857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说明: 157085781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9815" cy="852170"/>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低压</w:t>
                    </w:r>
                  </w:p>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开关柜</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低压开关柜是连接低压线缆实现向用户终端供电的开关设备，广泛用于工业、石化、基础设施、数据中心和商业系统、住宅小区等多种场合。</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3F788F18" wp14:editId="0F16651D">
                          <wp:extent cx="1233170" cy="976630"/>
                          <wp:effectExtent l="0" t="0" r="5080" b="0"/>
                          <wp:docPr id="33" name="图片 33" descr="说明: 低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说明: 低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33170" cy="976630"/>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hint="eastAsia"/>
                        <w:szCs w:val="21"/>
                      </w:rPr>
                      <w:t>全新预智低压成套</w:t>
                    </w:r>
                    <w:r w:rsidRPr="003D5EBE">
                      <w:rPr>
                        <w:rFonts w:ascii="Times New Roman" w:hAnsi="Times New Roman"/>
                        <w:szCs w:val="21"/>
                      </w:rPr>
                      <w:t>（</w:t>
                    </w:r>
                    <w:r w:rsidRPr="003D5EBE">
                      <w:rPr>
                        <w:rFonts w:ascii="Times New Roman" w:hAnsi="Times New Roman"/>
                        <w:szCs w:val="21"/>
                      </w:rPr>
                      <w:t>BloKseT</w:t>
                    </w:r>
                    <w:r w:rsidRPr="003D5EBE">
                      <w:rPr>
                        <w:rFonts w:ascii="Times New Roman" w:hAnsi="Times New Roman"/>
                        <w:szCs w:val="21"/>
                      </w:rPr>
                      <w:t>）</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BloKseT</w:t>
                    </w:r>
                    <w:r w:rsidRPr="003D5EBE">
                      <w:rPr>
                        <w:rFonts w:ascii="Times New Roman" w:hAnsi="Times New Roman"/>
                        <w:szCs w:val="21"/>
                      </w:rPr>
                      <w:t>系列预智开关柜，是施耐德电气公司授权</w:t>
                    </w:r>
                    <w:r w:rsidRPr="003D5EBE">
                      <w:rPr>
                        <w:rFonts w:ascii="Times New Roman" w:hAnsi="Times New Roman" w:hint="eastAsia"/>
                        <w:szCs w:val="21"/>
                      </w:rPr>
                      <w:t>公司</w:t>
                    </w:r>
                    <w:r w:rsidRPr="003D5EBE">
                      <w:rPr>
                        <w:rFonts w:ascii="Times New Roman" w:hAnsi="Times New Roman"/>
                        <w:szCs w:val="21"/>
                      </w:rPr>
                      <w:t>的低压配电产品，可作为动力配电中心，电动机控制中心，电容补偿及终端配电等电能控制。适用于发电厂、变电所、民用基础设施等各个领域</w:t>
                    </w:r>
                    <w:r w:rsidRPr="003D5EBE">
                      <w:rPr>
                        <w:rFonts w:ascii="Times New Roman" w:hAnsi="Times New Roman" w:hint="eastAsia"/>
                        <w:szCs w:val="21"/>
                      </w:rPr>
                      <w:t>。</w:t>
                    </w:r>
                  </w:p>
                </w:tc>
                <w:tc>
                  <w:tcPr>
                    <w:tcW w:w="2968" w:type="dxa"/>
                    <w:vAlign w:val="center"/>
                  </w:tcPr>
                  <w:p w:rsidR="003D5EBE" w:rsidRPr="003D5EBE" w:rsidRDefault="003D5EBE" w:rsidP="003D5EBE">
                    <w:pPr>
                      <w:widowControl/>
                      <w:spacing w:line="240" w:lineRule="auto"/>
                      <w:jc w:val="center"/>
                      <w:rPr>
                        <w:rFonts w:ascii="Times New Roman" w:hAnsi="Times New Roman"/>
                        <w:szCs w:val="21"/>
                      </w:rPr>
                    </w:pPr>
                    <w:r w:rsidRPr="003D5EBE">
                      <w:rPr>
                        <w:noProof/>
                      </w:rPr>
                      <w:drawing>
                        <wp:inline distT="0" distB="0" distL="0" distR="0" wp14:anchorId="6931B165" wp14:editId="326F61CF">
                          <wp:extent cx="1435100" cy="1116330"/>
                          <wp:effectExtent l="0" t="0" r="0" b="762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106" cy="1120402"/>
                                  </a:xfrm>
                                  <a:prstGeom prst="rect">
                                    <a:avLst/>
                                  </a:prstGeom>
                                </pic:spPr>
                              </pic:pic>
                            </a:graphicData>
                          </a:graphic>
                        </wp:inline>
                      </w:drawing>
                    </w:r>
                  </w:p>
                </w:tc>
              </w:tr>
              <w:tr w:rsidR="003D5EBE" w:rsidRPr="003D5EBE" w:rsidTr="000E4135">
                <w:trPr>
                  <w:trHeight w:val="397"/>
                  <w:jc w:val="center"/>
                </w:trPr>
                <w:tc>
                  <w:tcPr>
                    <w:tcW w:w="857" w:type="dxa"/>
                    <w:vMerge w:val="restart"/>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lastRenderedPageBreak/>
                      <w:t>取向硅钢业务板块</w:t>
                    </w:r>
                  </w:p>
                </w:tc>
                <w:tc>
                  <w:tcPr>
                    <w:tcW w:w="892" w:type="dxa"/>
                    <w:vMerge w:val="restart"/>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取向</w:t>
                    </w:r>
                  </w:p>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硅钢</w:t>
                    </w: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一般取向硅钢（</w:t>
                    </w:r>
                    <w:r w:rsidRPr="003D5EBE">
                      <w:rPr>
                        <w:rFonts w:ascii="Times New Roman" w:hAnsi="Times New Roman"/>
                        <w:szCs w:val="21"/>
                      </w:rPr>
                      <w:t>CGO</w:t>
                    </w:r>
                    <w:r w:rsidRPr="003D5EBE">
                      <w:rPr>
                        <w:rFonts w:ascii="Times New Roman" w:hAnsi="Times New Roman"/>
                        <w:szCs w:val="21"/>
                      </w:rPr>
                      <w:t>）</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指磁感强度＜</w:t>
                    </w:r>
                    <w:r w:rsidRPr="003D5EBE">
                      <w:rPr>
                        <w:rFonts w:ascii="Times New Roman" w:hAnsi="Times New Roman"/>
                        <w:szCs w:val="21"/>
                      </w:rPr>
                      <w:t>1.88T</w:t>
                    </w:r>
                    <w:r w:rsidRPr="003D5EBE">
                      <w:rPr>
                        <w:rFonts w:ascii="Times New Roman" w:hAnsi="Times New Roman"/>
                        <w:szCs w:val="21"/>
                      </w:rPr>
                      <w:t>的取向硅钢。</w:t>
                    </w:r>
                  </w:p>
                </w:tc>
                <w:tc>
                  <w:tcPr>
                    <w:tcW w:w="2968" w:type="dxa"/>
                    <w:vMerge w:val="restart"/>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noProof/>
                        <w:szCs w:val="21"/>
                      </w:rPr>
                      <w:drawing>
                        <wp:inline distT="0" distB="0" distL="0" distR="0" wp14:anchorId="76080E2C" wp14:editId="2E14B53B">
                          <wp:extent cx="1038860" cy="879475"/>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38860" cy="879475"/>
                                  </a:xfrm>
                                  <a:prstGeom prst="rect">
                                    <a:avLst/>
                                  </a:prstGeom>
                                  <a:noFill/>
                                  <a:ln>
                                    <a:noFill/>
                                  </a:ln>
                                </pic:spPr>
                              </pic:pic>
                            </a:graphicData>
                          </a:graphic>
                        </wp:inline>
                      </w:drawing>
                    </w:r>
                  </w:p>
                </w:tc>
              </w:tr>
              <w:tr w:rsidR="003D5EBE" w:rsidRPr="003D5EBE" w:rsidTr="000E4135">
                <w:trPr>
                  <w:trHeight w:val="397"/>
                  <w:jc w:val="center"/>
                </w:trPr>
                <w:tc>
                  <w:tcPr>
                    <w:tcW w:w="857"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892" w:type="dxa"/>
                    <w:vMerge/>
                    <w:vAlign w:val="center"/>
                  </w:tcPr>
                  <w:p w:rsidR="003D5EBE" w:rsidRPr="003D5EBE" w:rsidRDefault="003D5EBE" w:rsidP="003D5EBE">
                    <w:pPr>
                      <w:widowControl/>
                      <w:spacing w:line="240" w:lineRule="auto"/>
                      <w:jc w:val="center"/>
                      <w:rPr>
                        <w:rFonts w:ascii="Times New Roman" w:hAnsi="Times New Roman"/>
                        <w:szCs w:val="21"/>
                      </w:rPr>
                    </w:pPr>
                  </w:p>
                </w:tc>
                <w:tc>
                  <w:tcPr>
                    <w:tcW w:w="1563" w:type="dxa"/>
                    <w:vAlign w:val="center"/>
                  </w:tcPr>
                  <w:p w:rsidR="003D5EBE" w:rsidRPr="003D5EBE" w:rsidRDefault="003D5EBE" w:rsidP="003D5EBE">
                    <w:pPr>
                      <w:widowControl/>
                      <w:spacing w:line="240" w:lineRule="auto"/>
                      <w:jc w:val="center"/>
                      <w:rPr>
                        <w:rFonts w:ascii="Times New Roman" w:hAnsi="Times New Roman"/>
                        <w:szCs w:val="21"/>
                      </w:rPr>
                    </w:pPr>
                    <w:r w:rsidRPr="003D5EBE">
                      <w:rPr>
                        <w:rFonts w:ascii="Times New Roman" w:hAnsi="Times New Roman"/>
                        <w:szCs w:val="21"/>
                      </w:rPr>
                      <w:t>高磁感取向硅钢（</w:t>
                    </w:r>
                    <w:r w:rsidRPr="003D5EBE">
                      <w:rPr>
                        <w:rFonts w:ascii="Times New Roman" w:hAnsi="Times New Roman"/>
                        <w:szCs w:val="21"/>
                      </w:rPr>
                      <w:t>HiB</w:t>
                    </w:r>
                    <w:r w:rsidRPr="003D5EBE">
                      <w:rPr>
                        <w:rFonts w:ascii="Times New Roman" w:hAnsi="Times New Roman"/>
                        <w:szCs w:val="21"/>
                      </w:rPr>
                      <w:t>）</w:t>
                    </w:r>
                  </w:p>
                </w:tc>
                <w:tc>
                  <w:tcPr>
                    <w:tcW w:w="2636" w:type="dxa"/>
                    <w:vAlign w:val="center"/>
                  </w:tcPr>
                  <w:p w:rsidR="003D5EBE" w:rsidRPr="003D5EBE" w:rsidRDefault="003D5EBE" w:rsidP="003D5EBE">
                    <w:pPr>
                      <w:widowControl/>
                      <w:spacing w:line="240" w:lineRule="auto"/>
                      <w:jc w:val="left"/>
                      <w:rPr>
                        <w:rFonts w:ascii="Times New Roman" w:hAnsi="Times New Roman"/>
                        <w:szCs w:val="21"/>
                      </w:rPr>
                    </w:pPr>
                    <w:r w:rsidRPr="003D5EBE">
                      <w:rPr>
                        <w:rFonts w:ascii="Times New Roman" w:hAnsi="Times New Roman"/>
                        <w:szCs w:val="21"/>
                      </w:rPr>
                      <w:t>指磁感强度</w:t>
                    </w:r>
                    <w:r w:rsidRPr="003D5EBE">
                      <w:rPr>
                        <w:rFonts w:ascii="Times New Roman" w:hAnsi="Times New Roman"/>
                        <w:szCs w:val="21"/>
                      </w:rPr>
                      <w:t>≥1.88T</w:t>
                    </w:r>
                    <w:r w:rsidRPr="003D5EBE">
                      <w:rPr>
                        <w:rFonts w:ascii="Times New Roman" w:hAnsi="Times New Roman"/>
                        <w:szCs w:val="21"/>
                      </w:rPr>
                      <w:t>的取向硅钢，与一般取向硅钢相比具有铁损低、磁感应强度高、磁致伸缩小等优点。</w:t>
                    </w:r>
                  </w:p>
                </w:tc>
                <w:tc>
                  <w:tcPr>
                    <w:tcW w:w="2968" w:type="dxa"/>
                    <w:vMerge/>
                    <w:vAlign w:val="center"/>
                  </w:tcPr>
                  <w:p w:rsidR="003D5EBE" w:rsidRPr="003D5EBE" w:rsidRDefault="003D5EBE" w:rsidP="003D5EBE">
                    <w:pPr>
                      <w:widowControl/>
                      <w:spacing w:line="240" w:lineRule="auto"/>
                      <w:jc w:val="center"/>
                      <w:rPr>
                        <w:rFonts w:ascii="Times New Roman" w:hAnsi="Times New Roman"/>
                        <w:szCs w:val="21"/>
                      </w:rPr>
                    </w:pPr>
                  </w:p>
                </w:tc>
              </w:tr>
            </w:tbl>
            <w:p w:rsidR="004A3868" w:rsidRPr="003D5EBE" w:rsidRDefault="004A3868" w:rsidP="003D5EBE">
              <w:pPr>
                <w:pStyle w:val="afff1"/>
                <w:ind w:firstLineChars="0" w:firstLine="0"/>
                <w:rPr>
                  <w:rFonts w:hint="eastAsia"/>
                </w:rPr>
              </w:pPr>
            </w:p>
            <w:p w:rsidR="004A3868" w:rsidRDefault="003F1AB5">
              <w:pPr>
                <w:pStyle w:val="afff1"/>
                <w:ind w:firstLine="420"/>
                <w:outlineLvl w:val="2"/>
                <w:rPr>
                  <w:szCs w:val="21"/>
                </w:rPr>
              </w:pPr>
              <w:r>
                <w:rPr>
                  <w:rFonts w:hint="eastAsia"/>
                  <w:szCs w:val="21"/>
                </w:rPr>
                <w:t>（二）主要经营模式</w:t>
              </w:r>
            </w:p>
            <w:p w:rsidR="004A3868" w:rsidRDefault="003F1AB5">
              <w:pPr>
                <w:pStyle w:val="afff1"/>
                <w:ind w:firstLine="420"/>
                <w:outlineLvl w:val="3"/>
                <w:rPr>
                  <w:szCs w:val="21"/>
                </w:rPr>
              </w:pPr>
              <w:r>
                <w:rPr>
                  <w:rFonts w:hint="eastAsia"/>
                  <w:szCs w:val="21"/>
                </w:rPr>
                <w:t>1、采购模式</w:t>
              </w:r>
            </w:p>
            <w:p w:rsidR="004A3868" w:rsidRDefault="003F1AB5">
              <w:pPr>
                <w:pStyle w:val="afff1"/>
                <w:ind w:firstLine="420"/>
                <w:rPr>
                  <w:szCs w:val="21"/>
                </w:rPr>
              </w:pPr>
              <w:r>
                <w:rPr>
                  <w:rFonts w:hint="eastAsia"/>
                  <w:szCs w:val="21"/>
                </w:rPr>
                <w:t>公司主要采用“以销定采、标准产品适当库存”的采购模式。主要向供应商采购的原材料包括取向硅钢原料卷、取向硅钢成品卷及铁心、铜材、钢材、元器件和辅材等。公司严格按照相关制度规定的采购程序和“质量优先、兼顾价格”的原则，通过商务谈判等方式选择供应商。对于一些重要的原材料和零部件，公司与供应商签订框架协议，以获得稳定、可靠和优质的货源。具体采购主要分为以下三种方式：</w:t>
              </w:r>
            </w:p>
            <w:p w:rsidR="004A3868" w:rsidRDefault="003F1AB5">
              <w:pPr>
                <w:pStyle w:val="afff1"/>
                <w:ind w:firstLine="420"/>
                <w:outlineLvl w:val="4"/>
                <w:rPr>
                  <w:szCs w:val="21"/>
                </w:rPr>
              </w:pPr>
              <w:r>
                <w:rPr>
                  <w:rFonts w:hint="eastAsia"/>
                  <w:szCs w:val="21"/>
                </w:rPr>
                <w:t>（1）长期报价采购</w:t>
              </w:r>
            </w:p>
            <w:p w:rsidR="004A3868" w:rsidRDefault="003F1AB5">
              <w:pPr>
                <w:pStyle w:val="afff1"/>
                <w:ind w:firstLine="420"/>
                <w:rPr>
                  <w:szCs w:val="21"/>
                </w:rPr>
              </w:pPr>
              <w:r>
                <w:rPr>
                  <w:rFonts w:hint="eastAsia"/>
                  <w:szCs w:val="21"/>
                </w:rPr>
                <w:t>对于经常使用且使用量较为稳定的物资（如取向硅钢原料卷、铜材、钢材等），公司从合格供应商名单中选定一家或多家供应商签订供应商协议，一般期限为一年。在采购计划或请购需求得到批准后，公司直接根据对方的报价生成采购订单进行采购。</w:t>
              </w:r>
            </w:p>
            <w:p w:rsidR="004A3868" w:rsidRDefault="003F1AB5">
              <w:pPr>
                <w:pStyle w:val="afff1"/>
                <w:ind w:firstLine="420"/>
                <w:outlineLvl w:val="4"/>
                <w:rPr>
                  <w:szCs w:val="21"/>
                </w:rPr>
              </w:pPr>
              <w:r>
                <w:rPr>
                  <w:rFonts w:hint="eastAsia"/>
                  <w:szCs w:val="21"/>
                </w:rPr>
                <w:t>（2）议价采购</w:t>
              </w:r>
            </w:p>
            <w:p w:rsidR="004A3868" w:rsidRDefault="003F1AB5">
              <w:pPr>
                <w:pStyle w:val="afff1"/>
                <w:ind w:firstLine="420"/>
                <w:rPr>
                  <w:szCs w:val="21"/>
                </w:rPr>
              </w:pPr>
              <w:r>
                <w:rPr>
                  <w:rFonts w:hint="eastAsia"/>
                  <w:szCs w:val="21"/>
                </w:rPr>
                <w:t>对于生产经营中需要使用但市场竞争不充分的物资（如非常用零部件及设备），公司主要采用议价采购的方式进行。</w:t>
              </w:r>
            </w:p>
            <w:p w:rsidR="004A3868" w:rsidRDefault="003F1AB5">
              <w:pPr>
                <w:pStyle w:val="afff1"/>
                <w:ind w:firstLine="420"/>
                <w:outlineLvl w:val="4"/>
                <w:rPr>
                  <w:szCs w:val="21"/>
                </w:rPr>
              </w:pPr>
              <w:r>
                <w:rPr>
                  <w:rFonts w:hint="eastAsia"/>
                  <w:szCs w:val="21"/>
                </w:rPr>
                <w:t>（3）成品采购</w:t>
              </w:r>
            </w:p>
            <w:p w:rsidR="004A3868" w:rsidRDefault="003F1AB5">
              <w:pPr>
                <w:pStyle w:val="afff1"/>
                <w:ind w:firstLine="420"/>
                <w:rPr>
                  <w:szCs w:val="21"/>
                </w:rPr>
              </w:pPr>
              <w:r>
                <w:rPr>
                  <w:rFonts w:hint="eastAsia"/>
                  <w:szCs w:val="21"/>
                </w:rPr>
                <w:t>为及时响应客户订单，维护市场份额，公司在自身生产能力无法满足订单的情况下会对外采购部分成品。同时，由于部分客户指定配套产品需采用瑞士ABB集团、施耐德电气等国际知名电气设备厂商产品，公司需要对外采购部分成品以符合合同要求。</w:t>
              </w:r>
            </w:p>
            <w:p w:rsidR="004A3868" w:rsidRDefault="003F1AB5">
              <w:pPr>
                <w:pStyle w:val="afff1"/>
                <w:ind w:firstLine="420"/>
                <w:outlineLvl w:val="4"/>
                <w:rPr>
                  <w:szCs w:val="21"/>
                </w:rPr>
              </w:pPr>
              <w:r>
                <w:rPr>
                  <w:rFonts w:hint="eastAsia"/>
                  <w:szCs w:val="21"/>
                </w:rPr>
                <w:t>（4）外协采购</w:t>
              </w:r>
            </w:p>
            <w:p w:rsidR="004A3868" w:rsidRDefault="003F1AB5">
              <w:pPr>
                <w:pStyle w:val="afff1"/>
                <w:ind w:firstLine="420"/>
                <w:rPr>
                  <w:szCs w:val="21"/>
                </w:rPr>
              </w:pPr>
              <w:r>
                <w:rPr>
                  <w:rFonts w:hint="eastAsia"/>
                  <w:szCs w:val="21"/>
                </w:rPr>
                <w:t>报告期内，公司外协采购业务为零部件加工、变压器加工组装等加工程序。公司拥有完整独立的资产、人员、技术体系和生产能力，主要采用自主生产模式，在公司产能饱和等情况下采取辅以外协加工的模式。</w:t>
              </w:r>
            </w:p>
            <w:p w:rsidR="004A3868" w:rsidRDefault="003F1AB5">
              <w:pPr>
                <w:pStyle w:val="afff1"/>
                <w:ind w:firstLine="420"/>
                <w:outlineLvl w:val="3"/>
                <w:rPr>
                  <w:szCs w:val="21"/>
                </w:rPr>
              </w:pPr>
              <w:r>
                <w:rPr>
                  <w:rFonts w:hint="eastAsia"/>
                  <w:szCs w:val="21"/>
                </w:rPr>
                <w:lastRenderedPageBreak/>
                <w:t>2、生产模式</w:t>
              </w:r>
            </w:p>
            <w:p w:rsidR="004A3868" w:rsidRDefault="003F1AB5">
              <w:pPr>
                <w:pStyle w:val="afff1"/>
                <w:ind w:firstLine="420"/>
                <w:rPr>
                  <w:szCs w:val="21"/>
                </w:rPr>
              </w:pPr>
              <w:r>
                <w:rPr>
                  <w:rFonts w:hint="eastAsia"/>
                  <w:szCs w:val="21"/>
                </w:rPr>
                <w:t>取向硅钢业务采取“以产定销”的生产模式。</w:t>
              </w:r>
            </w:p>
            <w:p w:rsidR="004A3868" w:rsidRDefault="003F1AB5">
              <w:pPr>
                <w:pStyle w:val="afff1"/>
                <w:ind w:firstLine="420"/>
                <w:rPr>
                  <w:szCs w:val="21"/>
                </w:rPr>
              </w:pPr>
              <w:r>
                <w:rPr>
                  <w:rFonts w:hint="eastAsia"/>
                  <w:szCs w:val="21"/>
                </w:rPr>
                <w:t>公司输配电及控制设备主要采用“以销定产、标准产品适当库存”的生产模式；对于常规订单，各事业部根据营销中心营管部每月对市场需求预测计划、在手订单、历史订单数据、月库存情况制订《公司月度生产计划》和常规产品的安全库存规定组织生产，每周召开一次生产调度会，辅助以库存目标上下限来调节生产。对于非标准化的订单合同，在接受客户订单后，营管部将订单数量、规格、交货期等要求导入订单管理系统，经过合同评审环节后组织必要的设计开发程序，后续各事业部下属生产部下达采购和生产计划，采购部按照需求进行物料采购，上述工作完成后，公司生产部门开始组织生产车间按计划生产。</w:t>
              </w:r>
            </w:p>
            <w:p w:rsidR="004A3868" w:rsidRDefault="003F1AB5">
              <w:pPr>
                <w:pStyle w:val="afff1"/>
                <w:ind w:firstLine="420"/>
                <w:outlineLvl w:val="3"/>
                <w:rPr>
                  <w:szCs w:val="21"/>
                </w:rPr>
              </w:pPr>
              <w:r>
                <w:rPr>
                  <w:rFonts w:hint="eastAsia"/>
                  <w:szCs w:val="21"/>
                </w:rPr>
                <w:t>3、销售模式</w:t>
              </w:r>
            </w:p>
            <w:p w:rsidR="004A3868" w:rsidRDefault="003F1AB5">
              <w:pPr>
                <w:pStyle w:val="afff1"/>
                <w:ind w:firstLine="420"/>
                <w:rPr>
                  <w:szCs w:val="21"/>
                </w:rPr>
              </w:pPr>
              <w:r>
                <w:rPr>
                  <w:rFonts w:hint="eastAsia"/>
                  <w:szCs w:val="21"/>
                </w:rPr>
                <w:t>公司取向硅钢产品采取直销模式与贸易商相结合的销售模式，输配电及控制设备产品主要采取直销模式。</w:t>
              </w:r>
            </w:p>
            <w:p w:rsidR="004A3868" w:rsidRDefault="003F1AB5">
              <w:pPr>
                <w:pStyle w:val="afff1"/>
                <w:ind w:firstLine="420"/>
                <w:outlineLvl w:val="4"/>
                <w:rPr>
                  <w:szCs w:val="21"/>
                </w:rPr>
              </w:pPr>
              <w:r>
                <w:rPr>
                  <w:rFonts w:hint="eastAsia"/>
                  <w:szCs w:val="21"/>
                </w:rPr>
                <w:t>（1）取向硅钢产品</w:t>
              </w:r>
            </w:p>
            <w:p w:rsidR="004A3868" w:rsidRDefault="003F1AB5">
              <w:pPr>
                <w:pStyle w:val="afff1"/>
                <w:ind w:firstLine="420"/>
                <w:rPr>
                  <w:szCs w:val="21"/>
                </w:rPr>
              </w:pPr>
              <w:r>
                <w:rPr>
                  <w:rFonts w:hint="eastAsia"/>
                  <w:szCs w:val="21"/>
                </w:rPr>
                <w:t>公司取向硅钢产品销售采取直销模式与贸易商模式相结合的销售方式。</w:t>
              </w:r>
            </w:p>
            <w:p w:rsidR="004A3868" w:rsidRDefault="003F1AB5">
              <w:pPr>
                <w:pStyle w:val="afff1"/>
                <w:ind w:firstLine="420"/>
                <w:rPr>
                  <w:szCs w:val="21"/>
                </w:rPr>
              </w:pPr>
              <w:r>
                <w:rPr>
                  <w:rFonts w:hint="eastAsia"/>
                  <w:szCs w:val="21"/>
                </w:rPr>
                <w:t>直销模式下获取的客户属于输配电及控制设备生产企业，主要通过询价、商议等方式独立获取订单；贸易商模式下获取的客户是公司根据其销售渠道、客户资源、资金实力、从业经验等因素综合选择确定，公司根据贸易商指令完成交易，除产品质量问题以外，公司不参与贸易商终端客户后续管理。</w:t>
              </w:r>
            </w:p>
            <w:p w:rsidR="004A3868" w:rsidRDefault="003F1AB5">
              <w:pPr>
                <w:pStyle w:val="afff1"/>
                <w:ind w:firstLine="420"/>
                <w:outlineLvl w:val="4"/>
                <w:rPr>
                  <w:szCs w:val="21"/>
                </w:rPr>
              </w:pPr>
              <w:r>
                <w:rPr>
                  <w:rFonts w:hint="eastAsia"/>
                  <w:szCs w:val="21"/>
                </w:rPr>
                <w:t>（2）输配电及控制设备产品</w:t>
              </w:r>
            </w:p>
            <w:p w:rsidR="004A3868" w:rsidRDefault="003F1AB5">
              <w:pPr>
                <w:pStyle w:val="afff1"/>
                <w:ind w:firstLine="420"/>
                <w:rPr>
                  <w:szCs w:val="21"/>
                </w:rPr>
              </w:pPr>
              <w:r>
                <w:rPr>
                  <w:rFonts w:hint="eastAsia"/>
                  <w:szCs w:val="21"/>
                </w:rPr>
                <w:t>公司输配电及控制设备产品采取直销模式，公司根据产品应用领域和下游客户的特点，主要通过参与招投标、竞争性谈判等方式独立获取订单。在销售策略方面，对于国家电网公司及其附属公司、南方电网公司及其附属公司、地方电网及其附属企业及其他国有企业等重点国有客户，公司通过招投标及竞争性谈判的方式获得订单；除上述客户以外其他客户，公司主要通过参与询价（比价）、竞争性谈判等方式获得订单。</w:t>
              </w:r>
            </w:p>
            <w:p w:rsidR="004A3868" w:rsidRDefault="003F1AB5">
              <w:pPr>
                <w:pStyle w:val="afff1"/>
                <w:ind w:firstLine="420"/>
                <w:outlineLvl w:val="3"/>
                <w:rPr>
                  <w:szCs w:val="21"/>
                </w:rPr>
              </w:pPr>
              <w:r>
                <w:rPr>
                  <w:rFonts w:hint="eastAsia"/>
                  <w:szCs w:val="21"/>
                </w:rPr>
                <w:t>4、研发模式</w:t>
              </w:r>
            </w:p>
            <w:p w:rsidR="004A3868" w:rsidRDefault="003F1AB5">
              <w:pPr>
                <w:pStyle w:val="afff1"/>
                <w:ind w:firstLine="420"/>
                <w:rPr>
                  <w:szCs w:val="21"/>
                </w:rPr>
              </w:pPr>
              <w:r>
                <w:rPr>
                  <w:rFonts w:hint="eastAsia"/>
                  <w:szCs w:val="21"/>
                </w:rPr>
                <w:t>公司的研发模式为自主创新和联合开发相结合的方式。</w:t>
              </w:r>
            </w:p>
            <w:p w:rsidR="004A3868" w:rsidRDefault="003F1AB5">
              <w:pPr>
                <w:pStyle w:val="afff1"/>
                <w:ind w:firstLine="420"/>
                <w:rPr>
                  <w:szCs w:val="21"/>
                </w:rPr>
              </w:pPr>
              <w:r>
                <w:rPr>
                  <w:rFonts w:hint="eastAsia"/>
                  <w:szCs w:val="21"/>
                </w:rPr>
                <w:t>公司建立了完整的研发体系，成立了惠泽研究院，下设新材料研究所、成套电气研究所、变压器研究所。</w:t>
              </w:r>
            </w:p>
            <w:p w:rsidR="004A3868" w:rsidRDefault="003F1AB5">
              <w:pPr>
                <w:pStyle w:val="afff1"/>
                <w:ind w:firstLine="420"/>
                <w:rPr>
                  <w:szCs w:val="21"/>
                </w:rPr>
              </w:pPr>
              <w:r>
                <w:rPr>
                  <w:rFonts w:hint="eastAsia"/>
                  <w:szCs w:val="21"/>
                </w:rPr>
                <w:t>公司主要致力于高磁感取向硅钢、节能环保输配电及控制设备的智能化等领域的新产品、新工艺、新技术的研发。公司十分注重产学研合作开发，聚集了一批海内外科研工作者，建成博士</w:t>
              </w:r>
              <w:r>
                <w:rPr>
                  <w:rFonts w:hint="eastAsia"/>
                  <w:szCs w:val="21"/>
                </w:rPr>
                <w:lastRenderedPageBreak/>
                <w:t>后科研工作站；与中国钢研科技集团连铸技术国家工程研究中心、重庆大学和重庆理工大学有联合研发。此外，公司和湖南华菱涟源钢铁有限公司联合开展高性能磁性材料的研究开发，推动技术进步和成果转化。</w:t>
              </w:r>
            </w:p>
            <w:p w:rsidR="004A3868" w:rsidRDefault="003F1AB5">
              <w:pPr>
                <w:pStyle w:val="afff1"/>
                <w:ind w:firstLine="420"/>
                <w:rPr>
                  <w:szCs w:val="21"/>
                </w:rPr>
              </w:pPr>
              <w:r>
                <w:rPr>
                  <w:rFonts w:hint="eastAsia"/>
                  <w:szCs w:val="21"/>
                </w:rPr>
                <w:t>报告期内，公司的主要经营模式未发生重大变化。</w:t>
              </w:r>
            </w:p>
          </w:sdtContent>
        </w:sdt>
      </w:sdtContent>
    </w:sdt>
    <w:p w:rsidR="004A3868" w:rsidRDefault="003F1AB5">
      <w:pPr>
        <w:pStyle w:val="2"/>
      </w:pPr>
      <w:r>
        <w:rPr>
          <w:rFonts w:hint="eastAsia"/>
        </w:rPr>
        <w:t>报告期内核心竞争力分析</w:t>
      </w:r>
    </w:p>
    <w:sdt>
      <w:sdtPr>
        <w:alias w:val="是否适用：报告期内核心竞争力分析[双击切换]"/>
        <w:tag w:val="_GBC_a03591f0f7444c9b8f5c55d6f75c3136"/>
        <w:id w:val="1684091171"/>
        <w:placeholder>
          <w:docPart w:val="GBC22222222222222222222222222222"/>
        </w:placeholder>
      </w:sdtPr>
      <w:sdtEndPr/>
      <w:sdtContent>
        <w:p w:rsidR="004A3868" w:rsidRDefault="003F1AB5">
          <w:pPr>
            <w:pStyle w:val="afff1"/>
            <w:ind w:firstLine="420"/>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报告期内核心竞争力分析"/>
        <w:tag w:val="_GBC_956a57b53cd74344a32f2309bcc5f344"/>
        <w:id w:val="-1152897806"/>
        <w:placeholder>
          <w:docPart w:val="GBC22222222222222222222222222222"/>
        </w:placeholder>
      </w:sdtPr>
      <w:sdtEndPr>
        <w:rPr>
          <w:szCs w:val="21"/>
        </w:rPr>
      </w:sdtEndPr>
      <w:sdtContent>
        <w:sdt>
          <w:sdtPr>
            <w:rPr>
              <w:rFonts w:hint="eastAsia"/>
            </w:rPr>
            <w:alias w:val="报告期内核心竞争力分析"/>
            <w:tag w:val="_GBC_956a57b53cd74344a32f2309bcc5f344"/>
            <w:id w:val="1658029493"/>
            <w:lock w:val="sdtLocked"/>
          </w:sdtPr>
          <w:sdtEndPr>
            <w:rPr>
              <w:szCs w:val="21"/>
            </w:rPr>
          </w:sdtEndPr>
          <w:sdtContent>
            <w:p w:rsidR="004A3868" w:rsidRDefault="003F1AB5">
              <w:pPr>
                <w:pStyle w:val="afff1"/>
                <w:ind w:firstLine="420"/>
                <w:rPr>
                  <w:szCs w:val="21"/>
                </w:rPr>
              </w:pPr>
              <w:r>
                <w:rPr>
                  <w:rFonts w:hint="eastAsia"/>
                  <w:szCs w:val="21"/>
                </w:rPr>
                <w:t>公司秉承“铸望变品牌，创行业先锋，做百年企业”愿景，深耕输配电及控制设备行业三十年，通过长期生产实践和技术创新，公司掌握了高磁感取向硅钢和输配电及控制设备领域关键生产工艺及多项核心技术，建立了完整的销售体系和销售网络，在电力设备需求行业和电力变压器加工制造行业积累了广泛的客户基础。</w:t>
              </w:r>
            </w:p>
            <w:p w:rsidR="004A3868" w:rsidRDefault="003F1AB5">
              <w:pPr>
                <w:pStyle w:val="afff1"/>
                <w:ind w:firstLine="420"/>
                <w:rPr>
                  <w:szCs w:val="21"/>
                </w:rPr>
              </w:pPr>
              <w:r>
                <w:rPr>
                  <w:rFonts w:hint="eastAsia"/>
                  <w:szCs w:val="21"/>
                </w:rPr>
                <w:t>公司专注于取向硅钢和输配电及控制设备的研发、生产与销售。通过在技术研发、制造工艺、质量控制、营销服务和管理效率等方面的持续努力，以产业链协同发展优势满足不同客户个性化的产品需求。</w:t>
              </w:r>
            </w:p>
            <w:p w:rsidR="004A3868" w:rsidRDefault="003F1AB5">
              <w:pPr>
                <w:pStyle w:val="afff1"/>
                <w:ind w:firstLine="420"/>
                <w:rPr>
                  <w:szCs w:val="21"/>
                </w:rPr>
              </w:pPr>
              <w:r>
                <w:rPr>
                  <w:rFonts w:hint="eastAsia"/>
                  <w:szCs w:val="21"/>
                </w:rPr>
                <w:t>公司输配电及控制设备产品包括铁心加工、电力变压器、成套电气设备、箱式变电站等，2017年公司自建的电力变压器主要原材料—取向硅钢生产线实现投产，填补了西南地区取向硅钢生产空白，是国内唯一一家打通上游关键原材料研发生产的输配电企业；公司高磁感取向硅钢的最高牌号达到了23QH080，产品质量达到国内先进水平，公司为电力变压器行业供应高端取向硅钢用材的能力进一步提升；随着公司各在建项目的推进，公司产业链日趋完整，高磁感取向硅钢生产、低铁损高磁感硅钢铁心加工制造、更高电压等级电力变压器生产资质取得（云变电气收购成功）等延链补链项目顺利实施，公司核心竞争力得到了有力提升。</w:t>
              </w:r>
            </w:p>
            <w:p w:rsidR="004A3868" w:rsidRDefault="003F1AB5">
              <w:pPr>
                <w:pStyle w:val="afff1"/>
                <w:ind w:firstLine="420"/>
                <w:rPr>
                  <w:szCs w:val="21"/>
                </w:rPr>
              </w:pPr>
              <w:r>
                <w:rPr>
                  <w:rFonts w:hint="eastAsia"/>
                  <w:szCs w:val="21"/>
                </w:rPr>
                <w:t>取向硅钢是输配电及控制设备的主要原材料之一，输配电及控制设备产品为取向硅钢提供产品应用体验，有利于取向硅钢的质量跟踪；取向硅钢产品结构的升级同时带动输配电及控制设备产品的性能提升。公司具备为客户提供取向硅钢和输配电及控制设备两个行业产品运用实践经验的突出特点，两个行业产品间互相促进，协同发展，使得公司拥有较强的市场竞争力，具体如下：</w:t>
              </w:r>
            </w:p>
            <w:p w:rsidR="004A3868" w:rsidRDefault="003F1AB5">
              <w:pPr>
                <w:pStyle w:val="afff1"/>
                <w:ind w:firstLine="420"/>
                <w:outlineLvl w:val="3"/>
                <w:rPr>
                  <w:szCs w:val="21"/>
                </w:rPr>
              </w:pPr>
              <w:r>
                <w:rPr>
                  <w:rFonts w:hint="eastAsia"/>
                  <w:szCs w:val="21"/>
                </w:rPr>
                <w:t>（一）产业链协同发展，一体化优势突出</w:t>
              </w:r>
            </w:p>
            <w:p w:rsidR="004A3868" w:rsidRDefault="003F1AB5">
              <w:pPr>
                <w:pStyle w:val="afff1"/>
                <w:ind w:firstLine="420"/>
                <w:rPr>
                  <w:szCs w:val="21"/>
                </w:rPr>
              </w:pPr>
              <w:r>
                <w:rPr>
                  <w:rFonts w:hint="eastAsia"/>
                  <w:szCs w:val="21"/>
                </w:rPr>
                <w:t>公司深耕输配电及控制设备行业三十年，掌握了行业内关键生产工艺及多项核心技术，建立了以重庆、四川等西南地区为核心，华中地区、华南地区等快速增长区域相结合的销售网络。2017年，公司自建取向硅钢生产线实现投产，是我国民营取向硅钢国产化的先行者，成为国内唯一打通从取向硅钢到电力变压器制造全产业链流程的企业。公司取向硅钢在满足自用的基础上，主要销往华东、华南、西南地区和国际市场，客户包括</w:t>
              </w:r>
              <w:r>
                <w:rPr>
                  <w:szCs w:val="21"/>
                </w:rPr>
                <w:t>MARUBENI-ITOCHU STEEL INC</w:t>
              </w:r>
              <w:r>
                <w:rPr>
                  <w:rFonts w:hint="eastAsia"/>
                  <w:szCs w:val="21"/>
                </w:rPr>
                <w:t>（伊藤忠丸红钢铁公司）</w:t>
              </w:r>
              <w:r>
                <w:rPr>
                  <w:szCs w:val="21"/>
                </w:rPr>
                <w:t>、POSCO INTERNATIONAL CORPORATION</w:t>
              </w:r>
              <w:r>
                <w:rPr>
                  <w:rFonts w:hint="eastAsia"/>
                  <w:szCs w:val="21"/>
                </w:rPr>
                <w:t>（浦项国际公司）、</w:t>
              </w:r>
              <w:r>
                <w:rPr>
                  <w:szCs w:val="21"/>
                </w:rPr>
                <w:t>METAL ONE GMBH（美达王）</w:t>
              </w:r>
              <w:r>
                <w:rPr>
                  <w:rFonts w:hint="eastAsia"/>
                  <w:szCs w:val="21"/>
                </w:rPr>
                <w:t>等</w:t>
              </w:r>
              <w:r>
                <w:rPr>
                  <w:rFonts w:hint="eastAsia"/>
                  <w:szCs w:val="21"/>
                </w:rPr>
                <w:lastRenderedPageBreak/>
                <w:t>公司，是全国唯一打通上游关键原材料的输配电及控制设备企业。经过多年的发展，公司已形成高磁感取向硅钢—铁心加工—节能电力变压器—智能箱式变电站、智能成套电气设备全链条的产品群。</w:t>
              </w:r>
            </w:p>
            <w:p w:rsidR="004A3868" w:rsidRDefault="003F1AB5">
              <w:pPr>
                <w:pStyle w:val="afff1"/>
                <w:ind w:firstLine="420"/>
                <w:rPr>
                  <w:szCs w:val="21"/>
                </w:rPr>
              </w:pPr>
              <w:r>
                <w:rPr>
                  <w:rFonts w:hint="eastAsia"/>
                  <w:szCs w:val="21"/>
                </w:rPr>
                <w:t>公司内部输配电控制设备业务和取向硅钢业务相互促进，协同发展，具有明显的产业链协同优势。取向硅钢是电力变压器的核心原材料，高牌号取向硅钢的供给相对不饱和，公司可自行生产高牌号取向硅钢，有效减少高牌号取向硅钢市场供应不稳定和市场价格波动的不利影响，降低了公司的采购成本，同时也强化了公司输配电及控制设备的市场竞争力。</w:t>
              </w:r>
            </w:p>
            <w:p w:rsidR="004A3868" w:rsidRDefault="003F1AB5">
              <w:pPr>
                <w:pStyle w:val="afff1"/>
                <w:ind w:firstLine="420"/>
                <w:rPr>
                  <w:szCs w:val="21"/>
                </w:rPr>
              </w:pPr>
              <w:r>
                <w:rPr>
                  <w:rFonts w:hint="eastAsia"/>
                  <w:szCs w:val="21"/>
                </w:rPr>
                <w:t>另一方面，公司在取向硅钢产品和输配电及控制设备产品的结合应用经验下，使得公司亦对两类产品的性能优化、结构改善、生产效率提升有了充足的经验。自产取向硅钢在电力变压器中的应用经验既可促进取向硅钢的生产研发，不断提高公司取向硅钢生产技艺，又可为下游客户提供解决方案，优化输配电及控制设备产品设计，提升产品生产效率、降低生产成本，进一步增强了客户黏性。</w:t>
              </w:r>
            </w:p>
            <w:p w:rsidR="004A3868" w:rsidRDefault="003F1AB5">
              <w:pPr>
                <w:pStyle w:val="afff1"/>
                <w:ind w:firstLine="420"/>
                <w:outlineLvl w:val="3"/>
                <w:rPr>
                  <w:szCs w:val="21"/>
                </w:rPr>
              </w:pPr>
              <w:r>
                <w:rPr>
                  <w:rFonts w:hint="eastAsia"/>
                  <w:szCs w:val="21"/>
                </w:rPr>
                <w:t>（二）多元化产品综合竞争能力突出，一站式满足客户综合需求</w:t>
              </w:r>
            </w:p>
            <w:p w:rsidR="004A3868" w:rsidRDefault="003F1AB5">
              <w:pPr>
                <w:pStyle w:val="afff1"/>
                <w:ind w:firstLine="420"/>
                <w:rPr>
                  <w:szCs w:val="21"/>
                </w:rPr>
              </w:pPr>
              <w:r>
                <w:rPr>
                  <w:rFonts w:hint="eastAsia"/>
                  <w:szCs w:val="21"/>
                </w:rPr>
                <w:t>公司经过多年的发展以及新项目的建设，产品已经覆盖取向硅钢、铁心加工、干式变压器、油浸式变压器、箱式变电站和成套电气设备等。随着云变电气收购工作的完成，公司生产线不断延伸、产品的电压等级不断提升；公司通过自身一站式从取向硅钢—铁心加工—电力变压器—电气设备—箱式变电站的全产业链的生产运用场景，向取向硅钢用户、输配电及控制设备用户提供多维度、多业态、多产品、多规格等不同需求运用场景的解决方案，有效减少了客户关于不同产品不同运用场景的协调沟通时间成本，降低了客户的采购成本及后期运行维护成本，产品综合竞争能力突出。</w:t>
              </w:r>
            </w:p>
            <w:p w:rsidR="004A3868" w:rsidRDefault="003F1AB5">
              <w:pPr>
                <w:pStyle w:val="afff1"/>
                <w:ind w:firstLine="420"/>
                <w:rPr>
                  <w:szCs w:val="21"/>
                </w:rPr>
              </w:pPr>
              <w:r>
                <w:rPr>
                  <w:rFonts w:hint="eastAsia"/>
                  <w:szCs w:val="21"/>
                </w:rPr>
                <w:t>丰富的产品线使得公司更能满足国家电网、南方电网及其省级电力公司及其各大央企国企等主要客户的一体化采购招标需求，客户黏性进一步增强。</w:t>
              </w:r>
            </w:p>
            <w:p w:rsidR="004A3868" w:rsidRDefault="003F1AB5">
              <w:pPr>
                <w:pStyle w:val="afff1"/>
                <w:ind w:firstLine="420"/>
                <w:outlineLvl w:val="3"/>
                <w:rPr>
                  <w:szCs w:val="21"/>
                </w:rPr>
              </w:pPr>
              <w:r>
                <w:rPr>
                  <w:rFonts w:hint="eastAsia"/>
                  <w:szCs w:val="21"/>
                </w:rPr>
                <w:t>（三）品牌知名度提高，市场认可度提高</w:t>
              </w:r>
            </w:p>
            <w:p w:rsidR="004A3868" w:rsidRDefault="003F1AB5">
              <w:pPr>
                <w:pStyle w:val="afff1"/>
                <w:ind w:firstLine="420"/>
                <w:rPr>
                  <w:szCs w:val="21"/>
                </w:rPr>
              </w:pPr>
              <w:r>
                <w:rPr>
                  <w:rFonts w:hint="eastAsia"/>
                  <w:szCs w:val="21"/>
                </w:rPr>
                <w:t>公司秉承“铸望变品牌，创行业先锋，做百年企业”愿景，旨在将公司打造成国际一流的电工钢材料和智能电气设备研发、生产、销售和服务一体的综合型企业，实现“打造百亿企业、跻身百强行列、建设百年望变”的奋斗目标。</w:t>
              </w:r>
            </w:p>
            <w:p w:rsidR="004A3868" w:rsidRDefault="003F1AB5">
              <w:pPr>
                <w:pStyle w:val="afff1"/>
                <w:ind w:firstLine="420"/>
                <w:rPr>
                  <w:szCs w:val="21"/>
                </w:rPr>
              </w:pPr>
              <w:r>
                <w:rPr>
                  <w:rFonts w:hint="eastAsia"/>
                  <w:szCs w:val="21"/>
                </w:rPr>
                <w:t>在输配电及控制设备领域，公司深耕重庆、四川、贵州及云南等西南区域市场多年，在相关省、市、区（县）建立了成熟稳定的销售网络，得益于优秀的产品质量和及时高效的服务，公司与国家电网、南方电网及其旗下多省市的电力公司、供电局等建立了长期稳定的合作关系，在相关地区具有良好的声誉及知名度。此外公司拥有自有车队，基本实现输配电及控制设备的自主运输，较高的运输效率可满足客户产品需求的时效要求，具有配送优势，建立了较高的品牌认可度，</w:t>
              </w:r>
              <w:r>
                <w:rPr>
                  <w:rFonts w:hint="eastAsia"/>
                  <w:szCs w:val="21"/>
                </w:rPr>
                <w:lastRenderedPageBreak/>
                <w:t>已初步形成“立足西南，辐射全国，走向海外”的业务布局。</w:t>
              </w:r>
            </w:p>
            <w:p w:rsidR="004A3868" w:rsidRDefault="003F1AB5">
              <w:pPr>
                <w:pStyle w:val="afff1"/>
                <w:ind w:firstLine="420"/>
                <w:rPr>
                  <w:szCs w:val="21"/>
                </w:rPr>
              </w:pPr>
              <w:r>
                <w:rPr>
                  <w:rFonts w:hint="eastAsia"/>
                  <w:szCs w:val="21"/>
                </w:rPr>
                <w:t>在取向硅钢领域，经过近几年的经营累积，结合中国西部大开发的重要战略支点、“一带一路”倡议和长江经济带的联结点优势，产品不仅在西南、华东、华南等地区取得了优质订单，同时与海外客户也建立了良好的合作基础，深得海外客户的高度认可。</w:t>
              </w:r>
            </w:p>
            <w:p w:rsidR="004A3868" w:rsidRDefault="003F1AB5">
              <w:pPr>
                <w:pStyle w:val="afff1"/>
                <w:ind w:firstLine="420"/>
                <w:rPr>
                  <w:szCs w:val="21"/>
                </w:rPr>
              </w:pPr>
              <w:r>
                <w:rPr>
                  <w:rFonts w:hint="eastAsia"/>
                  <w:szCs w:val="21"/>
                </w:rPr>
                <w:t>公司以“望变电气，惠泽万家”为宗旨，围绕高磁感取向硅钢—铁心加工—电力变压器—电气设备—箱式变电站一体化产业链不断发展，深入推进集团化发展战略，构建“百年望变”。</w:t>
              </w:r>
            </w:p>
            <w:p w:rsidR="004A3868" w:rsidRDefault="003F1AB5">
              <w:pPr>
                <w:pStyle w:val="afff1"/>
                <w:ind w:firstLine="420"/>
                <w:outlineLvl w:val="3"/>
                <w:rPr>
                  <w:szCs w:val="21"/>
                </w:rPr>
              </w:pPr>
              <w:r>
                <w:rPr>
                  <w:rFonts w:hint="eastAsia"/>
                  <w:szCs w:val="21"/>
                </w:rPr>
                <w:t>（四）获取客户能力稳定，国内外业务统筹发展</w:t>
              </w:r>
            </w:p>
            <w:p w:rsidR="004A3868" w:rsidRDefault="003F1AB5">
              <w:pPr>
                <w:pStyle w:val="afff1"/>
                <w:ind w:firstLine="420"/>
                <w:rPr>
                  <w:szCs w:val="21"/>
                </w:rPr>
              </w:pPr>
              <w:r>
                <w:rPr>
                  <w:rFonts w:hint="eastAsia"/>
                  <w:szCs w:val="21"/>
                </w:rPr>
                <w:t>公司具备优质的客户群体，公司与国家电网、南方电网等大型电网公司以及特变电工、金盘科技、中国电气装备集团有限公司、中国电力建设集团有限公司、中国长江三峡集团有限公司、中国铁路工程集团有限公司、中国交通建设集团有限公司、中国能源建设集团有限公司等大型央企、国企及上市公司具有长期稳定的合作关系。</w:t>
              </w:r>
            </w:p>
            <w:p w:rsidR="004A3868" w:rsidRDefault="003F1AB5">
              <w:pPr>
                <w:pStyle w:val="afff1"/>
                <w:ind w:firstLine="420"/>
                <w:rPr>
                  <w:szCs w:val="21"/>
                </w:rPr>
              </w:pPr>
              <w:r>
                <w:rPr>
                  <w:rFonts w:hint="eastAsia"/>
                  <w:szCs w:val="21"/>
                </w:rPr>
                <w:t>公司以取向硅钢业务为抓手，快速推进国际业务。目前已积累了</w:t>
              </w:r>
              <w:r>
                <w:rPr>
                  <w:szCs w:val="21"/>
                </w:rPr>
                <w:t>HYOSUNG TNC CORPORATION（晓星天禧）、MARUBENI-ITOCHU STEEL INC（伊藤忠丸红钢铁公司）、POSCO INTERNATIONAL CORPORATION（浦项国际公司）</w:t>
              </w:r>
              <w:r>
                <w:rPr>
                  <w:rFonts w:hint="eastAsia"/>
                  <w:szCs w:val="21"/>
                </w:rPr>
                <w:t>、TOYOTA</w:t>
              </w:r>
              <w:r>
                <w:rPr>
                  <w:szCs w:val="21"/>
                </w:rPr>
                <w:t xml:space="preserve"> </w:t>
              </w:r>
              <w:r>
                <w:rPr>
                  <w:rFonts w:hint="eastAsia"/>
                  <w:szCs w:val="21"/>
                </w:rPr>
                <w:t>TSUSHO（丰田通商）等国际知名客户。截至报告期末，公司取向硅钢境外收入占该类业务的占比达21.18%左右。</w:t>
              </w:r>
            </w:p>
            <w:p w:rsidR="004A3868" w:rsidRDefault="003F1AB5">
              <w:pPr>
                <w:pStyle w:val="afff1"/>
                <w:ind w:firstLine="420"/>
                <w:outlineLvl w:val="3"/>
                <w:rPr>
                  <w:szCs w:val="21"/>
                </w:rPr>
              </w:pPr>
              <w:r>
                <w:rPr>
                  <w:rFonts w:hint="eastAsia"/>
                  <w:szCs w:val="21"/>
                </w:rPr>
                <w:t>（五）产学研合作持续加强，技术积累不断深化</w:t>
              </w:r>
            </w:p>
            <w:p w:rsidR="004A3868" w:rsidRDefault="003F1AB5">
              <w:pPr>
                <w:pStyle w:val="afff1"/>
                <w:ind w:firstLine="420"/>
                <w:rPr>
                  <w:szCs w:val="21"/>
                </w:rPr>
              </w:pPr>
              <w:r>
                <w:rPr>
                  <w:szCs w:val="21"/>
                </w:rPr>
                <w:t>2023年，公司持续加大创新合作力度，与国内外知名高校、研究院所开展深度合作，取得了</w:t>
              </w:r>
              <w:r>
                <w:rPr>
                  <w:rFonts w:hint="eastAsia"/>
                  <w:szCs w:val="21"/>
                </w:rPr>
                <w:t>一系列</w:t>
              </w:r>
              <w:r>
                <w:rPr>
                  <w:szCs w:val="21"/>
                </w:rPr>
                <w:t>瞩目的成果。</w:t>
              </w:r>
            </w:p>
            <w:p w:rsidR="004A3868" w:rsidRDefault="003F1AB5">
              <w:pPr>
                <w:pStyle w:val="afff1"/>
                <w:ind w:firstLine="420"/>
                <w:rPr>
                  <w:szCs w:val="21"/>
                </w:rPr>
              </w:pPr>
              <w:r>
                <w:rPr>
                  <w:rFonts w:hint="eastAsia"/>
                  <w:szCs w:val="21"/>
                </w:rPr>
                <w:t>公司</w:t>
              </w:r>
              <w:r>
                <w:rPr>
                  <w:szCs w:val="21"/>
                </w:rPr>
                <w:t>与重庆大学合作开展“电工钢废料绿色造渣重熔工艺研究”，开发了电工钢废料重熔用渣剂，成功应用于电工钢废料重熔铸锭工艺，并申请发明1项；与汪卫华院士团队和中国钢铁研究总院开展了“电工钢废料重熔铸锭制备非晶/纳米晶极薄带工艺研究”，开发了适合于重熔铸锭制备非晶/纳米晶极薄带的工艺，成功制备了FeSiBCuNb纳米晶极薄带，并申请发明专利1项；与武汉科技大学合作开展“硅钢废料真空气雾化制备FeSi、FeSiAl软</w:t>
              </w:r>
              <w:r>
                <w:rPr>
                  <w:rFonts w:hint="eastAsia"/>
                  <w:szCs w:val="21"/>
                </w:rPr>
                <w:t>磁粉末技术开发及应用研究”及与天通股份合作开展“</w:t>
              </w:r>
              <w:r>
                <w:rPr>
                  <w:szCs w:val="21"/>
                </w:rPr>
                <w:t>FeSiAl磁粉的工业化生产试验”，掌握了硅钢重熔铸锭制备FeSi、FeSiAl软磁粉末的生产工艺，成功批量生产FeSi、FeSiAl磁粉，并申请发明专利2项，实用新型专利2项</w:t>
              </w:r>
              <w:r>
                <w:rPr>
                  <w:rFonts w:hint="eastAsia"/>
                  <w:szCs w:val="21"/>
                </w:rPr>
                <w:t>；</w:t>
              </w:r>
              <w:r>
                <w:rPr>
                  <w:szCs w:val="21"/>
                </w:rPr>
                <w:t>与重庆理工大学合作开展“低噪音和低损耗高磁感取向硅钢制造关键技术研究与应用”，形成了高磁感取向硅钢制备的关键技术，成功生产了铁损小于</w:t>
              </w:r>
              <w:r>
                <w:rPr>
                  <w:rFonts w:hint="eastAsia"/>
                  <w:szCs w:val="21"/>
                </w:rPr>
                <w:t>等于</w:t>
              </w:r>
              <w:r>
                <w:rPr>
                  <w:szCs w:val="21"/>
                </w:rPr>
                <w:t>0.78 W/kg、磁感大于</w:t>
              </w:r>
              <w:r>
                <w:rPr>
                  <w:rFonts w:hint="eastAsia"/>
                  <w:szCs w:val="21"/>
                </w:rPr>
                <w:t>等于</w:t>
              </w:r>
              <w:r>
                <w:rPr>
                  <w:szCs w:val="21"/>
                </w:rPr>
                <w:t>1.88T的高磁感取向硅钢，该技术处于行业领先地位，并申请发明专利6项。</w:t>
              </w:r>
            </w:p>
            <w:p w:rsidR="004A3868" w:rsidRDefault="003F1AB5">
              <w:pPr>
                <w:pStyle w:val="afff1"/>
                <w:ind w:firstLine="420"/>
                <w:rPr>
                  <w:szCs w:val="21"/>
                </w:rPr>
              </w:pPr>
              <w:r>
                <w:rPr>
                  <w:rFonts w:hint="eastAsia"/>
                  <w:szCs w:val="21"/>
                </w:rPr>
                <w:t>截至2023年12月31日，公司已拥有15</w:t>
              </w:r>
              <w:r>
                <w:rPr>
                  <w:szCs w:val="21"/>
                </w:rPr>
                <w:t>2</w:t>
              </w:r>
              <w:r>
                <w:rPr>
                  <w:rFonts w:hint="eastAsia"/>
                  <w:szCs w:val="21"/>
                </w:rPr>
                <w:t>项专利，其中发明专利2</w:t>
              </w:r>
              <w:r>
                <w:rPr>
                  <w:szCs w:val="21"/>
                </w:rPr>
                <w:t>9</w:t>
              </w:r>
              <w:r>
                <w:rPr>
                  <w:rFonts w:hint="eastAsia"/>
                  <w:szCs w:val="21"/>
                </w:rPr>
                <w:t>项，实用新型专利121项，外观专利2项。公司科技成果转化能力强，并在主营业务中加以应用，为公司设计、生产及售后服务提供了强有力的技术保障。</w:t>
              </w:r>
            </w:p>
          </w:sdtContent>
        </w:sdt>
      </w:sdtContent>
    </w:sdt>
    <w:p w:rsidR="004A3868" w:rsidRDefault="003F1AB5">
      <w:pPr>
        <w:pStyle w:val="2"/>
      </w:pPr>
      <w:r>
        <w:rPr>
          <w:rFonts w:hint="eastAsia"/>
        </w:rPr>
        <w:lastRenderedPageBreak/>
        <w:t>报告期内主要经营情况</w:t>
      </w:r>
    </w:p>
    <w:sdt>
      <w:sdtPr>
        <w:rPr>
          <w:rFonts w:hint="eastAsia"/>
        </w:rPr>
        <w:alias w:val="报告期内主要经营情况"/>
        <w:tag w:val="_GBC_655a1c6ffd2a454085e53e5538e3b2ef"/>
        <w:id w:val="-1851098094"/>
        <w:placeholder>
          <w:docPart w:val="GBC22222222222222222222222222222"/>
        </w:placeholder>
      </w:sdtPr>
      <w:sdtEndPr>
        <w:rPr>
          <w:sz w:val="21"/>
          <w:szCs w:val="21"/>
        </w:rPr>
      </w:sdtEndPr>
      <w:sdtContent>
        <w:p w:rsidR="004A3868" w:rsidRDefault="003F1AB5">
          <w:pPr>
            <w:pStyle w:val="Style580"/>
            <w:ind w:firstLineChars="200" w:firstLine="480"/>
            <w:rPr>
              <w:sz w:val="21"/>
              <w:szCs w:val="21"/>
            </w:rPr>
          </w:pPr>
          <w:r>
            <w:rPr>
              <w:rFonts w:hint="eastAsia"/>
              <w:sz w:val="21"/>
              <w:szCs w:val="21"/>
            </w:rPr>
            <w:t>公司全年实现营业收入</w:t>
          </w:r>
          <w:r>
            <w:rPr>
              <w:sz w:val="21"/>
              <w:szCs w:val="21"/>
            </w:rPr>
            <w:t>271,778.88万元，</w:t>
          </w:r>
          <w:r>
            <w:rPr>
              <w:rFonts w:hint="eastAsia"/>
              <w:sz w:val="21"/>
              <w:szCs w:val="21"/>
            </w:rPr>
            <w:t>归属于上市公司股东的净利</w:t>
          </w:r>
          <w:r>
            <w:rPr>
              <w:sz w:val="21"/>
              <w:szCs w:val="21"/>
            </w:rPr>
            <w:t>23,458.67</w:t>
          </w:r>
          <w:r>
            <w:rPr>
              <w:rFonts w:hint="eastAsia"/>
              <w:sz w:val="21"/>
              <w:szCs w:val="21"/>
            </w:rPr>
            <w:t xml:space="preserve"> 万元</w:t>
          </w:r>
          <w:r>
            <w:rPr>
              <w:sz w:val="21"/>
              <w:szCs w:val="21"/>
            </w:rPr>
            <w:t>，扣除非经常性损益后归属于公司普通股股东的净利润22,512.62万元。具体经营情况如下：</w:t>
          </w:r>
          <w:r>
            <w:rPr>
              <w:rFonts w:hint="eastAsia"/>
              <w:sz w:val="21"/>
              <w:szCs w:val="21"/>
            </w:rPr>
            <w:t xml:space="preserve"> </w:t>
          </w:r>
        </w:p>
      </w:sdtContent>
    </w:sdt>
    <w:p w:rsidR="004A3868" w:rsidRDefault="003F1AB5">
      <w:pPr>
        <w:pStyle w:val="Style810"/>
        <w:numPr>
          <w:ilvl w:val="0"/>
          <w:numId w:val="16"/>
        </w:numPr>
        <w:ind w:leftChars="0" w:firstLineChars="0"/>
      </w:pPr>
      <w:bookmarkStart w:id="20" w:name="_Toc342559738"/>
      <w:bookmarkStart w:id="21" w:name="_Toc342565895"/>
      <w:r>
        <w:rPr>
          <w:rFonts w:hint="eastAsia"/>
        </w:rPr>
        <w:t>主营业务分析</w:t>
      </w:r>
      <w:bookmarkEnd w:id="20"/>
      <w:bookmarkEnd w:id="21"/>
    </w:p>
    <w:p w:rsidR="004A3868" w:rsidRDefault="003F1AB5">
      <w:pPr>
        <w:pStyle w:val="Style829"/>
      </w:pPr>
      <w:r>
        <w:t>利润表及现金流量表相关科目变动分析表</w:t>
      </w:r>
    </w:p>
    <w:p w:rsidR="004A3868" w:rsidRDefault="003F1AB5">
      <w:pPr>
        <w:pStyle w:val="Style832"/>
      </w:pPr>
      <w:r>
        <w:rPr>
          <w:rFonts w:hint="eastAsia"/>
        </w:rPr>
        <w:t>单位</w:t>
      </w:r>
      <w:r>
        <w:t>：</w:t>
      </w:r>
      <w:bookmarkStart w:id="22" w:name="_Hlk89098131"/>
      <w:bookmarkStart w:id="23" w:name="_Hlk10208083"/>
      <w:sdt>
        <w:sdtPr>
          <w:alias w:val="单位：利润表及现金流量表相关科目变动分析表"/>
          <w:tag w:val="_GBC_a5fffb3a862348719225255f65c5850b"/>
          <w:id w:val="5988384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万元</w:t>
          </w:r>
        </w:sdtContent>
      </w:sdt>
      <w:r>
        <w:rPr>
          <w:rFonts w:hint="eastAsia"/>
        </w:rPr>
        <w:t xml:space="preserve">  </w:t>
      </w:r>
      <w:r>
        <w:rPr>
          <w:rFonts w:hint="eastAsia"/>
        </w:rPr>
        <w:t>币种</w:t>
      </w:r>
      <w:r>
        <w:t>：</w:t>
      </w:r>
      <w:sdt>
        <w:sdtPr>
          <w:alias w:val="币种：利润表及现金流量表相关科目变动分析表"/>
          <w:tag w:val="_GBC_4dcf9e4b2ba546cd926a1de5fc18f92f"/>
          <w:id w:val="10582911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5"/>
        <w:tblW w:w="5000" w:type="pct"/>
        <w:jc w:val="center"/>
        <w:tblInd w:w="0" w:type="dxa"/>
        <w:tblLayout w:type="fixed"/>
        <w:tblCellMar>
          <w:right w:w="28" w:type="dxa"/>
        </w:tblCellMar>
        <w:tblLook w:val="04A0" w:firstRow="1" w:lastRow="0" w:firstColumn="1" w:lastColumn="0" w:noHBand="0" w:noVBand="1"/>
      </w:tblPr>
      <w:tblGrid>
        <w:gridCol w:w="3498"/>
        <w:gridCol w:w="1775"/>
        <w:gridCol w:w="1775"/>
        <w:gridCol w:w="1775"/>
      </w:tblGrid>
      <w:tr w:rsidR="004A3868">
        <w:trPr>
          <w:trHeight w:val="397"/>
          <w:jc w:val="center"/>
        </w:trPr>
        <w:bookmarkStart w:id="24" w:name="_Hlk10208057" w:displacedByCustomXml="next"/>
        <w:sdt>
          <w:sdtPr>
            <w:rPr>
              <w:rFonts w:ascii="Times New Roman" w:hAnsi="Times New Roman" w:hint="eastAsia"/>
              <w:sz w:val="21"/>
              <w:szCs w:val="21"/>
            </w:rPr>
            <w:tag w:val="_PLD_e184eafc8be3478d9fc8a544274385f7"/>
            <w:id w:val="-2025398389"/>
          </w:sdtPr>
          <w:sdtEndPr/>
          <w:sdtContent>
            <w:tc>
              <w:tcPr>
                <w:tcW w:w="1982" w:type="pct"/>
                <w:vAlign w:val="center"/>
              </w:tcPr>
              <w:p w:rsidR="004A3868" w:rsidRDefault="003F1AB5">
                <w:pPr>
                  <w:pStyle w:val="Style607"/>
                  <w:jc w:val="center"/>
                  <w:rPr>
                    <w:sz w:val="21"/>
                    <w:szCs w:val="21"/>
                  </w:rPr>
                </w:pPr>
                <w:r>
                  <w:rPr>
                    <w:rFonts w:hint="eastAsia"/>
                    <w:sz w:val="21"/>
                    <w:szCs w:val="21"/>
                  </w:rPr>
                  <w:t>科目</w:t>
                </w:r>
              </w:p>
            </w:tc>
          </w:sdtContent>
        </w:sdt>
        <w:sdt>
          <w:sdtPr>
            <w:rPr>
              <w:rFonts w:ascii="Times New Roman" w:hAnsi="Times New Roman" w:hint="eastAsia"/>
              <w:sz w:val="21"/>
              <w:szCs w:val="21"/>
            </w:rPr>
            <w:tag w:val="_PLD_c49cd176da60479fbcfeedd35cc9f509"/>
            <w:id w:val="1005327926"/>
          </w:sdtPr>
          <w:sdtEndPr/>
          <w:sdtContent>
            <w:tc>
              <w:tcPr>
                <w:tcW w:w="1006" w:type="pct"/>
                <w:vAlign w:val="center"/>
              </w:tcPr>
              <w:p w:rsidR="004A3868" w:rsidRDefault="003F1AB5">
                <w:pPr>
                  <w:pStyle w:val="Style607"/>
                  <w:jc w:val="center"/>
                  <w:rPr>
                    <w:sz w:val="21"/>
                    <w:szCs w:val="21"/>
                  </w:rPr>
                </w:pPr>
                <w:r>
                  <w:rPr>
                    <w:rFonts w:hint="eastAsia"/>
                    <w:sz w:val="21"/>
                    <w:szCs w:val="21"/>
                  </w:rPr>
                  <w:t>本期数</w:t>
                </w:r>
              </w:p>
            </w:tc>
          </w:sdtContent>
        </w:sdt>
        <w:tc>
          <w:tcPr>
            <w:tcW w:w="1006" w:type="pct"/>
            <w:vAlign w:val="center"/>
          </w:tcPr>
          <w:p w:rsidR="004A3868" w:rsidRDefault="00B34370">
            <w:pPr>
              <w:pStyle w:val="Style607"/>
              <w:jc w:val="center"/>
              <w:rPr>
                <w:sz w:val="21"/>
                <w:szCs w:val="21"/>
              </w:rPr>
            </w:pPr>
            <w:sdt>
              <w:sdtPr>
                <w:rPr>
                  <w:rFonts w:ascii="Times New Roman" w:hAnsi="Times New Roman" w:hint="eastAsia"/>
                  <w:sz w:val="21"/>
                  <w:szCs w:val="21"/>
                </w:rPr>
                <w:tag w:val="_PLD_0b6df7534554463db9f304bbe9b6a71e"/>
                <w:id w:val="1769814767"/>
              </w:sdtPr>
              <w:sdtEndPr/>
              <w:sdtContent>
                <w:r w:rsidR="003F1AB5">
                  <w:rPr>
                    <w:rFonts w:hint="eastAsia"/>
                    <w:sz w:val="21"/>
                    <w:szCs w:val="21"/>
                  </w:rPr>
                  <w:t>上年同期数</w:t>
                </w:r>
              </w:sdtContent>
            </w:sdt>
          </w:p>
        </w:tc>
        <w:sdt>
          <w:sdtPr>
            <w:rPr>
              <w:rFonts w:ascii="Times New Roman" w:hAnsi="Times New Roman" w:hint="eastAsia"/>
              <w:sz w:val="21"/>
              <w:szCs w:val="21"/>
            </w:rPr>
            <w:tag w:val="_PLD_a903eeff1728490ba821c9389249303c"/>
            <w:id w:val="1078946424"/>
          </w:sdtPr>
          <w:sdtEndPr/>
          <w:sdtContent>
            <w:tc>
              <w:tcPr>
                <w:tcW w:w="1006" w:type="pct"/>
                <w:vAlign w:val="center"/>
              </w:tcPr>
              <w:p w:rsidR="004A3868" w:rsidRDefault="003F1AB5">
                <w:pPr>
                  <w:pStyle w:val="Style607"/>
                  <w:jc w:val="center"/>
                  <w:rPr>
                    <w:sz w:val="21"/>
                    <w:szCs w:val="21"/>
                  </w:rPr>
                </w:pPr>
                <w:r>
                  <w:rPr>
                    <w:rFonts w:hint="eastAsia"/>
                    <w:sz w:val="21"/>
                    <w:szCs w:val="21"/>
                  </w:rPr>
                  <w:t>变动比例（</w:t>
                </w:r>
                <w:r>
                  <w:rPr>
                    <w:rFonts w:hint="eastAsia"/>
                    <w:sz w:val="21"/>
                    <w:szCs w:val="21"/>
                  </w:rPr>
                  <w:t>%</w:t>
                </w:r>
                <w:r>
                  <w:rPr>
                    <w:rFonts w:hint="eastAsia"/>
                    <w:sz w:val="21"/>
                    <w:szCs w:val="21"/>
                  </w:rPr>
                  <w:t>）</w:t>
                </w:r>
              </w:p>
            </w:tc>
          </w:sdtContent>
        </w:sdt>
      </w:tr>
      <w:tr w:rsidR="004A3868">
        <w:trPr>
          <w:trHeight w:val="397"/>
          <w:jc w:val="center"/>
        </w:trPr>
        <w:tc>
          <w:tcPr>
            <w:tcW w:w="1982" w:type="pct"/>
          </w:tcPr>
          <w:p w:rsidR="004A3868" w:rsidRDefault="003F1AB5">
            <w:pPr>
              <w:pStyle w:val="Style607"/>
              <w:rPr>
                <w:sz w:val="21"/>
                <w:szCs w:val="21"/>
              </w:rPr>
            </w:pPr>
            <w:r>
              <w:rPr>
                <w:rFonts w:hint="eastAsia"/>
                <w:sz w:val="21"/>
                <w:szCs w:val="21"/>
              </w:rPr>
              <w:t>营业收入</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271,778.88 </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252,647.97</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7.57 </w:t>
            </w:r>
          </w:p>
        </w:tc>
      </w:tr>
      <w:tr w:rsidR="004A3868">
        <w:trPr>
          <w:trHeight w:val="397"/>
          <w:jc w:val="center"/>
        </w:trPr>
        <w:tc>
          <w:tcPr>
            <w:tcW w:w="1982" w:type="pct"/>
          </w:tcPr>
          <w:p w:rsidR="004A3868" w:rsidRDefault="003F1AB5">
            <w:pPr>
              <w:pStyle w:val="Style607"/>
              <w:rPr>
                <w:sz w:val="21"/>
                <w:szCs w:val="21"/>
              </w:rPr>
            </w:pPr>
            <w:r>
              <w:rPr>
                <w:rFonts w:hint="eastAsia"/>
                <w:sz w:val="21"/>
                <w:szCs w:val="21"/>
              </w:rPr>
              <w:t>营业成本</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224,599.52 </w:t>
            </w:r>
            <w:r>
              <w:rPr>
                <w:rFonts w:asciiTheme="minorEastAsia" w:eastAsiaTheme="minorEastAsia" w:hAnsiTheme="minorEastAsia" w:hint="eastAsia"/>
                <w:sz w:val="21"/>
                <w:szCs w:val="21"/>
              </w:rPr>
              <w:t xml:space="preserve"> </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201,364.55</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11.</w:t>
            </w:r>
            <w:r>
              <w:rPr>
                <w:rFonts w:asciiTheme="minorEastAsia" w:eastAsiaTheme="minorEastAsia" w:hAnsiTheme="minorEastAsia"/>
                <w:sz w:val="21"/>
                <w:szCs w:val="21"/>
              </w:rPr>
              <w:t>54</w:t>
            </w:r>
            <w:r>
              <w:rPr>
                <w:rFonts w:asciiTheme="minorEastAsia" w:eastAsiaTheme="minorEastAsia" w:hAnsiTheme="minorEastAsia" w:hint="eastAsia"/>
                <w:sz w:val="21"/>
                <w:szCs w:val="21"/>
              </w:rPr>
              <w:t xml:space="preserve"> </w:t>
            </w:r>
          </w:p>
        </w:tc>
      </w:tr>
      <w:tr w:rsidR="004A3868">
        <w:trPr>
          <w:trHeight w:val="397"/>
          <w:jc w:val="center"/>
        </w:trPr>
        <w:tc>
          <w:tcPr>
            <w:tcW w:w="1982" w:type="pct"/>
          </w:tcPr>
          <w:p w:rsidR="004A3868" w:rsidRDefault="003F1AB5">
            <w:pPr>
              <w:pStyle w:val="Style607"/>
              <w:rPr>
                <w:sz w:val="21"/>
                <w:szCs w:val="21"/>
              </w:rPr>
            </w:pPr>
            <w:r>
              <w:rPr>
                <w:rFonts w:hint="eastAsia"/>
                <w:sz w:val="21"/>
                <w:szCs w:val="21"/>
              </w:rPr>
              <w:t>销售费用</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9,225.83 </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7,466.33</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23.57 </w:t>
            </w:r>
          </w:p>
        </w:tc>
      </w:tr>
      <w:tr w:rsidR="004A3868">
        <w:trPr>
          <w:trHeight w:val="397"/>
          <w:jc w:val="center"/>
        </w:trPr>
        <w:tc>
          <w:tcPr>
            <w:tcW w:w="1982" w:type="pct"/>
          </w:tcPr>
          <w:p w:rsidR="004A3868" w:rsidRDefault="003F1AB5">
            <w:pPr>
              <w:pStyle w:val="Style607"/>
              <w:rPr>
                <w:sz w:val="21"/>
                <w:szCs w:val="21"/>
              </w:rPr>
            </w:pPr>
            <w:r>
              <w:rPr>
                <w:rFonts w:hint="eastAsia"/>
                <w:sz w:val="21"/>
                <w:szCs w:val="21"/>
              </w:rPr>
              <w:t>管理费用</w:t>
            </w:r>
          </w:p>
        </w:tc>
        <w:tc>
          <w:tcPr>
            <w:tcW w:w="1006" w:type="pct"/>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7,834.78 </w:t>
            </w:r>
          </w:p>
        </w:tc>
        <w:tc>
          <w:tcPr>
            <w:tcW w:w="1006" w:type="pct"/>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sz w:val="21"/>
                <w:szCs w:val="21"/>
              </w:rPr>
              <w:t>6,079.21</w:t>
            </w:r>
          </w:p>
        </w:tc>
        <w:tc>
          <w:tcPr>
            <w:tcW w:w="1006" w:type="pct"/>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28.88 </w:t>
            </w:r>
          </w:p>
        </w:tc>
      </w:tr>
      <w:tr w:rsidR="004A3868">
        <w:trPr>
          <w:trHeight w:val="397"/>
          <w:jc w:val="center"/>
        </w:trPr>
        <w:tc>
          <w:tcPr>
            <w:tcW w:w="1982" w:type="pct"/>
          </w:tcPr>
          <w:p w:rsidR="004A3868" w:rsidRDefault="003F1AB5">
            <w:pPr>
              <w:pStyle w:val="Style607"/>
              <w:rPr>
                <w:sz w:val="21"/>
                <w:szCs w:val="21"/>
              </w:rPr>
            </w:pPr>
            <w:r>
              <w:rPr>
                <w:rFonts w:hint="eastAsia"/>
                <w:sz w:val="21"/>
                <w:szCs w:val="21"/>
              </w:rPr>
              <w:t>财务费用</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-1,687.11 </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-1,082.99</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55.78 </w:t>
            </w:r>
          </w:p>
        </w:tc>
      </w:tr>
      <w:tr w:rsidR="004A3868">
        <w:trPr>
          <w:trHeight w:val="397"/>
          <w:jc w:val="center"/>
        </w:trPr>
        <w:tc>
          <w:tcPr>
            <w:tcW w:w="1982" w:type="pct"/>
          </w:tcPr>
          <w:p w:rsidR="004A3868" w:rsidRDefault="003F1AB5">
            <w:pPr>
              <w:pStyle w:val="Style607"/>
              <w:rPr>
                <w:sz w:val="21"/>
                <w:szCs w:val="21"/>
              </w:rPr>
            </w:pPr>
            <w:r>
              <w:rPr>
                <w:rFonts w:hint="eastAsia"/>
                <w:sz w:val="21"/>
                <w:szCs w:val="21"/>
              </w:rPr>
              <w:t>研发费用</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2,924.91 </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2,770.04</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5.59 </w:t>
            </w:r>
          </w:p>
        </w:tc>
      </w:tr>
      <w:tr w:rsidR="004A3868">
        <w:trPr>
          <w:trHeight w:val="397"/>
          <w:jc w:val="center"/>
        </w:trPr>
        <w:tc>
          <w:tcPr>
            <w:tcW w:w="1982" w:type="pct"/>
          </w:tcPr>
          <w:p w:rsidR="004A3868" w:rsidRDefault="003F1AB5">
            <w:pPr>
              <w:pStyle w:val="Style607"/>
              <w:rPr>
                <w:sz w:val="21"/>
                <w:szCs w:val="21"/>
              </w:rPr>
            </w:pPr>
            <w:r>
              <w:rPr>
                <w:rFonts w:hint="eastAsia"/>
                <w:sz w:val="21"/>
                <w:szCs w:val="21"/>
              </w:rPr>
              <w:t>经营活动产生的现金流量净额</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29,186.40 </w:t>
            </w:r>
            <w:r>
              <w:rPr>
                <w:rFonts w:asciiTheme="minorEastAsia" w:eastAsiaTheme="minorEastAsia" w:hAnsiTheme="minorEastAsia" w:hint="eastAsia"/>
                <w:sz w:val="21"/>
                <w:szCs w:val="21"/>
              </w:rPr>
              <w:t xml:space="preserve"> </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20,434.99</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4</w:t>
            </w:r>
            <w:r>
              <w:rPr>
                <w:rFonts w:asciiTheme="minorEastAsia" w:eastAsiaTheme="minorEastAsia" w:hAnsiTheme="minorEastAsia"/>
                <w:sz w:val="21"/>
                <w:szCs w:val="21"/>
              </w:rPr>
              <w:t>2.83</w:t>
            </w:r>
            <w:r>
              <w:rPr>
                <w:rFonts w:asciiTheme="minorEastAsia" w:eastAsiaTheme="minorEastAsia" w:hAnsiTheme="minorEastAsia" w:hint="eastAsia"/>
                <w:sz w:val="21"/>
                <w:szCs w:val="21"/>
              </w:rPr>
              <w:t xml:space="preserve"> </w:t>
            </w:r>
          </w:p>
        </w:tc>
      </w:tr>
      <w:tr w:rsidR="004A3868">
        <w:trPr>
          <w:trHeight w:val="397"/>
          <w:jc w:val="center"/>
        </w:trPr>
        <w:tc>
          <w:tcPr>
            <w:tcW w:w="1982" w:type="pct"/>
          </w:tcPr>
          <w:p w:rsidR="004A3868" w:rsidRDefault="003F1AB5">
            <w:pPr>
              <w:pStyle w:val="Style607"/>
              <w:rPr>
                <w:sz w:val="21"/>
                <w:szCs w:val="21"/>
              </w:rPr>
            </w:pPr>
            <w:r>
              <w:rPr>
                <w:rFonts w:hint="eastAsia"/>
                <w:sz w:val="21"/>
                <w:szCs w:val="21"/>
              </w:rPr>
              <w:t>投资活动产生的现金流量净额</w:t>
            </w:r>
          </w:p>
        </w:tc>
        <w:tc>
          <w:tcPr>
            <w:tcW w:w="1006" w:type="pct"/>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-58,577.38 </w:t>
            </w:r>
          </w:p>
        </w:tc>
        <w:tc>
          <w:tcPr>
            <w:tcW w:w="1006" w:type="pct"/>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sz w:val="21"/>
                <w:szCs w:val="21"/>
              </w:rPr>
              <w:t>-37,483.31</w:t>
            </w:r>
          </w:p>
        </w:tc>
        <w:tc>
          <w:tcPr>
            <w:tcW w:w="1006" w:type="pct"/>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sz w:val="21"/>
                <w:szCs w:val="21"/>
              </w:rPr>
              <w:t xml:space="preserve"> 56.28 </w:t>
            </w:r>
          </w:p>
        </w:tc>
      </w:tr>
      <w:tr w:rsidR="004A3868">
        <w:trPr>
          <w:trHeight w:val="397"/>
          <w:jc w:val="center"/>
        </w:trPr>
        <w:tc>
          <w:tcPr>
            <w:tcW w:w="1982" w:type="pct"/>
          </w:tcPr>
          <w:p w:rsidR="004A3868" w:rsidRDefault="003F1AB5">
            <w:pPr>
              <w:pStyle w:val="Style607"/>
              <w:rPr>
                <w:sz w:val="21"/>
                <w:szCs w:val="21"/>
              </w:rPr>
            </w:pPr>
            <w:r>
              <w:rPr>
                <w:rFonts w:hint="eastAsia"/>
                <w:sz w:val="21"/>
                <w:szCs w:val="21"/>
              </w:rPr>
              <w:t>筹资活动产生的现金流量净额</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63,894.88 </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82,495.04</w:t>
            </w:r>
          </w:p>
        </w:tc>
        <w:tc>
          <w:tcPr>
            <w:tcW w:w="1006" w:type="pct"/>
            <w:vAlign w:val="center"/>
          </w:tcPr>
          <w:p w:rsidR="004A3868" w:rsidRDefault="003F1AB5">
            <w:pPr>
              <w:pStyle w:val="Style607"/>
              <w:jc w:val="righ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-22.55 </w:t>
            </w:r>
          </w:p>
        </w:tc>
      </w:tr>
    </w:tbl>
    <w:bookmarkEnd w:id="24"/>
    <w:p w:rsidR="004A3868" w:rsidRDefault="003F1AB5">
      <w:pPr>
        <w:pStyle w:val="afff3"/>
        <w:ind w:firstLine="420"/>
      </w:pPr>
      <w:r>
        <w:rPr>
          <w:rFonts w:hint="eastAsia"/>
        </w:rPr>
        <w:t>营业收入变动原因说明：</w:t>
      </w:r>
      <w:sdt>
        <w:sdtPr>
          <w:rPr>
            <w:rFonts w:hint="eastAsia"/>
          </w:rPr>
          <w:alias w:val="营业收入变动原因说明"/>
          <w:tag w:val="_GBC_02f544181db247728469e929886776a1"/>
          <w:id w:val="-536197260"/>
          <w:placeholder>
            <w:docPart w:val="GBC22222222222222222222222222222"/>
          </w:placeholder>
        </w:sdtPr>
        <w:sdtEndPr/>
        <w:sdtContent>
          <w:r>
            <w:rPr>
              <w:rFonts w:hint="eastAsia"/>
            </w:rPr>
            <w:t>主要系输配电及控制设备业务实现营业收入135,325万元，同比增加</w:t>
          </w:r>
          <w:r>
            <w:t>37,628</w:t>
          </w:r>
          <w:r>
            <w:rPr>
              <w:rFonts w:hint="eastAsia"/>
            </w:rPr>
            <w:t>万元，增长38.52%；取向硅钢业务产销量同比均有一定增长，但是由于销售价格下降导致取向硅钢业务营业总收入减少1</w:t>
          </w:r>
          <w:r>
            <w:t>9,564</w:t>
          </w:r>
          <w:r>
            <w:rPr>
              <w:rFonts w:hint="eastAsia"/>
            </w:rPr>
            <w:t>万元,同比下降13.14%；</w:t>
          </w:r>
        </w:sdtContent>
      </w:sdt>
    </w:p>
    <w:p w:rsidR="004A3868" w:rsidRDefault="003F1AB5">
      <w:pPr>
        <w:pStyle w:val="afff3"/>
        <w:ind w:firstLine="420"/>
      </w:pPr>
      <w:r>
        <w:rPr>
          <w:rFonts w:hint="eastAsia"/>
        </w:rPr>
        <w:t>营业成本变动原因说明：</w:t>
      </w:r>
      <w:sdt>
        <w:sdtPr>
          <w:rPr>
            <w:rFonts w:hint="eastAsia"/>
          </w:rPr>
          <w:alias w:val="营业成本变动原因说明"/>
          <w:tag w:val="_GBC_cc56ae4655044c7092acfc9c59da077d"/>
          <w:id w:val="2141223130"/>
          <w:placeholder>
            <w:docPart w:val="GBC22222222222222222222222222222"/>
          </w:placeholder>
        </w:sdtPr>
        <w:sdtEndPr/>
        <w:sdtContent>
          <w:r>
            <w:rPr>
              <w:rFonts w:hint="eastAsia"/>
            </w:rPr>
            <w:t>主要系输配电及其控制设备业务实现营业收入增长38.52%，带来营业成本增加 31,379万元，同比增长37.71%；取向硅钢业务主要系原料采购成本下降带来营业成本下降9,</w:t>
          </w:r>
          <w:r>
            <w:t>103</w:t>
          </w:r>
          <w:r>
            <w:rPr>
              <w:rFonts w:hint="eastAsia"/>
            </w:rPr>
            <w:t>万元，同比下降8.</w:t>
          </w:r>
          <w:r>
            <w:t>05</w:t>
          </w:r>
          <w:r>
            <w:rPr>
              <w:rFonts w:hint="eastAsia"/>
            </w:rPr>
            <w:t>%；</w:t>
          </w:r>
        </w:sdtContent>
      </w:sdt>
    </w:p>
    <w:p w:rsidR="004A3868" w:rsidRDefault="003F1AB5">
      <w:pPr>
        <w:pStyle w:val="afff3"/>
        <w:ind w:firstLine="420"/>
      </w:pPr>
      <w:r>
        <w:rPr>
          <w:rFonts w:hint="eastAsia"/>
        </w:rPr>
        <w:t>销售费用变动原因说明：</w:t>
      </w:r>
      <w:sdt>
        <w:sdtPr>
          <w:rPr>
            <w:rFonts w:hint="eastAsia"/>
          </w:rPr>
          <w:alias w:val="销售费用变动原因说明"/>
          <w:tag w:val="_GBC_c5a5f680c2ee494fb0392b5c43f82ada"/>
          <w:id w:val="-1648033782"/>
          <w:placeholder>
            <w:docPart w:val="GBC22222222222222222222222222222"/>
          </w:placeholder>
        </w:sdtPr>
        <w:sdtEndPr/>
        <w:sdtContent>
          <w:r>
            <w:rPr>
              <w:rFonts w:hint="eastAsia"/>
            </w:rPr>
            <w:t>主要系报告期内营业收入增长，同时公司大力拓展销售市场所致；</w:t>
          </w:r>
        </w:sdtContent>
      </w:sdt>
    </w:p>
    <w:p w:rsidR="004A3868" w:rsidRDefault="003F1AB5">
      <w:pPr>
        <w:pStyle w:val="afff3"/>
        <w:ind w:firstLine="420"/>
      </w:pPr>
      <w:r>
        <w:rPr>
          <w:rFonts w:hint="eastAsia"/>
        </w:rPr>
        <w:t>管理费用变动原因说明：</w:t>
      </w:r>
      <w:sdt>
        <w:sdtPr>
          <w:rPr>
            <w:rFonts w:hint="eastAsia"/>
          </w:rPr>
          <w:alias w:val="管理费用变动原因说明"/>
          <w:tag w:val="_GBC_706b1fc7f80c45629d6554f783797e4f"/>
          <w:id w:val="-643433232"/>
          <w:placeholder>
            <w:docPart w:val="GBC22222222222222222222222222222"/>
          </w:placeholder>
        </w:sdtPr>
        <w:sdtEndPr/>
        <w:sdtContent>
          <w:r>
            <w:rPr>
              <w:rFonts w:hint="eastAsia"/>
            </w:rPr>
            <w:t>主要系根据政策规定输配电及控制设备从2022年12月开始计提安全生产费用，2023年计提的安全生产费同比增加524万元；2023年公司规模扩大，人员及办公场所、设施增加导致相应管理费用增加796万元所致；</w:t>
          </w:r>
        </w:sdtContent>
      </w:sdt>
    </w:p>
    <w:p w:rsidR="004A3868" w:rsidRDefault="003F1AB5">
      <w:pPr>
        <w:pStyle w:val="afff3"/>
        <w:ind w:firstLine="420"/>
      </w:pPr>
      <w:r>
        <w:rPr>
          <w:rFonts w:hint="eastAsia"/>
        </w:rPr>
        <w:t>财务费用变动原因说明：</w:t>
      </w:r>
      <w:sdt>
        <w:sdtPr>
          <w:rPr>
            <w:rFonts w:hint="eastAsia"/>
          </w:rPr>
          <w:alias w:val="财务费用变动原因说明"/>
          <w:tag w:val="_GBC_ae0e447440184dbb94565c35b97d07a6"/>
          <w:id w:val="-455325372"/>
          <w:placeholder>
            <w:docPart w:val="GBC22222222222222222222222222222"/>
          </w:placeholder>
        </w:sdtPr>
        <w:sdtEndPr/>
        <w:sdtContent>
          <w:r>
            <w:rPr>
              <w:rFonts w:hint="eastAsia"/>
            </w:rPr>
            <w:t>主要系本期存款利息收入增加1,922万元，同时由于融资规模增加贷款利息增加546万元和汇兑损益减少702万元综合影响所致；</w:t>
          </w:r>
        </w:sdtContent>
      </w:sdt>
    </w:p>
    <w:p w:rsidR="004A3868" w:rsidRDefault="003F1AB5">
      <w:pPr>
        <w:pStyle w:val="afff3"/>
        <w:ind w:firstLine="420"/>
      </w:pPr>
      <w:r>
        <w:rPr>
          <w:rFonts w:hint="eastAsia"/>
        </w:rPr>
        <w:t>研发费用变动原因说明：</w:t>
      </w:r>
      <w:sdt>
        <w:sdtPr>
          <w:rPr>
            <w:rFonts w:hint="eastAsia"/>
          </w:rPr>
          <w:alias w:val="研发费用变动原因说明"/>
          <w:tag w:val="_GBC_310391efac0f4742813d80035c784df4"/>
          <w:id w:val="156275421"/>
          <w:placeholder>
            <w:docPart w:val="GBC22222222222222222222222222222"/>
          </w:placeholder>
        </w:sdtPr>
        <w:sdtEndPr/>
        <w:sdtContent>
          <w:r>
            <w:rPr>
              <w:rFonts w:hint="eastAsia"/>
            </w:rPr>
            <w:t>主要系公司研发、技改和创新投入增加所致；</w:t>
          </w:r>
        </w:sdtContent>
      </w:sdt>
    </w:p>
    <w:p w:rsidR="004A3868" w:rsidRDefault="003F1AB5">
      <w:pPr>
        <w:pStyle w:val="afff3"/>
        <w:ind w:firstLine="420"/>
      </w:pPr>
      <w:r>
        <w:rPr>
          <w:rFonts w:hint="eastAsia"/>
        </w:rPr>
        <w:t>经营活动产生的现金流量净额变动原因说明：</w:t>
      </w:r>
      <w:sdt>
        <w:sdtPr>
          <w:rPr>
            <w:rFonts w:hint="eastAsia"/>
          </w:rPr>
          <w:alias w:val="经营活动产生的现金流量净额变动原因说明"/>
          <w:tag w:val="_GBC_5968661d4f024738ae5c039168b68a45"/>
          <w:id w:val="-1838910373"/>
          <w:placeholder>
            <w:docPart w:val="GBC22222222222222222222222222222"/>
          </w:placeholder>
        </w:sdtPr>
        <w:sdtEndPr/>
        <w:sdtContent>
          <w:r>
            <w:rPr>
              <w:rFonts w:hint="eastAsia"/>
            </w:rPr>
            <w:t>本期经营活动现金净流入增加</w:t>
          </w:r>
          <w:r>
            <w:t>8,751</w:t>
          </w:r>
          <w:r>
            <w:rPr>
              <w:rFonts w:hint="eastAsia"/>
            </w:rPr>
            <w:t>万元，主要系销售商品、提供劳务收到的现金流入增加7,539万元，同时公司加大票据支付结算带来购买商品、接受劳务支付的现金流出减少1</w:t>
          </w:r>
          <w:r>
            <w:t>8</w:t>
          </w:r>
          <w:r>
            <w:rPr>
              <w:rFonts w:hint="eastAsia"/>
            </w:rPr>
            <w:t>,</w:t>
          </w:r>
          <w:r>
            <w:t>805</w:t>
          </w:r>
          <w:r>
            <w:rPr>
              <w:rFonts w:hint="eastAsia"/>
            </w:rPr>
            <w:t>万元及支付其他与经营活动有关的现金流出增加</w:t>
          </w:r>
          <w:r>
            <w:t>14,020</w:t>
          </w:r>
          <w:r>
            <w:rPr>
              <w:rFonts w:hint="eastAsia"/>
            </w:rPr>
            <w:t>万元综合影响所致；</w:t>
          </w:r>
        </w:sdtContent>
      </w:sdt>
    </w:p>
    <w:p w:rsidR="004A3868" w:rsidRDefault="003F1AB5">
      <w:pPr>
        <w:pStyle w:val="afff3"/>
        <w:ind w:firstLine="420"/>
      </w:pPr>
      <w:r>
        <w:rPr>
          <w:rFonts w:hint="eastAsia"/>
        </w:rPr>
        <w:t>投资活动产生的现金流量净额变动原因说明：</w:t>
      </w:r>
      <w:sdt>
        <w:sdtPr>
          <w:rPr>
            <w:rFonts w:hint="eastAsia"/>
          </w:rPr>
          <w:alias w:val="投资活动产生的现金流量净额变动原因说明"/>
          <w:tag w:val="_GBC_08880b3f89054510a8ebc03403516e54"/>
          <w:id w:val="295962897"/>
          <w:placeholder>
            <w:docPart w:val="GBC22222222222222222222222222222"/>
          </w:placeholder>
        </w:sdtPr>
        <w:sdtEndPr/>
        <w:sdtContent>
          <w:r>
            <w:rPr>
              <w:rFonts w:hint="eastAsia"/>
            </w:rPr>
            <w:t>本期投资活动现金净流出增加21,</w:t>
          </w:r>
          <w:r>
            <w:t>094</w:t>
          </w:r>
          <w:r>
            <w:rPr>
              <w:rFonts w:hint="eastAsia"/>
            </w:rPr>
            <w:t>万元，主要系本期在建项目投资支付的现金流出增加所致；</w:t>
          </w:r>
        </w:sdtContent>
      </w:sdt>
    </w:p>
    <w:p w:rsidR="004A3868" w:rsidRDefault="003F1AB5">
      <w:pPr>
        <w:pStyle w:val="afff3"/>
        <w:ind w:firstLine="420"/>
      </w:pPr>
      <w:r>
        <w:rPr>
          <w:rFonts w:hint="eastAsia"/>
        </w:rPr>
        <w:t>筹资活动产生的现金流量净额变动原因说明：</w:t>
      </w:r>
      <w:sdt>
        <w:sdtPr>
          <w:rPr>
            <w:rFonts w:hint="eastAsia"/>
          </w:rPr>
          <w:alias w:val="筹资活动产生的现金流量净额变动原因说明"/>
          <w:tag w:val="_GBC_69e60bcce703432885fa32dfc7a0a266"/>
          <w:id w:val="447129801"/>
          <w:placeholder>
            <w:docPart w:val="GBC22222222222222222222222222222"/>
          </w:placeholder>
        </w:sdtPr>
        <w:sdtEndPr/>
        <w:sdtContent>
          <w:r>
            <w:rPr>
              <w:rFonts w:hint="eastAsia"/>
            </w:rPr>
            <w:t>本期筹资活动现金净流入减少18,600万元，主要系上期募集资金到位88,443万元，本期债务融资增加50,232万元，同时支付股利和股票回购现金流出增加11,027万元共同影响所致。</w:t>
          </w:r>
        </w:sdtContent>
      </w:sdt>
      <w:bookmarkEnd w:id="22"/>
      <w:bookmarkEnd w:id="23"/>
    </w:p>
    <w:p w:rsidR="004A3868" w:rsidRDefault="003F1AB5">
      <w:pPr>
        <w:pStyle w:val="afff3"/>
        <w:ind w:firstLine="420"/>
      </w:pPr>
      <w:r>
        <w:rPr>
          <w:rFonts w:hint="eastAsia"/>
        </w:rPr>
        <w:t>本期公司业务类型、利润构成或利润来源发生重大变动的详细说明</w:t>
      </w:r>
    </w:p>
    <w:bookmarkStart w:id="25" w:name="_Hlk89098827" w:displacedByCustomXml="next"/>
    <w:sdt>
      <w:sdtPr>
        <w:alias w:val="是否适用：公司利润构成或利润来源发生重大变动的详细说明[双击切换]"/>
        <w:tag w:val="_GBC_f76226f4a75345f0b64ffa67d16a3159"/>
        <w:id w:val="-1729914530"/>
        <w:lock w:val="sdtLocked"/>
        <w:placeholder>
          <w:docPart w:val="GBC22222222222222222222222222222"/>
        </w:placeholder>
      </w:sdtPr>
      <w:sdtEndPr>
        <w:rPr>
          <w:sz w:val="21"/>
          <w:szCs w:val="21"/>
        </w:rPr>
      </w:sdtEndPr>
      <w:sdtContent>
        <w:p w:rsidR="004A3868" w:rsidRDefault="003F1AB5">
          <w:pPr>
            <w:pStyle w:val="Style58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5"/>
    <w:p w:rsidR="004A3868" w:rsidRDefault="003F1AB5">
      <w:pPr>
        <w:pStyle w:val="Style829"/>
      </w:pPr>
      <w:r>
        <w:rPr>
          <w:rFonts w:hint="eastAsia"/>
        </w:rPr>
        <w:t>收入和成本分析</w:t>
      </w:r>
    </w:p>
    <w:sdt>
      <w:sdtPr>
        <w:alias w:val="是否适用：收入和成本分析[双击切换]"/>
        <w:tag w:val="_GBC_c1a771ff956341da84dd26322335800f"/>
        <w:id w:val="289636551"/>
        <w:placeholder>
          <w:docPart w:val="GBC22222222222222222222222222222"/>
        </w:placeholder>
      </w:sdtPr>
      <w:sdtEndPr/>
      <w:sdtContent>
        <w:p w:rsidR="004A3868" w:rsidRDefault="003F1AB5">
          <w:pPr>
            <w:pStyle w:val="Style580"/>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rPr>
        <w:alias w:val="收入和成本分析情况说明"/>
        <w:tag w:val="_GBC_131edb1aaeab4cb388abf65651cf901e"/>
        <w:id w:val="-1268307729"/>
        <w:placeholder>
          <w:docPart w:val="GBC22222222222222222222222222222"/>
        </w:placeholder>
      </w:sdtPr>
      <w:sdtEndPr>
        <w:rPr>
          <w:sz w:val="21"/>
          <w:szCs w:val="21"/>
        </w:rPr>
      </w:sdtEndPr>
      <w:sdtContent>
        <w:p w:rsidR="004A3868" w:rsidRDefault="003F1AB5">
          <w:pPr>
            <w:pStyle w:val="Style842"/>
            <w:rPr>
              <w:sz w:val="21"/>
              <w:szCs w:val="21"/>
            </w:rPr>
          </w:pPr>
          <w:r>
            <w:rPr>
              <w:rFonts w:hint="eastAsia"/>
            </w:rPr>
            <w:t>具</w:t>
          </w:r>
          <w:r>
            <w:rPr>
              <w:rFonts w:hint="eastAsia"/>
              <w:sz w:val="21"/>
              <w:szCs w:val="21"/>
            </w:rPr>
            <w:t>体情况如下：</w:t>
          </w:r>
        </w:p>
      </w:sdtContent>
    </w:sdt>
    <w:p w:rsidR="004A3868" w:rsidRDefault="003F1AB5">
      <w:pPr>
        <w:pStyle w:val="Style830"/>
        <w:rPr>
          <w:sz w:val="21"/>
          <w:szCs w:val="21"/>
        </w:rPr>
      </w:pPr>
      <w:r>
        <w:rPr>
          <w:sz w:val="21"/>
          <w:szCs w:val="21"/>
        </w:rPr>
        <w:lastRenderedPageBreak/>
        <w:t>主营业务</w:t>
      </w:r>
      <w:r>
        <w:rPr>
          <w:rFonts w:hint="eastAsia"/>
          <w:sz w:val="21"/>
          <w:szCs w:val="21"/>
        </w:rPr>
        <w:t>分</w:t>
      </w:r>
      <w:r>
        <w:rPr>
          <w:sz w:val="21"/>
          <w:szCs w:val="21"/>
        </w:rPr>
        <w:t>行业</w:t>
      </w:r>
      <w:r>
        <w:rPr>
          <w:rFonts w:hint="eastAsia"/>
          <w:sz w:val="21"/>
          <w:szCs w:val="21"/>
        </w:rPr>
        <w:t>、分</w:t>
      </w:r>
      <w:r>
        <w:rPr>
          <w:sz w:val="21"/>
          <w:szCs w:val="21"/>
        </w:rPr>
        <w:t>产品</w:t>
      </w:r>
      <w:r>
        <w:rPr>
          <w:rFonts w:hint="eastAsia"/>
          <w:sz w:val="21"/>
          <w:szCs w:val="21"/>
        </w:rPr>
        <w:t>、分地区、分销售模式情况</w:t>
      </w:r>
    </w:p>
    <w:p w:rsidR="004A3868" w:rsidRDefault="003F1AB5">
      <w:pPr>
        <w:pStyle w:val="Style832"/>
      </w:pPr>
      <w:r>
        <w:rPr>
          <w:rFonts w:hint="eastAsia"/>
        </w:rPr>
        <w:t>单位</w:t>
      </w:r>
      <w:r>
        <w:t>:</w:t>
      </w:r>
      <w:bookmarkStart w:id="26" w:name="_Hlk89876312"/>
      <w:sdt>
        <w:sdtPr>
          <w:alias w:val="单位：主营业务分行业、分产品情况表"/>
          <w:tag w:val="_GBC_f77c8e6b92b44adf9014b95a44af704b"/>
          <w:id w:val="-17367678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万元</w:t>
          </w:r>
        </w:sdtContent>
      </w:sdt>
      <w:r>
        <w:rPr>
          <w:rFonts w:hint="eastAsia"/>
        </w:rPr>
        <w:t xml:space="preserve">  </w:t>
      </w:r>
      <w:r>
        <w:rPr>
          <w:rFonts w:hint="eastAsia"/>
        </w:rPr>
        <w:t>币种</w:t>
      </w:r>
      <w:r>
        <w:t>:</w:t>
      </w:r>
      <w:sdt>
        <w:sdtPr>
          <w:alias w:val="币种：主营业务分行业、分产品情况表"/>
          <w:tag w:val="_GBC_3341f58078504155bf0c18cadb3b7f9d"/>
          <w:id w:val="-21448785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25"/>
        <w:tblW w:w="5000" w:type="pct"/>
        <w:jc w:val="center"/>
        <w:tblInd w:w="0" w:type="dxa"/>
        <w:tblLayout w:type="fixed"/>
        <w:tblCellMar>
          <w:right w:w="28" w:type="dxa"/>
        </w:tblCellMar>
        <w:tblLook w:val="04A0" w:firstRow="1" w:lastRow="0" w:firstColumn="1" w:lastColumn="0" w:noHBand="0" w:noVBand="1"/>
      </w:tblPr>
      <w:tblGrid>
        <w:gridCol w:w="1445"/>
        <w:gridCol w:w="1316"/>
        <w:gridCol w:w="1398"/>
        <w:gridCol w:w="1244"/>
        <w:gridCol w:w="1244"/>
        <w:gridCol w:w="1244"/>
        <w:gridCol w:w="932"/>
      </w:tblGrid>
      <w:tr w:rsidR="004A3868">
        <w:trPr>
          <w:trHeight w:val="397"/>
          <w:jc w:val="center"/>
        </w:trPr>
        <w:sdt>
          <w:sdtPr>
            <w:rPr>
              <w:rFonts w:ascii="Times New Roman" w:hAnsi="Times New Roman" w:hint="eastAsia"/>
              <w:sz w:val="21"/>
              <w:szCs w:val="21"/>
            </w:rPr>
            <w:tag w:val="_PLD_b5033a4d190942bd99650d59a8d741f9"/>
            <w:id w:val="518816033"/>
          </w:sdtPr>
          <w:sdtEndPr/>
          <w:sdtContent>
            <w:tc>
              <w:tcPr>
                <w:tcW w:w="5000" w:type="pct"/>
                <w:gridSpan w:val="7"/>
                <w:vAlign w:val="bottom"/>
              </w:tcPr>
              <w:p w:rsidR="004A3868" w:rsidRDefault="003F1AB5">
                <w:pPr>
                  <w:pStyle w:val="Style842"/>
                  <w:rPr>
                    <w:sz w:val="21"/>
                    <w:szCs w:val="21"/>
                  </w:rPr>
                </w:pPr>
                <w:r>
                  <w:rPr>
                    <w:rFonts w:hint="eastAsia"/>
                    <w:sz w:val="21"/>
                    <w:szCs w:val="21"/>
                  </w:rPr>
                  <w:t>主营业务分行业情况</w:t>
                </w:r>
              </w:p>
            </w:tc>
          </w:sdtContent>
        </w:sdt>
      </w:tr>
      <w:tr w:rsidR="004A3868">
        <w:trPr>
          <w:trHeight w:val="397"/>
          <w:jc w:val="center"/>
        </w:trPr>
        <w:sdt>
          <w:sdtPr>
            <w:rPr>
              <w:rFonts w:ascii="Times New Roman" w:hAnsi="Times New Roman" w:hint="eastAsia"/>
            </w:rPr>
            <w:tag w:val="_PLD_ab888f46a9d64f09b94dccfab854ad45"/>
            <w:id w:val="938420345"/>
          </w:sdtPr>
          <w:sdtEndPr/>
          <w:sdtContent>
            <w:tc>
              <w:tcPr>
                <w:tcW w:w="819" w:type="pct"/>
                <w:vAlign w:val="bottom"/>
              </w:tcPr>
              <w:p w:rsidR="004A3868" w:rsidRDefault="003F1AB5">
                <w:pPr>
                  <w:pStyle w:val="afffb"/>
                </w:pPr>
                <w:r>
                  <w:rPr>
                    <w:rFonts w:hint="eastAsia"/>
                  </w:rPr>
                  <w:t>分行业</w:t>
                </w:r>
              </w:p>
            </w:tc>
          </w:sdtContent>
        </w:sdt>
        <w:sdt>
          <w:sdtPr>
            <w:rPr>
              <w:rFonts w:ascii="Times New Roman" w:hAnsi="Times New Roman" w:hint="eastAsia"/>
            </w:rPr>
            <w:tag w:val="_PLD_7fe8bd490c23482eac6c726b40c3125c"/>
            <w:id w:val="-94240427"/>
          </w:sdtPr>
          <w:sdtEndPr/>
          <w:sdtContent>
            <w:tc>
              <w:tcPr>
                <w:tcW w:w="746" w:type="pct"/>
                <w:vAlign w:val="bottom"/>
              </w:tcPr>
              <w:p w:rsidR="004A3868" w:rsidRDefault="003F1AB5">
                <w:pPr>
                  <w:pStyle w:val="afffb"/>
                </w:pPr>
                <w:r>
                  <w:rPr>
                    <w:rFonts w:hint="eastAsia"/>
                  </w:rPr>
                  <w:t>营业收入</w:t>
                </w:r>
              </w:p>
            </w:tc>
          </w:sdtContent>
        </w:sdt>
        <w:sdt>
          <w:sdtPr>
            <w:rPr>
              <w:rFonts w:ascii="Times New Roman" w:hAnsi="Times New Roman" w:hint="eastAsia"/>
            </w:rPr>
            <w:tag w:val="_PLD_43ea5bcd646542838f56af8b6a2863cb"/>
            <w:id w:val="1779840168"/>
          </w:sdtPr>
          <w:sdtEndPr/>
          <w:sdtContent>
            <w:tc>
              <w:tcPr>
                <w:tcW w:w="792" w:type="pct"/>
                <w:vAlign w:val="bottom"/>
              </w:tcPr>
              <w:p w:rsidR="004A3868" w:rsidRDefault="003F1AB5">
                <w:pPr>
                  <w:pStyle w:val="afffb"/>
                </w:pPr>
                <w:r>
                  <w:rPr>
                    <w:rFonts w:hint="eastAsia"/>
                  </w:rPr>
                  <w:t>营业成本</w:t>
                </w:r>
              </w:p>
            </w:tc>
          </w:sdtContent>
        </w:sdt>
        <w:sdt>
          <w:sdtPr>
            <w:rPr>
              <w:rFonts w:ascii="Times New Roman" w:hAnsi="Times New Roman" w:hint="eastAsia"/>
            </w:rPr>
            <w:tag w:val="_PLD_2beea8e29ca14ce68ca930225f6b78ba"/>
            <w:id w:val="1652954391"/>
          </w:sdtPr>
          <w:sdtEndPr/>
          <w:sdtContent>
            <w:tc>
              <w:tcPr>
                <w:tcW w:w="705" w:type="pct"/>
                <w:vAlign w:val="bottom"/>
              </w:tcPr>
              <w:p w:rsidR="004A3868" w:rsidRDefault="003F1AB5">
                <w:pPr>
                  <w:pStyle w:val="afffb"/>
                </w:pPr>
                <w:r>
                  <w:rPr>
                    <w:rFonts w:hint="eastAsia"/>
                  </w:rPr>
                  <w:t>毛利率（%）</w:t>
                </w:r>
              </w:p>
            </w:tc>
          </w:sdtContent>
        </w:sdt>
        <w:sdt>
          <w:sdtPr>
            <w:rPr>
              <w:rFonts w:ascii="Times New Roman" w:hAnsi="Times New Roman" w:hint="eastAsia"/>
            </w:rPr>
            <w:tag w:val="_PLD_f9dadced328346f0b76bc97b709dc071"/>
            <w:id w:val="1874728212"/>
          </w:sdtPr>
          <w:sdtEndPr/>
          <w:sdtContent>
            <w:tc>
              <w:tcPr>
                <w:tcW w:w="705" w:type="pct"/>
                <w:vAlign w:val="bottom"/>
              </w:tcPr>
              <w:p w:rsidR="004A3868" w:rsidRDefault="003F1AB5">
                <w:pPr>
                  <w:pStyle w:val="afffb"/>
                </w:pPr>
                <w:r>
                  <w:rPr>
                    <w:rFonts w:hint="eastAsia"/>
                  </w:rPr>
                  <w:t>营业收入比上年增减（%）</w:t>
                </w:r>
              </w:p>
            </w:tc>
          </w:sdtContent>
        </w:sdt>
        <w:sdt>
          <w:sdtPr>
            <w:rPr>
              <w:rFonts w:ascii="Times New Roman" w:hAnsi="Times New Roman" w:hint="eastAsia"/>
            </w:rPr>
            <w:tag w:val="_PLD_c02171812b4a4964854b289e6b6282d1"/>
            <w:id w:val="-43451779"/>
          </w:sdtPr>
          <w:sdtEndPr/>
          <w:sdtContent>
            <w:tc>
              <w:tcPr>
                <w:tcW w:w="705" w:type="pct"/>
                <w:vAlign w:val="bottom"/>
              </w:tcPr>
              <w:p w:rsidR="004A3868" w:rsidRDefault="003F1AB5">
                <w:pPr>
                  <w:pStyle w:val="afffb"/>
                </w:pPr>
                <w:r>
                  <w:rPr>
                    <w:rFonts w:hint="eastAsia"/>
                  </w:rPr>
                  <w:t>营业成本比上年增减（%）</w:t>
                </w:r>
              </w:p>
            </w:tc>
          </w:sdtContent>
        </w:sdt>
        <w:sdt>
          <w:sdtPr>
            <w:rPr>
              <w:rFonts w:ascii="Times New Roman" w:hAnsi="Times New Roman" w:hint="eastAsia"/>
            </w:rPr>
            <w:tag w:val="_PLD_6ec6853f40254c1e8badc94bd41729ab"/>
            <w:id w:val="-212427690"/>
          </w:sdtPr>
          <w:sdtEndPr/>
          <w:sdtContent>
            <w:tc>
              <w:tcPr>
                <w:tcW w:w="528" w:type="pct"/>
                <w:vAlign w:val="bottom"/>
              </w:tcPr>
              <w:p w:rsidR="004A3868" w:rsidRDefault="003F1AB5">
                <w:pPr>
                  <w:pStyle w:val="afffb"/>
                </w:pPr>
                <w:r>
                  <w:rPr>
                    <w:rFonts w:hint="eastAsia"/>
                  </w:rPr>
                  <w:t>毛利率比上年增减（%）</w:t>
                </w:r>
              </w:p>
            </w:tc>
          </w:sdtContent>
        </w:sdt>
      </w:tr>
      <w:tr w:rsidR="004A3868">
        <w:trPr>
          <w:trHeight w:val="397"/>
          <w:jc w:val="center"/>
        </w:trPr>
        <w:tc>
          <w:tcPr>
            <w:tcW w:w="819" w:type="pct"/>
            <w:vAlign w:val="bottom"/>
          </w:tcPr>
          <w:p w:rsidR="004A3868" w:rsidRDefault="003F1AB5">
            <w:pPr>
              <w:pStyle w:val="afff9"/>
              <w:rPr>
                <w:kern w:val="0"/>
              </w:rPr>
            </w:pPr>
            <w:r>
              <w:rPr>
                <w:rFonts w:hint="eastAsia"/>
              </w:rPr>
              <w:t>钢压延加工</w:t>
            </w:r>
          </w:p>
        </w:tc>
        <w:tc>
          <w:tcPr>
            <w:tcW w:w="746" w:type="pct"/>
            <w:vAlign w:val="bottom"/>
          </w:tcPr>
          <w:p w:rsidR="004A3868" w:rsidRDefault="003F1AB5">
            <w:pPr>
              <w:pStyle w:val="afff7"/>
            </w:pPr>
            <w:r>
              <w:rPr>
                <w:rFonts w:hint="eastAsia"/>
              </w:rPr>
              <w:t>129,286.00</w:t>
            </w:r>
          </w:p>
        </w:tc>
        <w:tc>
          <w:tcPr>
            <w:tcW w:w="792" w:type="pct"/>
            <w:vAlign w:val="bottom"/>
          </w:tcPr>
          <w:p w:rsidR="004A3868" w:rsidRDefault="003F1AB5">
            <w:pPr>
              <w:pStyle w:val="afff7"/>
            </w:pPr>
            <w:r>
              <w:t xml:space="preserve"> 103,938.02 </w:t>
            </w:r>
          </w:p>
        </w:tc>
        <w:tc>
          <w:tcPr>
            <w:tcW w:w="705" w:type="pct"/>
            <w:vAlign w:val="bottom"/>
          </w:tcPr>
          <w:p w:rsidR="004A3868" w:rsidRDefault="003F1AB5">
            <w:pPr>
              <w:pStyle w:val="afff7"/>
            </w:pPr>
            <w:r>
              <w:t xml:space="preserve"> 19.61 </w:t>
            </w:r>
          </w:p>
        </w:tc>
        <w:tc>
          <w:tcPr>
            <w:tcW w:w="705" w:type="pct"/>
            <w:vAlign w:val="bottom"/>
          </w:tcPr>
          <w:p w:rsidR="004A3868" w:rsidRDefault="003F1AB5">
            <w:pPr>
              <w:pStyle w:val="afff7"/>
            </w:pPr>
            <w:r>
              <w:rPr>
                <w:rFonts w:hint="eastAsia"/>
              </w:rPr>
              <w:t>-13.14</w:t>
            </w:r>
          </w:p>
        </w:tc>
        <w:tc>
          <w:tcPr>
            <w:tcW w:w="705" w:type="pct"/>
            <w:vAlign w:val="bottom"/>
          </w:tcPr>
          <w:p w:rsidR="004A3868" w:rsidRDefault="003F1AB5">
            <w:pPr>
              <w:pStyle w:val="afff7"/>
            </w:pPr>
            <w:r>
              <w:rPr>
                <w:rFonts w:hint="eastAsia"/>
              </w:rPr>
              <w:t>-8.</w:t>
            </w:r>
            <w:r>
              <w:t>05</w:t>
            </w:r>
          </w:p>
        </w:tc>
        <w:tc>
          <w:tcPr>
            <w:tcW w:w="528" w:type="pct"/>
            <w:vAlign w:val="bottom"/>
          </w:tcPr>
          <w:p w:rsidR="004A3868" w:rsidRDefault="003F1AB5">
            <w:pPr>
              <w:pStyle w:val="afff7"/>
            </w:pPr>
            <w:r>
              <w:t xml:space="preserve"> -4.45 </w:t>
            </w:r>
          </w:p>
        </w:tc>
      </w:tr>
      <w:tr w:rsidR="004A3868">
        <w:trPr>
          <w:trHeight w:val="397"/>
          <w:jc w:val="center"/>
        </w:trPr>
        <w:tc>
          <w:tcPr>
            <w:tcW w:w="819" w:type="pct"/>
            <w:vAlign w:val="bottom"/>
          </w:tcPr>
          <w:p w:rsidR="004A3868" w:rsidRDefault="003F1AB5">
            <w:pPr>
              <w:pStyle w:val="afff9"/>
              <w:rPr>
                <w:kern w:val="0"/>
              </w:rPr>
            </w:pPr>
            <w:r>
              <w:rPr>
                <w:rFonts w:hint="eastAsia"/>
              </w:rPr>
              <w:t>输配电及控制设备制造</w:t>
            </w:r>
          </w:p>
        </w:tc>
        <w:tc>
          <w:tcPr>
            <w:tcW w:w="746" w:type="pct"/>
            <w:vAlign w:val="bottom"/>
          </w:tcPr>
          <w:p w:rsidR="004A3868" w:rsidRDefault="003F1AB5">
            <w:pPr>
              <w:pStyle w:val="afff7"/>
            </w:pPr>
            <w:r>
              <w:rPr>
                <w:rFonts w:hint="eastAsia"/>
              </w:rPr>
              <w:t>135,325.06</w:t>
            </w:r>
          </w:p>
        </w:tc>
        <w:tc>
          <w:tcPr>
            <w:tcW w:w="792" w:type="pct"/>
            <w:vAlign w:val="bottom"/>
          </w:tcPr>
          <w:p w:rsidR="004A3868" w:rsidRDefault="003F1AB5">
            <w:pPr>
              <w:pStyle w:val="afff7"/>
            </w:pPr>
            <w:r>
              <w:t xml:space="preserve"> 114,591.67 </w:t>
            </w:r>
          </w:p>
        </w:tc>
        <w:tc>
          <w:tcPr>
            <w:tcW w:w="705" w:type="pct"/>
            <w:vAlign w:val="bottom"/>
          </w:tcPr>
          <w:p w:rsidR="004A3868" w:rsidRDefault="003F1AB5">
            <w:pPr>
              <w:pStyle w:val="afff7"/>
            </w:pPr>
            <w:r>
              <w:t xml:space="preserve"> 15.32 </w:t>
            </w:r>
          </w:p>
        </w:tc>
        <w:tc>
          <w:tcPr>
            <w:tcW w:w="705" w:type="pct"/>
            <w:vAlign w:val="bottom"/>
          </w:tcPr>
          <w:p w:rsidR="004A3868" w:rsidRDefault="003F1AB5">
            <w:pPr>
              <w:pStyle w:val="afff7"/>
            </w:pPr>
            <w:r>
              <w:rPr>
                <w:rFonts w:hint="eastAsia"/>
              </w:rPr>
              <w:t>38.52</w:t>
            </w:r>
          </w:p>
        </w:tc>
        <w:tc>
          <w:tcPr>
            <w:tcW w:w="705" w:type="pct"/>
            <w:vAlign w:val="bottom"/>
          </w:tcPr>
          <w:p w:rsidR="004A3868" w:rsidRDefault="003F1AB5">
            <w:pPr>
              <w:pStyle w:val="afff7"/>
            </w:pPr>
            <w:r>
              <w:rPr>
                <w:rFonts w:hint="eastAsia"/>
              </w:rPr>
              <w:t>37.71</w:t>
            </w:r>
          </w:p>
        </w:tc>
        <w:tc>
          <w:tcPr>
            <w:tcW w:w="528" w:type="pct"/>
            <w:vAlign w:val="bottom"/>
          </w:tcPr>
          <w:p w:rsidR="004A3868" w:rsidRDefault="003F1AB5">
            <w:pPr>
              <w:pStyle w:val="afff7"/>
            </w:pPr>
            <w:r>
              <w:t xml:space="preserve"> 0.49 </w:t>
            </w:r>
          </w:p>
        </w:tc>
      </w:tr>
      <w:tr w:rsidR="004A3868">
        <w:trPr>
          <w:trHeight w:val="397"/>
          <w:jc w:val="center"/>
        </w:trPr>
        <w:tc>
          <w:tcPr>
            <w:tcW w:w="819" w:type="pct"/>
            <w:vAlign w:val="bottom"/>
          </w:tcPr>
          <w:p w:rsidR="004A3868" w:rsidRDefault="003F1AB5">
            <w:pPr>
              <w:pStyle w:val="afff9"/>
              <w:rPr>
                <w:kern w:val="0"/>
              </w:rPr>
            </w:pPr>
            <w:r>
              <w:rPr>
                <w:rFonts w:hint="eastAsia"/>
              </w:rPr>
              <w:t>合计</w:t>
            </w:r>
          </w:p>
        </w:tc>
        <w:tc>
          <w:tcPr>
            <w:tcW w:w="746" w:type="pct"/>
            <w:vAlign w:val="bottom"/>
          </w:tcPr>
          <w:p w:rsidR="004A3868" w:rsidRDefault="003F1AB5">
            <w:pPr>
              <w:pStyle w:val="afff7"/>
            </w:pPr>
            <w:r>
              <w:rPr>
                <w:rFonts w:hint="eastAsia"/>
              </w:rPr>
              <w:t>264,611.06</w:t>
            </w:r>
          </w:p>
        </w:tc>
        <w:tc>
          <w:tcPr>
            <w:tcW w:w="792" w:type="pct"/>
            <w:vAlign w:val="bottom"/>
          </w:tcPr>
          <w:p w:rsidR="004A3868" w:rsidRDefault="003F1AB5">
            <w:pPr>
              <w:pStyle w:val="afff7"/>
            </w:pPr>
            <w:r>
              <w:t xml:space="preserve"> 218,529.70 </w:t>
            </w:r>
          </w:p>
        </w:tc>
        <w:tc>
          <w:tcPr>
            <w:tcW w:w="705" w:type="pct"/>
            <w:vAlign w:val="bottom"/>
          </w:tcPr>
          <w:p w:rsidR="004A3868" w:rsidRDefault="003F1AB5">
            <w:pPr>
              <w:pStyle w:val="afff7"/>
            </w:pPr>
            <w:r>
              <w:t xml:space="preserve"> 17.41 </w:t>
            </w:r>
          </w:p>
        </w:tc>
        <w:tc>
          <w:tcPr>
            <w:tcW w:w="705" w:type="pct"/>
            <w:vAlign w:val="bottom"/>
          </w:tcPr>
          <w:p w:rsidR="004A3868" w:rsidRDefault="003F1AB5">
            <w:pPr>
              <w:pStyle w:val="afff7"/>
            </w:pPr>
            <w:r>
              <w:rPr>
                <w:rFonts w:hint="eastAsia"/>
              </w:rPr>
              <w:t>7.33</w:t>
            </w:r>
          </w:p>
        </w:tc>
        <w:tc>
          <w:tcPr>
            <w:tcW w:w="705" w:type="pct"/>
            <w:vAlign w:val="bottom"/>
          </w:tcPr>
          <w:p w:rsidR="004A3868" w:rsidRDefault="003F1AB5">
            <w:pPr>
              <w:pStyle w:val="afff7"/>
            </w:pPr>
            <w:r>
              <w:rPr>
                <w:rFonts w:hint="eastAsia"/>
              </w:rPr>
              <w:t>11.</w:t>
            </w:r>
            <w:r>
              <w:t>35</w:t>
            </w:r>
          </w:p>
        </w:tc>
        <w:tc>
          <w:tcPr>
            <w:tcW w:w="528" w:type="pct"/>
            <w:vAlign w:val="bottom"/>
          </w:tcPr>
          <w:p w:rsidR="004A3868" w:rsidRDefault="003F1AB5">
            <w:pPr>
              <w:pStyle w:val="afff7"/>
            </w:pPr>
            <w:r>
              <w:t xml:space="preserve"> -2.99 </w:t>
            </w:r>
          </w:p>
        </w:tc>
      </w:tr>
      <w:tr w:rsidR="004A3868">
        <w:trPr>
          <w:trHeight w:val="397"/>
          <w:jc w:val="center"/>
        </w:trPr>
        <w:sdt>
          <w:sdtPr>
            <w:rPr>
              <w:rFonts w:ascii="Times New Roman" w:hAnsi="Times New Roman" w:hint="eastAsia"/>
              <w:sz w:val="21"/>
              <w:szCs w:val="21"/>
            </w:rPr>
            <w:tag w:val="_PLD_49258193d94b4f5fa47e482cd615784f"/>
            <w:id w:val="-233398037"/>
          </w:sdtPr>
          <w:sdtEndPr/>
          <w:sdtContent>
            <w:tc>
              <w:tcPr>
                <w:tcW w:w="5000" w:type="pct"/>
                <w:gridSpan w:val="7"/>
                <w:vAlign w:val="bottom"/>
              </w:tcPr>
              <w:p w:rsidR="004A3868" w:rsidRDefault="003F1AB5">
                <w:pPr>
                  <w:pStyle w:val="Style842"/>
                  <w:rPr>
                    <w:sz w:val="21"/>
                    <w:szCs w:val="21"/>
                  </w:rPr>
                </w:pPr>
                <w:r>
                  <w:rPr>
                    <w:rFonts w:hint="eastAsia"/>
                    <w:sz w:val="21"/>
                    <w:szCs w:val="21"/>
                  </w:rPr>
                  <w:t>主营业务分产品情况</w:t>
                </w:r>
              </w:p>
            </w:tc>
          </w:sdtContent>
        </w:sdt>
      </w:tr>
      <w:tr w:rsidR="004A3868">
        <w:trPr>
          <w:trHeight w:val="397"/>
          <w:jc w:val="center"/>
        </w:trPr>
        <w:sdt>
          <w:sdtPr>
            <w:rPr>
              <w:rFonts w:ascii="Times New Roman" w:hAnsi="Times New Roman" w:hint="eastAsia"/>
            </w:rPr>
            <w:tag w:val="_PLD_1d72749a5d4248359cb1b92e381ef722"/>
            <w:id w:val="-1085683960"/>
          </w:sdtPr>
          <w:sdtEndPr/>
          <w:sdtContent>
            <w:tc>
              <w:tcPr>
                <w:tcW w:w="819" w:type="pct"/>
                <w:vAlign w:val="bottom"/>
              </w:tcPr>
              <w:p w:rsidR="004A3868" w:rsidRDefault="003F1AB5">
                <w:pPr>
                  <w:pStyle w:val="afffb"/>
                </w:pPr>
                <w:r>
                  <w:rPr>
                    <w:rFonts w:hint="eastAsia"/>
                  </w:rPr>
                  <w:t>分产品</w:t>
                </w:r>
              </w:p>
            </w:tc>
          </w:sdtContent>
        </w:sdt>
        <w:sdt>
          <w:sdtPr>
            <w:rPr>
              <w:rFonts w:ascii="Times New Roman" w:hAnsi="Times New Roman" w:hint="eastAsia"/>
            </w:rPr>
            <w:tag w:val="_PLD_5e318ae25ee540258ffd6821c201e0af"/>
            <w:id w:val="-264303507"/>
          </w:sdtPr>
          <w:sdtEndPr/>
          <w:sdtContent>
            <w:tc>
              <w:tcPr>
                <w:tcW w:w="746" w:type="pct"/>
                <w:vAlign w:val="bottom"/>
              </w:tcPr>
              <w:p w:rsidR="004A3868" w:rsidRDefault="003F1AB5">
                <w:pPr>
                  <w:pStyle w:val="afffb"/>
                </w:pPr>
                <w:r>
                  <w:rPr>
                    <w:rFonts w:hint="eastAsia"/>
                  </w:rPr>
                  <w:t>营业收入</w:t>
                </w:r>
              </w:p>
            </w:tc>
          </w:sdtContent>
        </w:sdt>
        <w:sdt>
          <w:sdtPr>
            <w:rPr>
              <w:rFonts w:ascii="Times New Roman" w:hAnsi="Times New Roman" w:hint="eastAsia"/>
            </w:rPr>
            <w:tag w:val="_PLD_d7023b8e0b18494eaae569b7bcd4781f"/>
            <w:id w:val="73555036"/>
          </w:sdtPr>
          <w:sdtEndPr/>
          <w:sdtContent>
            <w:tc>
              <w:tcPr>
                <w:tcW w:w="792" w:type="pct"/>
                <w:vAlign w:val="bottom"/>
              </w:tcPr>
              <w:p w:rsidR="004A3868" w:rsidRDefault="003F1AB5">
                <w:pPr>
                  <w:pStyle w:val="afffb"/>
                </w:pPr>
                <w:r>
                  <w:rPr>
                    <w:rFonts w:hint="eastAsia"/>
                  </w:rPr>
                  <w:t>营业成本</w:t>
                </w:r>
              </w:p>
            </w:tc>
          </w:sdtContent>
        </w:sdt>
        <w:sdt>
          <w:sdtPr>
            <w:rPr>
              <w:rFonts w:ascii="Times New Roman" w:hAnsi="Times New Roman" w:hint="eastAsia"/>
            </w:rPr>
            <w:tag w:val="_PLD_c7e7c31f672744488b53ec34a4e0abde"/>
            <w:id w:val="-1768609464"/>
          </w:sdtPr>
          <w:sdtEndPr/>
          <w:sdtContent>
            <w:tc>
              <w:tcPr>
                <w:tcW w:w="705" w:type="pct"/>
                <w:vAlign w:val="bottom"/>
              </w:tcPr>
              <w:p w:rsidR="004A3868" w:rsidRDefault="003F1AB5">
                <w:pPr>
                  <w:pStyle w:val="afffb"/>
                </w:pPr>
                <w:r>
                  <w:rPr>
                    <w:rFonts w:hint="eastAsia"/>
                  </w:rPr>
                  <w:t>毛利率（%）</w:t>
                </w:r>
              </w:p>
            </w:tc>
          </w:sdtContent>
        </w:sdt>
        <w:sdt>
          <w:sdtPr>
            <w:rPr>
              <w:rFonts w:ascii="Times New Roman" w:hAnsi="Times New Roman" w:hint="eastAsia"/>
            </w:rPr>
            <w:tag w:val="_PLD_0ca65e94b76d4933977b3fe13864caf2"/>
            <w:id w:val="48270066"/>
          </w:sdtPr>
          <w:sdtEndPr/>
          <w:sdtContent>
            <w:tc>
              <w:tcPr>
                <w:tcW w:w="705" w:type="pct"/>
                <w:vAlign w:val="bottom"/>
              </w:tcPr>
              <w:p w:rsidR="004A3868" w:rsidRDefault="003F1AB5">
                <w:pPr>
                  <w:pStyle w:val="afffb"/>
                </w:pPr>
                <w:r>
                  <w:rPr>
                    <w:rFonts w:hint="eastAsia"/>
                  </w:rPr>
                  <w:t>营业收入比上年增减（%）</w:t>
                </w:r>
              </w:p>
            </w:tc>
          </w:sdtContent>
        </w:sdt>
        <w:sdt>
          <w:sdtPr>
            <w:rPr>
              <w:rFonts w:ascii="Times New Roman" w:hAnsi="Times New Roman" w:hint="eastAsia"/>
            </w:rPr>
            <w:tag w:val="_PLD_0fcddf8af1ce40e3bbe0b8e78c8c2496"/>
            <w:id w:val="-1321425495"/>
          </w:sdtPr>
          <w:sdtEndPr/>
          <w:sdtContent>
            <w:tc>
              <w:tcPr>
                <w:tcW w:w="705" w:type="pct"/>
                <w:vAlign w:val="bottom"/>
              </w:tcPr>
              <w:p w:rsidR="004A3868" w:rsidRDefault="003F1AB5">
                <w:pPr>
                  <w:pStyle w:val="afffb"/>
                </w:pPr>
                <w:r>
                  <w:rPr>
                    <w:rFonts w:hint="eastAsia"/>
                  </w:rPr>
                  <w:t>营业成本比上年增减（%）</w:t>
                </w:r>
              </w:p>
            </w:tc>
          </w:sdtContent>
        </w:sdt>
        <w:sdt>
          <w:sdtPr>
            <w:rPr>
              <w:rFonts w:ascii="Times New Roman" w:hAnsi="Times New Roman" w:hint="eastAsia"/>
            </w:rPr>
            <w:tag w:val="_PLD_fd695ef26ff948df8cd16c66ef5ffea9"/>
            <w:id w:val="-1721898332"/>
          </w:sdtPr>
          <w:sdtEndPr/>
          <w:sdtContent>
            <w:tc>
              <w:tcPr>
                <w:tcW w:w="528" w:type="pct"/>
                <w:vAlign w:val="bottom"/>
              </w:tcPr>
              <w:p w:rsidR="004A3868" w:rsidRDefault="003F1AB5">
                <w:pPr>
                  <w:pStyle w:val="afffb"/>
                </w:pPr>
                <w:r>
                  <w:rPr>
                    <w:rFonts w:hint="eastAsia"/>
                  </w:rPr>
                  <w:t>毛利率比上年增减（%）</w:t>
                </w:r>
              </w:p>
            </w:tc>
          </w:sdtContent>
        </w:sdt>
      </w:tr>
      <w:tr w:rsidR="004A3868">
        <w:trPr>
          <w:trHeight w:val="397"/>
          <w:jc w:val="center"/>
        </w:trPr>
        <w:tc>
          <w:tcPr>
            <w:tcW w:w="819" w:type="pct"/>
            <w:vAlign w:val="bottom"/>
          </w:tcPr>
          <w:p w:rsidR="004A3868" w:rsidRDefault="003F1AB5">
            <w:pPr>
              <w:pStyle w:val="afff9"/>
              <w:rPr>
                <w:kern w:val="0"/>
              </w:rPr>
            </w:pPr>
            <w:r>
              <w:rPr>
                <w:rFonts w:hint="eastAsia"/>
              </w:rPr>
              <w:t>取向硅钢</w:t>
            </w:r>
          </w:p>
        </w:tc>
        <w:tc>
          <w:tcPr>
            <w:tcW w:w="746" w:type="pct"/>
            <w:vAlign w:val="bottom"/>
          </w:tcPr>
          <w:p w:rsidR="004A3868" w:rsidRDefault="003F1AB5">
            <w:pPr>
              <w:pStyle w:val="afff7"/>
            </w:pPr>
            <w:r>
              <w:rPr>
                <w:rFonts w:hint="eastAsia"/>
              </w:rPr>
              <w:t>129,286.00</w:t>
            </w:r>
          </w:p>
        </w:tc>
        <w:tc>
          <w:tcPr>
            <w:tcW w:w="792" w:type="pct"/>
            <w:vAlign w:val="bottom"/>
          </w:tcPr>
          <w:p w:rsidR="004A3868" w:rsidRDefault="003F1AB5">
            <w:pPr>
              <w:pStyle w:val="afff7"/>
            </w:pPr>
            <w:r>
              <w:t xml:space="preserve"> 103,938.02 </w:t>
            </w:r>
          </w:p>
        </w:tc>
        <w:tc>
          <w:tcPr>
            <w:tcW w:w="705" w:type="pct"/>
            <w:vAlign w:val="bottom"/>
          </w:tcPr>
          <w:p w:rsidR="004A3868" w:rsidRDefault="003F1AB5">
            <w:pPr>
              <w:pStyle w:val="afff7"/>
            </w:pPr>
            <w:r>
              <w:t xml:space="preserve"> 19.61 </w:t>
            </w:r>
          </w:p>
        </w:tc>
        <w:tc>
          <w:tcPr>
            <w:tcW w:w="705" w:type="pct"/>
            <w:vAlign w:val="bottom"/>
          </w:tcPr>
          <w:p w:rsidR="004A3868" w:rsidRDefault="003F1AB5">
            <w:pPr>
              <w:pStyle w:val="afff7"/>
            </w:pPr>
            <w:r>
              <w:rPr>
                <w:rFonts w:hint="eastAsia"/>
              </w:rPr>
              <w:t>-13.14</w:t>
            </w:r>
          </w:p>
        </w:tc>
        <w:tc>
          <w:tcPr>
            <w:tcW w:w="705" w:type="pct"/>
            <w:vAlign w:val="bottom"/>
          </w:tcPr>
          <w:p w:rsidR="004A3868" w:rsidRDefault="003F1AB5">
            <w:pPr>
              <w:pStyle w:val="afff7"/>
            </w:pPr>
            <w:r>
              <w:t xml:space="preserve"> -8.05 </w:t>
            </w:r>
          </w:p>
        </w:tc>
        <w:tc>
          <w:tcPr>
            <w:tcW w:w="528" w:type="pct"/>
            <w:vAlign w:val="bottom"/>
          </w:tcPr>
          <w:p w:rsidR="004A3868" w:rsidRDefault="003F1AB5">
            <w:pPr>
              <w:pStyle w:val="afff7"/>
            </w:pPr>
            <w:r>
              <w:t xml:space="preserve"> -4.45 </w:t>
            </w:r>
          </w:p>
        </w:tc>
      </w:tr>
      <w:tr w:rsidR="004A3868">
        <w:trPr>
          <w:trHeight w:val="397"/>
          <w:jc w:val="center"/>
        </w:trPr>
        <w:tc>
          <w:tcPr>
            <w:tcW w:w="819" w:type="pct"/>
            <w:vAlign w:val="bottom"/>
          </w:tcPr>
          <w:p w:rsidR="004A3868" w:rsidRDefault="003F1AB5">
            <w:pPr>
              <w:pStyle w:val="afff9"/>
              <w:rPr>
                <w:kern w:val="0"/>
              </w:rPr>
            </w:pPr>
            <w:r>
              <w:rPr>
                <w:rFonts w:hint="eastAsia"/>
              </w:rPr>
              <w:t>输配电及控制设备</w:t>
            </w:r>
          </w:p>
        </w:tc>
        <w:tc>
          <w:tcPr>
            <w:tcW w:w="746" w:type="pct"/>
            <w:vAlign w:val="bottom"/>
          </w:tcPr>
          <w:p w:rsidR="004A3868" w:rsidRDefault="003F1AB5">
            <w:pPr>
              <w:pStyle w:val="afff7"/>
            </w:pPr>
            <w:r>
              <w:rPr>
                <w:rFonts w:hint="eastAsia"/>
              </w:rPr>
              <w:t>135,325.06</w:t>
            </w:r>
          </w:p>
        </w:tc>
        <w:tc>
          <w:tcPr>
            <w:tcW w:w="792" w:type="pct"/>
            <w:vAlign w:val="bottom"/>
          </w:tcPr>
          <w:p w:rsidR="004A3868" w:rsidRDefault="003F1AB5">
            <w:pPr>
              <w:pStyle w:val="afff7"/>
            </w:pPr>
            <w:r>
              <w:t xml:space="preserve"> 114,591.67 </w:t>
            </w:r>
          </w:p>
        </w:tc>
        <w:tc>
          <w:tcPr>
            <w:tcW w:w="705" w:type="pct"/>
            <w:vAlign w:val="bottom"/>
          </w:tcPr>
          <w:p w:rsidR="004A3868" w:rsidRDefault="003F1AB5">
            <w:pPr>
              <w:pStyle w:val="afff7"/>
            </w:pPr>
            <w:r>
              <w:t xml:space="preserve"> 15.32 </w:t>
            </w:r>
          </w:p>
        </w:tc>
        <w:tc>
          <w:tcPr>
            <w:tcW w:w="705" w:type="pct"/>
            <w:vAlign w:val="bottom"/>
          </w:tcPr>
          <w:p w:rsidR="004A3868" w:rsidRDefault="003F1AB5">
            <w:pPr>
              <w:pStyle w:val="afff7"/>
            </w:pPr>
            <w:r>
              <w:rPr>
                <w:rFonts w:hint="eastAsia"/>
              </w:rPr>
              <w:t>38.52</w:t>
            </w:r>
          </w:p>
        </w:tc>
        <w:tc>
          <w:tcPr>
            <w:tcW w:w="705" w:type="pct"/>
            <w:vAlign w:val="bottom"/>
          </w:tcPr>
          <w:p w:rsidR="004A3868" w:rsidRDefault="003F1AB5">
            <w:pPr>
              <w:pStyle w:val="afff7"/>
            </w:pPr>
            <w:r>
              <w:t xml:space="preserve"> 37.71 </w:t>
            </w:r>
          </w:p>
        </w:tc>
        <w:tc>
          <w:tcPr>
            <w:tcW w:w="528" w:type="pct"/>
            <w:vAlign w:val="bottom"/>
          </w:tcPr>
          <w:p w:rsidR="004A3868" w:rsidRDefault="003F1AB5">
            <w:pPr>
              <w:pStyle w:val="afff7"/>
            </w:pPr>
            <w:r>
              <w:t xml:space="preserve"> 0.49 </w:t>
            </w:r>
          </w:p>
        </w:tc>
      </w:tr>
      <w:tr w:rsidR="004A3868">
        <w:trPr>
          <w:trHeight w:val="397"/>
          <w:jc w:val="center"/>
        </w:trPr>
        <w:tc>
          <w:tcPr>
            <w:tcW w:w="819" w:type="pct"/>
            <w:vAlign w:val="bottom"/>
          </w:tcPr>
          <w:p w:rsidR="004A3868" w:rsidRDefault="003F1AB5">
            <w:pPr>
              <w:pStyle w:val="afff9"/>
              <w:rPr>
                <w:kern w:val="0"/>
              </w:rPr>
            </w:pPr>
            <w:r>
              <w:rPr>
                <w:rFonts w:hint="eastAsia"/>
              </w:rPr>
              <w:t>合计</w:t>
            </w:r>
          </w:p>
        </w:tc>
        <w:tc>
          <w:tcPr>
            <w:tcW w:w="746" w:type="pct"/>
            <w:vAlign w:val="bottom"/>
          </w:tcPr>
          <w:p w:rsidR="004A3868" w:rsidRDefault="003F1AB5">
            <w:pPr>
              <w:pStyle w:val="afff9"/>
            </w:pPr>
            <w:r>
              <w:rPr>
                <w:rFonts w:hint="eastAsia"/>
              </w:rPr>
              <w:t>264,611.06</w:t>
            </w:r>
          </w:p>
        </w:tc>
        <w:tc>
          <w:tcPr>
            <w:tcW w:w="792" w:type="pct"/>
            <w:vAlign w:val="bottom"/>
          </w:tcPr>
          <w:p w:rsidR="004A3868" w:rsidRDefault="003F1AB5">
            <w:pPr>
              <w:pStyle w:val="afff9"/>
            </w:pPr>
            <w:r>
              <w:t xml:space="preserve"> 218,529.70 </w:t>
            </w:r>
          </w:p>
        </w:tc>
        <w:tc>
          <w:tcPr>
            <w:tcW w:w="705" w:type="pct"/>
            <w:vAlign w:val="bottom"/>
          </w:tcPr>
          <w:p w:rsidR="004A3868" w:rsidRDefault="003F1AB5">
            <w:pPr>
              <w:pStyle w:val="afff9"/>
            </w:pPr>
            <w:r>
              <w:t xml:space="preserve"> 17.41 </w:t>
            </w:r>
          </w:p>
        </w:tc>
        <w:tc>
          <w:tcPr>
            <w:tcW w:w="705" w:type="pct"/>
            <w:vAlign w:val="bottom"/>
          </w:tcPr>
          <w:p w:rsidR="004A3868" w:rsidRDefault="003F1AB5">
            <w:pPr>
              <w:pStyle w:val="afff9"/>
            </w:pPr>
            <w:r>
              <w:rPr>
                <w:rFonts w:hint="eastAsia"/>
              </w:rPr>
              <w:t>7.33</w:t>
            </w:r>
          </w:p>
        </w:tc>
        <w:tc>
          <w:tcPr>
            <w:tcW w:w="705" w:type="pct"/>
            <w:vAlign w:val="bottom"/>
          </w:tcPr>
          <w:p w:rsidR="004A3868" w:rsidRDefault="003F1AB5">
            <w:pPr>
              <w:pStyle w:val="afff9"/>
            </w:pPr>
            <w:r>
              <w:t xml:space="preserve"> 11.35 </w:t>
            </w:r>
          </w:p>
        </w:tc>
        <w:tc>
          <w:tcPr>
            <w:tcW w:w="528" w:type="pct"/>
            <w:vAlign w:val="bottom"/>
          </w:tcPr>
          <w:p w:rsidR="004A3868" w:rsidRDefault="003F1AB5">
            <w:pPr>
              <w:pStyle w:val="afff9"/>
            </w:pPr>
            <w:r>
              <w:t xml:space="preserve"> -2.99 </w:t>
            </w:r>
          </w:p>
        </w:tc>
      </w:tr>
      <w:tr w:rsidR="004A3868">
        <w:trPr>
          <w:trHeight w:val="397"/>
          <w:jc w:val="center"/>
        </w:trPr>
        <w:sdt>
          <w:sdtPr>
            <w:rPr>
              <w:rFonts w:ascii="Times New Roman" w:hAnsi="Times New Roman" w:hint="eastAsia"/>
            </w:rPr>
            <w:tag w:val="_PLD_fe4b98c3f70c495d9eb9797ce0f7b5f6"/>
            <w:id w:val="-65502884"/>
          </w:sdtPr>
          <w:sdtEndPr/>
          <w:sdtContent>
            <w:tc>
              <w:tcPr>
                <w:tcW w:w="5000" w:type="pct"/>
                <w:gridSpan w:val="7"/>
                <w:vAlign w:val="bottom"/>
              </w:tcPr>
              <w:p w:rsidR="004A3868" w:rsidRDefault="003F1AB5">
                <w:pPr>
                  <w:pStyle w:val="afff9"/>
                </w:pPr>
                <w:r>
                  <w:rPr>
                    <w:rFonts w:hint="eastAsia"/>
                  </w:rPr>
                  <w:t>主营业务分地区情况</w:t>
                </w:r>
              </w:p>
            </w:tc>
          </w:sdtContent>
        </w:sdt>
      </w:tr>
      <w:tr w:rsidR="004A3868">
        <w:trPr>
          <w:trHeight w:val="397"/>
          <w:jc w:val="center"/>
        </w:trPr>
        <w:sdt>
          <w:sdtPr>
            <w:rPr>
              <w:rFonts w:ascii="Times New Roman" w:hAnsi="Times New Roman" w:hint="eastAsia"/>
            </w:rPr>
            <w:tag w:val="_PLD_88d8ea3d867f4a97a5a66d059c2a507e"/>
            <w:id w:val="52513625"/>
          </w:sdtPr>
          <w:sdtEndPr/>
          <w:sdtContent>
            <w:tc>
              <w:tcPr>
                <w:tcW w:w="819" w:type="pct"/>
                <w:vAlign w:val="bottom"/>
              </w:tcPr>
              <w:p w:rsidR="004A3868" w:rsidRDefault="003F1AB5">
                <w:pPr>
                  <w:pStyle w:val="afffb"/>
                </w:pPr>
                <w:r>
                  <w:rPr>
                    <w:rFonts w:hint="eastAsia"/>
                  </w:rPr>
                  <w:t>分地区</w:t>
                </w:r>
              </w:p>
            </w:tc>
          </w:sdtContent>
        </w:sdt>
        <w:sdt>
          <w:sdtPr>
            <w:rPr>
              <w:rFonts w:ascii="Times New Roman" w:hAnsi="Times New Roman" w:hint="eastAsia"/>
            </w:rPr>
            <w:tag w:val="_PLD_d960c947c6424e2a87acbd6f4d534b0a"/>
            <w:id w:val="-133868845"/>
          </w:sdtPr>
          <w:sdtEndPr/>
          <w:sdtContent>
            <w:tc>
              <w:tcPr>
                <w:tcW w:w="746" w:type="pct"/>
                <w:vAlign w:val="bottom"/>
              </w:tcPr>
              <w:p w:rsidR="004A3868" w:rsidRDefault="003F1AB5">
                <w:pPr>
                  <w:pStyle w:val="afffb"/>
                </w:pPr>
                <w:r>
                  <w:rPr>
                    <w:rFonts w:hint="eastAsia"/>
                  </w:rPr>
                  <w:t>营业收入</w:t>
                </w:r>
              </w:p>
            </w:tc>
          </w:sdtContent>
        </w:sdt>
        <w:sdt>
          <w:sdtPr>
            <w:rPr>
              <w:rFonts w:ascii="Times New Roman" w:hAnsi="Times New Roman" w:hint="eastAsia"/>
            </w:rPr>
            <w:tag w:val="_PLD_0cab657ed1664cda8d161069df0d4ffe"/>
            <w:id w:val="-1177885852"/>
          </w:sdtPr>
          <w:sdtEndPr/>
          <w:sdtContent>
            <w:tc>
              <w:tcPr>
                <w:tcW w:w="792" w:type="pct"/>
                <w:vAlign w:val="bottom"/>
              </w:tcPr>
              <w:p w:rsidR="004A3868" w:rsidRDefault="003F1AB5">
                <w:pPr>
                  <w:pStyle w:val="afffb"/>
                </w:pPr>
                <w:r>
                  <w:rPr>
                    <w:rFonts w:hint="eastAsia"/>
                  </w:rPr>
                  <w:t>营业成本</w:t>
                </w:r>
              </w:p>
            </w:tc>
          </w:sdtContent>
        </w:sdt>
        <w:sdt>
          <w:sdtPr>
            <w:rPr>
              <w:rFonts w:ascii="Times New Roman" w:hAnsi="Times New Roman" w:hint="eastAsia"/>
            </w:rPr>
            <w:tag w:val="_PLD_de52f565c0c94f5f8930a8d275890566"/>
            <w:id w:val="-280037083"/>
          </w:sdtPr>
          <w:sdtEndPr/>
          <w:sdtContent>
            <w:tc>
              <w:tcPr>
                <w:tcW w:w="705" w:type="pct"/>
                <w:vAlign w:val="bottom"/>
              </w:tcPr>
              <w:p w:rsidR="004A3868" w:rsidRDefault="003F1AB5">
                <w:pPr>
                  <w:pStyle w:val="afffb"/>
                </w:pPr>
                <w:r>
                  <w:rPr>
                    <w:rFonts w:hint="eastAsia"/>
                  </w:rPr>
                  <w:t>毛利率（%）</w:t>
                </w:r>
              </w:p>
            </w:tc>
          </w:sdtContent>
        </w:sdt>
        <w:sdt>
          <w:sdtPr>
            <w:rPr>
              <w:rFonts w:ascii="Times New Roman" w:hAnsi="Times New Roman" w:hint="eastAsia"/>
            </w:rPr>
            <w:tag w:val="_PLD_66acbff90fbb46ac8fc6c5840a2a1352"/>
            <w:id w:val="2045016559"/>
          </w:sdtPr>
          <w:sdtEndPr/>
          <w:sdtContent>
            <w:tc>
              <w:tcPr>
                <w:tcW w:w="705" w:type="pct"/>
                <w:vAlign w:val="bottom"/>
              </w:tcPr>
              <w:p w:rsidR="004A3868" w:rsidRDefault="003F1AB5">
                <w:pPr>
                  <w:pStyle w:val="afffb"/>
                </w:pPr>
                <w:r>
                  <w:rPr>
                    <w:rFonts w:hint="eastAsia"/>
                  </w:rPr>
                  <w:t>营业收入比上年增减（%）</w:t>
                </w:r>
              </w:p>
            </w:tc>
          </w:sdtContent>
        </w:sdt>
        <w:sdt>
          <w:sdtPr>
            <w:rPr>
              <w:rFonts w:ascii="Times New Roman" w:hAnsi="Times New Roman" w:hint="eastAsia"/>
            </w:rPr>
            <w:tag w:val="_PLD_24222e0fb06f4b87bb8e6a25bfc923a9"/>
            <w:id w:val="395789428"/>
          </w:sdtPr>
          <w:sdtEndPr/>
          <w:sdtContent>
            <w:tc>
              <w:tcPr>
                <w:tcW w:w="705" w:type="pct"/>
                <w:vAlign w:val="bottom"/>
              </w:tcPr>
              <w:p w:rsidR="004A3868" w:rsidRDefault="003F1AB5">
                <w:pPr>
                  <w:pStyle w:val="afffb"/>
                </w:pPr>
                <w:r>
                  <w:rPr>
                    <w:rFonts w:hint="eastAsia"/>
                  </w:rPr>
                  <w:t>营业成本比上年增减（%）</w:t>
                </w:r>
              </w:p>
            </w:tc>
          </w:sdtContent>
        </w:sdt>
        <w:sdt>
          <w:sdtPr>
            <w:rPr>
              <w:rFonts w:ascii="Times New Roman" w:hAnsi="Times New Roman" w:hint="eastAsia"/>
              <w:sz w:val="21"/>
              <w:szCs w:val="21"/>
            </w:rPr>
            <w:tag w:val="_PLD_055160da443c4e4a8c520dbbde5baec3"/>
            <w:id w:val="2015800447"/>
          </w:sdtPr>
          <w:sdtEndPr/>
          <w:sdtContent>
            <w:tc>
              <w:tcPr>
                <w:tcW w:w="528" w:type="pct"/>
                <w:vAlign w:val="bottom"/>
              </w:tcPr>
              <w:p w:rsidR="004A3868" w:rsidRDefault="003F1AB5">
                <w:pPr>
                  <w:pStyle w:val="Style842"/>
                  <w:rPr>
                    <w:sz w:val="21"/>
                    <w:szCs w:val="21"/>
                  </w:rPr>
                </w:pPr>
                <w:r>
                  <w:rPr>
                    <w:rFonts w:hint="eastAsia"/>
                    <w:sz w:val="21"/>
                    <w:szCs w:val="21"/>
                  </w:rPr>
                  <w:t>毛利率比上年增减（%）</w:t>
                </w:r>
              </w:p>
            </w:tc>
          </w:sdtContent>
        </w:sdt>
      </w:tr>
      <w:tr w:rsidR="004A3868">
        <w:trPr>
          <w:trHeight w:val="397"/>
          <w:jc w:val="center"/>
        </w:trPr>
        <w:tc>
          <w:tcPr>
            <w:tcW w:w="819" w:type="pct"/>
            <w:vAlign w:val="bottom"/>
          </w:tcPr>
          <w:p w:rsidR="004A3868" w:rsidRDefault="003F1AB5">
            <w:pPr>
              <w:pStyle w:val="afff9"/>
              <w:rPr>
                <w:kern w:val="0"/>
              </w:rPr>
            </w:pPr>
            <w:r>
              <w:rPr>
                <w:rFonts w:hint="eastAsia"/>
              </w:rPr>
              <w:t>内销</w:t>
            </w:r>
          </w:p>
        </w:tc>
        <w:tc>
          <w:tcPr>
            <w:tcW w:w="746" w:type="pct"/>
            <w:vAlign w:val="bottom"/>
          </w:tcPr>
          <w:p w:rsidR="004A3868" w:rsidRDefault="003F1AB5">
            <w:pPr>
              <w:pStyle w:val="afff7"/>
            </w:pPr>
            <w:r>
              <w:rPr>
                <w:rFonts w:hint="eastAsia"/>
              </w:rPr>
              <w:t>237,223.48</w:t>
            </w:r>
          </w:p>
        </w:tc>
        <w:tc>
          <w:tcPr>
            <w:tcW w:w="792" w:type="pct"/>
            <w:vAlign w:val="bottom"/>
          </w:tcPr>
          <w:p w:rsidR="004A3868" w:rsidRDefault="003F1AB5">
            <w:pPr>
              <w:pStyle w:val="afff7"/>
            </w:pPr>
            <w:r>
              <w:t xml:space="preserve"> 199,374.12 </w:t>
            </w:r>
          </w:p>
        </w:tc>
        <w:tc>
          <w:tcPr>
            <w:tcW w:w="705" w:type="pct"/>
            <w:vAlign w:val="bottom"/>
          </w:tcPr>
          <w:p w:rsidR="004A3868" w:rsidRDefault="003F1AB5">
            <w:pPr>
              <w:pStyle w:val="afff7"/>
            </w:pPr>
            <w:r>
              <w:t xml:space="preserve"> 15.96 </w:t>
            </w:r>
          </w:p>
        </w:tc>
        <w:tc>
          <w:tcPr>
            <w:tcW w:w="705" w:type="pct"/>
            <w:vAlign w:val="bottom"/>
          </w:tcPr>
          <w:p w:rsidR="004A3868" w:rsidRDefault="003F1AB5">
            <w:pPr>
              <w:pStyle w:val="afff7"/>
            </w:pPr>
            <w:r>
              <w:rPr>
                <w:rFonts w:hint="eastAsia"/>
              </w:rPr>
              <w:t>17.47</w:t>
            </w:r>
          </w:p>
        </w:tc>
        <w:tc>
          <w:tcPr>
            <w:tcW w:w="705" w:type="pct"/>
            <w:vAlign w:val="bottom"/>
          </w:tcPr>
          <w:p w:rsidR="004A3868" w:rsidRDefault="003F1AB5">
            <w:pPr>
              <w:pStyle w:val="afff7"/>
            </w:pPr>
            <w:r>
              <w:t xml:space="preserve"> 20.88 </w:t>
            </w:r>
          </w:p>
        </w:tc>
        <w:tc>
          <w:tcPr>
            <w:tcW w:w="528" w:type="pct"/>
            <w:vAlign w:val="bottom"/>
          </w:tcPr>
          <w:p w:rsidR="004A3868" w:rsidRDefault="003F1AB5">
            <w:pPr>
              <w:pStyle w:val="afff7"/>
            </w:pPr>
            <w:r>
              <w:t xml:space="preserve"> -2.36 </w:t>
            </w:r>
          </w:p>
        </w:tc>
      </w:tr>
      <w:tr w:rsidR="004A3868">
        <w:trPr>
          <w:trHeight w:val="397"/>
          <w:jc w:val="center"/>
        </w:trPr>
        <w:tc>
          <w:tcPr>
            <w:tcW w:w="819" w:type="pct"/>
            <w:vAlign w:val="bottom"/>
          </w:tcPr>
          <w:p w:rsidR="004A3868" w:rsidRDefault="003F1AB5">
            <w:pPr>
              <w:pStyle w:val="afff9"/>
              <w:rPr>
                <w:kern w:val="0"/>
              </w:rPr>
            </w:pPr>
            <w:r>
              <w:rPr>
                <w:rFonts w:hint="eastAsia"/>
              </w:rPr>
              <w:t>外销</w:t>
            </w:r>
          </w:p>
        </w:tc>
        <w:tc>
          <w:tcPr>
            <w:tcW w:w="746" w:type="pct"/>
            <w:vAlign w:val="bottom"/>
          </w:tcPr>
          <w:p w:rsidR="004A3868" w:rsidRDefault="003F1AB5">
            <w:pPr>
              <w:pStyle w:val="afff7"/>
            </w:pPr>
            <w:r>
              <w:rPr>
                <w:rFonts w:hint="eastAsia"/>
              </w:rPr>
              <w:t>27,387.58</w:t>
            </w:r>
          </w:p>
        </w:tc>
        <w:tc>
          <w:tcPr>
            <w:tcW w:w="792" w:type="pct"/>
            <w:vAlign w:val="bottom"/>
          </w:tcPr>
          <w:p w:rsidR="004A3868" w:rsidRDefault="003F1AB5">
            <w:pPr>
              <w:pStyle w:val="afff7"/>
            </w:pPr>
            <w:r>
              <w:t xml:space="preserve"> 19,155.58 </w:t>
            </w:r>
          </w:p>
        </w:tc>
        <w:tc>
          <w:tcPr>
            <w:tcW w:w="705" w:type="pct"/>
            <w:vAlign w:val="bottom"/>
          </w:tcPr>
          <w:p w:rsidR="004A3868" w:rsidRDefault="003F1AB5">
            <w:pPr>
              <w:pStyle w:val="afff7"/>
            </w:pPr>
            <w:r>
              <w:t xml:space="preserve"> 30.06 </w:t>
            </w:r>
          </w:p>
        </w:tc>
        <w:tc>
          <w:tcPr>
            <w:tcW w:w="705" w:type="pct"/>
            <w:vAlign w:val="bottom"/>
          </w:tcPr>
          <w:p w:rsidR="004A3868" w:rsidRDefault="003F1AB5">
            <w:pPr>
              <w:pStyle w:val="afff7"/>
            </w:pPr>
            <w:r>
              <w:rPr>
                <w:rFonts w:hint="eastAsia"/>
              </w:rPr>
              <w:t>-38.61</w:t>
            </w:r>
          </w:p>
        </w:tc>
        <w:tc>
          <w:tcPr>
            <w:tcW w:w="705" w:type="pct"/>
            <w:vAlign w:val="bottom"/>
          </w:tcPr>
          <w:p w:rsidR="004A3868" w:rsidRDefault="003F1AB5">
            <w:pPr>
              <w:pStyle w:val="afff7"/>
            </w:pPr>
            <w:r>
              <w:t xml:space="preserve"> -38.82 </w:t>
            </w:r>
          </w:p>
        </w:tc>
        <w:tc>
          <w:tcPr>
            <w:tcW w:w="528" w:type="pct"/>
            <w:vAlign w:val="bottom"/>
          </w:tcPr>
          <w:p w:rsidR="004A3868" w:rsidRDefault="003F1AB5">
            <w:pPr>
              <w:pStyle w:val="afff7"/>
            </w:pPr>
            <w:r>
              <w:t xml:space="preserve"> 0.25 </w:t>
            </w:r>
          </w:p>
        </w:tc>
      </w:tr>
      <w:tr w:rsidR="004A3868">
        <w:trPr>
          <w:trHeight w:val="397"/>
          <w:jc w:val="center"/>
        </w:trPr>
        <w:tc>
          <w:tcPr>
            <w:tcW w:w="819" w:type="pct"/>
            <w:vAlign w:val="bottom"/>
          </w:tcPr>
          <w:p w:rsidR="004A3868" w:rsidRDefault="003F1AB5">
            <w:pPr>
              <w:pStyle w:val="afff9"/>
              <w:rPr>
                <w:kern w:val="0"/>
              </w:rPr>
            </w:pPr>
            <w:r>
              <w:rPr>
                <w:rFonts w:hint="eastAsia"/>
              </w:rPr>
              <w:t>合计</w:t>
            </w:r>
          </w:p>
        </w:tc>
        <w:tc>
          <w:tcPr>
            <w:tcW w:w="746" w:type="pct"/>
            <w:vAlign w:val="bottom"/>
          </w:tcPr>
          <w:p w:rsidR="004A3868" w:rsidRDefault="003F1AB5">
            <w:pPr>
              <w:pStyle w:val="afff7"/>
            </w:pPr>
            <w:r>
              <w:rPr>
                <w:rFonts w:hint="eastAsia"/>
              </w:rPr>
              <w:t>264,611.06</w:t>
            </w:r>
          </w:p>
        </w:tc>
        <w:tc>
          <w:tcPr>
            <w:tcW w:w="792" w:type="pct"/>
            <w:vAlign w:val="bottom"/>
          </w:tcPr>
          <w:p w:rsidR="004A3868" w:rsidRDefault="003F1AB5">
            <w:pPr>
              <w:pStyle w:val="afff7"/>
            </w:pPr>
            <w:r>
              <w:t xml:space="preserve"> 218,529.70 </w:t>
            </w:r>
          </w:p>
        </w:tc>
        <w:tc>
          <w:tcPr>
            <w:tcW w:w="705" w:type="pct"/>
            <w:vAlign w:val="bottom"/>
          </w:tcPr>
          <w:p w:rsidR="004A3868" w:rsidRDefault="003F1AB5">
            <w:pPr>
              <w:pStyle w:val="afff7"/>
            </w:pPr>
            <w:r>
              <w:t xml:space="preserve"> 17.41 </w:t>
            </w:r>
          </w:p>
        </w:tc>
        <w:tc>
          <w:tcPr>
            <w:tcW w:w="705" w:type="pct"/>
            <w:vAlign w:val="bottom"/>
          </w:tcPr>
          <w:p w:rsidR="004A3868" w:rsidRDefault="003F1AB5">
            <w:pPr>
              <w:pStyle w:val="afff7"/>
            </w:pPr>
            <w:r>
              <w:rPr>
                <w:rFonts w:hint="eastAsia"/>
              </w:rPr>
              <w:t>7.33</w:t>
            </w:r>
          </w:p>
        </w:tc>
        <w:tc>
          <w:tcPr>
            <w:tcW w:w="705" w:type="pct"/>
            <w:vAlign w:val="bottom"/>
          </w:tcPr>
          <w:p w:rsidR="004A3868" w:rsidRDefault="003F1AB5">
            <w:pPr>
              <w:pStyle w:val="afff7"/>
            </w:pPr>
            <w:r>
              <w:t xml:space="preserve"> 11.35 </w:t>
            </w:r>
          </w:p>
        </w:tc>
        <w:tc>
          <w:tcPr>
            <w:tcW w:w="528" w:type="pct"/>
            <w:vAlign w:val="bottom"/>
          </w:tcPr>
          <w:p w:rsidR="004A3868" w:rsidRDefault="003F1AB5">
            <w:pPr>
              <w:pStyle w:val="afff7"/>
            </w:pPr>
            <w:r>
              <w:t xml:space="preserve"> -2.99 </w:t>
            </w:r>
          </w:p>
        </w:tc>
      </w:tr>
      <w:tr w:rsidR="004A3868">
        <w:trPr>
          <w:trHeight w:val="397"/>
          <w:jc w:val="center"/>
        </w:trPr>
        <w:tc>
          <w:tcPr>
            <w:tcW w:w="5000" w:type="pct"/>
            <w:gridSpan w:val="7"/>
            <w:vAlign w:val="bottom"/>
          </w:tcPr>
          <w:p w:rsidR="004A3868" w:rsidRDefault="00B34370">
            <w:pPr>
              <w:pStyle w:val="Style842"/>
              <w:rPr>
                <w:sz w:val="21"/>
                <w:szCs w:val="21"/>
              </w:rPr>
            </w:pPr>
            <w:sdt>
              <w:sdtPr>
                <w:rPr>
                  <w:rFonts w:hint="eastAsia"/>
                  <w:sz w:val="21"/>
                  <w:szCs w:val="21"/>
                </w:rPr>
                <w:tag w:val="_PLD_4be57b876a364ef5aee49673f139ef4a"/>
                <w:id w:val="-667086555"/>
              </w:sdtPr>
              <w:sdtEndPr/>
              <w:sdtContent>
                <w:r w:rsidR="003F1AB5">
                  <w:rPr>
                    <w:rFonts w:hint="eastAsia"/>
                    <w:sz w:val="21"/>
                    <w:szCs w:val="21"/>
                  </w:rPr>
                  <w:t>主营业务分销售模式情况</w:t>
                </w:r>
              </w:sdtContent>
            </w:sdt>
          </w:p>
        </w:tc>
      </w:tr>
      <w:tr w:rsidR="004A3868">
        <w:trPr>
          <w:trHeight w:val="397"/>
          <w:jc w:val="center"/>
        </w:trPr>
        <w:sdt>
          <w:sdtPr>
            <w:rPr>
              <w:rFonts w:ascii="Times New Roman" w:hAnsi="Times New Roman" w:hint="eastAsia"/>
            </w:rPr>
            <w:tag w:val="_PLD_fe8c7b7bf3a444db814cf5c56b1b72e0"/>
            <w:id w:val="352310314"/>
          </w:sdtPr>
          <w:sdtEndPr/>
          <w:sdtContent>
            <w:tc>
              <w:tcPr>
                <w:tcW w:w="819" w:type="pct"/>
                <w:vAlign w:val="bottom"/>
              </w:tcPr>
              <w:p w:rsidR="004A3868" w:rsidRDefault="003F1AB5">
                <w:pPr>
                  <w:pStyle w:val="afffb"/>
                </w:pPr>
                <w:r>
                  <w:rPr>
                    <w:rFonts w:hint="eastAsia"/>
                  </w:rPr>
                  <w:t>销售模式</w:t>
                </w:r>
              </w:p>
            </w:tc>
          </w:sdtContent>
        </w:sdt>
        <w:sdt>
          <w:sdtPr>
            <w:rPr>
              <w:rFonts w:ascii="Times New Roman" w:hAnsi="Times New Roman" w:hint="eastAsia"/>
            </w:rPr>
            <w:tag w:val="_PLD_a8a3a2b010534c9d820c7f9b6fd92caf"/>
            <w:id w:val="-1134787807"/>
          </w:sdtPr>
          <w:sdtEndPr/>
          <w:sdtContent>
            <w:tc>
              <w:tcPr>
                <w:tcW w:w="746" w:type="pct"/>
                <w:vAlign w:val="bottom"/>
              </w:tcPr>
              <w:p w:rsidR="004A3868" w:rsidRDefault="003F1AB5">
                <w:pPr>
                  <w:pStyle w:val="afffb"/>
                </w:pPr>
                <w:r>
                  <w:rPr>
                    <w:rFonts w:hint="eastAsia"/>
                  </w:rPr>
                  <w:t>营业收入</w:t>
                </w:r>
              </w:p>
            </w:tc>
          </w:sdtContent>
        </w:sdt>
        <w:sdt>
          <w:sdtPr>
            <w:rPr>
              <w:rFonts w:ascii="Times New Roman" w:hAnsi="Times New Roman" w:hint="eastAsia"/>
            </w:rPr>
            <w:tag w:val="_PLD_cc237396dacd4c16b49a8294763c220b"/>
            <w:id w:val="-632173308"/>
          </w:sdtPr>
          <w:sdtEndPr/>
          <w:sdtContent>
            <w:tc>
              <w:tcPr>
                <w:tcW w:w="792" w:type="pct"/>
                <w:vAlign w:val="bottom"/>
              </w:tcPr>
              <w:p w:rsidR="004A3868" w:rsidRDefault="003F1AB5">
                <w:pPr>
                  <w:pStyle w:val="afffb"/>
                </w:pPr>
                <w:r>
                  <w:rPr>
                    <w:rFonts w:hint="eastAsia"/>
                  </w:rPr>
                  <w:t>营业成本</w:t>
                </w:r>
              </w:p>
            </w:tc>
          </w:sdtContent>
        </w:sdt>
        <w:sdt>
          <w:sdtPr>
            <w:rPr>
              <w:rFonts w:ascii="Times New Roman" w:hAnsi="Times New Roman" w:hint="eastAsia"/>
            </w:rPr>
            <w:tag w:val="_PLD_941b22ab04a244cdbd8aa22ae424dacb"/>
            <w:id w:val="-2053220436"/>
          </w:sdtPr>
          <w:sdtEndPr/>
          <w:sdtContent>
            <w:tc>
              <w:tcPr>
                <w:tcW w:w="705" w:type="pct"/>
                <w:vAlign w:val="bottom"/>
              </w:tcPr>
              <w:p w:rsidR="004A3868" w:rsidRDefault="003F1AB5">
                <w:pPr>
                  <w:pStyle w:val="afffb"/>
                </w:pPr>
                <w:r>
                  <w:rPr>
                    <w:rFonts w:hint="eastAsia"/>
                  </w:rPr>
                  <w:t>毛利率（%）</w:t>
                </w:r>
              </w:p>
            </w:tc>
          </w:sdtContent>
        </w:sdt>
        <w:sdt>
          <w:sdtPr>
            <w:rPr>
              <w:rFonts w:ascii="Times New Roman" w:hAnsi="Times New Roman" w:hint="eastAsia"/>
            </w:rPr>
            <w:tag w:val="_PLD_e219c48b013d406696797c069f5c1054"/>
            <w:id w:val="-1182583192"/>
          </w:sdtPr>
          <w:sdtEndPr/>
          <w:sdtContent>
            <w:tc>
              <w:tcPr>
                <w:tcW w:w="705" w:type="pct"/>
                <w:vAlign w:val="bottom"/>
              </w:tcPr>
              <w:p w:rsidR="004A3868" w:rsidRDefault="003F1AB5">
                <w:pPr>
                  <w:pStyle w:val="afffb"/>
                </w:pPr>
                <w:r>
                  <w:rPr>
                    <w:rFonts w:hint="eastAsia"/>
                  </w:rPr>
                  <w:t>营业收入比上年增减（%）</w:t>
                </w:r>
              </w:p>
            </w:tc>
          </w:sdtContent>
        </w:sdt>
        <w:sdt>
          <w:sdtPr>
            <w:rPr>
              <w:rFonts w:ascii="Times New Roman" w:hAnsi="Times New Roman" w:hint="eastAsia"/>
            </w:rPr>
            <w:tag w:val="_PLD_ea6dd0b86c3c4f81ac1d0aab660982a0"/>
            <w:id w:val="-2145568835"/>
          </w:sdtPr>
          <w:sdtEndPr/>
          <w:sdtContent>
            <w:tc>
              <w:tcPr>
                <w:tcW w:w="705" w:type="pct"/>
                <w:vAlign w:val="bottom"/>
              </w:tcPr>
              <w:p w:rsidR="004A3868" w:rsidRDefault="003F1AB5">
                <w:pPr>
                  <w:pStyle w:val="afffb"/>
                </w:pPr>
                <w:r>
                  <w:rPr>
                    <w:rFonts w:hint="eastAsia"/>
                  </w:rPr>
                  <w:t>营业成本比上年增减（%）</w:t>
                </w:r>
              </w:p>
            </w:tc>
          </w:sdtContent>
        </w:sdt>
        <w:sdt>
          <w:sdtPr>
            <w:rPr>
              <w:rFonts w:ascii="Times New Roman" w:hAnsi="Times New Roman" w:hint="eastAsia"/>
            </w:rPr>
            <w:tag w:val="_PLD_b228d83849d948259a50feeb3c8039e4"/>
            <w:id w:val="-1609965440"/>
          </w:sdtPr>
          <w:sdtEndPr/>
          <w:sdtContent>
            <w:tc>
              <w:tcPr>
                <w:tcW w:w="528" w:type="pct"/>
                <w:vAlign w:val="bottom"/>
              </w:tcPr>
              <w:p w:rsidR="004A3868" w:rsidRDefault="003F1AB5">
                <w:pPr>
                  <w:pStyle w:val="afffb"/>
                </w:pPr>
                <w:r>
                  <w:rPr>
                    <w:rFonts w:hint="eastAsia"/>
                  </w:rPr>
                  <w:t>毛利率比上年增减（%）</w:t>
                </w:r>
              </w:p>
            </w:tc>
          </w:sdtContent>
        </w:sdt>
      </w:tr>
      <w:tr w:rsidR="004A3868">
        <w:trPr>
          <w:trHeight w:val="397"/>
          <w:jc w:val="center"/>
        </w:trPr>
        <w:tc>
          <w:tcPr>
            <w:tcW w:w="819" w:type="pct"/>
            <w:vAlign w:val="bottom"/>
          </w:tcPr>
          <w:p w:rsidR="004A3868" w:rsidRDefault="003F1AB5">
            <w:pPr>
              <w:pStyle w:val="Style834"/>
              <w:rPr>
                <w:kern w:val="0"/>
              </w:rPr>
            </w:pPr>
            <w:r>
              <w:rPr>
                <w:rFonts w:hint="eastAsia"/>
              </w:rPr>
              <w:t>直销</w:t>
            </w:r>
          </w:p>
        </w:tc>
        <w:tc>
          <w:tcPr>
            <w:tcW w:w="746" w:type="pct"/>
            <w:vAlign w:val="bottom"/>
          </w:tcPr>
          <w:p w:rsidR="004A3868" w:rsidRDefault="003F1AB5">
            <w:pPr>
              <w:pStyle w:val="afff7"/>
            </w:pPr>
            <w:r>
              <w:t xml:space="preserve">204,604.02 </w:t>
            </w:r>
          </w:p>
        </w:tc>
        <w:tc>
          <w:tcPr>
            <w:tcW w:w="792" w:type="pct"/>
            <w:vAlign w:val="bottom"/>
          </w:tcPr>
          <w:p w:rsidR="004A3868" w:rsidRDefault="003F1AB5">
            <w:pPr>
              <w:pStyle w:val="afff7"/>
            </w:pPr>
            <w:r>
              <w:t xml:space="preserve"> 171,772.87 </w:t>
            </w:r>
          </w:p>
        </w:tc>
        <w:tc>
          <w:tcPr>
            <w:tcW w:w="705" w:type="pct"/>
            <w:vAlign w:val="bottom"/>
          </w:tcPr>
          <w:p w:rsidR="004A3868" w:rsidRDefault="003F1AB5">
            <w:pPr>
              <w:pStyle w:val="afff7"/>
            </w:pPr>
            <w:r>
              <w:t xml:space="preserve"> 16.05 </w:t>
            </w:r>
          </w:p>
        </w:tc>
        <w:tc>
          <w:tcPr>
            <w:tcW w:w="705" w:type="pct"/>
            <w:vAlign w:val="bottom"/>
          </w:tcPr>
          <w:p w:rsidR="004A3868" w:rsidRDefault="003F1AB5">
            <w:pPr>
              <w:pStyle w:val="afff7"/>
            </w:pPr>
            <w:r>
              <w:t>24.42</w:t>
            </w:r>
          </w:p>
        </w:tc>
        <w:tc>
          <w:tcPr>
            <w:tcW w:w="705" w:type="pct"/>
            <w:vAlign w:val="bottom"/>
          </w:tcPr>
          <w:p w:rsidR="004A3868" w:rsidRDefault="003F1AB5">
            <w:pPr>
              <w:pStyle w:val="afff7"/>
            </w:pPr>
            <w:r>
              <w:t xml:space="preserve"> 26.57 </w:t>
            </w:r>
          </w:p>
        </w:tc>
        <w:tc>
          <w:tcPr>
            <w:tcW w:w="528" w:type="pct"/>
            <w:vAlign w:val="bottom"/>
          </w:tcPr>
          <w:p w:rsidR="004A3868" w:rsidRDefault="003F1AB5">
            <w:pPr>
              <w:pStyle w:val="afff7"/>
            </w:pPr>
            <w:r>
              <w:rPr>
                <w:rFonts w:hint="eastAsia"/>
              </w:rPr>
              <w:t>减少</w:t>
            </w:r>
            <w:r>
              <w:t>1.42个百分点</w:t>
            </w:r>
          </w:p>
        </w:tc>
      </w:tr>
      <w:tr w:rsidR="004A3868">
        <w:trPr>
          <w:trHeight w:val="397"/>
          <w:jc w:val="center"/>
        </w:trPr>
        <w:tc>
          <w:tcPr>
            <w:tcW w:w="819" w:type="pct"/>
            <w:vAlign w:val="bottom"/>
          </w:tcPr>
          <w:p w:rsidR="004A3868" w:rsidRDefault="003F1AB5">
            <w:pPr>
              <w:pStyle w:val="Style834"/>
              <w:rPr>
                <w:kern w:val="0"/>
              </w:rPr>
            </w:pPr>
            <w:r>
              <w:rPr>
                <w:rFonts w:hint="eastAsia"/>
              </w:rPr>
              <w:t>贸易商</w:t>
            </w:r>
          </w:p>
        </w:tc>
        <w:tc>
          <w:tcPr>
            <w:tcW w:w="746" w:type="pct"/>
            <w:vAlign w:val="bottom"/>
          </w:tcPr>
          <w:p w:rsidR="004A3868" w:rsidRDefault="003F1AB5">
            <w:pPr>
              <w:pStyle w:val="afff7"/>
            </w:pPr>
            <w:r>
              <w:t xml:space="preserve">60,007.04 </w:t>
            </w:r>
          </w:p>
        </w:tc>
        <w:tc>
          <w:tcPr>
            <w:tcW w:w="792" w:type="pct"/>
            <w:vAlign w:val="bottom"/>
          </w:tcPr>
          <w:p w:rsidR="004A3868" w:rsidRDefault="003F1AB5">
            <w:pPr>
              <w:pStyle w:val="afff7"/>
            </w:pPr>
            <w:r>
              <w:t xml:space="preserve"> 46,756.83 </w:t>
            </w:r>
          </w:p>
        </w:tc>
        <w:tc>
          <w:tcPr>
            <w:tcW w:w="705" w:type="pct"/>
            <w:vAlign w:val="bottom"/>
          </w:tcPr>
          <w:p w:rsidR="004A3868" w:rsidRDefault="003F1AB5">
            <w:pPr>
              <w:pStyle w:val="afff7"/>
            </w:pPr>
            <w:r>
              <w:t xml:space="preserve"> 22.08 </w:t>
            </w:r>
          </w:p>
        </w:tc>
        <w:tc>
          <w:tcPr>
            <w:tcW w:w="705" w:type="pct"/>
            <w:vAlign w:val="bottom"/>
          </w:tcPr>
          <w:p w:rsidR="004A3868" w:rsidRDefault="003F1AB5">
            <w:pPr>
              <w:pStyle w:val="afff7"/>
            </w:pPr>
            <w:r>
              <w:t>-26.91</w:t>
            </w:r>
          </w:p>
        </w:tc>
        <w:tc>
          <w:tcPr>
            <w:tcW w:w="705" w:type="pct"/>
            <w:vAlign w:val="bottom"/>
          </w:tcPr>
          <w:p w:rsidR="004A3868" w:rsidRDefault="003F1AB5">
            <w:pPr>
              <w:pStyle w:val="afff7"/>
            </w:pPr>
            <w:r>
              <w:t xml:space="preserve"> -22.76 </w:t>
            </w:r>
          </w:p>
        </w:tc>
        <w:tc>
          <w:tcPr>
            <w:tcW w:w="528" w:type="pct"/>
            <w:vAlign w:val="bottom"/>
          </w:tcPr>
          <w:p w:rsidR="004A3868" w:rsidRDefault="003F1AB5">
            <w:pPr>
              <w:pStyle w:val="afff7"/>
            </w:pPr>
            <w:r>
              <w:t xml:space="preserve"> -4.18 </w:t>
            </w:r>
          </w:p>
        </w:tc>
      </w:tr>
      <w:tr w:rsidR="004A3868">
        <w:trPr>
          <w:trHeight w:val="397"/>
          <w:jc w:val="center"/>
        </w:trPr>
        <w:tc>
          <w:tcPr>
            <w:tcW w:w="819" w:type="pct"/>
            <w:vAlign w:val="bottom"/>
          </w:tcPr>
          <w:p w:rsidR="004A3868" w:rsidRDefault="003F1AB5">
            <w:pPr>
              <w:pStyle w:val="Style834"/>
              <w:rPr>
                <w:kern w:val="0"/>
              </w:rPr>
            </w:pPr>
            <w:r>
              <w:rPr>
                <w:rFonts w:hint="eastAsia"/>
              </w:rPr>
              <w:t>合计</w:t>
            </w:r>
          </w:p>
        </w:tc>
        <w:tc>
          <w:tcPr>
            <w:tcW w:w="746" w:type="pct"/>
            <w:vAlign w:val="bottom"/>
          </w:tcPr>
          <w:p w:rsidR="004A3868" w:rsidRDefault="003F1AB5">
            <w:pPr>
              <w:pStyle w:val="afff7"/>
            </w:pPr>
            <w:r>
              <w:rPr>
                <w:rFonts w:hint="eastAsia"/>
              </w:rPr>
              <w:t>264,611.06</w:t>
            </w:r>
          </w:p>
        </w:tc>
        <w:tc>
          <w:tcPr>
            <w:tcW w:w="792" w:type="pct"/>
            <w:vAlign w:val="bottom"/>
          </w:tcPr>
          <w:p w:rsidR="004A3868" w:rsidRDefault="003F1AB5">
            <w:pPr>
              <w:pStyle w:val="afff7"/>
            </w:pPr>
            <w:r>
              <w:t xml:space="preserve"> 218,529.70 </w:t>
            </w:r>
          </w:p>
        </w:tc>
        <w:tc>
          <w:tcPr>
            <w:tcW w:w="705" w:type="pct"/>
            <w:vAlign w:val="bottom"/>
          </w:tcPr>
          <w:p w:rsidR="004A3868" w:rsidRDefault="003F1AB5">
            <w:pPr>
              <w:pStyle w:val="afff7"/>
            </w:pPr>
            <w:r>
              <w:t xml:space="preserve"> 17.41 </w:t>
            </w:r>
          </w:p>
        </w:tc>
        <w:tc>
          <w:tcPr>
            <w:tcW w:w="705" w:type="pct"/>
            <w:vAlign w:val="bottom"/>
          </w:tcPr>
          <w:p w:rsidR="004A3868" w:rsidRDefault="003F1AB5">
            <w:pPr>
              <w:pStyle w:val="afff7"/>
            </w:pPr>
            <w:r>
              <w:rPr>
                <w:rFonts w:hint="eastAsia"/>
              </w:rPr>
              <w:t>7.33</w:t>
            </w:r>
          </w:p>
        </w:tc>
        <w:tc>
          <w:tcPr>
            <w:tcW w:w="705" w:type="pct"/>
            <w:vAlign w:val="bottom"/>
          </w:tcPr>
          <w:p w:rsidR="004A3868" w:rsidRDefault="003F1AB5">
            <w:pPr>
              <w:pStyle w:val="afff7"/>
            </w:pPr>
            <w:r>
              <w:t xml:space="preserve"> 11.35 </w:t>
            </w:r>
          </w:p>
        </w:tc>
        <w:tc>
          <w:tcPr>
            <w:tcW w:w="528" w:type="pct"/>
            <w:vAlign w:val="bottom"/>
          </w:tcPr>
          <w:p w:rsidR="004A3868" w:rsidRDefault="003F1AB5">
            <w:pPr>
              <w:pStyle w:val="afff7"/>
            </w:pPr>
            <w:r>
              <w:rPr>
                <w:rFonts w:hint="eastAsia"/>
              </w:rPr>
              <w:t>减少</w:t>
            </w:r>
            <w:r>
              <w:t>2.99个百分点</w:t>
            </w:r>
          </w:p>
        </w:tc>
      </w:tr>
    </w:tbl>
    <w:p w:rsidR="004A3868" w:rsidRDefault="003F1AB5">
      <w:pPr>
        <w:pStyle w:val="Style842"/>
        <w:rPr>
          <w:sz w:val="21"/>
          <w:szCs w:val="21"/>
        </w:rPr>
      </w:pPr>
      <w:r>
        <w:rPr>
          <w:sz w:val="21"/>
          <w:szCs w:val="21"/>
        </w:rPr>
        <w:t>主营业务分行业</w:t>
      </w:r>
      <w:r>
        <w:rPr>
          <w:rFonts w:hint="eastAsia"/>
          <w:sz w:val="21"/>
          <w:szCs w:val="21"/>
        </w:rPr>
        <w:t>、</w:t>
      </w:r>
      <w:r>
        <w:rPr>
          <w:sz w:val="21"/>
          <w:szCs w:val="21"/>
        </w:rPr>
        <w:t>分产品、分地区</w:t>
      </w:r>
      <w:r>
        <w:rPr>
          <w:rFonts w:hint="eastAsia"/>
          <w:sz w:val="21"/>
          <w:szCs w:val="21"/>
        </w:rPr>
        <w:t>、分销售模式</w:t>
      </w:r>
      <w:r>
        <w:rPr>
          <w:sz w:val="21"/>
          <w:szCs w:val="21"/>
        </w:rPr>
        <w:t>情况的说明</w:t>
      </w:r>
    </w:p>
    <w:sdt>
      <w:sdtPr>
        <w:rPr>
          <w:rFonts w:hint="eastAsia"/>
        </w:rPr>
        <w:alias w:val="主营业务分行业和分产品情况的说明"/>
        <w:tag w:val="_GBC_81b87428f4384bf2959419c3aea2dad2"/>
        <w:id w:val="136922769"/>
        <w:placeholder>
          <w:docPart w:val="GBC22222222222222222222222222222"/>
        </w:placeholder>
      </w:sdtPr>
      <w:sdtEndPr/>
      <w:sdtContent>
        <w:p w:rsidR="004A3868" w:rsidRDefault="003F1AB5">
          <w:pPr>
            <w:pStyle w:val="afff3"/>
            <w:ind w:firstLine="420"/>
          </w:pPr>
          <w:r>
            <w:t>2023年，公司在国内取向硅钢大量产能投放市场、销售价格持续下跌的激烈市场竞争环境下，仍然实现了两大业务产销量双双增长，尤其抓住了输配电行业持续景气的有利时机，全年实现营业总收入27.18亿元，同比增长7.57%。主营业务变动情况如下：</w:t>
          </w:r>
        </w:p>
        <w:p w:rsidR="004A3868" w:rsidRDefault="003F1AB5">
          <w:pPr>
            <w:pStyle w:val="afff3"/>
            <w:ind w:firstLine="420"/>
          </w:pPr>
          <w:r>
            <w:rPr>
              <w:rFonts w:hint="eastAsia"/>
            </w:rPr>
            <w:t>输配电及其控制设备业务实现营业收入</w:t>
          </w:r>
          <w:r>
            <w:t>13.53亿元，同比增长38.52%；</w:t>
          </w:r>
        </w:p>
        <w:p w:rsidR="004A3868" w:rsidRDefault="003F1AB5">
          <w:pPr>
            <w:pStyle w:val="afff3"/>
            <w:ind w:firstLine="420"/>
          </w:pPr>
          <w:r>
            <w:rPr>
              <w:rFonts w:hint="eastAsia"/>
            </w:rPr>
            <w:t>取向硅钢业务现在产量增加</w:t>
          </w:r>
          <w:r>
            <w:t>1.47万吨、销量增加0.87万吨的情况下，由于销售价格下降导致取向硅钢业务营业总收入同比下降13.14%。</w:t>
          </w:r>
        </w:p>
        <w:p w:rsidR="004A3868" w:rsidRDefault="003F1AB5">
          <w:pPr>
            <w:pStyle w:val="afff3"/>
            <w:ind w:firstLine="420"/>
          </w:pPr>
          <w:r>
            <w:rPr>
              <w:rFonts w:hint="eastAsia"/>
            </w:rPr>
            <w:t>公司两大主营业务在面对激烈市场竞争的情况下所表现的增长态势，凸显了两大产业相互补充和依存的战略定位精准及产业链协同优势——公司主营业务不仅呈现出较强的行业竞争力，同</w:t>
          </w:r>
          <w:r>
            <w:rPr>
              <w:rFonts w:hint="eastAsia"/>
            </w:rPr>
            <w:lastRenderedPageBreak/>
            <w:t>时还具有较强的稳定性及抗风险能力。</w:t>
          </w:r>
        </w:p>
      </w:sdtContent>
    </w:sdt>
    <w:bookmarkEnd w:id="26"/>
    <w:p w:rsidR="004A3868" w:rsidRDefault="003F1AB5">
      <w:pPr>
        <w:pStyle w:val="Style830"/>
        <w:rPr>
          <w:sz w:val="21"/>
          <w:szCs w:val="21"/>
        </w:rPr>
      </w:pPr>
      <w:r>
        <w:rPr>
          <w:rFonts w:hint="eastAsia"/>
          <w:sz w:val="21"/>
          <w:szCs w:val="21"/>
        </w:rPr>
        <w:t>产销量情况</w:t>
      </w:r>
      <w:r>
        <w:rPr>
          <w:sz w:val="21"/>
          <w:szCs w:val="21"/>
        </w:rPr>
        <w:t>分析表</w:t>
      </w:r>
    </w:p>
    <w:sdt>
      <w:sdtPr>
        <w:rPr>
          <w:sz w:val="21"/>
          <w:szCs w:val="21"/>
        </w:rPr>
        <w:alias w:val="是否适用：产销量情况分析表[双击切换]"/>
        <w:tag w:val="_GBC_6ff51c492b3040799712ea51f78bdcc0"/>
        <w:id w:val="-2076347424"/>
        <w:placeholder>
          <w:docPart w:val="GBC22222222222222222222222222222"/>
        </w:placeholder>
      </w:sdtPr>
      <w:sdtEndPr/>
      <w:sdtContent>
        <w:p w:rsidR="004A3868" w:rsidRDefault="003F1AB5">
          <w:pPr>
            <w:pStyle w:val="Style580"/>
            <w:rPr>
              <w:sz w:val="21"/>
              <w:szCs w:val="21"/>
            </w:rPr>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tbl>
      <w:tblPr>
        <w:tblStyle w:val="g25"/>
        <w:tblW w:w="4959" w:type="pct"/>
        <w:jc w:val="center"/>
        <w:tblInd w:w="0" w:type="dxa"/>
        <w:tblLayout w:type="fixed"/>
        <w:tblCellMar>
          <w:right w:w="28" w:type="dxa"/>
        </w:tblCellMar>
        <w:tblLook w:val="04A0" w:firstRow="1" w:lastRow="0" w:firstColumn="1" w:lastColumn="0" w:noHBand="0" w:noVBand="1"/>
      </w:tblPr>
      <w:tblGrid>
        <w:gridCol w:w="1228"/>
        <w:gridCol w:w="751"/>
        <w:gridCol w:w="1472"/>
        <w:gridCol w:w="1358"/>
        <w:gridCol w:w="1082"/>
        <w:gridCol w:w="954"/>
        <w:gridCol w:w="952"/>
        <w:gridCol w:w="954"/>
      </w:tblGrid>
      <w:tr w:rsidR="004A3868">
        <w:trPr>
          <w:trHeight w:val="397"/>
          <w:jc w:val="center"/>
        </w:trPr>
        <w:sdt>
          <w:sdtPr>
            <w:rPr>
              <w:rFonts w:ascii="Times New Roman" w:hAnsi="Times New Roman" w:hint="eastAsia"/>
            </w:rPr>
            <w:tag w:val="_PLD_259e79e9293847dfb1bd7816b6ad48e6"/>
            <w:id w:val="-1590307527"/>
            <w:lock w:val="sdtLocked"/>
          </w:sdtPr>
          <w:sdtEndPr/>
          <w:sdtContent>
            <w:tc>
              <w:tcPr>
                <w:tcW w:w="702" w:type="pct"/>
                <w:vAlign w:val="bottom"/>
              </w:tcPr>
              <w:p w:rsidR="004A3868" w:rsidRDefault="003F1AB5">
                <w:pPr>
                  <w:pStyle w:val="afffb"/>
                </w:pPr>
                <w:r>
                  <w:rPr>
                    <w:rFonts w:hint="eastAsia"/>
                  </w:rPr>
                  <w:t>主要产品</w:t>
                </w:r>
              </w:p>
            </w:tc>
          </w:sdtContent>
        </w:sdt>
        <w:tc>
          <w:tcPr>
            <w:tcW w:w="429" w:type="pct"/>
            <w:vAlign w:val="bottom"/>
          </w:tcPr>
          <w:sdt>
            <w:sdtPr>
              <w:rPr>
                <w:rFonts w:ascii="Times New Roman" w:hAnsi="Times New Roman" w:hint="eastAsia"/>
              </w:rPr>
              <w:tag w:val="_PLD_6d13c84fd3694535a3f1b6bcdd58d107"/>
              <w:id w:val="1615872425"/>
              <w:lock w:val="sdtLocked"/>
            </w:sdtPr>
            <w:sdtEndPr/>
            <w:sdtContent>
              <w:p w:rsidR="004A3868" w:rsidRDefault="003F1AB5">
                <w:pPr>
                  <w:pStyle w:val="afffb"/>
                </w:pPr>
                <w:r>
                  <w:rPr>
                    <w:rFonts w:hint="eastAsia"/>
                  </w:rPr>
                  <w:t>单位</w:t>
                </w:r>
              </w:p>
            </w:sdtContent>
          </w:sdt>
        </w:tc>
        <w:sdt>
          <w:sdtPr>
            <w:rPr>
              <w:rFonts w:ascii="Times New Roman" w:hAnsi="Times New Roman" w:hint="eastAsia"/>
            </w:rPr>
            <w:tag w:val="_PLD_3645c9ae184248f6bd2dda9de0540406"/>
            <w:id w:val="1117415440"/>
            <w:lock w:val="sdtLocked"/>
          </w:sdtPr>
          <w:sdtEndPr/>
          <w:sdtContent>
            <w:tc>
              <w:tcPr>
                <w:tcW w:w="841" w:type="pct"/>
                <w:vAlign w:val="bottom"/>
              </w:tcPr>
              <w:p w:rsidR="004A3868" w:rsidRDefault="003F1AB5">
                <w:pPr>
                  <w:pStyle w:val="afffb"/>
                </w:pPr>
                <w:r>
                  <w:rPr>
                    <w:rFonts w:hint="eastAsia"/>
                  </w:rPr>
                  <w:t>生产量</w:t>
                </w:r>
              </w:p>
            </w:tc>
          </w:sdtContent>
        </w:sdt>
        <w:sdt>
          <w:sdtPr>
            <w:rPr>
              <w:rFonts w:ascii="Times New Roman" w:hAnsi="Times New Roman" w:hint="eastAsia"/>
            </w:rPr>
            <w:tag w:val="_PLD_b4bd7da564c3452cb40ff15542829b7a"/>
            <w:id w:val="-2091610324"/>
          </w:sdtPr>
          <w:sdtEndPr/>
          <w:sdtContent>
            <w:tc>
              <w:tcPr>
                <w:tcW w:w="776" w:type="pct"/>
                <w:vAlign w:val="bottom"/>
              </w:tcPr>
              <w:p w:rsidR="004A3868" w:rsidRDefault="003F1AB5">
                <w:pPr>
                  <w:pStyle w:val="afffb"/>
                </w:pPr>
                <w:r>
                  <w:rPr>
                    <w:rFonts w:hint="eastAsia"/>
                  </w:rPr>
                  <w:t>销售量</w:t>
                </w:r>
              </w:p>
            </w:tc>
          </w:sdtContent>
        </w:sdt>
        <w:sdt>
          <w:sdtPr>
            <w:rPr>
              <w:rFonts w:ascii="Times New Roman" w:hAnsi="Times New Roman" w:hint="eastAsia"/>
            </w:rPr>
            <w:tag w:val="_PLD_4f74a09ae16245a3a6e2c536c1266361"/>
            <w:id w:val="-372232507"/>
          </w:sdtPr>
          <w:sdtEndPr/>
          <w:sdtContent>
            <w:tc>
              <w:tcPr>
                <w:tcW w:w="618" w:type="pct"/>
                <w:vAlign w:val="bottom"/>
              </w:tcPr>
              <w:p w:rsidR="004A3868" w:rsidRDefault="003F1AB5">
                <w:pPr>
                  <w:pStyle w:val="afffb"/>
                </w:pPr>
                <w:r>
                  <w:rPr>
                    <w:rFonts w:hint="eastAsia"/>
                  </w:rPr>
                  <w:t>库存量</w:t>
                </w:r>
              </w:p>
            </w:tc>
          </w:sdtContent>
        </w:sdt>
        <w:sdt>
          <w:sdtPr>
            <w:rPr>
              <w:rFonts w:ascii="Times New Roman" w:hAnsi="Times New Roman" w:hint="eastAsia"/>
            </w:rPr>
            <w:tag w:val="_PLD_21bd7a4d992742feb4b83db592f976fd"/>
            <w:id w:val="-1780329471"/>
          </w:sdtPr>
          <w:sdtEndPr/>
          <w:sdtContent>
            <w:tc>
              <w:tcPr>
                <w:tcW w:w="545" w:type="pct"/>
                <w:vAlign w:val="bottom"/>
              </w:tcPr>
              <w:p w:rsidR="004A3868" w:rsidRDefault="003F1AB5">
                <w:pPr>
                  <w:pStyle w:val="afffb"/>
                </w:pPr>
                <w:r>
                  <w:rPr>
                    <w:rFonts w:hint="eastAsia"/>
                  </w:rPr>
                  <w:t>生产量比上年增减（%）</w:t>
                </w:r>
              </w:p>
            </w:tc>
          </w:sdtContent>
        </w:sdt>
        <w:sdt>
          <w:sdtPr>
            <w:rPr>
              <w:rFonts w:ascii="Times New Roman" w:hAnsi="Times New Roman" w:hint="eastAsia"/>
            </w:rPr>
            <w:tag w:val="_PLD_37e055a5474a4aac989b4e3a88756935"/>
            <w:id w:val="202845272"/>
          </w:sdtPr>
          <w:sdtEndPr/>
          <w:sdtContent>
            <w:tc>
              <w:tcPr>
                <w:tcW w:w="544" w:type="pct"/>
                <w:vAlign w:val="bottom"/>
              </w:tcPr>
              <w:p w:rsidR="004A3868" w:rsidRDefault="003F1AB5">
                <w:pPr>
                  <w:pStyle w:val="afffb"/>
                </w:pPr>
                <w:r>
                  <w:rPr>
                    <w:rFonts w:hint="eastAsia"/>
                  </w:rPr>
                  <w:t>销售量比上年增减（%）</w:t>
                </w:r>
              </w:p>
            </w:tc>
          </w:sdtContent>
        </w:sdt>
        <w:sdt>
          <w:sdtPr>
            <w:rPr>
              <w:rFonts w:ascii="Times New Roman" w:hAnsi="Times New Roman" w:hint="eastAsia"/>
            </w:rPr>
            <w:tag w:val="_PLD_d03cdf85475e4722ae39e10ea525eee5"/>
            <w:id w:val="-1996102518"/>
          </w:sdtPr>
          <w:sdtEndPr/>
          <w:sdtContent>
            <w:tc>
              <w:tcPr>
                <w:tcW w:w="545" w:type="pct"/>
                <w:vAlign w:val="bottom"/>
              </w:tcPr>
              <w:p w:rsidR="004A3868" w:rsidRDefault="003F1AB5">
                <w:pPr>
                  <w:pStyle w:val="afffb"/>
                </w:pPr>
                <w:r>
                  <w:rPr>
                    <w:rFonts w:hint="eastAsia"/>
                  </w:rPr>
                  <w:t>库存量比上年增减（%）</w:t>
                </w:r>
              </w:p>
            </w:tc>
          </w:sdtContent>
        </w:sdt>
      </w:tr>
      <w:tr w:rsidR="004A3868">
        <w:trPr>
          <w:trHeight w:val="397"/>
          <w:jc w:val="center"/>
        </w:trPr>
        <w:tc>
          <w:tcPr>
            <w:tcW w:w="702" w:type="pct"/>
            <w:vAlign w:val="bottom"/>
          </w:tcPr>
          <w:p w:rsidR="004A3868" w:rsidRDefault="003F1AB5">
            <w:pPr>
              <w:pStyle w:val="afff9"/>
            </w:pPr>
            <w:r>
              <w:rPr>
                <w:rFonts w:hint="eastAsia"/>
              </w:rPr>
              <w:t>取向硅钢</w:t>
            </w:r>
          </w:p>
        </w:tc>
        <w:tc>
          <w:tcPr>
            <w:tcW w:w="429" w:type="pct"/>
            <w:vAlign w:val="bottom"/>
          </w:tcPr>
          <w:p w:rsidR="004A3868" w:rsidRDefault="003F1AB5">
            <w:pPr>
              <w:pStyle w:val="afff9"/>
            </w:pPr>
            <w:r>
              <w:rPr>
                <w:rFonts w:hint="eastAsia"/>
              </w:rPr>
              <w:t>吨</w:t>
            </w:r>
          </w:p>
        </w:tc>
        <w:tc>
          <w:tcPr>
            <w:tcW w:w="841" w:type="pct"/>
            <w:vAlign w:val="bottom"/>
          </w:tcPr>
          <w:p w:rsidR="004A3868" w:rsidRDefault="003F1AB5">
            <w:pPr>
              <w:pStyle w:val="afff7"/>
            </w:pPr>
            <w:r>
              <w:rPr>
                <w:rFonts w:hint="eastAsia"/>
              </w:rPr>
              <w:t>133,053.52</w:t>
            </w:r>
          </w:p>
        </w:tc>
        <w:tc>
          <w:tcPr>
            <w:tcW w:w="776" w:type="pct"/>
            <w:vAlign w:val="bottom"/>
          </w:tcPr>
          <w:p w:rsidR="004A3868" w:rsidRDefault="003F1AB5">
            <w:pPr>
              <w:pStyle w:val="afff7"/>
            </w:pPr>
            <w:r>
              <w:rPr>
                <w:rFonts w:hint="eastAsia"/>
              </w:rPr>
              <w:t>123,775.73</w:t>
            </w:r>
          </w:p>
        </w:tc>
        <w:tc>
          <w:tcPr>
            <w:tcW w:w="618" w:type="pct"/>
            <w:vAlign w:val="bottom"/>
          </w:tcPr>
          <w:p w:rsidR="004A3868" w:rsidRDefault="003F1AB5">
            <w:pPr>
              <w:pStyle w:val="afff7"/>
            </w:pPr>
            <w:r>
              <w:rPr>
                <w:rFonts w:hint="eastAsia"/>
              </w:rPr>
              <w:t>4,775.76</w:t>
            </w:r>
          </w:p>
        </w:tc>
        <w:tc>
          <w:tcPr>
            <w:tcW w:w="545" w:type="pct"/>
            <w:vAlign w:val="bottom"/>
          </w:tcPr>
          <w:p w:rsidR="004A3868" w:rsidRDefault="003F1AB5">
            <w:pPr>
              <w:pStyle w:val="afff7"/>
            </w:pPr>
            <w:r>
              <w:rPr>
                <w:rFonts w:hint="eastAsia"/>
              </w:rPr>
              <w:t>19.66</w:t>
            </w:r>
          </w:p>
        </w:tc>
        <w:tc>
          <w:tcPr>
            <w:tcW w:w="544" w:type="pct"/>
            <w:vAlign w:val="bottom"/>
          </w:tcPr>
          <w:p w:rsidR="004A3868" w:rsidRDefault="003F1AB5">
            <w:pPr>
              <w:pStyle w:val="afff7"/>
            </w:pPr>
            <w:r>
              <w:rPr>
                <w:rFonts w:hint="eastAsia"/>
              </w:rPr>
              <w:t>7.55</w:t>
            </w:r>
          </w:p>
        </w:tc>
        <w:tc>
          <w:tcPr>
            <w:tcW w:w="545" w:type="pct"/>
            <w:vAlign w:val="bottom"/>
          </w:tcPr>
          <w:p w:rsidR="004A3868" w:rsidRDefault="003F1AB5">
            <w:pPr>
              <w:pStyle w:val="afff7"/>
            </w:pPr>
            <w:r>
              <w:rPr>
                <w:rFonts w:hint="eastAsia"/>
              </w:rPr>
              <w:t>231.91</w:t>
            </w:r>
          </w:p>
        </w:tc>
      </w:tr>
      <w:tr w:rsidR="004A3868">
        <w:trPr>
          <w:trHeight w:val="397"/>
          <w:jc w:val="center"/>
        </w:trPr>
        <w:tc>
          <w:tcPr>
            <w:tcW w:w="702" w:type="pct"/>
            <w:vAlign w:val="bottom"/>
          </w:tcPr>
          <w:p w:rsidR="004A3868" w:rsidRDefault="003F1AB5">
            <w:pPr>
              <w:pStyle w:val="afff9"/>
            </w:pPr>
            <w:r>
              <w:rPr>
                <w:rFonts w:hint="eastAsia"/>
              </w:rPr>
              <w:t>电力变压器</w:t>
            </w:r>
          </w:p>
        </w:tc>
        <w:tc>
          <w:tcPr>
            <w:tcW w:w="429" w:type="pct"/>
            <w:vAlign w:val="bottom"/>
          </w:tcPr>
          <w:p w:rsidR="004A3868" w:rsidRDefault="003F1AB5">
            <w:pPr>
              <w:pStyle w:val="afff9"/>
            </w:pPr>
            <w:r>
              <w:rPr>
                <w:rFonts w:hint="eastAsia"/>
              </w:rPr>
              <w:t>万</w:t>
            </w:r>
            <w:r>
              <w:rPr>
                <w:rFonts w:hint="eastAsia"/>
              </w:rPr>
              <w:t>kVA</w:t>
            </w:r>
          </w:p>
        </w:tc>
        <w:tc>
          <w:tcPr>
            <w:tcW w:w="841" w:type="pct"/>
            <w:vAlign w:val="bottom"/>
          </w:tcPr>
          <w:p w:rsidR="004A3868" w:rsidRDefault="003F1AB5">
            <w:pPr>
              <w:pStyle w:val="afff7"/>
            </w:pPr>
            <w:r>
              <w:rPr>
                <w:rFonts w:hint="eastAsia"/>
              </w:rPr>
              <w:t>1,253.31</w:t>
            </w:r>
          </w:p>
        </w:tc>
        <w:tc>
          <w:tcPr>
            <w:tcW w:w="776" w:type="pct"/>
            <w:vAlign w:val="bottom"/>
          </w:tcPr>
          <w:p w:rsidR="004A3868" w:rsidRDefault="003F1AB5">
            <w:pPr>
              <w:pStyle w:val="afff7"/>
            </w:pPr>
            <w:r>
              <w:rPr>
                <w:rFonts w:hint="eastAsia"/>
              </w:rPr>
              <w:t>1,229.58</w:t>
            </w:r>
          </w:p>
        </w:tc>
        <w:tc>
          <w:tcPr>
            <w:tcW w:w="618" w:type="pct"/>
            <w:vAlign w:val="bottom"/>
          </w:tcPr>
          <w:p w:rsidR="004A3868" w:rsidRDefault="003F1AB5">
            <w:pPr>
              <w:pStyle w:val="afff7"/>
              <w:rPr>
                <w:highlight w:val="yellow"/>
              </w:rPr>
            </w:pPr>
            <w:r>
              <w:rPr>
                <w:rFonts w:hint="eastAsia"/>
              </w:rPr>
              <w:t>133.04</w:t>
            </w:r>
          </w:p>
        </w:tc>
        <w:tc>
          <w:tcPr>
            <w:tcW w:w="545" w:type="pct"/>
            <w:vAlign w:val="bottom"/>
          </w:tcPr>
          <w:p w:rsidR="004A3868" w:rsidRDefault="003F1AB5">
            <w:pPr>
              <w:pStyle w:val="afff7"/>
            </w:pPr>
            <w:r>
              <w:rPr>
                <w:rFonts w:hint="eastAsia"/>
              </w:rPr>
              <w:t>46.98</w:t>
            </w:r>
          </w:p>
        </w:tc>
        <w:tc>
          <w:tcPr>
            <w:tcW w:w="544" w:type="pct"/>
            <w:vAlign w:val="bottom"/>
          </w:tcPr>
          <w:p w:rsidR="004A3868" w:rsidRDefault="003F1AB5">
            <w:pPr>
              <w:pStyle w:val="afff7"/>
            </w:pPr>
            <w:r>
              <w:rPr>
                <w:rFonts w:hint="eastAsia"/>
              </w:rPr>
              <w:t>46.68</w:t>
            </w:r>
          </w:p>
        </w:tc>
        <w:tc>
          <w:tcPr>
            <w:tcW w:w="545" w:type="pct"/>
            <w:vAlign w:val="bottom"/>
          </w:tcPr>
          <w:p w:rsidR="004A3868" w:rsidRDefault="003F1AB5">
            <w:pPr>
              <w:pStyle w:val="afff7"/>
            </w:pPr>
            <w:r>
              <w:rPr>
                <w:rFonts w:hint="eastAsia"/>
              </w:rPr>
              <w:t>24.89</w:t>
            </w:r>
          </w:p>
        </w:tc>
      </w:tr>
      <w:tr w:rsidR="004A3868">
        <w:trPr>
          <w:trHeight w:val="397"/>
          <w:jc w:val="center"/>
        </w:trPr>
        <w:tc>
          <w:tcPr>
            <w:tcW w:w="702" w:type="pct"/>
            <w:vAlign w:val="bottom"/>
          </w:tcPr>
          <w:p w:rsidR="004A3868" w:rsidRDefault="003F1AB5">
            <w:pPr>
              <w:pStyle w:val="afff9"/>
            </w:pPr>
            <w:r>
              <w:rPr>
                <w:rFonts w:hint="eastAsia"/>
              </w:rPr>
              <w:t>箱式变电站</w:t>
            </w:r>
          </w:p>
        </w:tc>
        <w:tc>
          <w:tcPr>
            <w:tcW w:w="429" w:type="pct"/>
            <w:vAlign w:val="bottom"/>
          </w:tcPr>
          <w:p w:rsidR="004A3868" w:rsidRDefault="003F1AB5">
            <w:pPr>
              <w:pStyle w:val="afff9"/>
            </w:pPr>
            <w:r>
              <w:rPr>
                <w:rFonts w:hint="eastAsia"/>
              </w:rPr>
              <w:t>台</w:t>
            </w:r>
          </w:p>
        </w:tc>
        <w:tc>
          <w:tcPr>
            <w:tcW w:w="841" w:type="pct"/>
            <w:vAlign w:val="bottom"/>
          </w:tcPr>
          <w:p w:rsidR="004A3868" w:rsidRDefault="003F1AB5">
            <w:pPr>
              <w:pStyle w:val="afff7"/>
            </w:pPr>
            <w:r>
              <w:rPr>
                <w:rFonts w:hint="eastAsia"/>
              </w:rPr>
              <w:t>1,584.00</w:t>
            </w:r>
          </w:p>
        </w:tc>
        <w:tc>
          <w:tcPr>
            <w:tcW w:w="776" w:type="pct"/>
            <w:vAlign w:val="bottom"/>
          </w:tcPr>
          <w:p w:rsidR="004A3868" w:rsidRDefault="003F1AB5">
            <w:pPr>
              <w:pStyle w:val="afff7"/>
            </w:pPr>
            <w:r>
              <w:rPr>
                <w:rFonts w:hint="eastAsia"/>
              </w:rPr>
              <w:t>1,525.00</w:t>
            </w:r>
          </w:p>
        </w:tc>
        <w:tc>
          <w:tcPr>
            <w:tcW w:w="618" w:type="pct"/>
            <w:vAlign w:val="bottom"/>
          </w:tcPr>
          <w:p w:rsidR="004A3868" w:rsidRDefault="003F1AB5">
            <w:pPr>
              <w:pStyle w:val="afff7"/>
              <w:rPr>
                <w:highlight w:val="yellow"/>
              </w:rPr>
            </w:pPr>
            <w:r>
              <w:rPr>
                <w:rFonts w:hint="eastAsia"/>
              </w:rPr>
              <w:t>153.00</w:t>
            </w:r>
          </w:p>
        </w:tc>
        <w:tc>
          <w:tcPr>
            <w:tcW w:w="545" w:type="pct"/>
            <w:vAlign w:val="bottom"/>
          </w:tcPr>
          <w:p w:rsidR="004A3868" w:rsidRDefault="003F1AB5">
            <w:pPr>
              <w:pStyle w:val="afff7"/>
            </w:pPr>
            <w:r>
              <w:rPr>
                <w:rFonts w:hint="eastAsia"/>
              </w:rPr>
              <w:t>39.19</w:t>
            </w:r>
          </w:p>
        </w:tc>
        <w:tc>
          <w:tcPr>
            <w:tcW w:w="544" w:type="pct"/>
            <w:vAlign w:val="bottom"/>
          </w:tcPr>
          <w:p w:rsidR="004A3868" w:rsidRDefault="003F1AB5">
            <w:pPr>
              <w:pStyle w:val="afff7"/>
            </w:pPr>
            <w:r>
              <w:rPr>
                <w:rFonts w:hint="eastAsia"/>
              </w:rPr>
              <w:t>36.65</w:t>
            </w:r>
          </w:p>
        </w:tc>
        <w:tc>
          <w:tcPr>
            <w:tcW w:w="545" w:type="pct"/>
            <w:vAlign w:val="bottom"/>
          </w:tcPr>
          <w:p w:rsidR="004A3868" w:rsidRDefault="003F1AB5">
            <w:pPr>
              <w:pStyle w:val="afff7"/>
            </w:pPr>
            <w:r>
              <w:rPr>
                <w:rFonts w:hint="eastAsia"/>
              </w:rPr>
              <w:t>42.99</w:t>
            </w:r>
          </w:p>
        </w:tc>
      </w:tr>
      <w:tr w:rsidR="004A3868">
        <w:trPr>
          <w:trHeight w:val="397"/>
          <w:jc w:val="center"/>
        </w:trPr>
        <w:tc>
          <w:tcPr>
            <w:tcW w:w="702" w:type="pct"/>
            <w:vAlign w:val="bottom"/>
          </w:tcPr>
          <w:p w:rsidR="004A3868" w:rsidRDefault="003F1AB5">
            <w:pPr>
              <w:pStyle w:val="afff9"/>
            </w:pPr>
            <w:r>
              <w:rPr>
                <w:rFonts w:hint="eastAsia"/>
              </w:rPr>
              <w:t>成套电气设备</w:t>
            </w:r>
          </w:p>
        </w:tc>
        <w:tc>
          <w:tcPr>
            <w:tcW w:w="429" w:type="pct"/>
            <w:vAlign w:val="bottom"/>
          </w:tcPr>
          <w:p w:rsidR="004A3868" w:rsidRDefault="003F1AB5">
            <w:pPr>
              <w:pStyle w:val="afff9"/>
            </w:pPr>
            <w:r>
              <w:rPr>
                <w:rFonts w:hint="eastAsia"/>
              </w:rPr>
              <w:t>台</w:t>
            </w:r>
          </w:p>
        </w:tc>
        <w:tc>
          <w:tcPr>
            <w:tcW w:w="841" w:type="pct"/>
            <w:vAlign w:val="bottom"/>
          </w:tcPr>
          <w:p w:rsidR="004A3868" w:rsidRDefault="003F1AB5">
            <w:pPr>
              <w:pStyle w:val="afff7"/>
            </w:pPr>
            <w:r>
              <w:t>13,193.00</w:t>
            </w:r>
          </w:p>
        </w:tc>
        <w:tc>
          <w:tcPr>
            <w:tcW w:w="776" w:type="pct"/>
            <w:vAlign w:val="bottom"/>
          </w:tcPr>
          <w:p w:rsidR="004A3868" w:rsidRDefault="003F1AB5">
            <w:pPr>
              <w:pStyle w:val="afff7"/>
            </w:pPr>
            <w:r>
              <w:t>13,931.00</w:t>
            </w:r>
          </w:p>
        </w:tc>
        <w:tc>
          <w:tcPr>
            <w:tcW w:w="618" w:type="pct"/>
            <w:vAlign w:val="bottom"/>
          </w:tcPr>
          <w:p w:rsidR="004A3868" w:rsidRDefault="003F1AB5">
            <w:pPr>
              <w:pStyle w:val="afff7"/>
              <w:rPr>
                <w:highlight w:val="yellow"/>
              </w:rPr>
            </w:pPr>
            <w:r>
              <w:rPr>
                <w:rFonts w:hint="eastAsia"/>
              </w:rPr>
              <w:t>578.00</w:t>
            </w:r>
          </w:p>
        </w:tc>
        <w:tc>
          <w:tcPr>
            <w:tcW w:w="545" w:type="pct"/>
            <w:vAlign w:val="bottom"/>
          </w:tcPr>
          <w:p w:rsidR="004A3868" w:rsidRDefault="003F1AB5">
            <w:pPr>
              <w:pStyle w:val="afff7"/>
            </w:pPr>
            <w:r>
              <w:t>39.01</w:t>
            </w:r>
          </w:p>
        </w:tc>
        <w:tc>
          <w:tcPr>
            <w:tcW w:w="544" w:type="pct"/>
            <w:vAlign w:val="bottom"/>
          </w:tcPr>
          <w:p w:rsidR="004A3868" w:rsidRDefault="003F1AB5">
            <w:pPr>
              <w:pStyle w:val="afff7"/>
            </w:pPr>
            <w:r>
              <w:t>37.93</w:t>
            </w:r>
          </w:p>
        </w:tc>
        <w:tc>
          <w:tcPr>
            <w:tcW w:w="545" w:type="pct"/>
            <w:vAlign w:val="bottom"/>
          </w:tcPr>
          <w:p w:rsidR="004A3868" w:rsidRDefault="003F1AB5">
            <w:pPr>
              <w:pStyle w:val="afff7"/>
            </w:pPr>
            <w:r>
              <w:rPr>
                <w:rFonts w:hint="eastAsia"/>
              </w:rPr>
              <w:t>-23.34</w:t>
            </w:r>
          </w:p>
        </w:tc>
      </w:tr>
    </w:tbl>
    <w:p w:rsidR="004A3868" w:rsidRDefault="004A3868">
      <w:pPr>
        <w:pStyle w:val="Style580"/>
        <w:rPr>
          <w:sz w:val="21"/>
          <w:szCs w:val="21"/>
        </w:rPr>
      </w:pPr>
    </w:p>
    <w:p w:rsidR="004A3868" w:rsidRDefault="003F1AB5">
      <w:pPr>
        <w:pStyle w:val="Style842"/>
        <w:rPr>
          <w:sz w:val="21"/>
          <w:szCs w:val="21"/>
        </w:rPr>
      </w:pPr>
      <w:r>
        <w:rPr>
          <w:rFonts w:hint="eastAsia"/>
          <w:sz w:val="21"/>
          <w:szCs w:val="21"/>
        </w:rPr>
        <w:t>产销量情况说明</w:t>
      </w:r>
    </w:p>
    <w:sdt>
      <w:sdtPr>
        <w:rPr>
          <w:rFonts w:hint="eastAsia"/>
          <w:szCs w:val="21"/>
        </w:rPr>
        <w:alias w:val="产销量情况说明"/>
        <w:tag w:val="_GBC_1aea839efa9940859168bf3f05061254"/>
        <w:id w:val="-268470075"/>
        <w:placeholder>
          <w:docPart w:val="GBC22222222222222222222222222222"/>
        </w:placeholder>
      </w:sdtPr>
      <w:sdtEndPr>
        <w:rPr>
          <w:rFonts w:hint="default"/>
          <w:highlight w:val="yellow"/>
        </w:rPr>
      </w:sdtEndPr>
      <w:sdtContent>
        <w:sdt>
          <w:sdtPr>
            <w:rPr>
              <w:rFonts w:hint="eastAsia"/>
              <w:szCs w:val="21"/>
            </w:rPr>
            <w:alias w:val="产销量情况说明"/>
            <w:tag w:val="_GBC_1aea839efa9940859168bf3f05061254"/>
            <w:id w:val="-1230455424"/>
          </w:sdtPr>
          <w:sdtEndPr/>
          <w:sdtContent>
            <w:p w:rsidR="004A3868" w:rsidRDefault="003F1AB5">
              <w:pPr>
                <w:pStyle w:val="afff3"/>
                <w:ind w:firstLine="420"/>
                <w:rPr>
                  <w:szCs w:val="21"/>
                </w:rPr>
              </w:pPr>
              <w:r>
                <w:rPr>
                  <w:rFonts w:hint="eastAsia"/>
                  <w:szCs w:val="21"/>
                </w:rPr>
                <w:t>产量以当年入库口径统计，销量以当年确认收入口径统计。取向硅钢：生产量中包括外购7,126.98吨，销售量中含内部耗用13,102.69 吨；电力变压器：生产量中包括外购127.76万kVA，销售量中含内部耗用347.68万kVA；箱式变电站：生产量中包括外购39台销售量中含内部耗用1台；成套电气设备：销售量中含内部耗用492台。</w:t>
              </w:r>
            </w:p>
          </w:sdtContent>
        </w:sdt>
      </w:sdtContent>
    </w:sdt>
    <w:p w:rsidR="004A3868" w:rsidRDefault="003F1AB5">
      <w:pPr>
        <w:pStyle w:val="Style830"/>
        <w:rPr>
          <w:sz w:val="21"/>
          <w:szCs w:val="21"/>
        </w:rPr>
      </w:pPr>
      <w:bookmarkStart w:id="27" w:name="_Hlk89876471"/>
      <w:r>
        <w:rPr>
          <w:rFonts w:hint="eastAsia"/>
          <w:sz w:val="21"/>
          <w:szCs w:val="21"/>
        </w:rPr>
        <w:t>重大采购合同、重大销售合同的履行情况</w:t>
      </w:r>
    </w:p>
    <w:sdt>
      <w:sdtPr>
        <w:rPr>
          <w:rFonts w:hint="eastAsia"/>
          <w:sz w:val="21"/>
          <w:szCs w:val="21"/>
        </w:rPr>
        <w:alias w:val="是否适用：重大采购合同、重大销售合同的履行情况 [双击切换]"/>
        <w:tag w:val="_GBC_7db64bb10282470b9d1599cd986236d4"/>
        <w:id w:val="1775210054"/>
        <w:lock w:val="sdtLocked"/>
        <w:placeholder>
          <w:docPart w:val="GBC22222222222222222222222222222"/>
        </w:placeholder>
      </w:sdtPr>
      <w:sdtEndPr/>
      <w:sdtContent>
        <w:p w:rsidR="004A3868" w:rsidRDefault="003F1AB5">
          <w:pPr>
            <w:pStyle w:val="Style842"/>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842"/>
        <w:rPr>
          <w:sz w:val="21"/>
          <w:szCs w:val="21"/>
        </w:rPr>
      </w:pPr>
      <w:r>
        <w:rPr>
          <w:rFonts w:hint="eastAsia"/>
          <w:sz w:val="21"/>
          <w:szCs w:val="21"/>
        </w:rPr>
        <w:t>已签订的重大销售合同截至本报告期的履行情况</w:t>
      </w:r>
    </w:p>
    <w:sdt>
      <w:sdtPr>
        <w:rPr>
          <w:sz w:val="21"/>
          <w:szCs w:val="21"/>
        </w:rPr>
        <w:alias w:val="是否适用：已签订的重大销售合同截至本报告期的履行情况 [双击切换]"/>
        <w:tag w:val="_GBC_49d36578734543afa4e06de638f97c92"/>
        <w:id w:val="169441218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842"/>
        <w:rPr>
          <w:sz w:val="21"/>
          <w:szCs w:val="21"/>
        </w:rPr>
      </w:pPr>
      <w:r>
        <w:rPr>
          <w:rFonts w:hint="eastAsia"/>
          <w:sz w:val="21"/>
          <w:szCs w:val="21"/>
        </w:rPr>
        <w:t>已签订的重大采购合同截至本报告期的履行情况</w:t>
      </w:r>
    </w:p>
    <w:sdt>
      <w:sdtPr>
        <w:rPr>
          <w:sz w:val="21"/>
          <w:szCs w:val="21"/>
        </w:rPr>
        <w:alias w:val="是否适用：已签订的重大采购合同截至本报告期的履行情况 [双击切换]"/>
        <w:tag w:val="_GBC_20683267b948463b9f53fbddb55271de"/>
        <w:id w:val="1626357958"/>
        <w:lock w:val="sdtLocked"/>
        <w:placeholder>
          <w:docPart w:val="GBC22222222222222222222222222222"/>
        </w:placeholder>
      </w:sdtPr>
      <w:sdtEndPr/>
      <w:sdtContent>
        <w:p w:rsidR="004A3868" w:rsidRDefault="003F1AB5">
          <w:pPr>
            <w:pStyle w:val="Style58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830"/>
        <w:rPr>
          <w:sz w:val="21"/>
          <w:szCs w:val="21"/>
        </w:rPr>
      </w:pPr>
      <w:r>
        <w:rPr>
          <w:sz w:val="21"/>
          <w:szCs w:val="21"/>
        </w:rPr>
        <w:t>成本分析表</w:t>
      </w:r>
    </w:p>
    <w:p w:rsidR="004A3868" w:rsidRDefault="003F1AB5">
      <w:pPr>
        <w:pStyle w:val="Style832"/>
      </w:pPr>
      <w:r>
        <w:rPr>
          <w:rFonts w:hint="eastAsia"/>
        </w:rPr>
        <w:t>单位：</w:t>
      </w:r>
      <w:bookmarkEnd w:id="27"/>
      <w:sdt>
        <w:sdtPr>
          <w:rPr>
            <w:rFonts w:hint="eastAsia"/>
          </w:rPr>
          <w:alias w:val="单位：成本分析表"/>
          <w:tag w:val="_GBC_b04622a3125b4989a822b6e63bf483c3"/>
          <w:id w:val="10468840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p>
    <w:tbl>
      <w:tblPr>
        <w:tblStyle w:val="g25"/>
        <w:tblW w:w="5000" w:type="pct"/>
        <w:jc w:val="center"/>
        <w:tblInd w:w="0" w:type="dxa"/>
        <w:tblCellMar>
          <w:right w:w="28" w:type="dxa"/>
        </w:tblCellMar>
        <w:tblLook w:val="04A0" w:firstRow="1" w:lastRow="0" w:firstColumn="1" w:lastColumn="0" w:noHBand="0" w:noVBand="1"/>
      </w:tblPr>
      <w:tblGrid>
        <w:gridCol w:w="1134"/>
        <w:gridCol w:w="1059"/>
        <w:gridCol w:w="1415"/>
        <w:gridCol w:w="1031"/>
        <w:gridCol w:w="1415"/>
        <w:gridCol w:w="962"/>
        <w:gridCol w:w="939"/>
        <w:gridCol w:w="868"/>
      </w:tblGrid>
      <w:tr w:rsidR="004A3868">
        <w:trPr>
          <w:trHeight w:val="195"/>
          <w:jc w:val="center"/>
        </w:trPr>
        <w:sdt>
          <w:sdtPr>
            <w:rPr>
              <w:rFonts w:ascii="Times New Roman" w:hAnsi="Times New Roman"/>
              <w:sz w:val="21"/>
              <w:szCs w:val="21"/>
            </w:rPr>
            <w:tag w:val="_PLD_23eca1a24a6a46819aede5056d21b4e0"/>
            <w:id w:val="328327709"/>
            <w:lock w:val="sdtLocked"/>
          </w:sdtPr>
          <w:sdtEndPr/>
          <w:sdtContent>
            <w:tc>
              <w:tcPr>
                <w:tcW w:w="5000" w:type="pct"/>
                <w:gridSpan w:val="8"/>
                <w:vAlign w:val="center"/>
              </w:tcPr>
              <w:p w:rsidR="004A3868" w:rsidRDefault="003F1AB5">
                <w:pPr>
                  <w:pStyle w:val="Style842"/>
                  <w:rPr>
                    <w:sz w:val="21"/>
                    <w:szCs w:val="21"/>
                  </w:rPr>
                </w:pPr>
                <w:r>
                  <w:rPr>
                    <w:sz w:val="21"/>
                    <w:szCs w:val="21"/>
                  </w:rPr>
                  <w:t>分行业情况</w:t>
                </w:r>
              </w:p>
            </w:tc>
          </w:sdtContent>
        </w:sdt>
      </w:tr>
      <w:tr w:rsidR="004A3868">
        <w:trPr>
          <w:trHeight w:val="135"/>
          <w:jc w:val="center"/>
        </w:trPr>
        <w:sdt>
          <w:sdtPr>
            <w:tag w:val="_PLD_6ed773a4437a4fe9b33abca9c4813940"/>
            <w:id w:val="-414790768"/>
            <w:lock w:val="sdtLocked"/>
          </w:sdtPr>
          <w:sdtEndPr/>
          <w:sdtContent>
            <w:tc>
              <w:tcPr>
                <w:tcW w:w="643" w:type="pct"/>
                <w:vAlign w:val="center"/>
              </w:tcPr>
              <w:p w:rsidR="004A3868" w:rsidRDefault="003F1AB5">
                <w:pPr>
                  <w:pStyle w:val="afffb"/>
                </w:pPr>
                <w:r>
                  <w:t>分行业</w:t>
                </w:r>
              </w:p>
            </w:tc>
          </w:sdtContent>
        </w:sdt>
        <w:sdt>
          <w:sdtPr>
            <w:tag w:val="_PLD_11eb33bcb20d4489a1b9fff2216d0a84"/>
            <w:id w:val="-1432655265"/>
            <w:lock w:val="sdtLocked"/>
          </w:sdtPr>
          <w:sdtEndPr/>
          <w:sdtContent>
            <w:tc>
              <w:tcPr>
                <w:tcW w:w="600" w:type="pct"/>
                <w:vAlign w:val="center"/>
              </w:tcPr>
              <w:p w:rsidR="004A3868" w:rsidRDefault="003F1AB5">
                <w:pPr>
                  <w:pStyle w:val="afffb"/>
                </w:pPr>
                <w:r>
                  <w:t>成本构成项目</w:t>
                </w:r>
              </w:p>
            </w:tc>
          </w:sdtContent>
        </w:sdt>
        <w:sdt>
          <w:sdtPr>
            <w:tag w:val="_PLD_25c03477e66a432199f6493c38aaca71"/>
            <w:id w:val="404800524"/>
            <w:lock w:val="sdtLocked"/>
          </w:sdtPr>
          <w:sdtEndPr/>
          <w:sdtContent>
            <w:tc>
              <w:tcPr>
                <w:tcW w:w="802" w:type="pct"/>
                <w:vAlign w:val="center"/>
              </w:tcPr>
              <w:p w:rsidR="004A3868" w:rsidRDefault="003F1AB5">
                <w:pPr>
                  <w:pStyle w:val="afffb"/>
                </w:pPr>
                <w:r>
                  <w:t>本期金额</w:t>
                </w:r>
              </w:p>
            </w:tc>
          </w:sdtContent>
        </w:sdt>
        <w:sdt>
          <w:sdtPr>
            <w:tag w:val="_PLD_29b86b13ed1449cfb64b8547d9ed08a7"/>
            <w:id w:val="1710377000"/>
            <w:lock w:val="sdtLocked"/>
          </w:sdtPr>
          <w:sdtEndPr/>
          <w:sdtContent>
            <w:tc>
              <w:tcPr>
                <w:tcW w:w="584" w:type="pct"/>
                <w:vAlign w:val="center"/>
              </w:tcPr>
              <w:p w:rsidR="004A3868" w:rsidRDefault="003F1AB5">
                <w:pPr>
                  <w:pStyle w:val="afffb"/>
                </w:pPr>
                <w:r>
                  <w:t>本期占总成本比例(</w:t>
                </w:r>
                <w:r>
                  <w:rPr>
                    <w:rFonts w:hint="eastAsia"/>
                  </w:rPr>
                  <w:t>%</w:t>
                </w:r>
                <w:r>
                  <w:t>)</w:t>
                </w:r>
              </w:p>
            </w:tc>
          </w:sdtContent>
        </w:sdt>
        <w:sdt>
          <w:sdtPr>
            <w:tag w:val="_PLD_5ff02c2ae2d941d5bb2ed5b1e6bfa8e6"/>
            <w:id w:val="2014642134"/>
            <w:lock w:val="sdtLocked"/>
          </w:sdtPr>
          <w:sdtEndPr/>
          <w:sdtContent>
            <w:tc>
              <w:tcPr>
                <w:tcW w:w="802" w:type="pct"/>
                <w:vAlign w:val="center"/>
              </w:tcPr>
              <w:p w:rsidR="004A3868" w:rsidRDefault="003F1AB5">
                <w:pPr>
                  <w:pStyle w:val="afffb"/>
                </w:pPr>
                <w:r>
                  <w:t>上年同期金额</w:t>
                </w:r>
              </w:p>
            </w:tc>
          </w:sdtContent>
        </w:sdt>
        <w:sdt>
          <w:sdtPr>
            <w:tag w:val="_PLD_517f7979a01748fba12b11d5561fdcdd"/>
            <w:id w:val="682473414"/>
            <w:lock w:val="sdtLocked"/>
          </w:sdtPr>
          <w:sdtEndPr/>
          <w:sdtContent>
            <w:tc>
              <w:tcPr>
                <w:tcW w:w="545" w:type="pct"/>
                <w:vAlign w:val="center"/>
              </w:tcPr>
              <w:p w:rsidR="004A3868" w:rsidRDefault="003F1AB5">
                <w:pPr>
                  <w:pStyle w:val="afffb"/>
                </w:pPr>
                <w:r>
                  <w:t>上年同期占总成本比例(</w:t>
                </w:r>
                <w:r>
                  <w:rPr>
                    <w:rFonts w:hint="eastAsia"/>
                  </w:rPr>
                  <w:t>%</w:t>
                </w:r>
                <w:r>
                  <w:t>)</w:t>
                </w:r>
              </w:p>
            </w:tc>
          </w:sdtContent>
        </w:sdt>
        <w:sdt>
          <w:sdtPr>
            <w:tag w:val="_PLD_51133d067ddc4eeda00133d4c26d206f"/>
            <w:id w:val="2120332938"/>
            <w:lock w:val="sdtLocked"/>
          </w:sdtPr>
          <w:sdtEndPr/>
          <w:sdtContent>
            <w:tc>
              <w:tcPr>
                <w:tcW w:w="532" w:type="pct"/>
                <w:vAlign w:val="center"/>
              </w:tcPr>
              <w:p w:rsidR="004A3868" w:rsidRDefault="003F1AB5">
                <w:pPr>
                  <w:pStyle w:val="afffb"/>
                </w:pPr>
                <w:r>
                  <w:t>本期金额较上年同期变动比例(</w:t>
                </w:r>
                <w:r>
                  <w:rPr>
                    <w:rFonts w:hint="eastAsia"/>
                  </w:rPr>
                  <w:t>%</w:t>
                </w:r>
                <w:r>
                  <w:t>)</w:t>
                </w:r>
              </w:p>
            </w:tc>
          </w:sdtContent>
        </w:sdt>
        <w:sdt>
          <w:sdtPr>
            <w:tag w:val="_PLD_88c2b4dabd62472381be05c0702377e2"/>
            <w:id w:val="964313102"/>
            <w:lock w:val="sdtLocked"/>
          </w:sdtPr>
          <w:sdtEndPr/>
          <w:sdtContent>
            <w:tc>
              <w:tcPr>
                <w:tcW w:w="492" w:type="pct"/>
                <w:vAlign w:val="center"/>
              </w:tcPr>
              <w:p w:rsidR="004A3868" w:rsidRDefault="003F1AB5">
                <w:pPr>
                  <w:pStyle w:val="afffb"/>
                </w:pPr>
                <w:r>
                  <w:t>情况</w:t>
                </w:r>
              </w:p>
              <w:p w:rsidR="004A3868" w:rsidRDefault="003F1AB5">
                <w:pPr>
                  <w:pStyle w:val="afffb"/>
                </w:pPr>
                <w:r>
                  <w:t>说明</w:t>
                </w:r>
              </w:p>
            </w:tc>
          </w:sdtContent>
        </w:sdt>
      </w:tr>
      <w:tr w:rsidR="004A3868">
        <w:trPr>
          <w:trHeight w:val="165"/>
          <w:jc w:val="center"/>
        </w:trPr>
        <w:tc>
          <w:tcPr>
            <w:tcW w:w="643" w:type="pct"/>
            <w:vMerge w:val="restart"/>
            <w:vAlign w:val="center"/>
          </w:tcPr>
          <w:p w:rsidR="004A3868" w:rsidRDefault="003F1AB5">
            <w:pPr>
              <w:pStyle w:val="afff9"/>
            </w:pPr>
            <w:r>
              <w:rPr>
                <w:rFonts w:hint="eastAsia"/>
              </w:rPr>
              <w:t>钢压延加工</w:t>
            </w:r>
          </w:p>
        </w:tc>
        <w:tc>
          <w:tcPr>
            <w:tcW w:w="600" w:type="pct"/>
            <w:vAlign w:val="center"/>
          </w:tcPr>
          <w:p w:rsidR="004A3868" w:rsidRDefault="003F1AB5">
            <w:pPr>
              <w:pStyle w:val="afff9"/>
            </w:pPr>
            <w:r>
              <w:t>直接材料</w:t>
            </w:r>
          </w:p>
        </w:tc>
        <w:tc>
          <w:tcPr>
            <w:tcW w:w="802" w:type="pct"/>
          </w:tcPr>
          <w:p w:rsidR="004A3868" w:rsidRDefault="003F1AB5">
            <w:pPr>
              <w:pStyle w:val="afff7"/>
            </w:pPr>
            <w:r>
              <w:t xml:space="preserve"> 73,353.65 </w:t>
            </w:r>
          </w:p>
        </w:tc>
        <w:tc>
          <w:tcPr>
            <w:tcW w:w="584" w:type="pct"/>
          </w:tcPr>
          <w:p w:rsidR="004A3868" w:rsidRDefault="003F1AB5">
            <w:pPr>
              <w:pStyle w:val="afff7"/>
            </w:pPr>
            <w:r>
              <w:t xml:space="preserve"> 70.57 </w:t>
            </w:r>
          </w:p>
        </w:tc>
        <w:tc>
          <w:tcPr>
            <w:tcW w:w="802" w:type="pct"/>
            <w:vAlign w:val="center"/>
          </w:tcPr>
          <w:p w:rsidR="004A3868" w:rsidRDefault="003F1AB5">
            <w:pPr>
              <w:pStyle w:val="afff7"/>
            </w:pPr>
            <w:r>
              <w:t xml:space="preserve"> 85,008.60 </w:t>
            </w:r>
          </w:p>
        </w:tc>
        <w:tc>
          <w:tcPr>
            <w:tcW w:w="545" w:type="pct"/>
            <w:vAlign w:val="center"/>
          </w:tcPr>
          <w:p w:rsidR="004A3868" w:rsidRDefault="003F1AB5">
            <w:pPr>
              <w:pStyle w:val="afff7"/>
            </w:pPr>
            <w:r>
              <w:t xml:space="preserve"> 75.20 </w:t>
            </w:r>
          </w:p>
        </w:tc>
        <w:tc>
          <w:tcPr>
            <w:tcW w:w="532" w:type="pct"/>
          </w:tcPr>
          <w:p w:rsidR="004A3868" w:rsidRDefault="003F1AB5">
            <w:pPr>
              <w:pStyle w:val="afff7"/>
            </w:pPr>
            <w:r>
              <w:t xml:space="preserve"> -13.71 </w:t>
            </w:r>
          </w:p>
        </w:tc>
        <w:tc>
          <w:tcPr>
            <w:tcW w:w="492" w:type="pct"/>
            <w:vAlign w:val="center"/>
          </w:tcPr>
          <w:p w:rsidR="004A3868" w:rsidRDefault="004A3868">
            <w:pPr>
              <w:pStyle w:val="afff7"/>
            </w:pPr>
          </w:p>
        </w:tc>
      </w:tr>
      <w:tr w:rsidR="004A3868">
        <w:trPr>
          <w:trHeight w:val="165"/>
          <w:jc w:val="center"/>
        </w:trPr>
        <w:tc>
          <w:tcPr>
            <w:tcW w:w="643" w:type="pct"/>
            <w:vMerge/>
            <w:vAlign w:val="center"/>
          </w:tcPr>
          <w:p w:rsidR="004A3868" w:rsidRDefault="004A3868">
            <w:pPr>
              <w:pStyle w:val="afff9"/>
            </w:pPr>
          </w:p>
        </w:tc>
        <w:tc>
          <w:tcPr>
            <w:tcW w:w="600" w:type="pct"/>
            <w:vAlign w:val="center"/>
          </w:tcPr>
          <w:p w:rsidR="004A3868" w:rsidRDefault="003F1AB5">
            <w:pPr>
              <w:pStyle w:val="afff9"/>
            </w:pPr>
            <w:r>
              <w:t>直接人工</w:t>
            </w:r>
          </w:p>
        </w:tc>
        <w:tc>
          <w:tcPr>
            <w:tcW w:w="802" w:type="pct"/>
          </w:tcPr>
          <w:p w:rsidR="004A3868" w:rsidRDefault="003F1AB5">
            <w:pPr>
              <w:pStyle w:val="afff7"/>
            </w:pPr>
            <w:r>
              <w:t xml:space="preserve"> 1,483.40 </w:t>
            </w:r>
          </w:p>
        </w:tc>
        <w:tc>
          <w:tcPr>
            <w:tcW w:w="584" w:type="pct"/>
          </w:tcPr>
          <w:p w:rsidR="004A3868" w:rsidRDefault="003F1AB5">
            <w:pPr>
              <w:pStyle w:val="afff7"/>
            </w:pPr>
            <w:r>
              <w:t xml:space="preserve"> 1.43 </w:t>
            </w:r>
          </w:p>
        </w:tc>
        <w:tc>
          <w:tcPr>
            <w:tcW w:w="802" w:type="pct"/>
            <w:vAlign w:val="center"/>
          </w:tcPr>
          <w:p w:rsidR="004A3868" w:rsidRDefault="003F1AB5">
            <w:pPr>
              <w:pStyle w:val="afff7"/>
            </w:pPr>
            <w:r>
              <w:t xml:space="preserve"> 1,339.20 </w:t>
            </w:r>
          </w:p>
        </w:tc>
        <w:tc>
          <w:tcPr>
            <w:tcW w:w="545" w:type="pct"/>
            <w:vAlign w:val="center"/>
          </w:tcPr>
          <w:p w:rsidR="004A3868" w:rsidRDefault="003F1AB5">
            <w:pPr>
              <w:pStyle w:val="afff7"/>
            </w:pPr>
            <w:r>
              <w:t xml:space="preserve"> 1.18 </w:t>
            </w:r>
          </w:p>
        </w:tc>
        <w:tc>
          <w:tcPr>
            <w:tcW w:w="532" w:type="pct"/>
          </w:tcPr>
          <w:p w:rsidR="004A3868" w:rsidRDefault="003F1AB5">
            <w:pPr>
              <w:pStyle w:val="afff7"/>
            </w:pPr>
            <w:r>
              <w:t xml:space="preserve"> 10.77 </w:t>
            </w:r>
          </w:p>
        </w:tc>
        <w:tc>
          <w:tcPr>
            <w:tcW w:w="492" w:type="pct"/>
            <w:vAlign w:val="center"/>
          </w:tcPr>
          <w:p w:rsidR="004A3868" w:rsidRDefault="004A3868">
            <w:pPr>
              <w:pStyle w:val="afff7"/>
            </w:pPr>
          </w:p>
        </w:tc>
      </w:tr>
      <w:tr w:rsidR="004A3868">
        <w:trPr>
          <w:trHeight w:val="165"/>
          <w:jc w:val="center"/>
        </w:trPr>
        <w:tc>
          <w:tcPr>
            <w:tcW w:w="643" w:type="pct"/>
            <w:vMerge/>
            <w:vAlign w:val="center"/>
          </w:tcPr>
          <w:p w:rsidR="004A3868" w:rsidRDefault="004A3868">
            <w:pPr>
              <w:pStyle w:val="afff9"/>
            </w:pPr>
          </w:p>
        </w:tc>
        <w:tc>
          <w:tcPr>
            <w:tcW w:w="600" w:type="pct"/>
            <w:vAlign w:val="center"/>
          </w:tcPr>
          <w:p w:rsidR="004A3868" w:rsidRDefault="003F1AB5">
            <w:pPr>
              <w:pStyle w:val="afff9"/>
            </w:pPr>
            <w:r>
              <w:t>其他费用</w:t>
            </w:r>
          </w:p>
        </w:tc>
        <w:tc>
          <w:tcPr>
            <w:tcW w:w="802" w:type="pct"/>
          </w:tcPr>
          <w:p w:rsidR="004A3868" w:rsidRDefault="003F1AB5">
            <w:pPr>
              <w:pStyle w:val="afff7"/>
            </w:pPr>
            <w:r>
              <w:t xml:space="preserve"> 29,100.98 </w:t>
            </w:r>
          </w:p>
        </w:tc>
        <w:tc>
          <w:tcPr>
            <w:tcW w:w="584" w:type="pct"/>
          </w:tcPr>
          <w:p w:rsidR="004A3868" w:rsidRDefault="003F1AB5">
            <w:pPr>
              <w:pStyle w:val="afff7"/>
            </w:pPr>
            <w:r>
              <w:t xml:space="preserve"> 28.00 </w:t>
            </w:r>
          </w:p>
        </w:tc>
        <w:tc>
          <w:tcPr>
            <w:tcW w:w="802" w:type="pct"/>
            <w:vAlign w:val="center"/>
          </w:tcPr>
          <w:p w:rsidR="004A3868" w:rsidRDefault="003F1AB5">
            <w:pPr>
              <w:pStyle w:val="afff7"/>
            </w:pPr>
            <w:r>
              <w:t xml:space="preserve"> 26,692.74 </w:t>
            </w:r>
          </w:p>
        </w:tc>
        <w:tc>
          <w:tcPr>
            <w:tcW w:w="545" w:type="pct"/>
            <w:vAlign w:val="center"/>
          </w:tcPr>
          <w:p w:rsidR="004A3868" w:rsidRDefault="003F1AB5">
            <w:pPr>
              <w:pStyle w:val="afff7"/>
            </w:pPr>
            <w:r>
              <w:t xml:space="preserve"> 23.61 </w:t>
            </w:r>
          </w:p>
        </w:tc>
        <w:tc>
          <w:tcPr>
            <w:tcW w:w="532" w:type="pct"/>
          </w:tcPr>
          <w:p w:rsidR="004A3868" w:rsidRDefault="003F1AB5">
            <w:pPr>
              <w:pStyle w:val="afff7"/>
            </w:pPr>
            <w:r>
              <w:t xml:space="preserve"> 9.02 </w:t>
            </w:r>
          </w:p>
        </w:tc>
        <w:tc>
          <w:tcPr>
            <w:tcW w:w="492" w:type="pct"/>
            <w:vAlign w:val="center"/>
          </w:tcPr>
          <w:p w:rsidR="004A3868" w:rsidRDefault="004A3868">
            <w:pPr>
              <w:pStyle w:val="afff7"/>
            </w:pPr>
          </w:p>
        </w:tc>
      </w:tr>
      <w:tr w:rsidR="004A3868">
        <w:trPr>
          <w:trHeight w:val="165"/>
          <w:jc w:val="center"/>
        </w:trPr>
        <w:tc>
          <w:tcPr>
            <w:tcW w:w="643" w:type="pct"/>
            <w:vMerge/>
            <w:vAlign w:val="center"/>
          </w:tcPr>
          <w:p w:rsidR="004A3868" w:rsidRDefault="004A3868">
            <w:pPr>
              <w:pStyle w:val="afff9"/>
            </w:pPr>
          </w:p>
        </w:tc>
        <w:tc>
          <w:tcPr>
            <w:tcW w:w="600" w:type="pct"/>
            <w:vAlign w:val="center"/>
          </w:tcPr>
          <w:p w:rsidR="004A3868" w:rsidRDefault="003F1AB5">
            <w:pPr>
              <w:pStyle w:val="afff9"/>
            </w:pPr>
            <w:r>
              <w:t>合计</w:t>
            </w:r>
          </w:p>
        </w:tc>
        <w:tc>
          <w:tcPr>
            <w:tcW w:w="802" w:type="pct"/>
          </w:tcPr>
          <w:p w:rsidR="004A3868" w:rsidRDefault="003F1AB5">
            <w:pPr>
              <w:pStyle w:val="afff7"/>
            </w:pPr>
            <w:r>
              <w:t xml:space="preserve"> 103,938.02 </w:t>
            </w:r>
          </w:p>
        </w:tc>
        <w:tc>
          <w:tcPr>
            <w:tcW w:w="584" w:type="pct"/>
          </w:tcPr>
          <w:p w:rsidR="004A3868" w:rsidRDefault="003F1AB5">
            <w:pPr>
              <w:pStyle w:val="afff7"/>
            </w:pPr>
            <w:r>
              <w:t xml:space="preserve"> 100.00 </w:t>
            </w:r>
          </w:p>
        </w:tc>
        <w:tc>
          <w:tcPr>
            <w:tcW w:w="802" w:type="pct"/>
            <w:vAlign w:val="center"/>
          </w:tcPr>
          <w:p w:rsidR="004A3868" w:rsidRDefault="003F1AB5">
            <w:pPr>
              <w:pStyle w:val="afff7"/>
            </w:pPr>
            <w:r>
              <w:t xml:space="preserve"> 113,040.53 </w:t>
            </w:r>
          </w:p>
        </w:tc>
        <w:tc>
          <w:tcPr>
            <w:tcW w:w="545" w:type="pct"/>
            <w:vAlign w:val="center"/>
          </w:tcPr>
          <w:p w:rsidR="004A3868" w:rsidRDefault="003F1AB5">
            <w:pPr>
              <w:pStyle w:val="afff7"/>
            </w:pPr>
            <w:r>
              <w:t xml:space="preserve"> 100.00 </w:t>
            </w:r>
          </w:p>
        </w:tc>
        <w:tc>
          <w:tcPr>
            <w:tcW w:w="532" w:type="pct"/>
          </w:tcPr>
          <w:p w:rsidR="004A3868" w:rsidRDefault="003F1AB5">
            <w:pPr>
              <w:pStyle w:val="afff7"/>
            </w:pPr>
            <w:r>
              <w:t xml:space="preserve"> -8.05 </w:t>
            </w:r>
          </w:p>
        </w:tc>
        <w:tc>
          <w:tcPr>
            <w:tcW w:w="492" w:type="pct"/>
            <w:vAlign w:val="center"/>
          </w:tcPr>
          <w:p w:rsidR="004A3868" w:rsidRDefault="004A3868">
            <w:pPr>
              <w:pStyle w:val="afff7"/>
            </w:pPr>
          </w:p>
        </w:tc>
      </w:tr>
      <w:tr w:rsidR="004A3868">
        <w:trPr>
          <w:trHeight w:val="165"/>
          <w:jc w:val="center"/>
        </w:trPr>
        <w:tc>
          <w:tcPr>
            <w:tcW w:w="643" w:type="pct"/>
            <w:vMerge w:val="restart"/>
            <w:vAlign w:val="center"/>
          </w:tcPr>
          <w:p w:rsidR="004A3868" w:rsidRDefault="003F1AB5">
            <w:pPr>
              <w:pStyle w:val="afff9"/>
            </w:pPr>
            <w:r>
              <w:rPr>
                <w:rFonts w:hint="eastAsia"/>
              </w:rPr>
              <w:t>输配电及控制设备制造</w:t>
            </w:r>
          </w:p>
        </w:tc>
        <w:tc>
          <w:tcPr>
            <w:tcW w:w="600" w:type="pct"/>
            <w:vAlign w:val="center"/>
          </w:tcPr>
          <w:p w:rsidR="004A3868" w:rsidRDefault="003F1AB5">
            <w:pPr>
              <w:pStyle w:val="afff9"/>
            </w:pPr>
            <w:r>
              <w:t>直接材料</w:t>
            </w:r>
          </w:p>
        </w:tc>
        <w:tc>
          <w:tcPr>
            <w:tcW w:w="802" w:type="pct"/>
            <w:vAlign w:val="center"/>
          </w:tcPr>
          <w:p w:rsidR="004A3868" w:rsidRDefault="003F1AB5">
            <w:pPr>
              <w:pStyle w:val="afff7"/>
            </w:pPr>
            <w:r>
              <w:t xml:space="preserve"> 100,764.82 </w:t>
            </w:r>
          </w:p>
        </w:tc>
        <w:tc>
          <w:tcPr>
            <w:tcW w:w="584" w:type="pct"/>
            <w:vAlign w:val="center"/>
          </w:tcPr>
          <w:p w:rsidR="004A3868" w:rsidRDefault="003F1AB5">
            <w:pPr>
              <w:pStyle w:val="afff7"/>
            </w:pPr>
            <w:r>
              <w:t xml:space="preserve"> 87.93 </w:t>
            </w:r>
          </w:p>
        </w:tc>
        <w:tc>
          <w:tcPr>
            <w:tcW w:w="802" w:type="pct"/>
            <w:vAlign w:val="center"/>
          </w:tcPr>
          <w:p w:rsidR="004A3868" w:rsidRDefault="003F1AB5">
            <w:pPr>
              <w:pStyle w:val="afff7"/>
            </w:pPr>
            <w:r>
              <w:t xml:space="preserve"> 71,632.47 </w:t>
            </w:r>
          </w:p>
        </w:tc>
        <w:tc>
          <w:tcPr>
            <w:tcW w:w="545" w:type="pct"/>
            <w:vAlign w:val="center"/>
          </w:tcPr>
          <w:p w:rsidR="004A3868" w:rsidRDefault="003F1AB5">
            <w:pPr>
              <w:pStyle w:val="afff7"/>
            </w:pPr>
            <w:r>
              <w:t xml:space="preserve"> 86.08 </w:t>
            </w:r>
          </w:p>
        </w:tc>
        <w:tc>
          <w:tcPr>
            <w:tcW w:w="532" w:type="pct"/>
            <w:vAlign w:val="center"/>
          </w:tcPr>
          <w:p w:rsidR="004A3868" w:rsidRDefault="003F1AB5">
            <w:pPr>
              <w:pStyle w:val="afff7"/>
            </w:pPr>
            <w:r>
              <w:t xml:space="preserve"> 40.67 </w:t>
            </w:r>
          </w:p>
        </w:tc>
        <w:tc>
          <w:tcPr>
            <w:tcW w:w="492" w:type="pct"/>
            <w:vAlign w:val="center"/>
          </w:tcPr>
          <w:p w:rsidR="004A3868" w:rsidRDefault="004A3868">
            <w:pPr>
              <w:pStyle w:val="afff7"/>
            </w:pPr>
          </w:p>
        </w:tc>
      </w:tr>
      <w:tr w:rsidR="004A3868">
        <w:trPr>
          <w:trHeight w:val="165"/>
          <w:jc w:val="center"/>
        </w:trPr>
        <w:tc>
          <w:tcPr>
            <w:tcW w:w="643" w:type="pct"/>
            <w:vMerge/>
          </w:tcPr>
          <w:p w:rsidR="004A3868" w:rsidRDefault="004A3868">
            <w:pPr>
              <w:pStyle w:val="Style834"/>
            </w:pPr>
          </w:p>
        </w:tc>
        <w:tc>
          <w:tcPr>
            <w:tcW w:w="600" w:type="pct"/>
            <w:vAlign w:val="center"/>
          </w:tcPr>
          <w:p w:rsidR="004A3868" w:rsidRDefault="003F1AB5">
            <w:pPr>
              <w:pStyle w:val="afff9"/>
            </w:pPr>
            <w:r>
              <w:t>直接人工</w:t>
            </w:r>
          </w:p>
        </w:tc>
        <w:tc>
          <w:tcPr>
            <w:tcW w:w="802" w:type="pct"/>
            <w:vAlign w:val="center"/>
          </w:tcPr>
          <w:p w:rsidR="004A3868" w:rsidRDefault="003F1AB5">
            <w:pPr>
              <w:pStyle w:val="afff7"/>
            </w:pPr>
            <w:r>
              <w:t xml:space="preserve"> 5,318.09 </w:t>
            </w:r>
          </w:p>
        </w:tc>
        <w:tc>
          <w:tcPr>
            <w:tcW w:w="584" w:type="pct"/>
            <w:vAlign w:val="center"/>
          </w:tcPr>
          <w:p w:rsidR="004A3868" w:rsidRDefault="003F1AB5">
            <w:pPr>
              <w:pStyle w:val="afff7"/>
            </w:pPr>
            <w:r>
              <w:t xml:space="preserve"> 4.64 </w:t>
            </w:r>
          </w:p>
        </w:tc>
        <w:tc>
          <w:tcPr>
            <w:tcW w:w="802" w:type="pct"/>
            <w:vAlign w:val="center"/>
          </w:tcPr>
          <w:p w:rsidR="004A3868" w:rsidRDefault="003F1AB5">
            <w:pPr>
              <w:pStyle w:val="afff7"/>
            </w:pPr>
            <w:r>
              <w:t xml:space="preserve"> 3,926.70 </w:t>
            </w:r>
          </w:p>
        </w:tc>
        <w:tc>
          <w:tcPr>
            <w:tcW w:w="545" w:type="pct"/>
            <w:vAlign w:val="center"/>
          </w:tcPr>
          <w:p w:rsidR="004A3868" w:rsidRDefault="003F1AB5">
            <w:pPr>
              <w:pStyle w:val="afff7"/>
            </w:pPr>
            <w:r>
              <w:t xml:space="preserve"> 4.72 </w:t>
            </w:r>
          </w:p>
        </w:tc>
        <w:tc>
          <w:tcPr>
            <w:tcW w:w="532" w:type="pct"/>
            <w:vAlign w:val="center"/>
          </w:tcPr>
          <w:p w:rsidR="004A3868" w:rsidRDefault="003F1AB5">
            <w:pPr>
              <w:pStyle w:val="afff7"/>
            </w:pPr>
            <w:r>
              <w:t xml:space="preserve"> 35.43 </w:t>
            </w:r>
          </w:p>
        </w:tc>
        <w:tc>
          <w:tcPr>
            <w:tcW w:w="492" w:type="pct"/>
            <w:vAlign w:val="center"/>
          </w:tcPr>
          <w:p w:rsidR="004A3868" w:rsidRDefault="004A3868">
            <w:pPr>
              <w:pStyle w:val="afff7"/>
            </w:pPr>
          </w:p>
        </w:tc>
      </w:tr>
      <w:tr w:rsidR="004A3868">
        <w:trPr>
          <w:trHeight w:val="165"/>
          <w:jc w:val="center"/>
        </w:trPr>
        <w:tc>
          <w:tcPr>
            <w:tcW w:w="643" w:type="pct"/>
            <w:vMerge/>
          </w:tcPr>
          <w:p w:rsidR="004A3868" w:rsidRDefault="004A3868">
            <w:pPr>
              <w:pStyle w:val="Style834"/>
            </w:pPr>
          </w:p>
        </w:tc>
        <w:tc>
          <w:tcPr>
            <w:tcW w:w="600" w:type="pct"/>
            <w:vAlign w:val="center"/>
          </w:tcPr>
          <w:p w:rsidR="004A3868" w:rsidRDefault="003F1AB5">
            <w:pPr>
              <w:pStyle w:val="afff9"/>
            </w:pPr>
            <w:r>
              <w:t>其他费用</w:t>
            </w:r>
          </w:p>
        </w:tc>
        <w:tc>
          <w:tcPr>
            <w:tcW w:w="802" w:type="pct"/>
            <w:vAlign w:val="center"/>
          </w:tcPr>
          <w:p w:rsidR="004A3868" w:rsidRDefault="003F1AB5">
            <w:pPr>
              <w:pStyle w:val="afff7"/>
            </w:pPr>
            <w:r>
              <w:t xml:space="preserve"> 8,508.77 </w:t>
            </w:r>
          </w:p>
        </w:tc>
        <w:tc>
          <w:tcPr>
            <w:tcW w:w="584" w:type="pct"/>
            <w:vAlign w:val="center"/>
          </w:tcPr>
          <w:p w:rsidR="004A3868" w:rsidRDefault="003F1AB5">
            <w:pPr>
              <w:pStyle w:val="afff7"/>
            </w:pPr>
            <w:r>
              <w:t xml:space="preserve"> 7.43 </w:t>
            </w:r>
          </w:p>
        </w:tc>
        <w:tc>
          <w:tcPr>
            <w:tcW w:w="802" w:type="pct"/>
            <w:vAlign w:val="center"/>
          </w:tcPr>
          <w:p w:rsidR="004A3868" w:rsidRDefault="003F1AB5">
            <w:pPr>
              <w:pStyle w:val="afff7"/>
            </w:pPr>
            <w:r>
              <w:t xml:space="preserve"> 7,653.27 </w:t>
            </w:r>
          </w:p>
        </w:tc>
        <w:tc>
          <w:tcPr>
            <w:tcW w:w="545" w:type="pct"/>
            <w:vAlign w:val="center"/>
          </w:tcPr>
          <w:p w:rsidR="004A3868" w:rsidRDefault="003F1AB5">
            <w:pPr>
              <w:pStyle w:val="afff7"/>
            </w:pPr>
            <w:r>
              <w:t xml:space="preserve"> 9.20 </w:t>
            </w:r>
          </w:p>
        </w:tc>
        <w:tc>
          <w:tcPr>
            <w:tcW w:w="532" w:type="pct"/>
            <w:vAlign w:val="center"/>
          </w:tcPr>
          <w:p w:rsidR="004A3868" w:rsidRDefault="003F1AB5">
            <w:pPr>
              <w:pStyle w:val="afff7"/>
            </w:pPr>
            <w:r>
              <w:t xml:space="preserve"> 11.18 </w:t>
            </w:r>
          </w:p>
        </w:tc>
        <w:tc>
          <w:tcPr>
            <w:tcW w:w="492" w:type="pct"/>
            <w:vAlign w:val="center"/>
          </w:tcPr>
          <w:p w:rsidR="004A3868" w:rsidRDefault="004A3868">
            <w:pPr>
              <w:pStyle w:val="afff7"/>
            </w:pPr>
          </w:p>
        </w:tc>
      </w:tr>
      <w:tr w:rsidR="004A3868">
        <w:trPr>
          <w:trHeight w:val="165"/>
          <w:jc w:val="center"/>
        </w:trPr>
        <w:tc>
          <w:tcPr>
            <w:tcW w:w="643" w:type="pct"/>
            <w:vMerge/>
          </w:tcPr>
          <w:p w:rsidR="004A3868" w:rsidRDefault="004A3868">
            <w:pPr>
              <w:pStyle w:val="Style834"/>
            </w:pPr>
          </w:p>
        </w:tc>
        <w:tc>
          <w:tcPr>
            <w:tcW w:w="600" w:type="pct"/>
            <w:vAlign w:val="center"/>
          </w:tcPr>
          <w:p w:rsidR="004A3868" w:rsidRDefault="003F1AB5">
            <w:pPr>
              <w:pStyle w:val="afff9"/>
            </w:pPr>
            <w:r>
              <w:t>合计</w:t>
            </w:r>
          </w:p>
        </w:tc>
        <w:tc>
          <w:tcPr>
            <w:tcW w:w="802" w:type="pct"/>
            <w:vAlign w:val="center"/>
          </w:tcPr>
          <w:p w:rsidR="004A3868" w:rsidRDefault="003F1AB5">
            <w:pPr>
              <w:pStyle w:val="afff7"/>
            </w:pPr>
            <w:r>
              <w:t xml:space="preserve"> 114,591.67 </w:t>
            </w:r>
          </w:p>
        </w:tc>
        <w:tc>
          <w:tcPr>
            <w:tcW w:w="584" w:type="pct"/>
            <w:vAlign w:val="center"/>
          </w:tcPr>
          <w:p w:rsidR="004A3868" w:rsidRDefault="003F1AB5">
            <w:pPr>
              <w:pStyle w:val="afff7"/>
            </w:pPr>
            <w:r>
              <w:t xml:space="preserve"> 100.00 </w:t>
            </w:r>
          </w:p>
        </w:tc>
        <w:tc>
          <w:tcPr>
            <w:tcW w:w="802" w:type="pct"/>
            <w:vAlign w:val="center"/>
          </w:tcPr>
          <w:p w:rsidR="004A3868" w:rsidRDefault="003F1AB5">
            <w:pPr>
              <w:pStyle w:val="afff7"/>
            </w:pPr>
            <w:r>
              <w:t xml:space="preserve"> 83,212.43 </w:t>
            </w:r>
          </w:p>
        </w:tc>
        <w:tc>
          <w:tcPr>
            <w:tcW w:w="545" w:type="pct"/>
            <w:vAlign w:val="center"/>
          </w:tcPr>
          <w:p w:rsidR="004A3868" w:rsidRDefault="003F1AB5">
            <w:pPr>
              <w:pStyle w:val="afff7"/>
            </w:pPr>
            <w:r>
              <w:t xml:space="preserve"> 100.00 </w:t>
            </w:r>
          </w:p>
        </w:tc>
        <w:tc>
          <w:tcPr>
            <w:tcW w:w="532" w:type="pct"/>
            <w:vAlign w:val="center"/>
          </w:tcPr>
          <w:p w:rsidR="004A3868" w:rsidRDefault="003F1AB5">
            <w:pPr>
              <w:pStyle w:val="afff7"/>
            </w:pPr>
            <w:r>
              <w:t xml:space="preserve"> 37.71 </w:t>
            </w:r>
          </w:p>
        </w:tc>
        <w:tc>
          <w:tcPr>
            <w:tcW w:w="492" w:type="pct"/>
            <w:vAlign w:val="center"/>
          </w:tcPr>
          <w:p w:rsidR="004A3868" w:rsidRDefault="004A3868">
            <w:pPr>
              <w:pStyle w:val="afff7"/>
            </w:pPr>
          </w:p>
        </w:tc>
      </w:tr>
      <w:tr w:rsidR="004A3868">
        <w:trPr>
          <w:trHeight w:val="105"/>
          <w:jc w:val="center"/>
        </w:trPr>
        <w:sdt>
          <w:sdtPr>
            <w:rPr>
              <w:rFonts w:ascii="Times New Roman" w:hAnsi="Times New Roman"/>
              <w:sz w:val="21"/>
              <w:szCs w:val="21"/>
            </w:rPr>
            <w:tag w:val="_PLD_0092d9f33f1f4ccb96da6cc52c190e39"/>
            <w:id w:val="-1647052663"/>
            <w:lock w:val="sdtLocked"/>
          </w:sdtPr>
          <w:sdtEndPr/>
          <w:sdtContent>
            <w:tc>
              <w:tcPr>
                <w:tcW w:w="5000" w:type="pct"/>
                <w:gridSpan w:val="8"/>
                <w:vAlign w:val="center"/>
              </w:tcPr>
              <w:p w:rsidR="004A3868" w:rsidRDefault="003F1AB5">
                <w:pPr>
                  <w:pStyle w:val="Style842"/>
                  <w:rPr>
                    <w:sz w:val="21"/>
                    <w:szCs w:val="21"/>
                  </w:rPr>
                </w:pPr>
                <w:r>
                  <w:rPr>
                    <w:sz w:val="21"/>
                    <w:szCs w:val="21"/>
                  </w:rPr>
                  <w:t>分产品情况</w:t>
                </w:r>
              </w:p>
            </w:tc>
          </w:sdtContent>
        </w:sdt>
      </w:tr>
      <w:tr w:rsidR="004A3868">
        <w:trPr>
          <w:trHeight w:val="132"/>
          <w:jc w:val="center"/>
        </w:trPr>
        <w:sdt>
          <w:sdtPr>
            <w:tag w:val="_PLD_c196e3eb716a4b75bda8de0a1a1a5780"/>
            <w:id w:val="558601010"/>
            <w:lock w:val="sdtLocked"/>
          </w:sdtPr>
          <w:sdtEndPr/>
          <w:sdtContent>
            <w:tc>
              <w:tcPr>
                <w:tcW w:w="643" w:type="pct"/>
                <w:vAlign w:val="bottom"/>
              </w:tcPr>
              <w:p w:rsidR="004A3868" w:rsidRDefault="003F1AB5">
                <w:pPr>
                  <w:pStyle w:val="afffb"/>
                </w:pPr>
                <w:r>
                  <w:t>分</w:t>
                </w:r>
                <w:r>
                  <w:rPr>
                    <w:rFonts w:hint="eastAsia"/>
                  </w:rPr>
                  <w:t>产品</w:t>
                </w:r>
              </w:p>
            </w:tc>
          </w:sdtContent>
        </w:sdt>
        <w:sdt>
          <w:sdtPr>
            <w:tag w:val="_PLD_9a4782df875a421fa22d5bb28b135494"/>
            <w:id w:val="1030384443"/>
            <w:lock w:val="sdtLocked"/>
          </w:sdtPr>
          <w:sdtEndPr/>
          <w:sdtContent>
            <w:tc>
              <w:tcPr>
                <w:tcW w:w="600" w:type="pct"/>
                <w:vAlign w:val="bottom"/>
              </w:tcPr>
              <w:p w:rsidR="004A3868" w:rsidRDefault="003F1AB5">
                <w:pPr>
                  <w:pStyle w:val="afffb"/>
                </w:pPr>
                <w:r>
                  <w:t>成本构成项目</w:t>
                </w:r>
              </w:p>
            </w:tc>
          </w:sdtContent>
        </w:sdt>
        <w:sdt>
          <w:sdtPr>
            <w:tag w:val="_PLD_3ddf6750761e4cb5a3c10274752059ad"/>
            <w:id w:val="286167885"/>
            <w:lock w:val="sdtLocked"/>
          </w:sdtPr>
          <w:sdtEndPr/>
          <w:sdtContent>
            <w:tc>
              <w:tcPr>
                <w:tcW w:w="802" w:type="pct"/>
                <w:vAlign w:val="bottom"/>
              </w:tcPr>
              <w:p w:rsidR="004A3868" w:rsidRDefault="003F1AB5">
                <w:pPr>
                  <w:pStyle w:val="afffb"/>
                </w:pPr>
                <w:r>
                  <w:t>本期金额</w:t>
                </w:r>
              </w:p>
            </w:tc>
          </w:sdtContent>
        </w:sdt>
        <w:sdt>
          <w:sdtPr>
            <w:tag w:val="_PLD_dcb03e51a739483781a7336e1a9b6c53"/>
            <w:id w:val="1045331538"/>
            <w:lock w:val="sdtLocked"/>
          </w:sdtPr>
          <w:sdtEndPr/>
          <w:sdtContent>
            <w:tc>
              <w:tcPr>
                <w:tcW w:w="584" w:type="pct"/>
                <w:vAlign w:val="bottom"/>
              </w:tcPr>
              <w:p w:rsidR="004A3868" w:rsidRDefault="003F1AB5">
                <w:pPr>
                  <w:pStyle w:val="afffb"/>
                </w:pPr>
                <w:r>
                  <w:t>本期占总成本比例(</w:t>
                </w:r>
                <w:r>
                  <w:rPr>
                    <w:rFonts w:hint="eastAsia"/>
                  </w:rPr>
                  <w:t>%</w:t>
                </w:r>
                <w:r>
                  <w:t>)</w:t>
                </w:r>
              </w:p>
            </w:tc>
          </w:sdtContent>
        </w:sdt>
        <w:sdt>
          <w:sdtPr>
            <w:tag w:val="_PLD_fe6b2171d862410980857c00f504b451"/>
            <w:id w:val="1930002459"/>
            <w:lock w:val="sdtLocked"/>
          </w:sdtPr>
          <w:sdtEndPr/>
          <w:sdtContent>
            <w:tc>
              <w:tcPr>
                <w:tcW w:w="802" w:type="pct"/>
                <w:vAlign w:val="bottom"/>
              </w:tcPr>
              <w:p w:rsidR="004A3868" w:rsidRDefault="003F1AB5">
                <w:pPr>
                  <w:pStyle w:val="afffb"/>
                </w:pPr>
                <w:r>
                  <w:t>上年同期金额</w:t>
                </w:r>
              </w:p>
            </w:tc>
          </w:sdtContent>
        </w:sdt>
        <w:sdt>
          <w:sdtPr>
            <w:tag w:val="_PLD_4cf5110e7be04df78012e249a0900292"/>
            <w:id w:val="-546068186"/>
            <w:lock w:val="sdtLocked"/>
          </w:sdtPr>
          <w:sdtEndPr/>
          <w:sdtContent>
            <w:tc>
              <w:tcPr>
                <w:tcW w:w="545" w:type="pct"/>
                <w:vAlign w:val="bottom"/>
              </w:tcPr>
              <w:p w:rsidR="004A3868" w:rsidRDefault="003F1AB5">
                <w:pPr>
                  <w:pStyle w:val="afffb"/>
                </w:pPr>
                <w:r>
                  <w:t>上年同期占总成本比例(</w:t>
                </w:r>
                <w:r>
                  <w:rPr>
                    <w:rFonts w:hint="eastAsia"/>
                  </w:rPr>
                  <w:t>%</w:t>
                </w:r>
                <w:r>
                  <w:t>)</w:t>
                </w:r>
              </w:p>
            </w:tc>
          </w:sdtContent>
        </w:sdt>
        <w:sdt>
          <w:sdtPr>
            <w:tag w:val="_PLD_efbc8491fdf34506bf7690ab3a8f6402"/>
            <w:id w:val="1432169591"/>
            <w:lock w:val="sdtLocked"/>
          </w:sdtPr>
          <w:sdtEndPr/>
          <w:sdtContent>
            <w:tc>
              <w:tcPr>
                <w:tcW w:w="532" w:type="pct"/>
                <w:vAlign w:val="bottom"/>
              </w:tcPr>
              <w:p w:rsidR="004A3868" w:rsidRDefault="003F1AB5">
                <w:pPr>
                  <w:pStyle w:val="afffb"/>
                </w:pPr>
                <w:r>
                  <w:t>本期金额较上年同期变动比例(</w:t>
                </w:r>
                <w:r>
                  <w:rPr>
                    <w:rFonts w:hint="eastAsia"/>
                  </w:rPr>
                  <w:t>%</w:t>
                </w:r>
                <w:r>
                  <w:t>)</w:t>
                </w:r>
              </w:p>
            </w:tc>
          </w:sdtContent>
        </w:sdt>
        <w:sdt>
          <w:sdtPr>
            <w:tag w:val="_PLD_b8e943b8220340c7810a554346594426"/>
            <w:id w:val="786856822"/>
            <w:lock w:val="sdtLocked"/>
          </w:sdtPr>
          <w:sdtEndPr/>
          <w:sdtContent>
            <w:tc>
              <w:tcPr>
                <w:tcW w:w="492" w:type="pct"/>
                <w:vAlign w:val="bottom"/>
              </w:tcPr>
              <w:p w:rsidR="004A3868" w:rsidRDefault="003F1AB5">
                <w:pPr>
                  <w:pStyle w:val="afffb"/>
                </w:pPr>
                <w:r>
                  <w:t>情况</w:t>
                </w:r>
              </w:p>
              <w:p w:rsidR="004A3868" w:rsidRDefault="003F1AB5">
                <w:pPr>
                  <w:pStyle w:val="afffb"/>
                </w:pPr>
                <w:r>
                  <w:t>说明</w:t>
                </w:r>
              </w:p>
            </w:tc>
          </w:sdtContent>
        </w:sdt>
      </w:tr>
      <w:tr w:rsidR="004A3868">
        <w:trPr>
          <w:trHeight w:val="165"/>
          <w:jc w:val="center"/>
        </w:trPr>
        <w:tc>
          <w:tcPr>
            <w:tcW w:w="643" w:type="pct"/>
            <w:vMerge w:val="restart"/>
            <w:vAlign w:val="bottom"/>
          </w:tcPr>
          <w:p w:rsidR="004A3868" w:rsidRDefault="003F1AB5">
            <w:pPr>
              <w:pStyle w:val="afff9"/>
            </w:pPr>
            <w:r>
              <w:rPr>
                <w:rFonts w:hint="eastAsia"/>
              </w:rPr>
              <w:t>取向硅钢</w:t>
            </w:r>
          </w:p>
        </w:tc>
        <w:tc>
          <w:tcPr>
            <w:tcW w:w="600" w:type="pct"/>
            <w:tcBorders>
              <w:bottom w:val="single" w:sz="4" w:space="0" w:color="auto"/>
            </w:tcBorders>
            <w:vAlign w:val="bottom"/>
          </w:tcPr>
          <w:p w:rsidR="004A3868" w:rsidRDefault="003F1AB5">
            <w:pPr>
              <w:pStyle w:val="Style842"/>
              <w:rPr>
                <w:sz w:val="21"/>
                <w:szCs w:val="21"/>
              </w:rPr>
            </w:pPr>
            <w:r>
              <w:rPr>
                <w:sz w:val="21"/>
                <w:szCs w:val="21"/>
              </w:rPr>
              <w:t>直接材料</w:t>
            </w:r>
          </w:p>
        </w:tc>
        <w:tc>
          <w:tcPr>
            <w:tcW w:w="802" w:type="pct"/>
            <w:tcBorders>
              <w:bottom w:val="single" w:sz="4" w:space="0" w:color="auto"/>
            </w:tcBorders>
            <w:vAlign w:val="bottom"/>
          </w:tcPr>
          <w:p w:rsidR="004A3868" w:rsidRDefault="003F1AB5">
            <w:pPr>
              <w:pStyle w:val="afff7"/>
            </w:pPr>
            <w:r>
              <w:t xml:space="preserve"> 73,353.65 </w:t>
            </w:r>
          </w:p>
        </w:tc>
        <w:tc>
          <w:tcPr>
            <w:tcW w:w="584" w:type="pct"/>
            <w:tcBorders>
              <w:bottom w:val="single" w:sz="4" w:space="0" w:color="auto"/>
            </w:tcBorders>
            <w:vAlign w:val="bottom"/>
          </w:tcPr>
          <w:p w:rsidR="004A3868" w:rsidRDefault="003F1AB5">
            <w:pPr>
              <w:pStyle w:val="afff7"/>
            </w:pPr>
            <w:r>
              <w:t xml:space="preserve"> 70.57 </w:t>
            </w:r>
          </w:p>
        </w:tc>
        <w:tc>
          <w:tcPr>
            <w:tcW w:w="802" w:type="pct"/>
            <w:tcBorders>
              <w:bottom w:val="single" w:sz="4" w:space="0" w:color="auto"/>
            </w:tcBorders>
            <w:vAlign w:val="bottom"/>
          </w:tcPr>
          <w:p w:rsidR="004A3868" w:rsidRDefault="003F1AB5">
            <w:pPr>
              <w:pStyle w:val="afff7"/>
            </w:pPr>
            <w:r>
              <w:t xml:space="preserve"> 85,008.60 </w:t>
            </w:r>
          </w:p>
        </w:tc>
        <w:tc>
          <w:tcPr>
            <w:tcW w:w="545" w:type="pct"/>
            <w:tcBorders>
              <w:bottom w:val="single" w:sz="4" w:space="0" w:color="auto"/>
            </w:tcBorders>
            <w:vAlign w:val="bottom"/>
          </w:tcPr>
          <w:p w:rsidR="004A3868" w:rsidRDefault="003F1AB5">
            <w:pPr>
              <w:pStyle w:val="afff7"/>
            </w:pPr>
            <w:r>
              <w:t xml:space="preserve"> 75.20 </w:t>
            </w:r>
          </w:p>
        </w:tc>
        <w:tc>
          <w:tcPr>
            <w:tcW w:w="532" w:type="pct"/>
            <w:tcBorders>
              <w:bottom w:val="single" w:sz="4" w:space="0" w:color="auto"/>
            </w:tcBorders>
            <w:vAlign w:val="bottom"/>
          </w:tcPr>
          <w:p w:rsidR="004A3868" w:rsidRDefault="003F1AB5">
            <w:pPr>
              <w:pStyle w:val="afff7"/>
            </w:pPr>
            <w:r>
              <w:t xml:space="preserve"> -13.71 </w:t>
            </w:r>
          </w:p>
        </w:tc>
        <w:tc>
          <w:tcPr>
            <w:tcW w:w="492" w:type="pct"/>
            <w:tcBorders>
              <w:bottom w:val="single" w:sz="4" w:space="0" w:color="auto"/>
            </w:tcBorders>
            <w:vAlign w:val="bottom"/>
          </w:tcPr>
          <w:p w:rsidR="004A3868" w:rsidRDefault="004A3868">
            <w:pPr>
              <w:pStyle w:val="afff7"/>
            </w:pPr>
          </w:p>
        </w:tc>
      </w:tr>
      <w:tr w:rsidR="004A3868">
        <w:trPr>
          <w:trHeight w:val="165"/>
          <w:jc w:val="center"/>
        </w:trPr>
        <w:tc>
          <w:tcPr>
            <w:tcW w:w="643" w:type="pct"/>
            <w:vMerge/>
            <w:vAlign w:val="bottom"/>
          </w:tcPr>
          <w:p w:rsidR="004A3868" w:rsidRDefault="004A3868">
            <w:pPr>
              <w:pStyle w:val="afff9"/>
            </w:pPr>
          </w:p>
        </w:tc>
        <w:tc>
          <w:tcPr>
            <w:tcW w:w="600" w:type="pct"/>
            <w:tcBorders>
              <w:bottom w:val="single" w:sz="4" w:space="0" w:color="auto"/>
            </w:tcBorders>
            <w:vAlign w:val="bottom"/>
          </w:tcPr>
          <w:p w:rsidR="004A3868" w:rsidRDefault="003F1AB5">
            <w:pPr>
              <w:pStyle w:val="Style842"/>
              <w:rPr>
                <w:sz w:val="21"/>
                <w:szCs w:val="21"/>
              </w:rPr>
            </w:pPr>
            <w:r>
              <w:rPr>
                <w:sz w:val="21"/>
                <w:szCs w:val="21"/>
              </w:rPr>
              <w:t>直接人工</w:t>
            </w:r>
          </w:p>
        </w:tc>
        <w:tc>
          <w:tcPr>
            <w:tcW w:w="802" w:type="pct"/>
            <w:tcBorders>
              <w:bottom w:val="single" w:sz="4" w:space="0" w:color="auto"/>
            </w:tcBorders>
            <w:vAlign w:val="bottom"/>
          </w:tcPr>
          <w:p w:rsidR="004A3868" w:rsidRDefault="003F1AB5">
            <w:pPr>
              <w:pStyle w:val="afff7"/>
            </w:pPr>
            <w:r>
              <w:t xml:space="preserve"> 1,483.40 </w:t>
            </w:r>
          </w:p>
        </w:tc>
        <w:tc>
          <w:tcPr>
            <w:tcW w:w="584" w:type="pct"/>
            <w:tcBorders>
              <w:bottom w:val="single" w:sz="4" w:space="0" w:color="auto"/>
            </w:tcBorders>
            <w:vAlign w:val="bottom"/>
          </w:tcPr>
          <w:p w:rsidR="004A3868" w:rsidRDefault="003F1AB5">
            <w:pPr>
              <w:pStyle w:val="afff7"/>
            </w:pPr>
            <w:r>
              <w:t xml:space="preserve"> 1.43 </w:t>
            </w:r>
          </w:p>
        </w:tc>
        <w:tc>
          <w:tcPr>
            <w:tcW w:w="802" w:type="pct"/>
            <w:tcBorders>
              <w:bottom w:val="single" w:sz="4" w:space="0" w:color="auto"/>
            </w:tcBorders>
            <w:vAlign w:val="bottom"/>
          </w:tcPr>
          <w:p w:rsidR="004A3868" w:rsidRDefault="003F1AB5">
            <w:pPr>
              <w:pStyle w:val="afff7"/>
            </w:pPr>
            <w:r>
              <w:t xml:space="preserve"> 1,339.20 </w:t>
            </w:r>
          </w:p>
        </w:tc>
        <w:tc>
          <w:tcPr>
            <w:tcW w:w="545" w:type="pct"/>
            <w:tcBorders>
              <w:bottom w:val="single" w:sz="4" w:space="0" w:color="auto"/>
            </w:tcBorders>
            <w:vAlign w:val="bottom"/>
          </w:tcPr>
          <w:p w:rsidR="004A3868" w:rsidRDefault="003F1AB5">
            <w:pPr>
              <w:pStyle w:val="afff7"/>
            </w:pPr>
            <w:r>
              <w:t xml:space="preserve"> 1.18 </w:t>
            </w:r>
          </w:p>
        </w:tc>
        <w:tc>
          <w:tcPr>
            <w:tcW w:w="532" w:type="pct"/>
            <w:tcBorders>
              <w:bottom w:val="single" w:sz="4" w:space="0" w:color="auto"/>
            </w:tcBorders>
            <w:vAlign w:val="bottom"/>
          </w:tcPr>
          <w:p w:rsidR="004A3868" w:rsidRDefault="003F1AB5">
            <w:pPr>
              <w:pStyle w:val="afff7"/>
            </w:pPr>
            <w:r>
              <w:t xml:space="preserve"> 10.77 </w:t>
            </w:r>
          </w:p>
        </w:tc>
        <w:tc>
          <w:tcPr>
            <w:tcW w:w="492" w:type="pct"/>
            <w:tcBorders>
              <w:bottom w:val="single" w:sz="4" w:space="0" w:color="auto"/>
            </w:tcBorders>
            <w:vAlign w:val="bottom"/>
          </w:tcPr>
          <w:p w:rsidR="004A3868" w:rsidRDefault="004A3868">
            <w:pPr>
              <w:pStyle w:val="afff7"/>
            </w:pPr>
          </w:p>
        </w:tc>
      </w:tr>
      <w:tr w:rsidR="004A3868">
        <w:trPr>
          <w:trHeight w:val="165"/>
          <w:jc w:val="center"/>
        </w:trPr>
        <w:tc>
          <w:tcPr>
            <w:tcW w:w="643" w:type="pct"/>
            <w:vMerge/>
            <w:vAlign w:val="bottom"/>
          </w:tcPr>
          <w:p w:rsidR="004A3868" w:rsidRDefault="004A3868">
            <w:pPr>
              <w:pStyle w:val="afff9"/>
            </w:pPr>
          </w:p>
        </w:tc>
        <w:tc>
          <w:tcPr>
            <w:tcW w:w="600" w:type="pct"/>
            <w:tcBorders>
              <w:bottom w:val="single" w:sz="4" w:space="0" w:color="auto"/>
            </w:tcBorders>
            <w:vAlign w:val="bottom"/>
          </w:tcPr>
          <w:p w:rsidR="004A3868" w:rsidRDefault="003F1AB5">
            <w:pPr>
              <w:pStyle w:val="Style842"/>
              <w:rPr>
                <w:sz w:val="21"/>
                <w:szCs w:val="21"/>
              </w:rPr>
            </w:pPr>
            <w:r>
              <w:rPr>
                <w:sz w:val="21"/>
                <w:szCs w:val="21"/>
              </w:rPr>
              <w:t>其他费用</w:t>
            </w:r>
          </w:p>
        </w:tc>
        <w:tc>
          <w:tcPr>
            <w:tcW w:w="802" w:type="pct"/>
            <w:tcBorders>
              <w:bottom w:val="single" w:sz="4" w:space="0" w:color="auto"/>
            </w:tcBorders>
            <w:vAlign w:val="bottom"/>
          </w:tcPr>
          <w:p w:rsidR="004A3868" w:rsidRDefault="003F1AB5">
            <w:pPr>
              <w:pStyle w:val="afff7"/>
            </w:pPr>
            <w:r>
              <w:t xml:space="preserve"> 29,100.98 </w:t>
            </w:r>
          </w:p>
        </w:tc>
        <w:tc>
          <w:tcPr>
            <w:tcW w:w="584" w:type="pct"/>
            <w:tcBorders>
              <w:bottom w:val="single" w:sz="4" w:space="0" w:color="auto"/>
            </w:tcBorders>
            <w:vAlign w:val="bottom"/>
          </w:tcPr>
          <w:p w:rsidR="004A3868" w:rsidRDefault="003F1AB5">
            <w:pPr>
              <w:pStyle w:val="afff7"/>
            </w:pPr>
            <w:r>
              <w:t xml:space="preserve"> 28.00 </w:t>
            </w:r>
          </w:p>
        </w:tc>
        <w:tc>
          <w:tcPr>
            <w:tcW w:w="802" w:type="pct"/>
            <w:tcBorders>
              <w:bottom w:val="single" w:sz="4" w:space="0" w:color="auto"/>
            </w:tcBorders>
            <w:vAlign w:val="bottom"/>
          </w:tcPr>
          <w:p w:rsidR="004A3868" w:rsidRDefault="003F1AB5">
            <w:pPr>
              <w:pStyle w:val="afff7"/>
            </w:pPr>
            <w:r>
              <w:t xml:space="preserve"> 26,692.74 </w:t>
            </w:r>
          </w:p>
        </w:tc>
        <w:tc>
          <w:tcPr>
            <w:tcW w:w="545" w:type="pct"/>
            <w:tcBorders>
              <w:bottom w:val="single" w:sz="4" w:space="0" w:color="auto"/>
            </w:tcBorders>
            <w:vAlign w:val="bottom"/>
          </w:tcPr>
          <w:p w:rsidR="004A3868" w:rsidRDefault="003F1AB5">
            <w:pPr>
              <w:pStyle w:val="afff7"/>
            </w:pPr>
            <w:r>
              <w:t xml:space="preserve"> 23.61 </w:t>
            </w:r>
          </w:p>
        </w:tc>
        <w:tc>
          <w:tcPr>
            <w:tcW w:w="532" w:type="pct"/>
            <w:tcBorders>
              <w:bottom w:val="single" w:sz="4" w:space="0" w:color="auto"/>
            </w:tcBorders>
            <w:vAlign w:val="bottom"/>
          </w:tcPr>
          <w:p w:rsidR="004A3868" w:rsidRDefault="003F1AB5">
            <w:pPr>
              <w:pStyle w:val="afff7"/>
            </w:pPr>
            <w:r>
              <w:t xml:space="preserve"> 9.02 </w:t>
            </w:r>
          </w:p>
        </w:tc>
        <w:tc>
          <w:tcPr>
            <w:tcW w:w="492" w:type="pct"/>
            <w:tcBorders>
              <w:bottom w:val="single" w:sz="4" w:space="0" w:color="auto"/>
            </w:tcBorders>
            <w:vAlign w:val="bottom"/>
          </w:tcPr>
          <w:p w:rsidR="004A3868" w:rsidRDefault="004A3868">
            <w:pPr>
              <w:pStyle w:val="afff7"/>
            </w:pPr>
          </w:p>
        </w:tc>
      </w:tr>
      <w:tr w:rsidR="004A3868">
        <w:trPr>
          <w:trHeight w:val="165"/>
          <w:jc w:val="center"/>
        </w:trPr>
        <w:tc>
          <w:tcPr>
            <w:tcW w:w="643" w:type="pct"/>
            <w:vMerge/>
            <w:tcBorders>
              <w:bottom w:val="single" w:sz="4" w:space="0" w:color="auto"/>
            </w:tcBorders>
            <w:vAlign w:val="bottom"/>
          </w:tcPr>
          <w:p w:rsidR="004A3868" w:rsidRDefault="004A3868">
            <w:pPr>
              <w:pStyle w:val="afff9"/>
            </w:pPr>
          </w:p>
        </w:tc>
        <w:tc>
          <w:tcPr>
            <w:tcW w:w="600" w:type="pct"/>
            <w:tcBorders>
              <w:bottom w:val="single" w:sz="4" w:space="0" w:color="auto"/>
            </w:tcBorders>
            <w:vAlign w:val="bottom"/>
          </w:tcPr>
          <w:p w:rsidR="004A3868" w:rsidRDefault="003F1AB5">
            <w:pPr>
              <w:pStyle w:val="Style842"/>
              <w:rPr>
                <w:sz w:val="21"/>
                <w:szCs w:val="21"/>
              </w:rPr>
            </w:pPr>
            <w:r>
              <w:rPr>
                <w:sz w:val="21"/>
                <w:szCs w:val="21"/>
              </w:rPr>
              <w:t>小计</w:t>
            </w:r>
          </w:p>
        </w:tc>
        <w:tc>
          <w:tcPr>
            <w:tcW w:w="802" w:type="pct"/>
            <w:tcBorders>
              <w:bottom w:val="single" w:sz="4" w:space="0" w:color="auto"/>
            </w:tcBorders>
            <w:vAlign w:val="bottom"/>
          </w:tcPr>
          <w:p w:rsidR="004A3868" w:rsidRDefault="003F1AB5">
            <w:pPr>
              <w:pStyle w:val="afff7"/>
            </w:pPr>
            <w:r>
              <w:t xml:space="preserve"> 103,938.02 </w:t>
            </w:r>
          </w:p>
        </w:tc>
        <w:tc>
          <w:tcPr>
            <w:tcW w:w="584" w:type="pct"/>
            <w:tcBorders>
              <w:bottom w:val="single" w:sz="4" w:space="0" w:color="auto"/>
            </w:tcBorders>
            <w:vAlign w:val="bottom"/>
          </w:tcPr>
          <w:p w:rsidR="004A3868" w:rsidRDefault="003F1AB5">
            <w:pPr>
              <w:pStyle w:val="afff7"/>
            </w:pPr>
            <w:r>
              <w:t xml:space="preserve"> 100.00 </w:t>
            </w:r>
          </w:p>
        </w:tc>
        <w:tc>
          <w:tcPr>
            <w:tcW w:w="802" w:type="pct"/>
            <w:tcBorders>
              <w:bottom w:val="single" w:sz="4" w:space="0" w:color="auto"/>
            </w:tcBorders>
            <w:vAlign w:val="bottom"/>
          </w:tcPr>
          <w:p w:rsidR="004A3868" w:rsidRDefault="003F1AB5">
            <w:pPr>
              <w:pStyle w:val="afff7"/>
            </w:pPr>
            <w:r>
              <w:t xml:space="preserve"> 113,040.53 </w:t>
            </w:r>
          </w:p>
        </w:tc>
        <w:tc>
          <w:tcPr>
            <w:tcW w:w="545" w:type="pct"/>
            <w:tcBorders>
              <w:bottom w:val="single" w:sz="4" w:space="0" w:color="auto"/>
            </w:tcBorders>
            <w:vAlign w:val="bottom"/>
          </w:tcPr>
          <w:p w:rsidR="004A3868" w:rsidRDefault="003F1AB5">
            <w:pPr>
              <w:pStyle w:val="afff7"/>
            </w:pPr>
            <w:r>
              <w:t xml:space="preserve"> 100.00 </w:t>
            </w:r>
          </w:p>
        </w:tc>
        <w:tc>
          <w:tcPr>
            <w:tcW w:w="532" w:type="pct"/>
            <w:tcBorders>
              <w:bottom w:val="single" w:sz="4" w:space="0" w:color="auto"/>
            </w:tcBorders>
            <w:vAlign w:val="bottom"/>
          </w:tcPr>
          <w:p w:rsidR="004A3868" w:rsidRDefault="003F1AB5">
            <w:pPr>
              <w:pStyle w:val="afff7"/>
            </w:pPr>
            <w:r>
              <w:t xml:space="preserve"> -8.05 </w:t>
            </w:r>
          </w:p>
        </w:tc>
        <w:tc>
          <w:tcPr>
            <w:tcW w:w="492" w:type="pct"/>
            <w:tcBorders>
              <w:bottom w:val="single" w:sz="4" w:space="0" w:color="auto"/>
            </w:tcBorders>
            <w:vAlign w:val="bottom"/>
          </w:tcPr>
          <w:p w:rsidR="004A3868" w:rsidRDefault="004A3868">
            <w:pPr>
              <w:pStyle w:val="afffb"/>
            </w:pPr>
          </w:p>
        </w:tc>
      </w:tr>
      <w:tr w:rsidR="004A3868">
        <w:trPr>
          <w:trHeight w:val="165"/>
          <w:jc w:val="center"/>
        </w:trPr>
        <w:tc>
          <w:tcPr>
            <w:tcW w:w="643" w:type="pct"/>
            <w:vMerge w:val="restart"/>
            <w:vAlign w:val="bottom"/>
          </w:tcPr>
          <w:p w:rsidR="004A3868" w:rsidRDefault="003F1AB5">
            <w:pPr>
              <w:pStyle w:val="afff9"/>
            </w:pPr>
            <w:r>
              <w:rPr>
                <w:rFonts w:hint="eastAsia"/>
              </w:rPr>
              <w:t>输配电及控制设备</w:t>
            </w:r>
          </w:p>
        </w:tc>
        <w:tc>
          <w:tcPr>
            <w:tcW w:w="600" w:type="pct"/>
            <w:tcBorders>
              <w:bottom w:val="single" w:sz="4" w:space="0" w:color="auto"/>
            </w:tcBorders>
            <w:vAlign w:val="bottom"/>
          </w:tcPr>
          <w:p w:rsidR="004A3868" w:rsidRDefault="003F1AB5">
            <w:pPr>
              <w:pStyle w:val="Style842"/>
              <w:rPr>
                <w:sz w:val="21"/>
                <w:szCs w:val="21"/>
              </w:rPr>
            </w:pPr>
            <w:r>
              <w:rPr>
                <w:sz w:val="21"/>
                <w:szCs w:val="21"/>
              </w:rPr>
              <w:t>直接材料</w:t>
            </w:r>
          </w:p>
        </w:tc>
        <w:tc>
          <w:tcPr>
            <w:tcW w:w="802" w:type="pct"/>
            <w:tcBorders>
              <w:bottom w:val="single" w:sz="4" w:space="0" w:color="auto"/>
            </w:tcBorders>
            <w:vAlign w:val="bottom"/>
          </w:tcPr>
          <w:p w:rsidR="004A3868" w:rsidRDefault="003F1AB5">
            <w:pPr>
              <w:pStyle w:val="afff7"/>
            </w:pPr>
            <w:r>
              <w:t xml:space="preserve"> 100,764.82 </w:t>
            </w:r>
          </w:p>
        </w:tc>
        <w:tc>
          <w:tcPr>
            <w:tcW w:w="584" w:type="pct"/>
            <w:tcBorders>
              <w:bottom w:val="single" w:sz="4" w:space="0" w:color="auto"/>
            </w:tcBorders>
            <w:vAlign w:val="bottom"/>
          </w:tcPr>
          <w:p w:rsidR="004A3868" w:rsidRDefault="003F1AB5">
            <w:pPr>
              <w:pStyle w:val="afff7"/>
            </w:pPr>
            <w:r>
              <w:t xml:space="preserve"> 87.93 </w:t>
            </w:r>
          </w:p>
        </w:tc>
        <w:tc>
          <w:tcPr>
            <w:tcW w:w="802" w:type="pct"/>
            <w:tcBorders>
              <w:bottom w:val="single" w:sz="4" w:space="0" w:color="auto"/>
            </w:tcBorders>
            <w:vAlign w:val="bottom"/>
          </w:tcPr>
          <w:p w:rsidR="004A3868" w:rsidRDefault="003F1AB5">
            <w:pPr>
              <w:pStyle w:val="afff7"/>
            </w:pPr>
            <w:r>
              <w:t xml:space="preserve"> 71,632.47 </w:t>
            </w:r>
          </w:p>
        </w:tc>
        <w:tc>
          <w:tcPr>
            <w:tcW w:w="545" w:type="pct"/>
            <w:tcBorders>
              <w:bottom w:val="single" w:sz="4" w:space="0" w:color="auto"/>
            </w:tcBorders>
            <w:vAlign w:val="bottom"/>
          </w:tcPr>
          <w:p w:rsidR="004A3868" w:rsidRDefault="003F1AB5">
            <w:pPr>
              <w:pStyle w:val="afff7"/>
            </w:pPr>
            <w:r>
              <w:t xml:space="preserve"> 86.08 </w:t>
            </w:r>
          </w:p>
        </w:tc>
        <w:tc>
          <w:tcPr>
            <w:tcW w:w="532" w:type="pct"/>
            <w:tcBorders>
              <w:bottom w:val="single" w:sz="4" w:space="0" w:color="auto"/>
            </w:tcBorders>
            <w:vAlign w:val="bottom"/>
          </w:tcPr>
          <w:p w:rsidR="004A3868" w:rsidRDefault="003F1AB5">
            <w:pPr>
              <w:pStyle w:val="afff7"/>
            </w:pPr>
            <w:r>
              <w:t>40.67</w:t>
            </w:r>
          </w:p>
        </w:tc>
        <w:tc>
          <w:tcPr>
            <w:tcW w:w="492" w:type="pct"/>
            <w:tcBorders>
              <w:bottom w:val="single" w:sz="4" w:space="0" w:color="auto"/>
            </w:tcBorders>
            <w:vAlign w:val="bottom"/>
          </w:tcPr>
          <w:p w:rsidR="004A3868" w:rsidRDefault="003F1AB5">
            <w:pPr>
              <w:pStyle w:val="afffb"/>
            </w:pPr>
            <w:r>
              <w:rPr>
                <w:rFonts w:hint="eastAsia"/>
              </w:rPr>
              <w:t>注</w:t>
            </w:r>
          </w:p>
        </w:tc>
      </w:tr>
      <w:tr w:rsidR="004A3868">
        <w:trPr>
          <w:trHeight w:val="165"/>
          <w:jc w:val="center"/>
        </w:trPr>
        <w:tc>
          <w:tcPr>
            <w:tcW w:w="643" w:type="pct"/>
            <w:vMerge/>
            <w:vAlign w:val="bottom"/>
          </w:tcPr>
          <w:p w:rsidR="004A3868" w:rsidRDefault="004A3868">
            <w:pPr>
              <w:pStyle w:val="Style842"/>
              <w:rPr>
                <w:sz w:val="21"/>
                <w:szCs w:val="21"/>
              </w:rPr>
            </w:pPr>
          </w:p>
        </w:tc>
        <w:tc>
          <w:tcPr>
            <w:tcW w:w="600" w:type="pct"/>
            <w:tcBorders>
              <w:bottom w:val="single" w:sz="4" w:space="0" w:color="auto"/>
            </w:tcBorders>
            <w:vAlign w:val="bottom"/>
          </w:tcPr>
          <w:p w:rsidR="004A3868" w:rsidRDefault="003F1AB5">
            <w:pPr>
              <w:pStyle w:val="Style842"/>
              <w:rPr>
                <w:sz w:val="21"/>
                <w:szCs w:val="21"/>
              </w:rPr>
            </w:pPr>
            <w:r>
              <w:rPr>
                <w:sz w:val="21"/>
                <w:szCs w:val="21"/>
              </w:rPr>
              <w:t>直接人工</w:t>
            </w:r>
          </w:p>
        </w:tc>
        <w:tc>
          <w:tcPr>
            <w:tcW w:w="802" w:type="pct"/>
            <w:tcBorders>
              <w:bottom w:val="single" w:sz="4" w:space="0" w:color="auto"/>
            </w:tcBorders>
            <w:vAlign w:val="bottom"/>
          </w:tcPr>
          <w:p w:rsidR="004A3868" w:rsidRDefault="003F1AB5">
            <w:pPr>
              <w:pStyle w:val="afff7"/>
            </w:pPr>
            <w:r>
              <w:t xml:space="preserve"> 5,318.09 </w:t>
            </w:r>
          </w:p>
        </w:tc>
        <w:tc>
          <w:tcPr>
            <w:tcW w:w="584" w:type="pct"/>
            <w:tcBorders>
              <w:bottom w:val="single" w:sz="4" w:space="0" w:color="auto"/>
            </w:tcBorders>
            <w:vAlign w:val="bottom"/>
          </w:tcPr>
          <w:p w:rsidR="004A3868" w:rsidRDefault="003F1AB5">
            <w:pPr>
              <w:pStyle w:val="afff7"/>
            </w:pPr>
            <w:r>
              <w:t xml:space="preserve"> 4.64 </w:t>
            </w:r>
          </w:p>
        </w:tc>
        <w:tc>
          <w:tcPr>
            <w:tcW w:w="802" w:type="pct"/>
            <w:tcBorders>
              <w:bottom w:val="single" w:sz="4" w:space="0" w:color="auto"/>
            </w:tcBorders>
            <w:vAlign w:val="bottom"/>
          </w:tcPr>
          <w:p w:rsidR="004A3868" w:rsidRDefault="003F1AB5">
            <w:pPr>
              <w:pStyle w:val="afff7"/>
            </w:pPr>
            <w:r>
              <w:t xml:space="preserve"> 3,926.70 </w:t>
            </w:r>
          </w:p>
        </w:tc>
        <w:tc>
          <w:tcPr>
            <w:tcW w:w="545" w:type="pct"/>
            <w:tcBorders>
              <w:bottom w:val="single" w:sz="4" w:space="0" w:color="auto"/>
            </w:tcBorders>
            <w:vAlign w:val="bottom"/>
          </w:tcPr>
          <w:p w:rsidR="004A3868" w:rsidRDefault="003F1AB5">
            <w:pPr>
              <w:pStyle w:val="afff7"/>
            </w:pPr>
            <w:r>
              <w:t xml:space="preserve"> 4.72 </w:t>
            </w:r>
          </w:p>
        </w:tc>
        <w:tc>
          <w:tcPr>
            <w:tcW w:w="532" w:type="pct"/>
            <w:tcBorders>
              <w:bottom w:val="single" w:sz="4" w:space="0" w:color="auto"/>
            </w:tcBorders>
            <w:vAlign w:val="bottom"/>
          </w:tcPr>
          <w:p w:rsidR="004A3868" w:rsidRDefault="003F1AB5">
            <w:pPr>
              <w:pStyle w:val="afff7"/>
            </w:pPr>
            <w:r>
              <w:t>35.43</w:t>
            </w:r>
          </w:p>
        </w:tc>
        <w:tc>
          <w:tcPr>
            <w:tcW w:w="492" w:type="pct"/>
            <w:tcBorders>
              <w:bottom w:val="single" w:sz="4" w:space="0" w:color="auto"/>
            </w:tcBorders>
            <w:vAlign w:val="bottom"/>
          </w:tcPr>
          <w:p w:rsidR="004A3868" w:rsidRDefault="003F1AB5">
            <w:pPr>
              <w:pStyle w:val="afffb"/>
            </w:pPr>
            <w:r>
              <w:rPr>
                <w:rFonts w:hint="eastAsia"/>
              </w:rPr>
              <w:t>注</w:t>
            </w:r>
          </w:p>
        </w:tc>
      </w:tr>
      <w:tr w:rsidR="004A3868">
        <w:trPr>
          <w:trHeight w:val="165"/>
          <w:jc w:val="center"/>
        </w:trPr>
        <w:tc>
          <w:tcPr>
            <w:tcW w:w="643" w:type="pct"/>
            <w:vMerge/>
            <w:vAlign w:val="bottom"/>
          </w:tcPr>
          <w:p w:rsidR="004A3868" w:rsidRDefault="004A3868">
            <w:pPr>
              <w:pStyle w:val="Style842"/>
              <w:rPr>
                <w:sz w:val="21"/>
                <w:szCs w:val="21"/>
              </w:rPr>
            </w:pPr>
          </w:p>
        </w:tc>
        <w:tc>
          <w:tcPr>
            <w:tcW w:w="600" w:type="pct"/>
            <w:tcBorders>
              <w:bottom w:val="single" w:sz="4" w:space="0" w:color="auto"/>
            </w:tcBorders>
            <w:vAlign w:val="bottom"/>
          </w:tcPr>
          <w:p w:rsidR="004A3868" w:rsidRDefault="003F1AB5">
            <w:pPr>
              <w:pStyle w:val="Style842"/>
              <w:rPr>
                <w:sz w:val="21"/>
                <w:szCs w:val="21"/>
              </w:rPr>
            </w:pPr>
            <w:r>
              <w:rPr>
                <w:sz w:val="21"/>
                <w:szCs w:val="21"/>
              </w:rPr>
              <w:t>其他费用</w:t>
            </w:r>
          </w:p>
        </w:tc>
        <w:tc>
          <w:tcPr>
            <w:tcW w:w="802" w:type="pct"/>
            <w:tcBorders>
              <w:bottom w:val="single" w:sz="4" w:space="0" w:color="auto"/>
            </w:tcBorders>
            <w:vAlign w:val="bottom"/>
          </w:tcPr>
          <w:p w:rsidR="004A3868" w:rsidRDefault="003F1AB5">
            <w:pPr>
              <w:pStyle w:val="afff7"/>
            </w:pPr>
            <w:r>
              <w:t xml:space="preserve"> 8,508.77 </w:t>
            </w:r>
          </w:p>
        </w:tc>
        <w:tc>
          <w:tcPr>
            <w:tcW w:w="584" w:type="pct"/>
            <w:tcBorders>
              <w:bottom w:val="single" w:sz="4" w:space="0" w:color="auto"/>
            </w:tcBorders>
            <w:vAlign w:val="bottom"/>
          </w:tcPr>
          <w:p w:rsidR="004A3868" w:rsidRDefault="003F1AB5">
            <w:pPr>
              <w:pStyle w:val="afff7"/>
            </w:pPr>
            <w:r>
              <w:t xml:space="preserve"> 7.43 </w:t>
            </w:r>
          </w:p>
        </w:tc>
        <w:tc>
          <w:tcPr>
            <w:tcW w:w="802" w:type="pct"/>
            <w:tcBorders>
              <w:bottom w:val="single" w:sz="4" w:space="0" w:color="auto"/>
            </w:tcBorders>
            <w:vAlign w:val="bottom"/>
          </w:tcPr>
          <w:p w:rsidR="004A3868" w:rsidRDefault="003F1AB5">
            <w:pPr>
              <w:pStyle w:val="afff7"/>
            </w:pPr>
            <w:r>
              <w:t xml:space="preserve"> 7,653.27 </w:t>
            </w:r>
          </w:p>
        </w:tc>
        <w:tc>
          <w:tcPr>
            <w:tcW w:w="545" w:type="pct"/>
            <w:tcBorders>
              <w:bottom w:val="single" w:sz="4" w:space="0" w:color="auto"/>
            </w:tcBorders>
            <w:vAlign w:val="bottom"/>
          </w:tcPr>
          <w:p w:rsidR="004A3868" w:rsidRDefault="003F1AB5">
            <w:pPr>
              <w:pStyle w:val="afff7"/>
            </w:pPr>
            <w:r>
              <w:t xml:space="preserve"> 9.20 </w:t>
            </w:r>
          </w:p>
        </w:tc>
        <w:tc>
          <w:tcPr>
            <w:tcW w:w="532" w:type="pct"/>
            <w:tcBorders>
              <w:bottom w:val="single" w:sz="4" w:space="0" w:color="auto"/>
            </w:tcBorders>
            <w:vAlign w:val="bottom"/>
          </w:tcPr>
          <w:p w:rsidR="004A3868" w:rsidRDefault="003F1AB5">
            <w:pPr>
              <w:pStyle w:val="afff7"/>
            </w:pPr>
            <w:r>
              <w:t>11.18</w:t>
            </w:r>
          </w:p>
        </w:tc>
        <w:tc>
          <w:tcPr>
            <w:tcW w:w="492" w:type="pct"/>
            <w:tcBorders>
              <w:bottom w:val="single" w:sz="4" w:space="0" w:color="auto"/>
            </w:tcBorders>
            <w:vAlign w:val="bottom"/>
          </w:tcPr>
          <w:p w:rsidR="004A3868" w:rsidRDefault="004A3868">
            <w:pPr>
              <w:pStyle w:val="Style834"/>
            </w:pPr>
          </w:p>
        </w:tc>
      </w:tr>
      <w:tr w:rsidR="004A3868">
        <w:trPr>
          <w:trHeight w:val="165"/>
          <w:jc w:val="center"/>
        </w:trPr>
        <w:tc>
          <w:tcPr>
            <w:tcW w:w="643" w:type="pct"/>
            <w:vMerge/>
            <w:tcBorders>
              <w:bottom w:val="single" w:sz="4" w:space="0" w:color="auto"/>
            </w:tcBorders>
            <w:vAlign w:val="bottom"/>
          </w:tcPr>
          <w:p w:rsidR="004A3868" w:rsidRDefault="004A3868">
            <w:pPr>
              <w:pStyle w:val="Style842"/>
              <w:rPr>
                <w:sz w:val="21"/>
                <w:szCs w:val="21"/>
              </w:rPr>
            </w:pPr>
          </w:p>
        </w:tc>
        <w:tc>
          <w:tcPr>
            <w:tcW w:w="600" w:type="pct"/>
            <w:tcBorders>
              <w:bottom w:val="single" w:sz="4" w:space="0" w:color="auto"/>
            </w:tcBorders>
            <w:vAlign w:val="bottom"/>
          </w:tcPr>
          <w:p w:rsidR="004A3868" w:rsidRDefault="003F1AB5">
            <w:pPr>
              <w:pStyle w:val="Style842"/>
              <w:rPr>
                <w:sz w:val="21"/>
                <w:szCs w:val="21"/>
              </w:rPr>
            </w:pPr>
            <w:r>
              <w:rPr>
                <w:sz w:val="21"/>
                <w:szCs w:val="21"/>
              </w:rPr>
              <w:t>小计</w:t>
            </w:r>
          </w:p>
        </w:tc>
        <w:tc>
          <w:tcPr>
            <w:tcW w:w="802" w:type="pct"/>
            <w:tcBorders>
              <w:bottom w:val="single" w:sz="4" w:space="0" w:color="auto"/>
            </w:tcBorders>
            <w:vAlign w:val="bottom"/>
          </w:tcPr>
          <w:p w:rsidR="004A3868" w:rsidRDefault="003F1AB5">
            <w:pPr>
              <w:pStyle w:val="afff7"/>
            </w:pPr>
            <w:r>
              <w:t xml:space="preserve"> 114,591.67 </w:t>
            </w:r>
          </w:p>
        </w:tc>
        <w:tc>
          <w:tcPr>
            <w:tcW w:w="584" w:type="pct"/>
            <w:tcBorders>
              <w:bottom w:val="single" w:sz="4" w:space="0" w:color="auto"/>
            </w:tcBorders>
            <w:vAlign w:val="bottom"/>
          </w:tcPr>
          <w:p w:rsidR="004A3868" w:rsidRDefault="003F1AB5">
            <w:pPr>
              <w:pStyle w:val="afff7"/>
            </w:pPr>
            <w:r>
              <w:t xml:space="preserve"> 100.00 </w:t>
            </w:r>
          </w:p>
        </w:tc>
        <w:tc>
          <w:tcPr>
            <w:tcW w:w="802" w:type="pct"/>
            <w:tcBorders>
              <w:bottom w:val="single" w:sz="4" w:space="0" w:color="auto"/>
            </w:tcBorders>
            <w:vAlign w:val="bottom"/>
          </w:tcPr>
          <w:p w:rsidR="004A3868" w:rsidRDefault="003F1AB5">
            <w:pPr>
              <w:pStyle w:val="afff7"/>
            </w:pPr>
            <w:r>
              <w:t xml:space="preserve"> 83,212.43 </w:t>
            </w:r>
          </w:p>
        </w:tc>
        <w:tc>
          <w:tcPr>
            <w:tcW w:w="545" w:type="pct"/>
            <w:tcBorders>
              <w:bottom w:val="single" w:sz="4" w:space="0" w:color="auto"/>
            </w:tcBorders>
            <w:vAlign w:val="bottom"/>
          </w:tcPr>
          <w:p w:rsidR="004A3868" w:rsidRDefault="003F1AB5">
            <w:pPr>
              <w:pStyle w:val="afff7"/>
            </w:pPr>
            <w:r>
              <w:t xml:space="preserve"> 100.00 </w:t>
            </w:r>
          </w:p>
        </w:tc>
        <w:tc>
          <w:tcPr>
            <w:tcW w:w="532" w:type="pct"/>
            <w:tcBorders>
              <w:bottom w:val="single" w:sz="4" w:space="0" w:color="auto"/>
            </w:tcBorders>
            <w:vAlign w:val="bottom"/>
          </w:tcPr>
          <w:p w:rsidR="004A3868" w:rsidRDefault="003F1AB5">
            <w:pPr>
              <w:pStyle w:val="afff7"/>
            </w:pPr>
            <w:r>
              <w:t>37.71</w:t>
            </w:r>
          </w:p>
        </w:tc>
        <w:tc>
          <w:tcPr>
            <w:tcW w:w="492" w:type="pct"/>
            <w:tcBorders>
              <w:bottom w:val="single" w:sz="4" w:space="0" w:color="auto"/>
            </w:tcBorders>
            <w:vAlign w:val="bottom"/>
          </w:tcPr>
          <w:p w:rsidR="004A3868" w:rsidRDefault="004A3868">
            <w:pPr>
              <w:pStyle w:val="afff7"/>
            </w:pPr>
          </w:p>
        </w:tc>
      </w:tr>
    </w:tbl>
    <w:p w:rsidR="004A3868" w:rsidRDefault="004A3868">
      <w:pPr>
        <w:pStyle w:val="Style580"/>
        <w:rPr>
          <w:sz w:val="21"/>
          <w:szCs w:val="21"/>
        </w:rPr>
      </w:pPr>
    </w:p>
    <w:p w:rsidR="004A3868" w:rsidRDefault="003F1AB5">
      <w:pPr>
        <w:pStyle w:val="Style842"/>
        <w:rPr>
          <w:sz w:val="21"/>
          <w:szCs w:val="21"/>
        </w:rPr>
      </w:pPr>
      <w:r>
        <w:rPr>
          <w:rFonts w:hint="eastAsia"/>
          <w:sz w:val="21"/>
          <w:szCs w:val="21"/>
        </w:rPr>
        <w:t>成本分析其他情况说明</w:t>
      </w:r>
    </w:p>
    <w:sdt>
      <w:sdtPr>
        <w:rPr>
          <w:rFonts w:hint="eastAsia"/>
          <w:sz w:val="21"/>
          <w:szCs w:val="21"/>
        </w:rPr>
        <w:alias w:val="成本分析其他情况"/>
        <w:tag w:val="_GBC_93fdd34ed0d546d3bf448336c6187b3a"/>
        <w:id w:val="-1137951083"/>
        <w:placeholder>
          <w:docPart w:val="GBC22222222222222222222222222222"/>
        </w:placeholder>
      </w:sdtPr>
      <w:sdtEndPr/>
      <w:sdtContent>
        <w:p w:rsidR="004A3868" w:rsidRDefault="003F1AB5">
          <w:pPr>
            <w:pStyle w:val="Style842"/>
            <w:rPr>
              <w:sz w:val="21"/>
              <w:szCs w:val="21"/>
            </w:rPr>
          </w:pPr>
          <w:r>
            <w:rPr>
              <w:rFonts w:hint="eastAsia"/>
              <w:sz w:val="21"/>
              <w:szCs w:val="21"/>
            </w:rPr>
            <w:t>注：主要系输配电及控制设备营业收入规模增加导致材料成本增加所致。</w:t>
          </w:r>
        </w:p>
      </w:sdtContent>
    </w:sdt>
    <w:p w:rsidR="004A3868" w:rsidRDefault="003F1AB5">
      <w:pPr>
        <w:pStyle w:val="Style830"/>
        <w:rPr>
          <w:sz w:val="21"/>
          <w:szCs w:val="21"/>
        </w:rPr>
      </w:pPr>
      <w:r>
        <w:rPr>
          <w:sz w:val="21"/>
          <w:szCs w:val="21"/>
        </w:rPr>
        <w:t>报告期主要子公司股权变动导致合并范围变化</w:t>
      </w:r>
    </w:p>
    <w:bookmarkStart w:id="28" w:name="_Hlk89876513" w:displacedByCustomXml="next"/>
    <w:sdt>
      <w:sdtPr>
        <w:rPr>
          <w:sz w:val="21"/>
          <w:szCs w:val="21"/>
        </w:rPr>
        <w:alias w:val="是否适用：报告期主要子公司股权变动导致合并范围变化 [双击切换]"/>
        <w:tag w:val="_GBC_f684be8377fd464e8fc7d9a0e6df7b78"/>
        <w:id w:val="684171168"/>
        <w:lock w:val="sdtLocked"/>
        <w:placeholder>
          <w:docPart w:val="GBC22222222222222222222222222222"/>
        </w:placeholder>
      </w:sdtPr>
      <w:sdtEndPr/>
      <w:sdtContent>
        <w:p w:rsidR="004A3868" w:rsidRDefault="003F1AB5">
          <w:pPr>
            <w:rPr>
              <w:color w:val="333399"/>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830"/>
        <w:rPr>
          <w:sz w:val="21"/>
          <w:szCs w:val="21"/>
        </w:rPr>
      </w:pPr>
      <w:r>
        <w:rPr>
          <w:sz w:val="21"/>
          <w:szCs w:val="21"/>
        </w:rPr>
        <w:t>公司报告期内业务、产品或服务发生重大变化或调整有关情况</w:t>
      </w:r>
    </w:p>
    <w:sdt>
      <w:sdtPr>
        <w:rPr>
          <w:sz w:val="21"/>
          <w:szCs w:val="21"/>
        </w:rPr>
        <w:alias w:val="是否适用：公司报告期内业务、产品或服务发生重大变化或调整有关情况  [双击切换]"/>
        <w:tag w:val="_GBC_f5a966f2eb244fd68a4bc2176691f92b"/>
        <w:id w:val="355854003"/>
        <w:lock w:val="sdtLocked"/>
        <w:placeholder>
          <w:docPart w:val="GBC22222222222222222222222222222"/>
        </w:placeholder>
      </w:sdtPr>
      <w:sdtEndPr/>
      <w:sdtContent>
        <w:p w:rsidR="004A3868" w:rsidRDefault="003F1AB5">
          <w:pPr>
            <w:rPr>
              <w:color w:val="333399"/>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8"/>
    <w:p w:rsidR="004A3868" w:rsidRDefault="003F1AB5">
      <w:pPr>
        <w:pStyle w:val="Style830"/>
        <w:rPr>
          <w:sz w:val="21"/>
          <w:szCs w:val="21"/>
        </w:rPr>
      </w:pPr>
      <w:r>
        <w:rPr>
          <w:sz w:val="21"/>
          <w:szCs w:val="21"/>
        </w:rPr>
        <w:t>主要销售客户及主要供应商情况</w:t>
      </w:r>
    </w:p>
    <w:p w:rsidR="004A3868" w:rsidRDefault="003F1AB5">
      <w:pPr>
        <w:rPr>
          <w:sz w:val="21"/>
          <w:szCs w:val="21"/>
          <w:lang w:val="zh-CN"/>
        </w:rPr>
      </w:pPr>
      <w:r>
        <w:rPr>
          <w:rFonts w:hint="eastAsia"/>
          <w:sz w:val="21"/>
          <w:szCs w:val="21"/>
        </w:rPr>
        <w:t>A.</w:t>
      </w:r>
      <w:r>
        <w:rPr>
          <w:rFonts w:hint="eastAsia"/>
          <w:sz w:val="21"/>
          <w:szCs w:val="21"/>
          <w:lang w:val="zh-CN"/>
        </w:rPr>
        <w:t>公司主要销售客户情况</w:t>
      </w:r>
    </w:p>
    <w:sdt>
      <w:sdtPr>
        <w:alias w:val="是否适用：主要销售客户情况[双击切换]"/>
        <w:tag w:val="_GBC_a2403594b48a40da9560c8bc71e01f56"/>
        <w:id w:val="-841002259"/>
        <w:placeholder>
          <w:docPart w:val="GBC22222222222222222222222222222"/>
        </w:placeholder>
      </w:sdtPr>
      <w:sdtEndPr/>
      <w:sdtContent>
        <w:p w:rsidR="004A3868" w:rsidRDefault="003F1AB5">
          <w:pPr>
            <w:pStyle w:val="Style842"/>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3"/>
        <w:ind w:firstLine="420"/>
      </w:pPr>
      <w:r>
        <w:rPr>
          <w:rFonts w:hint="eastAsia"/>
        </w:rPr>
        <w:t>前五名客户销售额</w:t>
      </w:r>
      <w:sdt>
        <w:sdtPr>
          <w:rPr>
            <w:rFonts w:hint="eastAsia"/>
          </w:rPr>
          <w:alias w:val="前五名客户销售额"/>
          <w:tag w:val="_GBC_e497000fdfbc4e548555b7f8ddf9780c"/>
          <w:id w:val="-1387253114"/>
          <w:placeholder>
            <w:docPart w:val="GBC22222222222222222222222222222"/>
          </w:placeholder>
        </w:sdtPr>
        <w:sdtEndPr/>
        <w:sdtContent>
          <w:r>
            <w:t>76,222.79</w:t>
          </w:r>
        </w:sdtContent>
      </w:sdt>
      <w:sdt>
        <w:sdtPr>
          <w:rPr>
            <w:rFonts w:hint="eastAsia"/>
          </w:rPr>
          <w:alias w:val="单位：前五名客户销售额"/>
          <w:tag w:val="_GBC_4bd6620b209a4bae8dc3404e8b89ea35"/>
          <w:id w:val="-15961653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t>，占年度销售总额</w:t>
      </w:r>
      <w:sdt>
        <w:sdtPr>
          <w:alias w:val="前五名客户销售额占年度销售总额比例"/>
          <w:tag w:val="_GBC_68b3c8b493d04b6c9db16e7e475d7b35"/>
          <w:id w:val="-716972112"/>
          <w:placeholder>
            <w:docPart w:val="GBC22222222222222222222222222222"/>
          </w:placeholder>
        </w:sdtPr>
        <w:sdtEndPr/>
        <w:sdtContent>
          <w:r>
            <w:t>28.05</w:t>
          </w:r>
        </w:sdtContent>
      </w:sdt>
      <w:r>
        <w:t>%；其中前五名客户销售额中关联方销售额</w:t>
      </w:r>
      <w:sdt>
        <w:sdtPr>
          <w:alias w:val="前五名客户销售额中关联方销售额"/>
          <w:tag w:val="_GBC_bfa0971257a44f65996f01cfb0497b07"/>
          <w:id w:val="-570270197"/>
          <w:placeholder>
            <w:docPart w:val="GBC22222222222222222222222222222"/>
          </w:placeholder>
        </w:sdtPr>
        <w:sdtEndPr/>
        <w:sdtContent>
          <w:r>
            <w:t>0</w:t>
          </w:r>
        </w:sdtContent>
      </w:sdt>
      <w:sdt>
        <w:sdtPr>
          <w:alias w:val="单位：前五名客户销售额中关联方销售额"/>
          <w:tag w:val="_GBC_f3c03afc93a5429f9fa45fc25f9018ab"/>
          <w:id w:val="6204926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万元</w:t>
          </w:r>
        </w:sdtContent>
      </w:sdt>
      <w:r>
        <w:t>，占年度销售总额</w:t>
      </w:r>
      <w:sdt>
        <w:sdtPr>
          <w:alias w:val="前五名客户销售额中关联方销售额占年度销售总额比例"/>
          <w:tag w:val="_GBC_a84a9f2fd5cd467fa7226eab846a8fd4"/>
          <w:id w:val="760642555"/>
          <w:placeholder>
            <w:docPart w:val="GBC22222222222222222222222222222"/>
          </w:placeholder>
        </w:sdtPr>
        <w:sdtEndPr/>
        <w:sdtContent>
          <w:r>
            <w:t>0</w:t>
          </w:r>
        </w:sdtContent>
      </w:sdt>
      <w:r>
        <w:t xml:space="preserve"> %。</w:t>
      </w:r>
    </w:p>
    <w:p w:rsidR="004A3868" w:rsidRDefault="003F1AB5">
      <w:pPr>
        <w:pStyle w:val="afff3"/>
        <w:ind w:firstLine="420"/>
      </w:pPr>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663072611"/>
        <w:lock w:val="sdtLocked"/>
        <w:placeholder>
          <w:docPart w:val="GBC22222222222222222222222222222"/>
        </w:placeholder>
      </w:sdtPr>
      <w:sdtEndPr/>
      <w:sdtContent>
        <w:p w:rsidR="004A3868" w:rsidRDefault="003F1AB5">
          <w:pPr>
            <w:rPr>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Cs w:val="21"/>
        </w:rPr>
      </w:pPr>
      <w:r>
        <w:rPr>
          <w:rFonts w:hint="eastAsia"/>
          <w:szCs w:val="21"/>
        </w:rPr>
        <w:t>B.</w:t>
      </w:r>
      <w:r>
        <w:rPr>
          <w:rFonts w:hint="eastAsia"/>
          <w:lang w:val="zh-CN"/>
        </w:rPr>
        <w:t>公司主要供应商情况</w:t>
      </w:r>
    </w:p>
    <w:sdt>
      <w:sdtPr>
        <w:alias w:val="是否适用：主要供应商情况[双击切换]"/>
        <w:tag w:val="_GBC_fea16361481c4fe3babe7fcb670d973f"/>
        <w:id w:val="-1683730921"/>
        <w:placeholder>
          <w:docPart w:val="GBC22222222222222222222222222222"/>
        </w:placeholder>
      </w:sdtPr>
      <w:sdtEndPr/>
      <w:sdtContent>
        <w:p w:rsidR="004A3868" w:rsidRDefault="003F1AB5">
          <w:pPr>
            <w:pStyle w:val="Style842"/>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b/>
        </w:rPr>
        <w:alias w:val="模块:公司主要供应商情况前五名供应商采购额"/>
        <w:tag w:val="_SEC_3a7906474e0b449b832049e5ab89fb92"/>
        <w:id w:val="-1971131893"/>
        <w:lock w:val="sdtLocked"/>
        <w:placeholder>
          <w:docPart w:val="2AA850893639473FA5D8895113258BAA"/>
        </w:placeholder>
      </w:sdtPr>
      <w:sdtEndPr>
        <w:rPr>
          <w:rStyle w:val="afff4"/>
          <w:rFonts w:hint="default"/>
          <w:b w:val="0"/>
          <w:kern w:val="2"/>
          <w:sz w:val="21"/>
          <w:szCs w:val="21"/>
        </w:rPr>
      </w:sdtEndPr>
      <w:sdtContent>
        <w:p w:rsidR="004A3868" w:rsidRDefault="003F1AB5">
          <w:pPr>
            <w:ind w:firstLineChars="200" w:firstLine="482"/>
            <w:rPr>
              <w:rStyle w:val="afff4"/>
              <w:sz w:val="21"/>
              <w:szCs w:val="21"/>
            </w:rPr>
          </w:pPr>
          <w:r>
            <w:rPr>
              <w:rStyle w:val="afff4"/>
              <w:rFonts w:hint="eastAsia"/>
              <w:sz w:val="21"/>
              <w:szCs w:val="21"/>
            </w:rPr>
            <w:t>前五名供应商采购额</w:t>
          </w:r>
          <w:sdt>
            <w:sdtPr>
              <w:rPr>
                <w:rStyle w:val="afff4"/>
                <w:rFonts w:hint="eastAsia"/>
                <w:sz w:val="21"/>
                <w:szCs w:val="21"/>
              </w:rPr>
              <w:alias w:val="前五名供应商采购额"/>
              <w:tag w:val="_GBC_4552254972a04ec6983b359a0f18d4bf"/>
              <w:id w:val="224421362"/>
              <w:lock w:val="sdtLocked"/>
              <w:placeholder>
                <w:docPart w:val="2AA850893639473FA5D8895113258BAA"/>
              </w:placeholder>
            </w:sdtPr>
            <w:sdtEndPr>
              <w:rPr>
                <w:rStyle w:val="afff4"/>
              </w:rPr>
            </w:sdtEndPr>
            <w:sdtContent>
              <w:r>
                <w:rPr>
                  <w:rStyle w:val="afff4"/>
                  <w:sz w:val="21"/>
                  <w:szCs w:val="21"/>
                </w:rPr>
                <w:t>109,256.21</w:t>
              </w:r>
            </w:sdtContent>
          </w:sdt>
          <w:sdt>
            <w:sdtPr>
              <w:rPr>
                <w:rStyle w:val="afff4"/>
                <w:rFonts w:hint="eastAsia"/>
                <w:sz w:val="21"/>
                <w:szCs w:val="21"/>
              </w:rPr>
              <w:alias w:val="单位：前五名供应商采购额"/>
              <w:tag w:val="_GBC_418fcbdb1c1a4643afb7cce014bdeca2"/>
              <w:id w:val="1044187497"/>
              <w:lock w:val="sdtLocked"/>
              <w:placeholder>
                <w:docPart w:val="2AA850893639473FA5D8895113258BAA"/>
              </w:placeholder>
              <w:comboBox>
                <w:listItem w:displayText="元" w:value="1"/>
                <w:listItem w:displayText="千元" w:value="1000"/>
                <w:listItem w:displayText="万元" w:value="10000"/>
                <w:listItem w:displayText="百万元" w:value="1000000"/>
                <w:listItem w:displayText="亿元" w:value="100000000"/>
              </w:comboBox>
            </w:sdtPr>
            <w:sdtEndPr>
              <w:rPr>
                <w:rStyle w:val="afff4"/>
              </w:rPr>
            </w:sdtEndPr>
            <w:sdtContent>
              <w:r>
                <w:rPr>
                  <w:rStyle w:val="afff4"/>
                  <w:rFonts w:hint="eastAsia"/>
                  <w:sz w:val="21"/>
                  <w:szCs w:val="21"/>
                </w:rPr>
                <w:t>万元</w:t>
              </w:r>
            </w:sdtContent>
          </w:sdt>
          <w:r>
            <w:rPr>
              <w:rStyle w:val="afff4"/>
              <w:sz w:val="21"/>
              <w:szCs w:val="21"/>
            </w:rPr>
            <w:t>，占年度采购总额</w:t>
          </w:r>
          <w:sdt>
            <w:sdtPr>
              <w:rPr>
                <w:rStyle w:val="afff4"/>
                <w:sz w:val="21"/>
                <w:szCs w:val="21"/>
              </w:rPr>
              <w:alias w:val="前五名供应商采购额占年度采购总额比例"/>
              <w:tag w:val="_GBC_f32c49f691154cc4b6ba587f4a582958"/>
              <w:id w:val="1571315817"/>
              <w:lock w:val="sdtLocked"/>
              <w:placeholder>
                <w:docPart w:val="2AA850893639473FA5D8895113258BAA"/>
              </w:placeholder>
            </w:sdtPr>
            <w:sdtEndPr>
              <w:rPr>
                <w:rStyle w:val="afff4"/>
              </w:rPr>
            </w:sdtEndPr>
            <w:sdtContent>
              <w:r>
                <w:rPr>
                  <w:rStyle w:val="afff4"/>
                  <w:sz w:val="21"/>
                  <w:szCs w:val="21"/>
                </w:rPr>
                <w:t>52</w:t>
              </w:r>
            </w:sdtContent>
          </w:sdt>
          <w:r>
            <w:rPr>
              <w:rStyle w:val="afff4"/>
              <w:sz w:val="21"/>
              <w:szCs w:val="21"/>
            </w:rPr>
            <w:t>.36%</w:t>
          </w:r>
          <w:r>
            <w:rPr>
              <w:rStyle w:val="afff4"/>
              <w:rFonts w:hint="eastAsia"/>
              <w:sz w:val="21"/>
              <w:szCs w:val="21"/>
            </w:rPr>
            <w:t>，其中前5</w:t>
          </w:r>
          <w:r>
            <w:rPr>
              <w:rStyle w:val="afff4"/>
              <w:sz w:val="21"/>
              <w:szCs w:val="21"/>
            </w:rPr>
            <w:t>名供应商采购额中关联方采购额</w:t>
          </w:r>
          <w:sdt>
            <w:sdtPr>
              <w:rPr>
                <w:rStyle w:val="afff4"/>
                <w:sz w:val="21"/>
                <w:szCs w:val="21"/>
              </w:rPr>
              <w:alias w:val="前五名供应商采购额中关联方采购额"/>
              <w:tag w:val="_GBC_b4791060802442e186017fdd5f31805a"/>
              <w:id w:val="-180898652"/>
              <w:lock w:val="sdtLocked"/>
              <w:placeholder>
                <w:docPart w:val="2AA850893639473FA5D8895113258BAA"/>
              </w:placeholder>
            </w:sdtPr>
            <w:sdtEndPr>
              <w:rPr>
                <w:rStyle w:val="afff4"/>
              </w:rPr>
            </w:sdtEndPr>
            <w:sdtContent>
              <w:r>
                <w:rPr>
                  <w:rStyle w:val="afff4"/>
                  <w:sz w:val="21"/>
                  <w:szCs w:val="21"/>
                </w:rPr>
                <w:t>5,591.42</w:t>
              </w:r>
            </w:sdtContent>
          </w:sdt>
          <w:sdt>
            <w:sdtPr>
              <w:rPr>
                <w:rStyle w:val="afff4"/>
                <w:sz w:val="21"/>
                <w:szCs w:val="21"/>
              </w:rPr>
              <w:alias w:val="单位：前五名供应商采购额中关联方采购额"/>
              <w:tag w:val="_GBC_bac6c3f63a9a4b0db685f5ee8e883818"/>
              <w:id w:val="1735650924"/>
              <w:lock w:val="sdtLocked"/>
              <w:placeholder>
                <w:docPart w:val="2AA850893639473FA5D8895113258BAA"/>
              </w:placeholder>
              <w:comboBox>
                <w:listItem w:displayText="元" w:value="1"/>
                <w:listItem w:displayText="千元" w:value="1000"/>
                <w:listItem w:displayText="万元" w:value="10000"/>
                <w:listItem w:displayText="百万元" w:value="1000000"/>
                <w:listItem w:displayText="亿元" w:value="100000000"/>
              </w:comboBox>
            </w:sdtPr>
            <w:sdtEndPr>
              <w:rPr>
                <w:rStyle w:val="afff4"/>
              </w:rPr>
            </w:sdtEndPr>
            <w:sdtContent>
              <w:r>
                <w:rPr>
                  <w:rStyle w:val="afff4"/>
                  <w:sz w:val="21"/>
                  <w:szCs w:val="21"/>
                </w:rPr>
                <w:t>万元</w:t>
              </w:r>
            </w:sdtContent>
          </w:sdt>
          <w:r>
            <w:rPr>
              <w:rStyle w:val="afff4"/>
              <w:sz w:val="21"/>
              <w:szCs w:val="21"/>
            </w:rPr>
            <w:t>，占年度采购总额</w:t>
          </w:r>
          <w:sdt>
            <w:sdtPr>
              <w:rPr>
                <w:rStyle w:val="afff4"/>
                <w:sz w:val="21"/>
                <w:szCs w:val="21"/>
              </w:rPr>
              <w:alias w:val="前五名供应商采购额中关联方采购额占年度采购总额比例"/>
              <w:tag w:val="_GBC_41b2f0a67a5743e1a4ccf8f427eec0a3"/>
              <w:id w:val="151804326"/>
              <w:lock w:val="sdtLocked"/>
              <w:placeholder>
                <w:docPart w:val="2AA850893639473FA5D8895113258BAA"/>
              </w:placeholder>
            </w:sdtPr>
            <w:sdtEndPr>
              <w:rPr>
                <w:rStyle w:val="afff4"/>
              </w:rPr>
            </w:sdtEndPr>
            <w:sdtContent>
              <w:r>
                <w:rPr>
                  <w:rStyle w:val="afff4"/>
                  <w:sz w:val="21"/>
                  <w:szCs w:val="21"/>
                </w:rPr>
                <w:t>2.68%</w:t>
              </w:r>
            </w:sdtContent>
          </w:sdt>
          <w:r>
            <w:rPr>
              <w:rStyle w:val="afff4"/>
              <w:rFonts w:hint="eastAsia"/>
              <w:sz w:val="21"/>
              <w:szCs w:val="21"/>
            </w:rPr>
            <w:t>。</w:t>
          </w:r>
        </w:p>
      </w:sdtContent>
    </w:sdt>
    <w:sdt>
      <w:sdtPr>
        <w:alias w:val="是否适用：前5名供应商中存在新增供应商的或严重依赖于少数供应商的情形表[双击切换]"/>
        <w:tag w:val="_GBC_1e4a3af63f0f41888dc455d8c1a979a8"/>
        <w:id w:val="125666358"/>
        <w:lock w:val="sdtLocked"/>
        <w:placeholder>
          <w:docPart w:val="GBC22222222222222222222222222222"/>
        </w:placeholder>
      </w:sdtPr>
      <w:sdtEndPr/>
      <w:sdtContent>
        <w:p w:rsidR="004A3868" w:rsidRDefault="003F1AB5">
          <w:pPr>
            <w:rPr>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842"/>
        <w:rPr>
          <w:sz w:val="21"/>
          <w:szCs w:val="21"/>
        </w:rPr>
      </w:pPr>
      <w:r>
        <w:rPr>
          <w:rFonts w:hint="eastAsia"/>
          <w:sz w:val="21"/>
          <w:szCs w:val="21"/>
        </w:rPr>
        <w:t>其他说明</w:t>
      </w:r>
    </w:p>
    <w:sdt>
      <w:sdtPr>
        <w:rPr>
          <w:sz w:val="21"/>
          <w:szCs w:val="21"/>
        </w:rPr>
        <w:alias w:val="主要销售客户及主要供应商情况其他说明"/>
        <w:tag w:val="_GBC_671f841429ed4c5aaa013b86ad58b88f"/>
        <w:id w:val="1735190289"/>
        <w:placeholder>
          <w:docPart w:val="GBC22222222222222222222222222222"/>
        </w:placeholder>
      </w:sdtPr>
      <w:sdtEndPr/>
      <w:sdtContent>
        <w:p w:rsidR="004A3868" w:rsidRDefault="003F1AB5">
          <w:pPr>
            <w:pStyle w:val="Style842"/>
            <w:rPr>
              <w:sz w:val="21"/>
              <w:szCs w:val="21"/>
            </w:rPr>
          </w:pPr>
          <w:r>
            <w:rPr>
              <w:rFonts w:hint="eastAsia"/>
              <w:sz w:val="21"/>
              <w:szCs w:val="21"/>
            </w:rPr>
            <w:t>无</w:t>
          </w:r>
        </w:p>
      </w:sdtContent>
    </w:sdt>
    <w:p w:rsidR="004A3868" w:rsidRDefault="003F1AB5">
      <w:pPr>
        <w:pStyle w:val="Style829"/>
      </w:pPr>
      <w:r>
        <w:rPr>
          <w:rFonts w:hint="eastAsia"/>
        </w:rPr>
        <w:t>费用</w:t>
      </w:r>
    </w:p>
    <w:sdt>
      <w:sdtPr>
        <w:alias w:val="是否适用：费用[双击切换]"/>
        <w:tag w:val="_GBC_fa9cd5e43a8f426c8b793a737190d8db"/>
        <w:id w:val="-650214676"/>
        <w:placeholder>
          <w:docPart w:val="GBC22222222222222222222222222222"/>
        </w:placeholder>
      </w:sdtPr>
      <w:sdtEndPr>
        <w:rPr>
          <w:sz w:val="21"/>
          <w:szCs w:val="21"/>
        </w:rPr>
      </w:sdtEndPr>
      <w:sdtContent>
        <w:p w:rsidR="004A3868" w:rsidRDefault="003F1AB5">
          <w:pPr>
            <w:pStyle w:val="Style580"/>
            <w:rPr>
              <w:sz w:val="21"/>
              <w:szCs w:val="21"/>
            </w:rPr>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 w:val="21"/>
          <w:szCs w:val="21"/>
        </w:rPr>
        <w:alias w:val="费用情况说明"/>
        <w:tag w:val="_GBC_02a46af1e8d349d8b753768e17da35a1"/>
        <w:id w:val="-287895964"/>
        <w:placeholder>
          <w:docPart w:val="GBC22222222222222222222222222222"/>
        </w:placeholder>
      </w:sdtPr>
      <w:sdtEndPr/>
      <w:sdtContent>
        <w:p w:rsidR="004A3868" w:rsidRDefault="003F1AB5">
          <w:pPr>
            <w:pStyle w:val="Style842"/>
            <w:rPr>
              <w:sz w:val="21"/>
              <w:szCs w:val="21"/>
            </w:rPr>
          </w:pPr>
          <w:r>
            <w:rPr>
              <w:rFonts w:hint="eastAsia"/>
              <w:sz w:val="21"/>
              <w:szCs w:val="21"/>
            </w:rPr>
            <w:t>详见第三节、五（一）</w:t>
          </w:r>
          <w:r>
            <w:rPr>
              <w:sz w:val="21"/>
              <w:szCs w:val="21"/>
            </w:rPr>
            <w:t>1</w:t>
          </w:r>
          <w:r>
            <w:rPr>
              <w:rFonts w:hint="eastAsia"/>
              <w:sz w:val="21"/>
              <w:szCs w:val="21"/>
            </w:rPr>
            <w:t xml:space="preserve"> “</w:t>
          </w:r>
          <w:r>
            <w:rPr>
              <w:sz w:val="21"/>
              <w:szCs w:val="21"/>
            </w:rPr>
            <w:t>利润表及现金流量表相关科目变动分析表”。</w:t>
          </w:r>
        </w:p>
      </w:sdtContent>
    </w:sdt>
    <w:p w:rsidR="004A3868" w:rsidRDefault="003F1AB5">
      <w:pPr>
        <w:pStyle w:val="Style829"/>
        <w:rPr>
          <w:rStyle w:val="Style593"/>
          <w:b/>
          <w:bCs/>
          <w:szCs w:val="21"/>
        </w:rPr>
      </w:pPr>
      <w:r>
        <w:rPr>
          <w:rFonts w:hint="eastAsia"/>
        </w:rPr>
        <w:t>研发投入</w:t>
      </w:r>
    </w:p>
    <w:p w:rsidR="004A3868" w:rsidRDefault="003F1AB5">
      <w:pPr>
        <w:pStyle w:val="Style607"/>
        <w:rPr>
          <w:rStyle w:val="Style593"/>
          <w:szCs w:val="21"/>
        </w:rPr>
      </w:pPr>
      <w:r>
        <w:rPr>
          <w:rStyle w:val="Style593"/>
          <w:szCs w:val="21"/>
        </w:rPr>
        <w:t>研发</w:t>
      </w:r>
      <w:r>
        <w:rPr>
          <w:rStyle w:val="Style593"/>
          <w:rFonts w:hint="eastAsia"/>
          <w:szCs w:val="21"/>
        </w:rPr>
        <w:t>投入</w:t>
      </w:r>
      <w:r>
        <w:rPr>
          <w:rStyle w:val="Style593"/>
          <w:szCs w:val="21"/>
        </w:rPr>
        <w:t>情况表</w:t>
      </w:r>
    </w:p>
    <w:sdt>
      <w:sdtPr>
        <w:rPr>
          <w:rStyle w:val="Style593"/>
          <w:rFonts w:hint="eastAsia"/>
          <w:b w:val="0"/>
          <w:szCs w:val="21"/>
        </w:rPr>
        <w:alias w:val="是否适用：研发投入情况表[双击切换]"/>
        <w:tag w:val="_GBC_b745f9cad6de412690fcb0f363f3eadb"/>
        <w:id w:val="1468390688"/>
        <w:placeholder>
          <w:docPart w:val="GBC22222222222222222222222222222"/>
        </w:placeholder>
      </w:sdtPr>
      <w:sdtEndPr>
        <w:rPr>
          <w:rStyle w:val="Style593"/>
        </w:rPr>
      </w:sdtEndPr>
      <w:sdtContent>
        <w:p w:rsidR="004A3868" w:rsidRDefault="003F1AB5">
          <w:pPr>
            <w:rPr>
              <w:rStyle w:val="Style593"/>
              <w:rFonts w:ascii="Calibri" w:hAnsi="Calibri" w:cs="Times New Roman"/>
              <w:b w:val="0"/>
              <w:szCs w:val="21"/>
            </w:rPr>
          </w:pPr>
          <w:r>
            <w:rPr>
              <w:rStyle w:val="Style593"/>
              <w:b w:val="0"/>
              <w:szCs w:val="21"/>
            </w:rPr>
            <w:fldChar w:fldCharType="begin"/>
          </w:r>
          <w:r>
            <w:rPr>
              <w:rStyle w:val="Style593"/>
              <w:b w:val="0"/>
              <w:szCs w:val="21"/>
            </w:rPr>
            <w:instrText xml:space="preserve"> </w:instrText>
          </w:r>
          <w:r>
            <w:rPr>
              <w:rStyle w:val="Style593"/>
              <w:rFonts w:hint="eastAsia"/>
              <w:b w:val="0"/>
              <w:szCs w:val="21"/>
            </w:rPr>
            <w:instrText xml:space="preserve">MACROBUTTON  SnrToggleCheckbox √适用 </w:instrText>
          </w:r>
          <w:r>
            <w:rPr>
              <w:rStyle w:val="Style593"/>
              <w:b w:val="0"/>
              <w:szCs w:val="21"/>
            </w:rPr>
            <w:instrText xml:space="preserve"> </w:instrText>
          </w:r>
          <w:r>
            <w:rPr>
              <w:rStyle w:val="Style593"/>
              <w:b w:val="0"/>
              <w:szCs w:val="21"/>
            </w:rPr>
            <w:fldChar w:fldCharType="end"/>
          </w:r>
          <w:r>
            <w:rPr>
              <w:rStyle w:val="Style593"/>
              <w:b w:val="0"/>
              <w:szCs w:val="21"/>
            </w:rPr>
            <w:fldChar w:fldCharType="begin"/>
          </w:r>
          <w:r>
            <w:rPr>
              <w:rStyle w:val="Style593"/>
              <w:b w:val="0"/>
              <w:szCs w:val="21"/>
            </w:rPr>
            <w:instrText xml:space="preserve"> MACROBUTTON  SnrToggleCheckbox □不适用 </w:instrText>
          </w:r>
          <w:r>
            <w:rPr>
              <w:rStyle w:val="Style593"/>
              <w:b w:val="0"/>
              <w:szCs w:val="21"/>
            </w:rPr>
            <w:fldChar w:fldCharType="end"/>
          </w:r>
        </w:p>
      </w:sdtContent>
    </w:sdt>
    <w:p w:rsidR="004A3868" w:rsidRDefault="003F1AB5">
      <w:pPr>
        <w:pStyle w:val="Style832"/>
        <w:rPr>
          <w:rStyle w:val="Style593"/>
          <w:b w:val="0"/>
          <w:szCs w:val="21"/>
        </w:rPr>
      </w:pPr>
      <w:r>
        <w:rPr>
          <w:rFonts w:hint="eastAsia"/>
        </w:rPr>
        <w:t>单位：</w:t>
      </w:r>
      <w:sdt>
        <w:sdtPr>
          <w:rPr>
            <w:rFonts w:hint="eastAsia"/>
          </w:rPr>
          <w:alias w:val="单位：研发支出"/>
          <w:tag w:val="_GBC_74cd81424a3c41dd9b3b9f335eae8c21"/>
          <w:id w:val="21348959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p>
    <w:tbl>
      <w:tblPr>
        <w:tblStyle w:val="g25"/>
        <w:tblW w:w="5000" w:type="pct"/>
        <w:jc w:val="center"/>
        <w:tblInd w:w="0" w:type="dxa"/>
        <w:tblLayout w:type="fixed"/>
        <w:tblCellMar>
          <w:right w:w="28" w:type="dxa"/>
        </w:tblCellMar>
        <w:tblLook w:val="04A0" w:firstRow="1" w:lastRow="0" w:firstColumn="1" w:lastColumn="0" w:noHBand="0" w:noVBand="1"/>
      </w:tblPr>
      <w:tblGrid>
        <w:gridCol w:w="4209"/>
        <w:gridCol w:w="4614"/>
      </w:tblGrid>
      <w:tr w:rsidR="004A3868">
        <w:trPr>
          <w:trHeight w:val="397"/>
          <w:jc w:val="center"/>
        </w:trPr>
        <w:sdt>
          <w:sdtPr>
            <w:tag w:val="_PLD_34e4faf6ae244cfbac1fd41757cfe96b"/>
            <w:id w:val="-1197936182"/>
          </w:sdtPr>
          <w:sdtEndPr/>
          <w:sdtContent>
            <w:tc>
              <w:tcPr>
                <w:tcW w:w="2385" w:type="pct"/>
                <w:vAlign w:val="bottom"/>
              </w:tcPr>
              <w:p w:rsidR="004A3868" w:rsidRDefault="003F1AB5">
                <w:pPr>
                  <w:pStyle w:val="afff9"/>
                  <w:rPr>
                    <w:rStyle w:val="Style593"/>
                    <w:b w:val="0"/>
                    <w:bCs w:val="0"/>
                    <w:szCs w:val="21"/>
                  </w:rPr>
                </w:pPr>
                <w:r>
                  <w:t>本期费用化研发</w:t>
                </w:r>
                <w:r>
                  <w:rPr>
                    <w:rFonts w:hint="eastAsia"/>
                  </w:rPr>
                  <w:t>投入</w:t>
                </w:r>
              </w:p>
            </w:tc>
          </w:sdtContent>
        </w:sdt>
        <w:tc>
          <w:tcPr>
            <w:tcW w:w="2615" w:type="pct"/>
            <w:vAlign w:val="bottom"/>
          </w:tcPr>
          <w:p w:rsidR="004A3868" w:rsidRDefault="003F1AB5">
            <w:pPr>
              <w:pStyle w:val="afff7"/>
              <w:rPr>
                <w:rStyle w:val="Style593"/>
                <w:b w:val="0"/>
                <w:szCs w:val="21"/>
              </w:rPr>
            </w:pPr>
            <w:r>
              <w:rPr>
                <w:rStyle w:val="Style593"/>
                <w:b w:val="0"/>
                <w:szCs w:val="21"/>
              </w:rPr>
              <w:t>16,950.05</w:t>
            </w:r>
          </w:p>
        </w:tc>
      </w:tr>
      <w:tr w:rsidR="004A3868">
        <w:trPr>
          <w:trHeight w:val="397"/>
          <w:jc w:val="center"/>
        </w:trPr>
        <w:tc>
          <w:tcPr>
            <w:tcW w:w="2385" w:type="pct"/>
            <w:vAlign w:val="bottom"/>
          </w:tcPr>
          <w:p w:rsidR="004A3868" w:rsidRDefault="003F1AB5">
            <w:pPr>
              <w:pStyle w:val="afff9"/>
              <w:rPr>
                <w:rStyle w:val="Style593"/>
                <w:szCs w:val="21"/>
              </w:rPr>
            </w:pPr>
            <w:r>
              <w:t>本期资本化研发</w:t>
            </w:r>
            <w:r>
              <w:rPr>
                <w:rFonts w:hint="eastAsia"/>
              </w:rPr>
              <w:t>投入</w:t>
            </w:r>
          </w:p>
        </w:tc>
        <w:tc>
          <w:tcPr>
            <w:tcW w:w="2615" w:type="pct"/>
            <w:vAlign w:val="bottom"/>
          </w:tcPr>
          <w:p w:rsidR="004A3868" w:rsidRDefault="004A3868">
            <w:pPr>
              <w:pStyle w:val="afff7"/>
              <w:rPr>
                <w:rStyle w:val="Style593"/>
                <w:b w:val="0"/>
                <w:szCs w:val="21"/>
              </w:rPr>
            </w:pPr>
          </w:p>
        </w:tc>
      </w:tr>
      <w:tr w:rsidR="004A3868">
        <w:trPr>
          <w:trHeight w:val="397"/>
          <w:jc w:val="center"/>
        </w:trPr>
        <w:tc>
          <w:tcPr>
            <w:tcW w:w="2385" w:type="pct"/>
            <w:vAlign w:val="bottom"/>
          </w:tcPr>
          <w:p w:rsidR="004A3868" w:rsidRDefault="003F1AB5">
            <w:pPr>
              <w:pStyle w:val="afff9"/>
              <w:rPr>
                <w:rStyle w:val="Style593"/>
                <w:szCs w:val="21"/>
              </w:rPr>
            </w:pPr>
            <w:r>
              <w:t>研发</w:t>
            </w:r>
            <w:r>
              <w:rPr>
                <w:rFonts w:hint="eastAsia"/>
              </w:rPr>
              <w:t>投入</w:t>
            </w:r>
            <w:r>
              <w:t>合计</w:t>
            </w:r>
          </w:p>
        </w:tc>
        <w:tc>
          <w:tcPr>
            <w:tcW w:w="2615" w:type="pct"/>
            <w:vAlign w:val="bottom"/>
          </w:tcPr>
          <w:p w:rsidR="004A3868" w:rsidRDefault="003F1AB5">
            <w:pPr>
              <w:pStyle w:val="afff7"/>
              <w:rPr>
                <w:rStyle w:val="Style593"/>
                <w:b w:val="0"/>
                <w:szCs w:val="21"/>
              </w:rPr>
            </w:pPr>
            <w:r>
              <w:rPr>
                <w:rStyle w:val="Style593"/>
                <w:b w:val="0"/>
                <w:szCs w:val="21"/>
              </w:rPr>
              <w:t>16,950.05</w:t>
            </w:r>
          </w:p>
        </w:tc>
      </w:tr>
      <w:tr w:rsidR="004A3868">
        <w:trPr>
          <w:trHeight w:val="397"/>
          <w:jc w:val="center"/>
        </w:trPr>
        <w:tc>
          <w:tcPr>
            <w:tcW w:w="2385" w:type="pct"/>
            <w:vAlign w:val="bottom"/>
          </w:tcPr>
          <w:p w:rsidR="004A3868" w:rsidRDefault="003F1AB5">
            <w:pPr>
              <w:pStyle w:val="afff9"/>
              <w:rPr>
                <w:rStyle w:val="Style593"/>
                <w:szCs w:val="21"/>
              </w:rPr>
            </w:pPr>
            <w:r>
              <w:lastRenderedPageBreak/>
              <w:t>研发</w:t>
            </w:r>
            <w:r>
              <w:rPr>
                <w:rFonts w:hint="eastAsia"/>
              </w:rPr>
              <w:t>投入</w:t>
            </w:r>
            <w:r>
              <w:t>总额占营业收入比例（</w:t>
            </w:r>
            <w:r>
              <w:t>%</w:t>
            </w:r>
            <w:r>
              <w:t>）</w:t>
            </w:r>
          </w:p>
        </w:tc>
        <w:tc>
          <w:tcPr>
            <w:tcW w:w="2615" w:type="pct"/>
            <w:vAlign w:val="bottom"/>
          </w:tcPr>
          <w:p w:rsidR="004A3868" w:rsidRDefault="003F1AB5">
            <w:pPr>
              <w:pStyle w:val="afff7"/>
              <w:rPr>
                <w:rStyle w:val="Style593"/>
                <w:b w:val="0"/>
                <w:szCs w:val="21"/>
              </w:rPr>
            </w:pPr>
            <w:r>
              <w:rPr>
                <w:rStyle w:val="Style593"/>
                <w:rFonts w:hint="eastAsia"/>
                <w:b w:val="0"/>
                <w:szCs w:val="21"/>
              </w:rPr>
              <w:t>6</w:t>
            </w:r>
            <w:r>
              <w:rPr>
                <w:rStyle w:val="Style593"/>
                <w:b w:val="0"/>
                <w:szCs w:val="21"/>
              </w:rPr>
              <w:t>.24</w:t>
            </w:r>
          </w:p>
        </w:tc>
      </w:tr>
      <w:tr w:rsidR="004A3868">
        <w:trPr>
          <w:trHeight w:val="397"/>
          <w:jc w:val="center"/>
        </w:trPr>
        <w:tc>
          <w:tcPr>
            <w:tcW w:w="2385" w:type="pct"/>
            <w:vAlign w:val="bottom"/>
          </w:tcPr>
          <w:p w:rsidR="004A3868" w:rsidRDefault="003F1AB5">
            <w:pPr>
              <w:pStyle w:val="afff9"/>
            </w:pPr>
            <w:r>
              <w:rPr>
                <w:rFonts w:hint="eastAsia"/>
              </w:rPr>
              <w:t>研发投入资本化的比重</w:t>
            </w:r>
            <w:r>
              <w:t>（</w:t>
            </w:r>
            <w:r>
              <w:t>%</w:t>
            </w:r>
            <w:r>
              <w:t>）</w:t>
            </w:r>
          </w:p>
        </w:tc>
        <w:tc>
          <w:tcPr>
            <w:tcW w:w="2615" w:type="pct"/>
            <w:vAlign w:val="bottom"/>
          </w:tcPr>
          <w:p w:rsidR="004A3868" w:rsidRDefault="004A3868">
            <w:pPr>
              <w:pStyle w:val="afff7"/>
            </w:pPr>
          </w:p>
        </w:tc>
      </w:tr>
    </w:tbl>
    <w:p w:rsidR="004A3868" w:rsidRDefault="004A3868">
      <w:pPr>
        <w:pStyle w:val="Style580"/>
        <w:rPr>
          <w:sz w:val="21"/>
          <w:szCs w:val="21"/>
        </w:rPr>
      </w:pPr>
    </w:p>
    <w:p w:rsidR="004A3868" w:rsidRDefault="003F1AB5">
      <w:pPr>
        <w:pStyle w:val="Style607"/>
        <w:rPr>
          <w:rStyle w:val="Style593"/>
          <w:szCs w:val="21"/>
        </w:rPr>
      </w:pPr>
      <w:r>
        <w:rPr>
          <w:rStyle w:val="Style593"/>
          <w:rFonts w:hint="eastAsia"/>
          <w:szCs w:val="21"/>
        </w:rPr>
        <w:t>研发人员情况表</w:t>
      </w:r>
    </w:p>
    <w:bookmarkStart w:id="29" w:name="_Hlk89876622" w:displacedByCustomXml="next"/>
    <w:sdt>
      <w:sdtPr>
        <w:rPr>
          <w:rFonts w:hint="eastAsia"/>
          <w:sz w:val="21"/>
          <w:szCs w:val="21"/>
        </w:rPr>
        <w:alias w:val="是否适用：研发人员情况[双击切换]"/>
        <w:tag w:val="_GBC_ef3f376f125b4e219be789ed3078c140"/>
        <w:id w:val="1321934473"/>
        <w:placeholder>
          <w:docPart w:val="GBC22222222222222222222222222222"/>
        </w:placeholder>
      </w:sdtPr>
      <w:sdtEndPr/>
      <w:sdtContent>
        <w:p w:rsidR="004A3868" w:rsidRDefault="003F1AB5">
          <w:pPr>
            <w:pStyle w:val="Style580"/>
            <w:rPr>
              <w:sz w:val="21"/>
              <w:szCs w:val="21"/>
            </w:rPr>
          </w:pPr>
          <w:r>
            <w:rPr>
              <w:sz w:val="21"/>
              <w:szCs w:val="21"/>
            </w:rPr>
            <w:fldChar w:fldCharType="begin"/>
          </w:r>
          <w:r>
            <w:rPr>
              <w:sz w:val="21"/>
              <w:szCs w:val="21"/>
            </w:rPr>
            <w:instrText xml:space="preserve"> </w:instrText>
          </w:r>
          <w:r>
            <w:rPr>
              <w:rFonts w:hint="eastAsia"/>
              <w:sz w:val="21"/>
              <w:szCs w:val="21"/>
            </w:rPr>
            <w:instrText>MACROBUTTON  SnrToggleCheckbox √适用</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4A3868">
      <w:pPr>
        <w:pStyle w:val="Style580"/>
        <w:rPr>
          <w:sz w:val="21"/>
          <w:szCs w:val="21"/>
        </w:rPr>
      </w:pPr>
    </w:p>
    <w:tbl>
      <w:tblPr>
        <w:tblStyle w:val="g24"/>
        <w:tblW w:w="5000" w:type="pct"/>
        <w:jc w:val="center"/>
        <w:tblInd w:w="0" w:type="dxa"/>
        <w:tblLayout w:type="fixed"/>
        <w:tblCellMar>
          <w:left w:w="0" w:type="dxa"/>
          <w:right w:w="28" w:type="dxa"/>
        </w:tblCellMar>
        <w:tblLook w:val="04A0" w:firstRow="1" w:lastRow="0" w:firstColumn="1" w:lastColumn="0" w:noHBand="0" w:noVBand="1"/>
      </w:tblPr>
      <w:tblGrid>
        <w:gridCol w:w="5600"/>
        <w:gridCol w:w="3223"/>
      </w:tblGrid>
      <w:tr w:rsidR="004A3868">
        <w:trPr>
          <w:trHeight w:val="397"/>
          <w:jc w:val="center"/>
        </w:trPr>
        <w:sdt>
          <w:sdtPr>
            <w:rPr>
              <w:rFonts w:hint="eastAsia"/>
              <w:sz w:val="21"/>
              <w:szCs w:val="21"/>
            </w:rPr>
            <w:tag w:val="_PLD_13cec8f1a3504661b1b570efe7519fa3"/>
            <w:id w:val="-1193916632"/>
          </w:sdtPr>
          <w:sdtEnd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公司研发人员的数量</w:t>
                </w:r>
              </w:p>
            </w:tc>
          </w:sdtContent>
        </w:sdt>
        <w:sdt>
          <w:sdtPr>
            <w:rPr>
              <w:rFonts w:hint="eastAsia"/>
            </w:rPr>
            <w:alias w:val="公司研发人员的数量"/>
            <w:tag w:val="_GBC_a84a5cadb95b4b7595981b8f24d727c8"/>
            <w:id w:val="180563953"/>
          </w:sdtPr>
          <w:sdtEndPr/>
          <w:sdtContent>
            <w:tc>
              <w:tcPr>
                <w:tcW w:w="3342" w:type="dxa"/>
                <w:tcBorders>
                  <w:top w:val="single" w:sz="4" w:space="0" w:color="auto"/>
                  <w:left w:val="nil"/>
                  <w:bottom w:val="single" w:sz="4" w:space="0" w:color="auto"/>
                  <w:right w:val="single" w:sz="4" w:space="0" w:color="auto"/>
                </w:tcBorders>
                <w:shd w:val="clear" w:color="auto" w:fill="auto"/>
                <w:vAlign w:val="bottom"/>
              </w:tcPr>
              <w:p w:rsidR="004A3868" w:rsidRDefault="003F1AB5">
                <w:pPr>
                  <w:pStyle w:val="afff7"/>
                </w:pPr>
                <w:r>
                  <w:t>81</w:t>
                </w:r>
              </w:p>
            </w:tc>
          </w:sdtContent>
        </w:sdt>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研发人员数量占公司总人数的比例（%）</w:t>
            </w:r>
          </w:p>
        </w:tc>
        <w:tc>
          <w:tcPr>
            <w:tcW w:w="3342" w:type="dxa"/>
            <w:tcBorders>
              <w:top w:val="nil"/>
              <w:left w:val="nil"/>
              <w:bottom w:val="single" w:sz="4" w:space="0" w:color="auto"/>
              <w:right w:val="single" w:sz="4" w:space="0" w:color="auto"/>
            </w:tcBorders>
            <w:shd w:val="clear" w:color="auto" w:fill="auto"/>
            <w:vAlign w:val="bottom"/>
          </w:tcPr>
          <w:p w:rsidR="004A3868" w:rsidRDefault="003F1AB5">
            <w:pPr>
              <w:pStyle w:val="afff7"/>
            </w:pPr>
            <w:r>
              <w:rPr>
                <w:rFonts w:hint="eastAsia"/>
              </w:rPr>
              <w:t>4</w:t>
            </w:r>
            <w:r>
              <w:t>.95</w:t>
            </w:r>
          </w:p>
        </w:tc>
      </w:tr>
      <w:tr w:rsidR="004A3868">
        <w:trPr>
          <w:trHeight w:val="397"/>
          <w:jc w:val="center"/>
        </w:trPr>
        <w:sdt>
          <w:sdtPr>
            <w:rPr>
              <w:rFonts w:hint="eastAsia"/>
              <w:sz w:val="21"/>
              <w:szCs w:val="21"/>
            </w:rPr>
            <w:tag w:val="_PLD_b048dc379aae455a86f744476f1bb4a1"/>
            <w:id w:val="1864016436"/>
          </w:sdtPr>
          <w:sdtEnd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研发人员学历结构</w:t>
                </w:r>
              </w:p>
            </w:tc>
          </w:sdtContent>
        </w:sdt>
      </w:tr>
      <w:tr w:rsidR="004A3868">
        <w:trPr>
          <w:trHeight w:val="397"/>
          <w:jc w:val="center"/>
        </w:trPr>
        <w:sdt>
          <w:sdtPr>
            <w:rPr>
              <w:rFonts w:hint="eastAsia"/>
              <w:sz w:val="21"/>
              <w:szCs w:val="21"/>
            </w:rPr>
            <w:tag w:val="_PLD_f770501e43654648a563d2a86970204f"/>
            <w:id w:val="-90782357"/>
          </w:sdtPr>
          <w:sdtEndPr/>
          <w:sdtContent>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Style842"/>
              <w:rPr>
                <w:sz w:val="21"/>
                <w:szCs w:val="21"/>
              </w:rPr>
            </w:pPr>
            <w:r>
              <w:rPr>
                <w:rFonts w:hint="eastAsia"/>
                <w:sz w:val="21"/>
                <w:szCs w:val="21"/>
              </w:rPr>
              <w:t>学历结构人数</w:t>
            </w:r>
          </w:p>
        </w:tc>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博士研究生</w:t>
            </w:r>
          </w:p>
        </w:tc>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afff7"/>
            </w:pPr>
            <w:r>
              <w:rPr>
                <w:rFonts w:hint="eastAsia"/>
              </w:rPr>
              <w:t>2</w:t>
            </w:r>
          </w:p>
        </w:tc>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硕士研究生</w:t>
            </w:r>
          </w:p>
        </w:tc>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afff7"/>
            </w:pPr>
            <w:r>
              <w:rPr>
                <w:rFonts w:hint="eastAsia"/>
              </w:rPr>
              <w:t>9</w:t>
            </w:r>
          </w:p>
        </w:tc>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本科</w:t>
            </w:r>
          </w:p>
        </w:tc>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afff7"/>
            </w:pPr>
            <w:r>
              <w:rPr>
                <w:rFonts w:hint="eastAsia"/>
              </w:rPr>
              <w:t>4</w:t>
            </w:r>
            <w:r>
              <w:t>5</w:t>
            </w:r>
          </w:p>
        </w:tc>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专科及以下</w:t>
            </w:r>
          </w:p>
        </w:tc>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afff7"/>
            </w:pPr>
            <w:r>
              <w:rPr>
                <w:rFonts w:hint="eastAsia"/>
              </w:rPr>
              <w:t>2</w:t>
            </w:r>
            <w:r>
              <w:t>5</w:t>
            </w:r>
          </w:p>
        </w:tc>
      </w:tr>
      <w:tr w:rsidR="004A3868">
        <w:trPr>
          <w:trHeight w:val="397"/>
          <w:jc w:val="center"/>
        </w:trPr>
        <w:sdt>
          <w:sdtPr>
            <w:rPr>
              <w:rFonts w:hint="eastAsia"/>
              <w:sz w:val="21"/>
              <w:szCs w:val="21"/>
            </w:rPr>
            <w:tag w:val="_PLD_10352dc928264c50aa8776e0ae8ec569"/>
            <w:id w:val="-85616066"/>
          </w:sdtPr>
          <w:sdtEndPr/>
          <w:sdtContent>
            <w:tc>
              <w:tcPr>
                <w:tcW w:w="9150" w:type="dxa"/>
                <w:gridSpan w:val="2"/>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研发人员年龄结构</w:t>
                </w:r>
              </w:p>
            </w:tc>
          </w:sdtContent>
        </w:sdt>
      </w:tr>
      <w:tr w:rsidR="004A3868">
        <w:trPr>
          <w:trHeight w:val="397"/>
          <w:jc w:val="center"/>
        </w:trPr>
        <w:sdt>
          <w:sdtPr>
            <w:rPr>
              <w:rFonts w:hint="eastAsia"/>
              <w:sz w:val="21"/>
              <w:szCs w:val="21"/>
            </w:rPr>
            <w:tag w:val="_PLD_b9dd411387bd4ae4b04fe660cc0aac1b"/>
            <w:id w:val="-1685200820"/>
          </w:sdtPr>
          <w:sdtEndPr/>
          <w:sdtContent>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Style842"/>
              <w:rPr>
                <w:sz w:val="21"/>
                <w:szCs w:val="21"/>
              </w:rPr>
            </w:pPr>
            <w:r>
              <w:rPr>
                <w:rFonts w:hint="eastAsia"/>
                <w:sz w:val="21"/>
                <w:szCs w:val="21"/>
              </w:rPr>
              <w:t>年龄结构人数</w:t>
            </w:r>
          </w:p>
        </w:tc>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30岁以下（不含30岁）</w:t>
            </w:r>
          </w:p>
        </w:tc>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afff7"/>
            </w:pPr>
            <w:r>
              <w:t>37</w:t>
            </w:r>
          </w:p>
        </w:tc>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30-40岁（含30岁，不含40岁）</w:t>
            </w:r>
          </w:p>
        </w:tc>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afff7"/>
            </w:pPr>
            <w:r>
              <w:rPr>
                <w:rFonts w:hint="eastAsia"/>
              </w:rPr>
              <w:t>2</w:t>
            </w:r>
            <w:r>
              <w:t>6</w:t>
            </w:r>
          </w:p>
        </w:tc>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40-50岁（含40岁，不含50岁）</w:t>
            </w:r>
          </w:p>
        </w:tc>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afff7"/>
            </w:pPr>
            <w:r>
              <w:t>6</w:t>
            </w:r>
          </w:p>
        </w:tc>
      </w:tr>
      <w:tr w:rsidR="004A3868">
        <w:trPr>
          <w:trHeight w:val="397"/>
          <w:jc w:val="center"/>
        </w:trPr>
        <w:tc>
          <w:tcPr>
            <w:tcW w:w="5808" w:type="dxa"/>
            <w:tcBorders>
              <w:top w:val="nil"/>
              <w:left w:val="single" w:sz="4" w:space="0" w:color="auto"/>
              <w:bottom w:val="single" w:sz="4" w:space="0" w:color="auto"/>
              <w:right w:val="single" w:sz="4" w:space="0" w:color="auto"/>
            </w:tcBorders>
            <w:shd w:val="clear" w:color="auto" w:fill="auto"/>
            <w:vAlign w:val="bottom"/>
          </w:tcPr>
          <w:p w:rsidR="004A3868" w:rsidRDefault="003F1AB5">
            <w:pPr>
              <w:pStyle w:val="Style842"/>
              <w:rPr>
                <w:sz w:val="21"/>
                <w:szCs w:val="21"/>
              </w:rPr>
            </w:pPr>
            <w:r>
              <w:rPr>
                <w:rFonts w:hint="eastAsia"/>
                <w:sz w:val="21"/>
                <w:szCs w:val="21"/>
              </w:rPr>
              <w:t>50岁及以上</w:t>
            </w:r>
          </w:p>
        </w:tc>
        <w:tc>
          <w:tcPr>
            <w:tcW w:w="3342" w:type="dxa"/>
            <w:tcBorders>
              <w:top w:val="nil"/>
              <w:left w:val="nil"/>
              <w:bottom w:val="single" w:sz="4" w:space="0" w:color="auto"/>
              <w:right w:val="single" w:sz="4" w:space="0" w:color="auto"/>
            </w:tcBorders>
            <w:shd w:val="clear" w:color="auto" w:fill="auto"/>
            <w:noWrap/>
            <w:vAlign w:val="bottom"/>
          </w:tcPr>
          <w:p w:rsidR="004A3868" w:rsidRDefault="003F1AB5">
            <w:pPr>
              <w:pStyle w:val="afff7"/>
            </w:pPr>
            <w:r>
              <w:rPr>
                <w:rFonts w:hint="eastAsia"/>
              </w:rPr>
              <w:t>1</w:t>
            </w:r>
            <w:r>
              <w:t>2</w:t>
            </w:r>
          </w:p>
        </w:tc>
      </w:tr>
      <w:bookmarkEnd w:id="29"/>
    </w:tbl>
    <w:p w:rsidR="004A3868" w:rsidRDefault="004A3868">
      <w:pPr>
        <w:pStyle w:val="Style580"/>
        <w:rPr>
          <w:sz w:val="21"/>
          <w:szCs w:val="21"/>
        </w:rPr>
      </w:pPr>
    </w:p>
    <w:p w:rsidR="004A3868" w:rsidRDefault="003F1AB5">
      <w:pPr>
        <w:pStyle w:val="Style607"/>
        <w:rPr>
          <w:rStyle w:val="Style593"/>
          <w:szCs w:val="21"/>
        </w:rPr>
      </w:pPr>
      <w:r>
        <w:rPr>
          <w:rStyle w:val="Style593"/>
          <w:szCs w:val="21"/>
        </w:rPr>
        <w:t>情况说明</w:t>
      </w:r>
    </w:p>
    <w:sdt>
      <w:sdtPr>
        <w:rPr>
          <w:rStyle w:val="Style593"/>
          <w:b w:val="0"/>
          <w:szCs w:val="21"/>
        </w:rPr>
        <w:alias w:val="是否适用：研发支出情况说明[双击切换]"/>
        <w:tag w:val="_GBC_b983f5c63407411d82434ca6547deae8"/>
        <w:id w:val="772667078"/>
        <w:placeholder>
          <w:docPart w:val="GBC22222222222222222222222222222"/>
        </w:placeholder>
      </w:sdtPr>
      <w:sdtEndPr>
        <w:rPr>
          <w:rStyle w:val="Style593"/>
        </w:rPr>
      </w:sdtEndPr>
      <w:sdtContent>
        <w:p w:rsidR="004A3868" w:rsidRDefault="003F1AB5">
          <w:pPr>
            <w:rPr>
              <w:rStyle w:val="Style593"/>
              <w:rFonts w:ascii="Calibri" w:hAnsi="Calibri" w:cs="Times New Roman"/>
              <w:b w:val="0"/>
              <w:szCs w:val="21"/>
            </w:rPr>
          </w:pPr>
          <w:r>
            <w:rPr>
              <w:rStyle w:val="Style593"/>
              <w:b w:val="0"/>
              <w:szCs w:val="21"/>
            </w:rPr>
            <w:fldChar w:fldCharType="begin"/>
          </w:r>
          <w:r>
            <w:rPr>
              <w:rStyle w:val="Style593"/>
              <w:rFonts w:hint="eastAsia"/>
              <w:b w:val="0"/>
              <w:szCs w:val="21"/>
            </w:rPr>
            <w:instrText xml:space="preserve">MACROBUTTON  SnrToggleCheckbox √适用 </w:instrText>
          </w:r>
          <w:r>
            <w:rPr>
              <w:rStyle w:val="Style593"/>
              <w:b w:val="0"/>
              <w:szCs w:val="21"/>
            </w:rPr>
            <w:fldChar w:fldCharType="end"/>
          </w:r>
          <w:r>
            <w:rPr>
              <w:rStyle w:val="Style593"/>
              <w:b w:val="0"/>
              <w:szCs w:val="21"/>
            </w:rPr>
            <w:fldChar w:fldCharType="begin"/>
          </w:r>
          <w:r>
            <w:rPr>
              <w:rStyle w:val="Style593"/>
              <w:b w:val="0"/>
              <w:szCs w:val="21"/>
            </w:rPr>
            <w:instrText xml:space="preserve"> MACROBUTTON  SnrToggleCheckbox □不适用 </w:instrText>
          </w:r>
          <w:r>
            <w:rPr>
              <w:rStyle w:val="Style593"/>
              <w:b w:val="0"/>
              <w:szCs w:val="21"/>
            </w:rPr>
            <w:fldChar w:fldCharType="end"/>
          </w:r>
        </w:p>
      </w:sdtContent>
    </w:sdt>
    <w:sdt>
      <w:sdtPr>
        <w:rPr>
          <w:rStyle w:val="Style593"/>
          <w:rFonts w:hint="eastAsia"/>
          <w:b w:val="0"/>
          <w:szCs w:val="21"/>
        </w:rPr>
        <w:alias w:val="研发投入情况说明"/>
        <w:tag w:val="_GBC_29b7bc5a44244641bea57d5a14dde83b"/>
        <w:id w:val="1741981446"/>
        <w:lock w:val="sdtLocked"/>
        <w:placeholder>
          <w:docPart w:val="GBC22222222222222222222222222222"/>
        </w:placeholder>
      </w:sdtPr>
      <w:sdtEndPr>
        <w:rPr>
          <w:rStyle w:val="Style593"/>
          <w:b/>
        </w:rPr>
      </w:sdtEndPr>
      <w:sdtContent>
        <w:p w:rsidR="004A3868" w:rsidRDefault="004A3868">
          <w:pPr>
            <w:rPr>
              <w:rStyle w:val="Style593"/>
              <w:szCs w:val="21"/>
            </w:rPr>
          </w:pPr>
        </w:p>
        <w:tbl>
          <w:tblPr>
            <w:tblStyle w:val="g2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770"/>
            <w:gridCol w:w="1611"/>
            <w:gridCol w:w="1610"/>
            <w:gridCol w:w="1611"/>
            <w:gridCol w:w="1610"/>
            <w:gridCol w:w="1611"/>
          </w:tblGrid>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序号</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主要研发项目名称</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项目目的</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项目进展</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拟达到的目标</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预计未来对公司发展的影响</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1</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高性能取向电工钢制备技术研究开发</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着力开发</w:t>
                </w:r>
                <w:r>
                  <w:t>0.23mm</w:t>
                </w:r>
                <w:r>
                  <w:rPr>
                    <w:rFonts w:hint="eastAsia"/>
                  </w:rPr>
                  <w:t>和</w:t>
                </w:r>
                <w:r>
                  <w:t>0.27mm</w:t>
                </w:r>
                <w:r>
                  <w:rPr>
                    <w:rFonts w:hint="eastAsia"/>
                  </w:rPr>
                  <w:t>规格的高磁感取向电工钢</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小批量试制阶段</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ascii="Times New Roman" w:hAnsi="Times New Roman"/>
                  </w:rPr>
                  <w:t>2023</w:t>
                </w:r>
                <w:r>
                  <w:rPr>
                    <w:rFonts w:hint="eastAsia"/>
                  </w:rPr>
                  <w:t>年度实现</w:t>
                </w:r>
                <w:r>
                  <w:rPr>
                    <w:rFonts w:ascii="Times New Roman" w:hAnsi="Times New Roman"/>
                  </w:rPr>
                  <w:t>3</w:t>
                </w:r>
                <w:r>
                  <w:rPr>
                    <w:rFonts w:hint="eastAsia"/>
                  </w:rPr>
                  <w:t>万吨高性能取向硅钢（</w:t>
                </w:r>
                <w:r>
                  <w:rPr>
                    <w:rFonts w:ascii="Times New Roman" w:hAnsi="Times New Roman" w:hint="eastAsia"/>
                  </w:rPr>
                  <w:t>HiB</w:t>
                </w:r>
                <w:r>
                  <w:rPr>
                    <w:rFonts w:hint="eastAsia"/>
                  </w:rPr>
                  <w:t>钢）产出，实现高端牌号</w:t>
                </w:r>
                <w:r>
                  <w:rPr>
                    <w:rFonts w:ascii="Times New Roman" w:hAnsi="Times New Roman"/>
                  </w:rPr>
                  <w:t>085</w:t>
                </w:r>
                <w:r>
                  <w:rPr>
                    <w:rFonts w:hint="eastAsia"/>
                  </w:rPr>
                  <w:t>及以上产品的产出。</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高性能取向硅钢的产出，提高公司产品盈利能力，提高市场竞争力。</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2</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取向硅钢产线数字化系统提升</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解决取向硅钢自动化设备信息化系统集成问题，加快数字化工厂建设</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已上线</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建成数字化车间，提高生产管控能力，实现精细化和数字化管理</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建成数字化工厂，为公司工业化生产赋能，加快产品的升级迭代，实现高性能取向硅钢批量稳定性生产。</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3</w:t>
                </w:r>
              </w:p>
            </w:tc>
            <w:tc>
              <w:tcPr>
                <w:tcW w:w="1471" w:type="dxa"/>
                <w:tcBorders>
                  <w:top w:val="single" w:sz="4" w:space="0" w:color="auto"/>
                  <w:left w:val="nil"/>
                  <w:bottom w:val="single" w:sz="4" w:space="0" w:color="auto"/>
                  <w:right w:val="single" w:sz="4" w:space="0" w:color="auto"/>
                </w:tcBorders>
                <w:vAlign w:val="center"/>
              </w:tcPr>
              <w:p w:rsidR="004A3868" w:rsidRDefault="004A3868">
                <w:pPr>
                  <w:pStyle w:val="afffb"/>
                </w:pPr>
              </w:p>
              <w:p w:rsidR="004A3868" w:rsidRDefault="004A3868">
                <w:pPr>
                  <w:pStyle w:val="afffb"/>
                </w:pPr>
              </w:p>
              <w:p w:rsidR="004A3868" w:rsidRDefault="004A3868">
                <w:pPr>
                  <w:pStyle w:val="afffb"/>
                </w:pPr>
              </w:p>
              <w:p w:rsidR="004A3868" w:rsidRDefault="004A3868">
                <w:pPr>
                  <w:pStyle w:val="afffb"/>
                </w:pPr>
              </w:p>
              <w:p w:rsidR="004A3868" w:rsidRDefault="003F1AB5">
                <w:pPr>
                  <w:pStyle w:val="afffb"/>
                </w:pPr>
                <w:r>
                  <w:rPr>
                    <w:rFonts w:hint="eastAsia"/>
                  </w:rPr>
                  <w:t>取向硅钢废钢制备先进电子软磁材料技术开发</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lastRenderedPageBreak/>
                  <w:t>开发磁粉制备技术，有效解决企业大量硅钢废料</w:t>
                </w:r>
                <w:r>
                  <w:rPr>
                    <w:rFonts w:hint="eastAsia"/>
                  </w:rPr>
                  <w:lastRenderedPageBreak/>
                  <w:t>问题，提高了产品附加值，扩宽了硅钢产品的应用领域，实现节能减排绿色可持续发展之路。</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lastRenderedPageBreak/>
                  <w:t>中试阶段</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t>1</w:t>
                </w:r>
                <w:r>
                  <w:rPr>
                    <w:rFonts w:hint="eastAsia"/>
                  </w:rPr>
                  <w:t>、磁粉中试线建设</w:t>
                </w:r>
              </w:p>
              <w:p w:rsidR="004A3868" w:rsidRDefault="003F1AB5">
                <w:pPr>
                  <w:pStyle w:val="afffb"/>
                  <w:rPr>
                    <w:rFonts w:ascii="Times New Roman" w:hAnsi="Times New Roman"/>
                  </w:rPr>
                </w:pPr>
                <w:r>
                  <w:t>2</w:t>
                </w:r>
                <w:r>
                  <w:rPr>
                    <w:rFonts w:hint="eastAsia"/>
                  </w:rPr>
                  <w:t>、硅钢废料制备</w:t>
                </w:r>
                <w:r>
                  <w:rPr>
                    <w:rFonts w:hint="eastAsia"/>
                  </w:rPr>
                  <w:lastRenderedPageBreak/>
                  <w:t>磁粉工艺方案确定及优化，实现小批量产出。</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lastRenderedPageBreak/>
                  <w:t>已经全面打通从废料到磁性粉末的全部生产工艺</w:t>
                </w:r>
                <w:r>
                  <w:rPr>
                    <w:rFonts w:hint="eastAsia"/>
                  </w:rPr>
                  <w:lastRenderedPageBreak/>
                  <w:t>路线，并在用户得到小批量的论证，后期如果扩大规模和产能可以成为公司新的利润增长点。</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lastRenderedPageBreak/>
                  <w:t>4</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t>C20QH080</w:t>
                </w:r>
                <w:r>
                  <w:rPr>
                    <w:rFonts w:cs="宋体" w:hint="eastAsia"/>
                  </w:rPr>
                  <w:t>取向硅钢的研究开发</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着力开发薄规格高端取向电工钢产品，制备出</w:t>
                </w:r>
                <w:r>
                  <w:t>0.20mm</w:t>
                </w:r>
                <w:r>
                  <w:rPr>
                    <w:rFonts w:hint="eastAsia"/>
                  </w:rPr>
                  <w:t>规格的高性能取向电工钢，提升公司高端取向硅钢产品的市场竞争力。</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研究开发阶段</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1、实现</w:t>
                </w:r>
                <w:r>
                  <w:t>C20QH080</w:t>
                </w:r>
                <w:r>
                  <w:rPr>
                    <w:rFonts w:hint="eastAsia"/>
                  </w:rPr>
                  <w:t>牌号的突破。</w:t>
                </w:r>
              </w:p>
              <w:p w:rsidR="004A3868" w:rsidRDefault="003F1AB5">
                <w:pPr>
                  <w:pStyle w:val="afffb"/>
                </w:pPr>
                <w:r>
                  <w:rPr>
                    <w:rFonts w:ascii="Times New Roman" w:hAnsi="Times New Roman"/>
                  </w:rPr>
                  <w:t>2.</w:t>
                </w:r>
                <w:r>
                  <w:rPr>
                    <w:rFonts w:hint="eastAsia"/>
                  </w:rPr>
                  <w:t>实现小批量的</w:t>
                </w:r>
                <w:r>
                  <w:rPr>
                    <w:rFonts w:ascii="Times New Roman" w:hAnsi="Times New Roman"/>
                  </w:rPr>
                  <w:t>0.20mm</w:t>
                </w:r>
                <w:r>
                  <w:rPr>
                    <w:rFonts w:hint="eastAsia"/>
                  </w:rPr>
                  <w:t>厚度规格的稳定生产。</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实现小批量薄规格高性能取向硅钢的稳定产出，满足公司高能效变压器制备需要，提升公司高性能取向硅钢的市场竞争力。</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5</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一次冷轧板引带焊接工艺研究</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可逆式二十辊轧机在生产过程中每卷有</w:t>
                </w:r>
                <w:r>
                  <w:rPr>
                    <w:rFonts w:ascii="Times New Roman" w:hAnsi="Times New Roman"/>
                  </w:rPr>
                  <w:t>2</w:t>
                </w:r>
                <w:r>
                  <w:rPr>
                    <w:rFonts w:hint="eastAsia"/>
                  </w:rPr>
                  <w:t>个引带为满足生产要求不能轧制利用，导致每卷有</w:t>
                </w:r>
                <w:r>
                  <w:rPr>
                    <w:rFonts w:ascii="Times New Roman" w:hAnsi="Times New Roman"/>
                  </w:rPr>
                  <w:t>2%-3%</w:t>
                </w:r>
                <w:r>
                  <w:rPr>
                    <w:rFonts w:hint="eastAsia"/>
                  </w:rPr>
                  <w:t>左右重量的钢带在轧机工段报废，对成材率有较大影响。</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已结题</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1、实现一次冷轧引带的再次利用；</w:t>
                </w:r>
              </w:p>
              <w:p w:rsidR="004A3868" w:rsidRDefault="003F1AB5">
                <w:pPr>
                  <w:pStyle w:val="afffb"/>
                </w:pPr>
                <w:r>
                  <w:rPr>
                    <w:rFonts w:ascii="Times New Roman" w:hAnsi="Times New Roman"/>
                  </w:rPr>
                  <w:t>2.</w:t>
                </w:r>
                <w:r>
                  <w:rPr>
                    <w:rFonts w:hint="eastAsia"/>
                  </w:rPr>
                  <w:t>实现冷轧工序成材率提升</w:t>
                </w:r>
                <w:r>
                  <w:rPr>
                    <w:rFonts w:ascii="Times New Roman" w:hAnsi="Times New Roman"/>
                  </w:rPr>
                  <w:t>0.1%</w:t>
                </w:r>
                <w:r>
                  <w:rPr>
                    <w:rFonts w:hint="eastAsia"/>
                  </w:rPr>
                  <w:t>。</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提高取向硅钢成材率，降低生产成本</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6</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氧化镁含水率控制研究</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采用红外干燥工艺技术对氧化镁进行精准控制，合格率控制在</w:t>
                </w:r>
                <w:r>
                  <w:rPr>
                    <w:rFonts w:ascii="Times New Roman" w:hAnsi="Times New Roman"/>
                  </w:rPr>
                  <w:t>97%</w:t>
                </w:r>
                <w:r>
                  <w:rPr>
                    <w:rFonts w:hint="eastAsia"/>
                  </w:rPr>
                  <w:t>以上。改善取向硅钢的表面质量，降低让步率。</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已结题</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1、研究红外加热炉对钢板表面氧化镁的干燥情况和含水率，摸索红外干燥炉的工艺设定；</w:t>
                </w:r>
              </w:p>
              <w:p w:rsidR="004A3868" w:rsidRDefault="003F1AB5">
                <w:pPr>
                  <w:pStyle w:val="afffb"/>
                  <w:rPr>
                    <w:rFonts w:ascii="Times New Roman" w:hAnsi="Times New Roman"/>
                  </w:rPr>
                </w:pPr>
                <w:r>
                  <w:rPr>
                    <w:rFonts w:ascii="Times New Roman" w:hAnsi="Times New Roman"/>
                  </w:rPr>
                  <w:t xml:space="preserve">2. </w:t>
                </w:r>
                <w:r>
                  <w:rPr>
                    <w:rFonts w:hint="eastAsia"/>
                  </w:rPr>
                  <w:t>提升氧化镁含水合格率</w:t>
                </w:r>
                <w:r>
                  <w:rPr>
                    <w:rFonts w:ascii="Times New Roman" w:hAnsi="Times New Roman"/>
                  </w:rPr>
                  <w:t>≥97%</w:t>
                </w:r>
                <w:r>
                  <w:rPr>
                    <w:rFonts w:hint="eastAsia"/>
                  </w:rPr>
                  <w:t>。</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提升产品质量，降低让步率，提高产品市场竞争力。</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7</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燃气式高温罩式退火炉工艺研究</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目前采用电能型罩式退火炉生产，吨钢耗电量在</w:t>
                </w:r>
                <w:r>
                  <w:rPr>
                    <w:rFonts w:ascii="Times New Roman" w:hAnsi="Times New Roman"/>
                  </w:rPr>
                  <w:t>650kW/h</w:t>
                </w:r>
                <w:r>
                  <w:rPr>
                    <w:rFonts w:hint="eastAsia"/>
                  </w:rPr>
                  <w:t>，且电能型罩式退火炉故障率较高，一炉仅装一个钢卷，对能源的利用率较低。开展</w:t>
                </w:r>
                <w:r>
                  <w:rPr>
                    <w:rFonts w:ascii="Times New Roman" w:hAnsi="Times New Roman"/>
                  </w:rPr>
                  <w:t>1</w:t>
                </w:r>
                <w:r>
                  <w:rPr>
                    <w:rFonts w:hint="eastAsia"/>
                  </w:rPr>
                  <w:t>拖</w:t>
                </w:r>
                <w:r>
                  <w:rPr>
                    <w:rFonts w:ascii="Times New Roman" w:hAnsi="Times New Roman"/>
                  </w:rPr>
                  <w:t>3</w:t>
                </w:r>
                <w:r>
                  <w:rPr>
                    <w:rFonts w:hint="eastAsia"/>
                  </w:rPr>
                  <w:t>的燃气式罩式炉的研究开发，实现批量生产</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已结题</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ascii="Times New Roman" w:hAnsi="Times New Roman"/>
                  </w:rPr>
                  <w:t>1.</w:t>
                </w:r>
                <w:r>
                  <w:rPr>
                    <w:rFonts w:hint="eastAsia"/>
                  </w:rPr>
                  <w:t>研究开发燃气式罩式炉设备的开发工作，</w:t>
                </w:r>
              </w:p>
              <w:p w:rsidR="004A3868" w:rsidRDefault="003F1AB5">
                <w:pPr>
                  <w:pStyle w:val="afffb"/>
                  <w:rPr>
                    <w:rFonts w:ascii="Times New Roman" w:hAnsi="Times New Roman"/>
                  </w:rPr>
                </w:pPr>
                <w:r>
                  <w:rPr>
                    <w:rFonts w:ascii="Times New Roman" w:hAnsi="Times New Roman"/>
                  </w:rPr>
                  <w:t xml:space="preserve">2. </w:t>
                </w:r>
                <w:r>
                  <w:rPr>
                    <w:rFonts w:hint="eastAsia"/>
                  </w:rPr>
                  <w:t>实现</w:t>
                </w:r>
                <w:r>
                  <w:rPr>
                    <w:rFonts w:ascii="Times New Roman" w:hAnsi="Times New Roman"/>
                  </w:rPr>
                  <w:t>1</w:t>
                </w:r>
                <w:r>
                  <w:rPr>
                    <w:rFonts w:hint="eastAsia"/>
                  </w:rPr>
                  <w:t>拖</w:t>
                </w:r>
                <w:r>
                  <w:rPr>
                    <w:rFonts w:ascii="Times New Roman" w:hAnsi="Times New Roman"/>
                  </w:rPr>
                  <w:t>3</w:t>
                </w:r>
                <w:r>
                  <w:rPr>
                    <w:rFonts w:hint="eastAsia"/>
                  </w:rPr>
                  <w:t>燃气式罩式炉的稳定生产。</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降低生产成本，提高高性能产品的产出，提高产品市场竞争力。</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8</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高磁感取向电工钢表面质量提升</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目前高磁感取向电工钢的表面合格率成上升趋势，部分批次能够达到</w:t>
                </w:r>
                <w:r>
                  <w:rPr>
                    <w:rFonts w:ascii="Times New Roman" w:hAnsi="Times New Roman"/>
                  </w:rPr>
                  <w:t>65%</w:t>
                </w:r>
                <w:r>
                  <w:rPr>
                    <w:rFonts w:hint="eastAsia"/>
                  </w:rPr>
                  <w:t>。通过</w:t>
                </w:r>
                <w:r>
                  <w:rPr>
                    <w:rFonts w:hint="eastAsia"/>
                  </w:rPr>
                  <w:lastRenderedPageBreak/>
                  <w:t>项目研究提高表面合格率，提高取向硅钢表面质量。</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lastRenderedPageBreak/>
                  <w:t>中试阶段</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ascii="Times New Roman" w:hAnsi="Times New Roman"/>
                  </w:rPr>
                  <w:t xml:space="preserve">1. </w:t>
                </w:r>
                <w:r>
                  <w:rPr>
                    <w:rFonts w:hint="eastAsia"/>
                  </w:rPr>
                  <w:t>提升高磁感取向电工钢表面合格率达到</w:t>
                </w:r>
                <w:r>
                  <w:rPr>
                    <w:rFonts w:ascii="Times New Roman" w:hAnsi="Times New Roman"/>
                  </w:rPr>
                  <w:t>75%</w:t>
                </w:r>
                <w:r>
                  <w:rPr>
                    <w:rFonts w:hint="eastAsia"/>
                  </w:rPr>
                  <w:t>。</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提高取向硅钢表面质量，提高产品市场竞争力。</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9</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中置柜结构优化设计</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板材加工精度不够</w:t>
                </w:r>
              </w:p>
              <w:p w:rsidR="004A3868" w:rsidRDefault="003F1AB5">
                <w:pPr>
                  <w:pStyle w:val="afffb"/>
                  <w:rPr>
                    <w:rFonts w:ascii="Times New Roman" w:hAnsi="Times New Roman"/>
                  </w:rPr>
                </w:pPr>
                <w:r>
                  <w:t>2</w:t>
                </w:r>
                <w:r>
                  <w:rPr>
                    <w:rFonts w:hint="eastAsia"/>
                  </w:rPr>
                  <w:t>、技术和工艺未做到标准化生产。</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已结题</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eastAsia="等线"/>
                  </w:rPr>
                  <w:t>1</w:t>
                </w:r>
                <w:r>
                  <w:rPr>
                    <w:rFonts w:hint="eastAsia"/>
                  </w:rPr>
                  <w:t>、保证折弯工艺效果，工件不会变形。</w:t>
                </w:r>
              </w:p>
              <w:p w:rsidR="004A3868" w:rsidRDefault="003F1AB5">
                <w:pPr>
                  <w:pStyle w:val="afffb"/>
                </w:pPr>
                <w:r>
                  <w:rPr>
                    <w:rFonts w:eastAsia="等线"/>
                  </w:rPr>
                  <w:t>2</w:t>
                </w:r>
                <w:r>
                  <w:rPr>
                    <w:rFonts w:hint="eastAsia"/>
                  </w:rPr>
                  <w:t>、标识更清晰，展示了功能性标识。</w:t>
                </w:r>
              </w:p>
              <w:p w:rsidR="004A3868" w:rsidRDefault="003F1AB5">
                <w:pPr>
                  <w:pStyle w:val="afffb"/>
                </w:pPr>
                <w:r>
                  <w:rPr>
                    <w:rFonts w:eastAsia="等线"/>
                  </w:rPr>
                  <w:t>3</w:t>
                </w:r>
                <w:r>
                  <w:rPr>
                    <w:rFonts w:hint="eastAsia"/>
                  </w:rPr>
                  <w:t>、保证门板的强度。</w:t>
                </w:r>
              </w:p>
              <w:p w:rsidR="004A3868" w:rsidRDefault="003F1AB5">
                <w:pPr>
                  <w:pStyle w:val="afffb"/>
                </w:pPr>
                <w:r>
                  <w:rPr>
                    <w:rFonts w:eastAsia="等线"/>
                  </w:rPr>
                  <w:t>4</w:t>
                </w:r>
                <w:r>
                  <w:rPr>
                    <w:rFonts w:hint="eastAsia"/>
                  </w:rPr>
                  <w:t>、缩短加工时间。</w:t>
                </w:r>
              </w:p>
              <w:p w:rsidR="004A3868" w:rsidRDefault="003F1AB5">
                <w:pPr>
                  <w:pStyle w:val="afffb"/>
                  <w:rPr>
                    <w:rFonts w:ascii="Times New Roman" w:hAnsi="Times New Roman"/>
                  </w:rPr>
                </w:pPr>
                <w:r>
                  <w:t>5</w:t>
                </w:r>
                <w:r>
                  <w:rPr>
                    <w:rFonts w:hint="eastAsia"/>
                  </w:rPr>
                  <w:t>、推广标准化预制生产。</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提高成套产品质量，提高产品市场竞争力。</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10</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新能源发电用箱式变电站结构优化</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hint="eastAsia"/>
                  </w:rPr>
                  <w:t>该项目主要解决相比同行生产成本较高，空间利用率较低，铜排的温升控制设计认识不够，售后问题较多等问题，降低生产成本。</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已结题</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eastAsia="等线"/>
                  </w:rPr>
                  <w:t>1</w:t>
                </w:r>
                <w:r>
                  <w:rPr>
                    <w:rFonts w:hint="eastAsia"/>
                  </w:rPr>
                  <w:t>、减少喷漆，避免喷漆后装配划伤表面。</w:t>
                </w:r>
              </w:p>
              <w:p w:rsidR="004A3868" w:rsidRDefault="003F1AB5">
                <w:pPr>
                  <w:pStyle w:val="afffb"/>
                </w:pPr>
                <w:r>
                  <w:rPr>
                    <w:rFonts w:eastAsia="等线"/>
                  </w:rPr>
                  <w:t>2</w:t>
                </w:r>
                <w:r>
                  <w:rPr>
                    <w:rFonts w:hint="eastAsia"/>
                  </w:rPr>
                  <w:t>、降本优化。</w:t>
                </w:r>
              </w:p>
              <w:p w:rsidR="004A3868" w:rsidRDefault="003F1AB5">
                <w:pPr>
                  <w:pStyle w:val="afffb"/>
                </w:pPr>
                <w:r>
                  <w:rPr>
                    <w:rFonts w:eastAsia="等线"/>
                  </w:rPr>
                  <w:t>3</w:t>
                </w:r>
                <w:r>
                  <w:rPr>
                    <w:rFonts w:hint="eastAsia"/>
                  </w:rPr>
                  <w:t>、保证柜子固定牢固、不会产生位移，造成二次售后。</w:t>
                </w:r>
              </w:p>
              <w:p w:rsidR="004A3868" w:rsidRDefault="003F1AB5">
                <w:pPr>
                  <w:pStyle w:val="afffb"/>
                  <w:rPr>
                    <w:rFonts w:ascii="Times New Roman" w:hAnsi="Times New Roman"/>
                  </w:rPr>
                </w:pPr>
                <w:r>
                  <w:rPr>
                    <w:rFonts w:eastAsia="等线"/>
                  </w:rPr>
                  <w:t>4</w:t>
                </w:r>
                <w:r>
                  <w:rPr>
                    <w:rFonts w:hint="eastAsia"/>
                  </w:rPr>
                  <w:t>、避免吊装油漆表面受伤，二次补漆，影响外观</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提高成套产品质量，提高产品市场竞争力。</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11</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标准化箱式变电站散热方案设计与应用</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解决箱变内大容量变压器散热问题。</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已结题</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eastAsia="等线"/>
                  </w:rPr>
                  <w:t>1</w:t>
                </w:r>
                <w:r>
                  <w:rPr>
                    <w:rFonts w:hint="eastAsia"/>
                  </w:rPr>
                  <w:t>、根据变压器容量给出散热风口的面积大小及开口位置</w:t>
                </w:r>
              </w:p>
              <w:p w:rsidR="004A3868" w:rsidRDefault="003F1AB5">
                <w:pPr>
                  <w:pStyle w:val="afffb"/>
                </w:pPr>
                <w:r>
                  <w:rPr>
                    <w:rFonts w:eastAsia="等线"/>
                  </w:rPr>
                  <w:t>2</w:t>
                </w:r>
                <w:r>
                  <w:rPr>
                    <w:rFonts w:hint="eastAsia"/>
                  </w:rPr>
                  <w:t>、根据变压器容量匹配散热风机选型依据</w:t>
                </w:r>
              </w:p>
              <w:p w:rsidR="004A3868" w:rsidRDefault="003F1AB5">
                <w:pPr>
                  <w:pStyle w:val="afffb"/>
                </w:pPr>
                <w:r>
                  <w:rPr>
                    <w:rFonts w:eastAsia="等线"/>
                  </w:rPr>
                  <w:t>3</w:t>
                </w:r>
                <w:r>
                  <w:rPr>
                    <w:rFonts w:hint="eastAsia"/>
                  </w:rPr>
                  <w:t>、申请专利一项</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解决新能源箱变的散热问题，提升产品质量。</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12</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新能源发电用电力变压器产品结构优化</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解决新能源变压器制造成本高、结构复杂、制造繁琐、强度不够的问题，优化结构减小器身线圈体积，油箱紧凑小型化设计</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已结题</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优化降本</w:t>
                </w:r>
                <w:r>
                  <w:t>10%</w:t>
                </w:r>
                <w:r>
                  <w:rPr>
                    <w:rFonts w:hint="eastAsia"/>
                  </w:rPr>
                  <w:t>。</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降本新能源箱变的成本，提高产品市场竞争力。</w:t>
                </w:r>
              </w:p>
            </w:tc>
          </w:tr>
          <w:tr w:rsidR="004A3868">
            <w:trPr>
              <w:trHeight w:val="397"/>
              <w:jc w:val="center"/>
            </w:trPr>
            <w:tc>
              <w:tcPr>
                <w:tcW w:w="704"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13</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含油、含酸废水综合处理技术研究</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总排口氯离子超标</w:t>
                </w:r>
                <w:r>
                  <w:rPr>
                    <w:rFonts w:ascii="Times New Roman" w:hAnsi="Times New Roman"/>
                  </w:rPr>
                  <w:t>2</w:t>
                </w:r>
                <w:r>
                  <w:rPr>
                    <w:rFonts w:hint="eastAsia"/>
                  </w:rPr>
                  <w:t>倍</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已结题</w:t>
                </w:r>
              </w:p>
            </w:tc>
            <w:tc>
              <w:tcPr>
                <w:tcW w:w="1470" w:type="dxa"/>
                <w:tcBorders>
                  <w:top w:val="single" w:sz="4" w:space="0" w:color="auto"/>
                  <w:left w:val="nil"/>
                  <w:bottom w:val="single" w:sz="4" w:space="0" w:color="auto"/>
                  <w:right w:val="single" w:sz="4" w:space="0" w:color="auto"/>
                </w:tcBorders>
                <w:vAlign w:val="center"/>
              </w:tcPr>
              <w:p w:rsidR="004A3868" w:rsidRDefault="003F1AB5">
                <w:pPr>
                  <w:pStyle w:val="afffb"/>
                  <w:rPr>
                    <w:rFonts w:ascii="Times New Roman" w:hAnsi="Times New Roman"/>
                  </w:rPr>
                </w:pPr>
                <w:r>
                  <w:rPr>
                    <w:rFonts w:ascii="Times New Roman" w:hAnsi="Times New Roman"/>
                  </w:rPr>
                  <w:t>1.</w:t>
                </w:r>
                <w:r>
                  <w:rPr>
                    <w:rFonts w:hint="eastAsia"/>
                  </w:rPr>
                  <w:t>不污染水质、不污染环境。</w:t>
                </w:r>
              </w:p>
              <w:p w:rsidR="004A3868" w:rsidRDefault="003F1AB5">
                <w:pPr>
                  <w:pStyle w:val="afffb"/>
                </w:pPr>
                <w:r>
                  <w:rPr>
                    <w:rFonts w:ascii="Times New Roman" w:hAnsi="Times New Roman"/>
                  </w:rPr>
                  <w:t>2.</w:t>
                </w:r>
                <w:r>
                  <w:rPr>
                    <w:rFonts w:hint="eastAsia"/>
                  </w:rPr>
                  <w:t>达标排放。</w:t>
                </w:r>
              </w:p>
            </w:tc>
            <w:tc>
              <w:tcPr>
                <w:tcW w:w="1471"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公司已经建成国家级绿色工厂，提高公司市场竞争力。</w:t>
                </w:r>
              </w:p>
            </w:tc>
          </w:tr>
        </w:tbl>
        <w:p w:rsidR="004A3868" w:rsidRDefault="00B34370">
          <w:pPr>
            <w:rPr>
              <w:rStyle w:val="Style593"/>
              <w:szCs w:val="21"/>
            </w:rPr>
          </w:pPr>
        </w:p>
      </w:sdtContent>
    </w:sdt>
    <w:p w:rsidR="004A3868" w:rsidRDefault="003F1AB5">
      <w:pPr>
        <w:pStyle w:val="Style607"/>
        <w:rPr>
          <w:rStyle w:val="Style593"/>
          <w:szCs w:val="21"/>
        </w:rPr>
      </w:pPr>
      <w:r>
        <w:rPr>
          <w:rStyle w:val="Style593"/>
          <w:rFonts w:hint="eastAsia"/>
          <w:szCs w:val="21"/>
        </w:rPr>
        <w:t>研发人员构成发生重大变化的原因及对公司未来发展的影响</w:t>
      </w:r>
    </w:p>
    <w:bookmarkStart w:id="30" w:name="_Hlk89876701" w:displacedByCustomXml="next"/>
    <w:sdt>
      <w:sdtPr>
        <w:rPr>
          <w:rStyle w:val="Style322"/>
          <w:b w:val="0"/>
          <w:szCs w:val="21"/>
        </w:rPr>
        <w:alias w:val="是否适用：研发人员构成发生重大变化的原因及对公司未来发展的影响 [双击切换]"/>
        <w:tag w:val="_GBC_03b44883afff4742a08c198d082c26b3"/>
        <w:id w:val="1337958475"/>
        <w:placeholder>
          <w:docPart w:val="GBC22222222222222222222222222222"/>
        </w:placeholder>
      </w:sdtPr>
      <w:sdtEndPr>
        <w:rPr>
          <w:rStyle w:val="Style322"/>
        </w:rPr>
      </w:sdtEndPr>
      <w:sdtContent>
        <w:p w:rsidR="004A3868" w:rsidRDefault="003F1AB5">
          <w:pPr>
            <w:rPr>
              <w:rStyle w:val="Style322"/>
              <w:rFonts w:ascii="Calibri" w:hAnsi="Calibri" w:cs="Times New Roman"/>
              <w:b w:val="0"/>
              <w:szCs w:val="21"/>
            </w:rPr>
          </w:pPr>
          <w:r>
            <w:rPr>
              <w:rStyle w:val="Style322"/>
              <w:b w:val="0"/>
              <w:szCs w:val="21"/>
            </w:rPr>
            <w:fldChar w:fldCharType="begin"/>
          </w:r>
          <w:r>
            <w:rPr>
              <w:rStyle w:val="Style322"/>
              <w:b w:val="0"/>
              <w:szCs w:val="21"/>
            </w:rPr>
            <w:instrText xml:space="preserve"> MACROBUTTON  SnrToggleCheckbox √适用 </w:instrText>
          </w:r>
          <w:r>
            <w:rPr>
              <w:rStyle w:val="Style322"/>
              <w:b w:val="0"/>
              <w:szCs w:val="21"/>
            </w:rPr>
            <w:fldChar w:fldCharType="end"/>
          </w:r>
          <w:r>
            <w:rPr>
              <w:rStyle w:val="Style322"/>
              <w:b w:val="0"/>
              <w:szCs w:val="21"/>
            </w:rPr>
            <w:fldChar w:fldCharType="begin"/>
          </w:r>
          <w:r>
            <w:rPr>
              <w:rStyle w:val="Style322"/>
              <w:b w:val="0"/>
              <w:szCs w:val="21"/>
            </w:rPr>
            <w:instrText xml:space="preserve"> MACROBUTTON  SnrToggleCheckbox □不适用 </w:instrText>
          </w:r>
          <w:r>
            <w:rPr>
              <w:rStyle w:val="Style322"/>
              <w:b w:val="0"/>
              <w:szCs w:val="21"/>
            </w:rPr>
            <w:fldChar w:fldCharType="end"/>
          </w:r>
        </w:p>
      </w:sdtContent>
    </w:sdt>
    <w:sdt>
      <w:sdtPr>
        <w:rPr>
          <w:rStyle w:val="Style322"/>
          <w:szCs w:val="21"/>
        </w:rPr>
        <w:alias w:val="研发人员构成发生重大变化的原因及对公司未来发展的影响 "/>
        <w:tag w:val="_GBC_80a02ffca1e7473dba2ba3ca378ff4a0"/>
        <w:id w:val="-1295675462"/>
        <w:placeholder>
          <w:docPart w:val="GBC22222222222222222222222222222"/>
        </w:placeholder>
      </w:sdtPr>
      <w:sdtEndPr>
        <w:rPr>
          <w:rStyle w:val="Style322"/>
        </w:rPr>
      </w:sdtEndPr>
      <w:sdtContent>
        <w:p w:rsidR="004A3868" w:rsidRDefault="003F1AB5">
          <w:pPr>
            <w:pStyle w:val="Style842"/>
          </w:pPr>
          <w:r>
            <w:rPr>
              <w:rStyle w:val="Style322"/>
              <w:rFonts w:hint="eastAsia"/>
              <w:szCs w:val="21"/>
            </w:rPr>
            <w:t>无</w:t>
          </w:r>
        </w:p>
      </w:sdtContent>
    </w:sdt>
    <w:bookmarkEnd w:id="30"/>
    <w:p w:rsidR="004A3868" w:rsidRDefault="003F1AB5">
      <w:pPr>
        <w:pStyle w:val="Style829"/>
      </w:pPr>
      <w:r>
        <w:rPr>
          <w:rFonts w:hint="eastAsia"/>
        </w:rPr>
        <w:t>现金流</w:t>
      </w:r>
    </w:p>
    <w:sdt>
      <w:sdtPr>
        <w:alias w:val="是否适用：现金流[双击切换]"/>
        <w:tag w:val="_GBC_3340f2fc4f854cc1882e18412cf992f6"/>
        <w:id w:val="903030067"/>
        <w:placeholder>
          <w:docPart w:val="GBC22222222222222222222222222222"/>
        </w:placeholder>
      </w:sdtPr>
      <w:sdtEndPr/>
      <w:sdtContent>
        <w:p w:rsidR="004A3868" w:rsidRDefault="003F1AB5">
          <w:pPr>
            <w:pStyle w:val="Style580"/>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rPr>
        <w:alias w:val="现金流的影响分析"/>
        <w:tag w:val="_GBC_586311c345aa4f48bab3f8f8d5347f93"/>
        <w:id w:val="1912968733"/>
        <w:placeholder>
          <w:docPart w:val="GBC22222222222222222222222222222"/>
        </w:placeholder>
      </w:sdtPr>
      <w:sdtEndPr>
        <w:rPr>
          <w:rStyle w:val="afff4"/>
          <w:kern w:val="2"/>
        </w:rPr>
      </w:sdtEndPr>
      <w:sdtContent>
        <w:p w:rsidR="004A3868" w:rsidRDefault="003F1AB5">
          <w:pPr>
            <w:rPr>
              <w:rStyle w:val="afff4"/>
            </w:rPr>
          </w:pPr>
          <w:r>
            <w:rPr>
              <w:rStyle w:val="afff4"/>
              <w:rFonts w:hint="eastAsia"/>
              <w:sz w:val="21"/>
              <w:szCs w:val="21"/>
            </w:rPr>
            <w:t>详见第三节、五（一）</w:t>
          </w:r>
          <w:r>
            <w:rPr>
              <w:rStyle w:val="afff4"/>
              <w:sz w:val="21"/>
              <w:szCs w:val="21"/>
            </w:rPr>
            <w:t>1 “利润表及现金流量表相关科目变动分析表”</w:t>
          </w:r>
          <w:r>
            <w:rPr>
              <w:rStyle w:val="afff4"/>
            </w:rPr>
            <w:t>。</w:t>
          </w:r>
        </w:p>
      </w:sdtContent>
    </w:sdt>
    <w:p w:rsidR="004A3868" w:rsidRDefault="003F1AB5">
      <w:pPr>
        <w:pStyle w:val="Style810"/>
        <w:numPr>
          <w:ilvl w:val="0"/>
          <w:numId w:val="16"/>
        </w:numPr>
        <w:ind w:leftChars="0" w:firstLineChars="0"/>
      </w:pPr>
      <w:r>
        <w:rPr>
          <w:rFonts w:hint="eastAsia"/>
        </w:rPr>
        <w:t>非主营业务导致利润重大变化的说明</w:t>
      </w:r>
    </w:p>
    <w:sdt>
      <w:sdtPr>
        <w:rPr>
          <w:highlight w:val="yellow"/>
        </w:rPr>
        <w:alias w:val="是否适用：非主营业务来源分析[双击切换]"/>
        <w:tag w:val="_GBC_e76b46ce658b44e591e71db49febe73d"/>
        <w:id w:val="1148635420"/>
        <w:placeholder>
          <w:docPart w:val="GBC22222222222222222222222222222"/>
        </w:placeholder>
      </w:sdtPr>
      <w:sdtEndPr/>
      <w:sdtContent>
        <w:p w:rsidR="004A3868" w:rsidRDefault="003F1AB5">
          <w:pPr>
            <w:pStyle w:val="af1"/>
            <w:rPr>
              <w:highlight w:val="yellow"/>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810"/>
        <w:numPr>
          <w:ilvl w:val="0"/>
          <w:numId w:val="16"/>
        </w:numPr>
        <w:ind w:leftChars="0" w:firstLineChars="0"/>
      </w:pPr>
      <w:r>
        <w:t>资产、负债情况分析</w:t>
      </w:r>
    </w:p>
    <w:p w:rsidR="004A3868" w:rsidRDefault="00B34370">
      <w:pPr>
        <w:pStyle w:val="af1"/>
      </w:pPr>
      <w:sdt>
        <w:sdtPr>
          <w:rPr>
            <w:rFonts w:hint="eastAsia"/>
          </w:rPr>
          <w:alias w:val="是否适用：资产、负债情况分析[双击切换]"/>
          <w:tag w:val="_GBC_73f72b786f764d01bef1bb70d2d6e5c6"/>
          <w:id w:val="-1746804356"/>
          <w:lock w:val="contentLocked"/>
          <w:placeholder>
            <w:docPart w:val="GBC22222222222222222222222222222"/>
          </w:placeholder>
        </w:sdtPr>
        <w:sdtEndPr/>
        <w:sdtContent>
          <w:r w:rsidR="003F1AB5">
            <w:fldChar w:fldCharType="begin"/>
          </w:r>
          <w:r w:rsidR="003F1AB5">
            <w:instrText xml:space="preserve"> MACROBUTTON  SnrToggleCheckbox </w:instrText>
          </w:r>
          <w:r w:rsidR="003F1AB5">
            <w:instrText>√</w:instrText>
          </w:r>
          <w:r w:rsidR="003F1AB5">
            <w:instrText xml:space="preserve">适用  </w:instrText>
          </w:r>
          <w:r w:rsidR="003F1AB5">
            <w:fldChar w:fldCharType="end"/>
          </w:r>
          <w:r w:rsidR="003F1AB5">
            <w:fldChar w:fldCharType="begin"/>
          </w:r>
          <w:r w:rsidR="003F1AB5">
            <w:instrText xml:space="preserve"> MACROBUTTON  SnrToggleCheckbox </w:instrText>
          </w:r>
          <w:r w:rsidR="003F1AB5">
            <w:instrText>□</w:instrText>
          </w:r>
          <w:r w:rsidR="003F1AB5">
            <w:instrText xml:space="preserve">不适用 </w:instrText>
          </w:r>
          <w:r w:rsidR="003F1AB5">
            <w:fldChar w:fldCharType="end"/>
          </w:r>
        </w:sdtContent>
      </w:sdt>
    </w:p>
    <w:p w:rsidR="004A3868" w:rsidRDefault="003F1AB5">
      <w:pPr>
        <w:pStyle w:val="af1"/>
      </w:pPr>
      <w:r>
        <w:t>资产</w:t>
      </w:r>
      <w:r>
        <w:rPr>
          <w:rFonts w:hint="eastAsia"/>
        </w:rPr>
        <w:t>及</w:t>
      </w:r>
      <w:r>
        <w:t>负债</w:t>
      </w:r>
      <w:r>
        <w:rPr>
          <w:rFonts w:hint="eastAsia"/>
        </w:rPr>
        <w:t>状</w:t>
      </w:r>
      <w:r>
        <w:t>况</w:t>
      </w:r>
    </w:p>
    <w:p w:rsidR="004A3868" w:rsidRDefault="003F1AB5">
      <w:pPr>
        <w:pStyle w:val="Style832"/>
      </w:pPr>
      <w:r>
        <w:rPr>
          <w:rFonts w:hint="eastAsia"/>
        </w:rPr>
        <w:t>单位：</w:t>
      </w:r>
      <w:sdt>
        <w:sdtPr>
          <w:rPr>
            <w:rFonts w:hint="eastAsia"/>
          </w:rPr>
          <w:alias w:val="单位：资产负债状况分析"/>
          <w:tag w:val="_GBC_f016c1cffd884dd784e4fb134fd0d4df"/>
          <w:id w:val="-10866847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p>
    <w:tbl>
      <w:tblPr>
        <w:tblStyle w:val="g25"/>
        <w:tblW w:w="5000" w:type="pct"/>
        <w:jc w:val="center"/>
        <w:tblInd w:w="0" w:type="dxa"/>
        <w:tblLayout w:type="fixed"/>
        <w:tblCellMar>
          <w:right w:w="28" w:type="dxa"/>
        </w:tblCellMar>
        <w:tblLook w:val="04A0" w:firstRow="1" w:lastRow="0" w:firstColumn="1" w:lastColumn="0" w:noHBand="0" w:noVBand="1"/>
      </w:tblPr>
      <w:tblGrid>
        <w:gridCol w:w="1569"/>
        <w:gridCol w:w="1712"/>
        <w:gridCol w:w="856"/>
        <w:gridCol w:w="1426"/>
        <w:gridCol w:w="828"/>
        <w:gridCol w:w="1454"/>
        <w:gridCol w:w="978"/>
      </w:tblGrid>
      <w:tr w:rsidR="004A3868">
        <w:trPr>
          <w:trHeight w:val="397"/>
          <w:jc w:val="center"/>
        </w:trPr>
        <w:sdt>
          <w:sdtPr>
            <w:rPr>
              <w:rFonts w:ascii="Times New Roman" w:hAnsi="Times New Roman"/>
            </w:rPr>
            <w:tag w:val="_PLD_8f1f37d9a09f4bf3a8f4c407297e58ed"/>
            <w:id w:val="-2049216207"/>
            <w:lock w:val="sdtLocked"/>
          </w:sdtPr>
          <w:sdtEndPr/>
          <w:sdtContent>
            <w:tc>
              <w:tcPr>
                <w:tcW w:w="889" w:type="pct"/>
                <w:vAlign w:val="center"/>
              </w:tcPr>
              <w:p w:rsidR="004A3868" w:rsidRDefault="003F1AB5">
                <w:pPr>
                  <w:pStyle w:val="afffb"/>
                  <w:rPr>
                    <w:rStyle w:val="Style593"/>
                    <w:szCs w:val="21"/>
                  </w:rPr>
                </w:pPr>
                <w:r>
                  <w:t>项目名称</w:t>
                </w:r>
              </w:p>
            </w:tc>
          </w:sdtContent>
        </w:sdt>
        <w:sdt>
          <w:sdtPr>
            <w:rPr>
              <w:rFonts w:ascii="Times New Roman" w:hAnsi="Times New Roman"/>
            </w:rPr>
            <w:tag w:val="_PLD_a4c00a3d0d0a42e28bc6a14dd6d26320"/>
            <w:id w:val="-906680781"/>
            <w:lock w:val="sdtLocked"/>
          </w:sdtPr>
          <w:sdtEndPr/>
          <w:sdtContent>
            <w:tc>
              <w:tcPr>
                <w:tcW w:w="970" w:type="pct"/>
                <w:vAlign w:val="center"/>
              </w:tcPr>
              <w:p w:rsidR="004A3868" w:rsidRDefault="003F1AB5">
                <w:pPr>
                  <w:pStyle w:val="afffb"/>
                  <w:rPr>
                    <w:rStyle w:val="Style593"/>
                    <w:szCs w:val="21"/>
                  </w:rPr>
                </w:pPr>
                <w:r>
                  <w:t>本期期末数</w:t>
                </w:r>
              </w:p>
            </w:tc>
          </w:sdtContent>
        </w:sdt>
        <w:sdt>
          <w:sdtPr>
            <w:rPr>
              <w:rFonts w:ascii="Times New Roman" w:hAnsi="Times New Roman"/>
            </w:rPr>
            <w:tag w:val="_PLD_17de20223ad64b528b824744807b0036"/>
            <w:id w:val="-1277641708"/>
            <w:lock w:val="sdtLocked"/>
          </w:sdtPr>
          <w:sdtEndPr/>
          <w:sdtContent>
            <w:tc>
              <w:tcPr>
                <w:tcW w:w="485" w:type="pct"/>
                <w:vAlign w:val="center"/>
              </w:tcPr>
              <w:p w:rsidR="004A3868" w:rsidRDefault="003F1AB5">
                <w:pPr>
                  <w:pStyle w:val="afffb"/>
                  <w:rPr>
                    <w:rStyle w:val="Style593"/>
                    <w:szCs w:val="21"/>
                  </w:rPr>
                </w:pPr>
                <w:r>
                  <w:t>本期期末数占总资产的比例（%）</w:t>
                </w:r>
              </w:p>
            </w:tc>
          </w:sdtContent>
        </w:sdt>
        <w:sdt>
          <w:sdtPr>
            <w:rPr>
              <w:rFonts w:ascii="Times New Roman" w:hAnsi="Times New Roman"/>
            </w:rPr>
            <w:tag w:val="_PLD_d1b9e9483c3a41358f877758b5adb0fb"/>
            <w:id w:val="-1043054074"/>
            <w:lock w:val="sdtLocked"/>
          </w:sdtPr>
          <w:sdtEndPr/>
          <w:sdtContent>
            <w:tc>
              <w:tcPr>
                <w:tcW w:w="808" w:type="pct"/>
                <w:vAlign w:val="center"/>
              </w:tcPr>
              <w:p w:rsidR="004A3868" w:rsidRDefault="003F1AB5">
                <w:pPr>
                  <w:pStyle w:val="afffb"/>
                  <w:rPr>
                    <w:rStyle w:val="Style593"/>
                    <w:szCs w:val="21"/>
                  </w:rPr>
                </w:pPr>
                <w:r>
                  <w:t>上期期末数</w:t>
                </w:r>
              </w:p>
            </w:tc>
          </w:sdtContent>
        </w:sdt>
        <w:sdt>
          <w:sdtPr>
            <w:rPr>
              <w:rFonts w:ascii="Times New Roman" w:hAnsi="Times New Roman"/>
            </w:rPr>
            <w:tag w:val="_PLD_3a8a8577e1a84f26856a900f7202f9a8"/>
            <w:id w:val="834346166"/>
            <w:lock w:val="sdtLocked"/>
          </w:sdtPr>
          <w:sdtEndPr/>
          <w:sdtContent>
            <w:tc>
              <w:tcPr>
                <w:tcW w:w="469" w:type="pct"/>
                <w:vAlign w:val="center"/>
              </w:tcPr>
              <w:p w:rsidR="004A3868" w:rsidRDefault="003F1AB5">
                <w:pPr>
                  <w:pStyle w:val="afffb"/>
                  <w:rPr>
                    <w:rStyle w:val="Style593"/>
                    <w:szCs w:val="21"/>
                  </w:rPr>
                </w:pPr>
                <w:r>
                  <w:t>上期期末数占总资产的比例（%）</w:t>
                </w:r>
              </w:p>
            </w:tc>
          </w:sdtContent>
        </w:sdt>
        <w:sdt>
          <w:sdtPr>
            <w:rPr>
              <w:rFonts w:ascii="Times New Roman" w:hAnsi="Times New Roman"/>
            </w:rPr>
            <w:tag w:val="_PLD_8af1894621b84d44aec1deba51e3a7da"/>
            <w:id w:val="-815417617"/>
            <w:lock w:val="sdtLocked"/>
          </w:sdtPr>
          <w:sdtEndPr/>
          <w:sdtContent>
            <w:tc>
              <w:tcPr>
                <w:tcW w:w="824" w:type="pct"/>
                <w:vAlign w:val="center"/>
              </w:tcPr>
              <w:p w:rsidR="004A3868" w:rsidRDefault="003F1AB5">
                <w:pPr>
                  <w:pStyle w:val="afffb"/>
                  <w:rPr>
                    <w:rStyle w:val="Style593"/>
                    <w:szCs w:val="21"/>
                  </w:rPr>
                </w:pPr>
                <w:r>
                  <w:t>本期期末金额较上期期末变动比例（%）</w:t>
                </w:r>
              </w:p>
            </w:tc>
          </w:sdtContent>
        </w:sdt>
        <w:sdt>
          <w:sdtPr>
            <w:rPr>
              <w:rFonts w:ascii="Times New Roman" w:hAnsi="Times New Roman"/>
            </w:rPr>
            <w:tag w:val="_PLD_495436d1d45e4a9391194459a895631e"/>
            <w:id w:val="1280916968"/>
            <w:lock w:val="sdtLocked"/>
          </w:sdtPr>
          <w:sdtEndPr/>
          <w:sdtContent>
            <w:tc>
              <w:tcPr>
                <w:tcW w:w="554" w:type="pct"/>
                <w:vAlign w:val="center"/>
              </w:tcPr>
              <w:p w:rsidR="004A3868" w:rsidRDefault="003F1AB5">
                <w:pPr>
                  <w:pStyle w:val="afffb"/>
                  <w:rPr>
                    <w:rStyle w:val="Style593"/>
                    <w:szCs w:val="21"/>
                  </w:rPr>
                </w:pPr>
                <w:r>
                  <w:t>情况说明</w:t>
                </w:r>
              </w:p>
            </w:tc>
          </w:sdtContent>
        </w:sdt>
      </w:tr>
      <w:tr w:rsidR="004A3868">
        <w:trPr>
          <w:trHeight w:val="397"/>
          <w:jc w:val="center"/>
        </w:trPr>
        <w:tc>
          <w:tcPr>
            <w:tcW w:w="889" w:type="pct"/>
            <w:vAlign w:val="center"/>
          </w:tcPr>
          <w:p w:rsidR="004A3868" w:rsidRDefault="003F1AB5">
            <w:pPr>
              <w:pStyle w:val="afff9"/>
              <w:rPr>
                <w:rStyle w:val="Style593"/>
                <w:b w:val="0"/>
                <w:szCs w:val="21"/>
              </w:rPr>
            </w:pPr>
            <w:r>
              <w:t>货币资金</w:t>
            </w:r>
          </w:p>
        </w:tc>
        <w:tc>
          <w:tcPr>
            <w:tcW w:w="970" w:type="pct"/>
            <w:vAlign w:val="center"/>
          </w:tcPr>
          <w:p w:rsidR="004A3868" w:rsidRDefault="003F1AB5">
            <w:pPr>
              <w:pStyle w:val="afff7"/>
              <w:rPr>
                <w:rStyle w:val="Style593"/>
                <w:b w:val="0"/>
                <w:szCs w:val="21"/>
              </w:rPr>
            </w:pPr>
            <w:r>
              <w:t xml:space="preserve"> 137,313.51 </w:t>
            </w:r>
          </w:p>
        </w:tc>
        <w:tc>
          <w:tcPr>
            <w:tcW w:w="485" w:type="pct"/>
            <w:vAlign w:val="center"/>
          </w:tcPr>
          <w:p w:rsidR="004A3868" w:rsidRDefault="003F1AB5">
            <w:pPr>
              <w:pStyle w:val="afff7"/>
              <w:rPr>
                <w:rStyle w:val="Style593"/>
                <w:b w:val="0"/>
                <w:bCs w:val="0"/>
                <w:kern w:val="0"/>
                <w:szCs w:val="24"/>
              </w:rPr>
            </w:pPr>
            <w:r>
              <w:t xml:space="preserve"> 28.17 </w:t>
            </w:r>
          </w:p>
        </w:tc>
        <w:tc>
          <w:tcPr>
            <w:tcW w:w="808" w:type="pct"/>
            <w:vAlign w:val="center"/>
          </w:tcPr>
          <w:p w:rsidR="004A3868" w:rsidRDefault="003F1AB5">
            <w:pPr>
              <w:pStyle w:val="afff7"/>
              <w:rPr>
                <w:rStyle w:val="Style593"/>
                <w:b w:val="0"/>
                <w:szCs w:val="21"/>
              </w:rPr>
            </w:pPr>
            <w:r>
              <w:t xml:space="preserve"> 93,298.95 </w:t>
            </w:r>
          </w:p>
        </w:tc>
        <w:tc>
          <w:tcPr>
            <w:tcW w:w="469" w:type="pct"/>
            <w:vAlign w:val="center"/>
          </w:tcPr>
          <w:p w:rsidR="004A3868" w:rsidRDefault="003F1AB5">
            <w:pPr>
              <w:pStyle w:val="afff7"/>
              <w:rPr>
                <w:rStyle w:val="Style593"/>
                <w:b w:val="0"/>
                <w:szCs w:val="21"/>
              </w:rPr>
            </w:pPr>
            <w:r>
              <w:t xml:space="preserve"> 26.61 </w:t>
            </w:r>
          </w:p>
        </w:tc>
        <w:tc>
          <w:tcPr>
            <w:tcW w:w="824" w:type="pct"/>
            <w:vAlign w:val="center"/>
          </w:tcPr>
          <w:p w:rsidR="004A3868" w:rsidRDefault="003F1AB5">
            <w:pPr>
              <w:pStyle w:val="afff7"/>
              <w:rPr>
                <w:rStyle w:val="Style593"/>
                <w:b w:val="0"/>
                <w:szCs w:val="21"/>
              </w:rPr>
            </w:pPr>
            <w:r>
              <w:t xml:space="preserve"> 47.18 </w:t>
            </w:r>
          </w:p>
        </w:tc>
        <w:tc>
          <w:tcPr>
            <w:tcW w:w="554" w:type="pct"/>
            <w:vAlign w:val="center"/>
          </w:tcPr>
          <w:p w:rsidR="004A3868" w:rsidRDefault="003F1AB5">
            <w:pPr>
              <w:pStyle w:val="afffb"/>
              <w:rPr>
                <w:rStyle w:val="Style593"/>
                <w:b w:val="0"/>
                <w:szCs w:val="21"/>
              </w:rPr>
            </w:pPr>
            <w:r>
              <w:t>说明1</w:t>
            </w:r>
          </w:p>
        </w:tc>
      </w:tr>
      <w:tr w:rsidR="004A3868">
        <w:trPr>
          <w:trHeight w:val="397"/>
          <w:jc w:val="center"/>
        </w:trPr>
        <w:tc>
          <w:tcPr>
            <w:tcW w:w="889" w:type="pct"/>
          </w:tcPr>
          <w:p w:rsidR="004A3868" w:rsidRDefault="003F1AB5">
            <w:pPr>
              <w:pStyle w:val="afff9"/>
              <w:rPr>
                <w:rStyle w:val="Style593"/>
                <w:b w:val="0"/>
                <w:szCs w:val="21"/>
              </w:rPr>
            </w:pPr>
            <w:r>
              <w:t>交易性金融资产</w:t>
            </w:r>
          </w:p>
        </w:tc>
        <w:tc>
          <w:tcPr>
            <w:tcW w:w="970" w:type="pct"/>
            <w:vAlign w:val="center"/>
          </w:tcPr>
          <w:p w:rsidR="004A3868" w:rsidRDefault="003F1AB5">
            <w:pPr>
              <w:pStyle w:val="afff7"/>
              <w:rPr>
                <w:rStyle w:val="Style593"/>
                <w:b w:val="0"/>
                <w:szCs w:val="21"/>
              </w:rPr>
            </w:pPr>
            <w:r>
              <w:t xml:space="preserve">   </w:t>
            </w:r>
          </w:p>
        </w:tc>
        <w:tc>
          <w:tcPr>
            <w:tcW w:w="485" w:type="pct"/>
            <w:vAlign w:val="center"/>
          </w:tcPr>
          <w:p w:rsidR="004A3868" w:rsidRDefault="003F1AB5">
            <w:pPr>
              <w:pStyle w:val="afff7"/>
              <w:rPr>
                <w:rStyle w:val="Style593"/>
                <w:b w:val="0"/>
                <w:bCs w:val="0"/>
                <w:kern w:val="0"/>
                <w:szCs w:val="24"/>
              </w:rPr>
            </w:pPr>
            <w:r>
              <w:t xml:space="preserve">   </w:t>
            </w:r>
          </w:p>
        </w:tc>
        <w:tc>
          <w:tcPr>
            <w:tcW w:w="808" w:type="pct"/>
            <w:vAlign w:val="center"/>
          </w:tcPr>
          <w:p w:rsidR="004A3868" w:rsidRDefault="003F1AB5">
            <w:pPr>
              <w:pStyle w:val="afff7"/>
              <w:rPr>
                <w:rStyle w:val="Style593"/>
                <w:b w:val="0"/>
                <w:szCs w:val="21"/>
              </w:rPr>
            </w:pPr>
            <w:r>
              <w:t xml:space="preserve"> 3,002.14 </w:t>
            </w:r>
          </w:p>
        </w:tc>
        <w:tc>
          <w:tcPr>
            <w:tcW w:w="469" w:type="pct"/>
            <w:vAlign w:val="center"/>
          </w:tcPr>
          <w:p w:rsidR="004A3868" w:rsidRDefault="003F1AB5">
            <w:pPr>
              <w:pStyle w:val="afff7"/>
              <w:rPr>
                <w:rStyle w:val="Style593"/>
                <w:b w:val="0"/>
                <w:szCs w:val="21"/>
              </w:rPr>
            </w:pPr>
            <w:r>
              <w:t xml:space="preserve"> 0.86 </w:t>
            </w:r>
          </w:p>
        </w:tc>
        <w:tc>
          <w:tcPr>
            <w:tcW w:w="824" w:type="pct"/>
            <w:vAlign w:val="center"/>
          </w:tcPr>
          <w:p w:rsidR="004A3868" w:rsidRDefault="003F1AB5">
            <w:pPr>
              <w:pStyle w:val="afff7"/>
              <w:rPr>
                <w:rStyle w:val="Style593"/>
                <w:b w:val="0"/>
                <w:szCs w:val="21"/>
              </w:rPr>
            </w:pPr>
            <w:r>
              <w:t xml:space="preserve"> -100.00 </w:t>
            </w:r>
          </w:p>
        </w:tc>
        <w:tc>
          <w:tcPr>
            <w:tcW w:w="554" w:type="pct"/>
            <w:vAlign w:val="center"/>
          </w:tcPr>
          <w:p w:rsidR="004A3868" w:rsidRDefault="003F1AB5">
            <w:pPr>
              <w:pStyle w:val="afffb"/>
              <w:rPr>
                <w:rStyle w:val="Style593"/>
                <w:b w:val="0"/>
                <w:szCs w:val="21"/>
              </w:rPr>
            </w:pPr>
            <w:r>
              <w:t>说明2</w:t>
            </w:r>
          </w:p>
        </w:tc>
      </w:tr>
      <w:tr w:rsidR="004A3868">
        <w:trPr>
          <w:trHeight w:val="397"/>
          <w:jc w:val="center"/>
        </w:trPr>
        <w:tc>
          <w:tcPr>
            <w:tcW w:w="889" w:type="pct"/>
          </w:tcPr>
          <w:p w:rsidR="004A3868" w:rsidRDefault="003F1AB5">
            <w:pPr>
              <w:pStyle w:val="afff9"/>
              <w:rPr>
                <w:rStyle w:val="Style593"/>
                <w:b w:val="0"/>
                <w:szCs w:val="21"/>
              </w:rPr>
            </w:pPr>
            <w:r>
              <w:t>应收账款</w:t>
            </w:r>
          </w:p>
        </w:tc>
        <w:tc>
          <w:tcPr>
            <w:tcW w:w="970" w:type="pct"/>
            <w:vAlign w:val="center"/>
          </w:tcPr>
          <w:p w:rsidR="004A3868" w:rsidRDefault="003F1AB5">
            <w:pPr>
              <w:pStyle w:val="afff7"/>
              <w:rPr>
                <w:rStyle w:val="Style593"/>
                <w:b w:val="0"/>
                <w:szCs w:val="21"/>
              </w:rPr>
            </w:pPr>
            <w:r>
              <w:t xml:space="preserve"> 96,678.22 </w:t>
            </w:r>
          </w:p>
        </w:tc>
        <w:tc>
          <w:tcPr>
            <w:tcW w:w="485" w:type="pct"/>
            <w:vAlign w:val="center"/>
          </w:tcPr>
          <w:p w:rsidR="004A3868" w:rsidRDefault="003F1AB5">
            <w:pPr>
              <w:pStyle w:val="afff7"/>
              <w:rPr>
                <w:rStyle w:val="Style593"/>
                <w:b w:val="0"/>
                <w:bCs w:val="0"/>
                <w:kern w:val="0"/>
                <w:szCs w:val="24"/>
              </w:rPr>
            </w:pPr>
            <w:r>
              <w:t xml:space="preserve"> 19.83 </w:t>
            </w:r>
          </w:p>
        </w:tc>
        <w:tc>
          <w:tcPr>
            <w:tcW w:w="808" w:type="pct"/>
            <w:vAlign w:val="center"/>
          </w:tcPr>
          <w:p w:rsidR="004A3868" w:rsidRDefault="003F1AB5">
            <w:pPr>
              <w:pStyle w:val="afff7"/>
              <w:rPr>
                <w:rStyle w:val="Style593"/>
                <w:b w:val="0"/>
                <w:szCs w:val="21"/>
              </w:rPr>
            </w:pPr>
            <w:r>
              <w:t xml:space="preserve"> 73,913.62 </w:t>
            </w:r>
          </w:p>
        </w:tc>
        <w:tc>
          <w:tcPr>
            <w:tcW w:w="469" w:type="pct"/>
            <w:vAlign w:val="center"/>
          </w:tcPr>
          <w:p w:rsidR="004A3868" w:rsidRDefault="003F1AB5">
            <w:pPr>
              <w:pStyle w:val="afff7"/>
              <w:rPr>
                <w:rStyle w:val="Style593"/>
                <w:b w:val="0"/>
                <w:szCs w:val="21"/>
              </w:rPr>
            </w:pPr>
            <w:r>
              <w:t xml:space="preserve"> 21.08 </w:t>
            </w:r>
          </w:p>
        </w:tc>
        <w:tc>
          <w:tcPr>
            <w:tcW w:w="824" w:type="pct"/>
            <w:vAlign w:val="center"/>
          </w:tcPr>
          <w:p w:rsidR="004A3868" w:rsidRDefault="003F1AB5">
            <w:pPr>
              <w:pStyle w:val="afff7"/>
              <w:rPr>
                <w:rStyle w:val="Style593"/>
                <w:b w:val="0"/>
                <w:szCs w:val="21"/>
              </w:rPr>
            </w:pPr>
            <w:r>
              <w:t xml:space="preserve"> 30.80 </w:t>
            </w:r>
          </w:p>
        </w:tc>
        <w:tc>
          <w:tcPr>
            <w:tcW w:w="554" w:type="pct"/>
            <w:vAlign w:val="center"/>
          </w:tcPr>
          <w:p w:rsidR="004A3868" w:rsidRDefault="003F1AB5">
            <w:pPr>
              <w:pStyle w:val="afffb"/>
              <w:rPr>
                <w:rStyle w:val="Style593"/>
                <w:b w:val="0"/>
                <w:szCs w:val="21"/>
              </w:rPr>
            </w:pPr>
            <w:r>
              <w:t>说明3</w:t>
            </w:r>
          </w:p>
        </w:tc>
      </w:tr>
      <w:tr w:rsidR="004A3868">
        <w:trPr>
          <w:trHeight w:val="397"/>
          <w:jc w:val="center"/>
        </w:trPr>
        <w:tc>
          <w:tcPr>
            <w:tcW w:w="889" w:type="pct"/>
          </w:tcPr>
          <w:p w:rsidR="004A3868" w:rsidRDefault="003F1AB5">
            <w:pPr>
              <w:pStyle w:val="afff9"/>
              <w:rPr>
                <w:rStyle w:val="Style593"/>
                <w:b w:val="0"/>
                <w:szCs w:val="21"/>
              </w:rPr>
            </w:pPr>
            <w:r>
              <w:t>其他流动资产</w:t>
            </w:r>
          </w:p>
        </w:tc>
        <w:tc>
          <w:tcPr>
            <w:tcW w:w="970" w:type="pct"/>
            <w:vAlign w:val="center"/>
          </w:tcPr>
          <w:p w:rsidR="004A3868" w:rsidRDefault="003F1AB5">
            <w:pPr>
              <w:pStyle w:val="afff7"/>
              <w:rPr>
                <w:rStyle w:val="Style593"/>
                <w:b w:val="0"/>
                <w:szCs w:val="21"/>
              </w:rPr>
            </w:pPr>
            <w:r>
              <w:t xml:space="preserve"> 2,539.86 </w:t>
            </w:r>
          </w:p>
        </w:tc>
        <w:tc>
          <w:tcPr>
            <w:tcW w:w="485" w:type="pct"/>
            <w:vAlign w:val="center"/>
          </w:tcPr>
          <w:p w:rsidR="004A3868" w:rsidRDefault="003F1AB5">
            <w:pPr>
              <w:pStyle w:val="afff7"/>
              <w:rPr>
                <w:rStyle w:val="Style593"/>
                <w:b w:val="0"/>
                <w:bCs w:val="0"/>
                <w:kern w:val="0"/>
                <w:szCs w:val="24"/>
              </w:rPr>
            </w:pPr>
            <w:r>
              <w:t xml:space="preserve"> 0.52 </w:t>
            </w:r>
          </w:p>
        </w:tc>
        <w:tc>
          <w:tcPr>
            <w:tcW w:w="808" w:type="pct"/>
            <w:vAlign w:val="center"/>
          </w:tcPr>
          <w:p w:rsidR="004A3868" w:rsidRDefault="003F1AB5">
            <w:pPr>
              <w:pStyle w:val="afff7"/>
              <w:rPr>
                <w:rStyle w:val="Style593"/>
                <w:b w:val="0"/>
                <w:szCs w:val="21"/>
              </w:rPr>
            </w:pPr>
            <w:r>
              <w:t xml:space="preserve"> 218.84 </w:t>
            </w:r>
          </w:p>
        </w:tc>
        <w:tc>
          <w:tcPr>
            <w:tcW w:w="469" w:type="pct"/>
            <w:vAlign w:val="center"/>
          </w:tcPr>
          <w:p w:rsidR="004A3868" w:rsidRDefault="003F1AB5">
            <w:pPr>
              <w:pStyle w:val="afff7"/>
              <w:rPr>
                <w:rStyle w:val="Style593"/>
                <w:b w:val="0"/>
                <w:szCs w:val="21"/>
              </w:rPr>
            </w:pPr>
            <w:r>
              <w:t xml:space="preserve"> 0.06 </w:t>
            </w:r>
          </w:p>
        </w:tc>
        <w:tc>
          <w:tcPr>
            <w:tcW w:w="824" w:type="pct"/>
            <w:vAlign w:val="center"/>
          </w:tcPr>
          <w:p w:rsidR="004A3868" w:rsidRDefault="003F1AB5">
            <w:pPr>
              <w:pStyle w:val="afff7"/>
              <w:rPr>
                <w:rStyle w:val="Style593"/>
                <w:b w:val="0"/>
                <w:szCs w:val="21"/>
              </w:rPr>
            </w:pPr>
            <w:r>
              <w:t xml:space="preserve"> 1,060.61 </w:t>
            </w:r>
          </w:p>
        </w:tc>
        <w:tc>
          <w:tcPr>
            <w:tcW w:w="554" w:type="pct"/>
            <w:vAlign w:val="center"/>
          </w:tcPr>
          <w:p w:rsidR="004A3868" w:rsidRDefault="003F1AB5">
            <w:pPr>
              <w:pStyle w:val="afffb"/>
              <w:rPr>
                <w:rStyle w:val="Style593"/>
                <w:b w:val="0"/>
                <w:szCs w:val="21"/>
              </w:rPr>
            </w:pPr>
            <w:r>
              <w:t>说明4</w:t>
            </w:r>
          </w:p>
        </w:tc>
      </w:tr>
      <w:tr w:rsidR="004A3868">
        <w:trPr>
          <w:trHeight w:val="397"/>
          <w:jc w:val="center"/>
        </w:trPr>
        <w:tc>
          <w:tcPr>
            <w:tcW w:w="889" w:type="pct"/>
            <w:vAlign w:val="center"/>
          </w:tcPr>
          <w:p w:rsidR="004A3868" w:rsidRDefault="003F1AB5">
            <w:pPr>
              <w:pStyle w:val="afff9"/>
              <w:rPr>
                <w:rStyle w:val="Style593"/>
                <w:b w:val="0"/>
                <w:szCs w:val="21"/>
              </w:rPr>
            </w:pPr>
            <w:r>
              <w:t>固定资产</w:t>
            </w:r>
          </w:p>
        </w:tc>
        <w:tc>
          <w:tcPr>
            <w:tcW w:w="970" w:type="pct"/>
            <w:vAlign w:val="center"/>
          </w:tcPr>
          <w:p w:rsidR="004A3868" w:rsidRDefault="003F1AB5">
            <w:pPr>
              <w:pStyle w:val="afff7"/>
              <w:rPr>
                <w:rStyle w:val="Style593"/>
                <w:b w:val="0"/>
                <w:szCs w:val="21"/>
              </w:rPr>
            </w:pPr>
            <w:r>
              <w:t xml:space="preserve"> 111,480.87 </w:t>
            </w:r>
          </w:p>
        </w:tc>
        <w:tc>
          <w:tcPr>
            <w:tcW w:w="485" w:type="pct"/>
            <w:vAlign w:val="center"/>
          </w:tcPr>
          <w:p w:rsidR="004A3868" w:rsidRDefault="003F1AB5">
            <w:pPr>
              <w:pStyle w:val="afff7"/>
              <w:rPr>
                <w:rStyle w:val="Style593"/>
                <w:b w:val="0"/>
                <w:bCs w:val="0"/>
                <w:kern w:val="0"/>
                <w:szCs w:val="24"/>
              </w:rPr>
            </w:pPr>
            <w:r>
              <w:t xml:space="preserve"> 22.87 </w:t>
            </w:r>
          </w:p>
        </w:tc>
        <w:tc>
          <w:tcPr>
            <w:tcW w:w="808" w:type="pct"/>
            <w:vAlign w:val="center"/>
          </w:tcPr>
          <w:p w:rsidR="004A3868" w:rsidRDefault="003F1AB5">
            <w:pPr>
              <w:pStyle w:val="afff7"/>
              <w:rPr>
                <w:rStyle w:val="Style593"/>
                <w:b w:val="0"/>
                <w:szCs w:val="21"/>
              </w:rPr>
            </w:pPr>
            <w:r>
              <w:t xml:space="preserve"> 58,930.42 </w:t>
            </w:r>
          </w:p>
        </w:tc>
        <w:tc>
          <w:tcPr>
            <w:tcW w:w="469" w:type="pct"/>
            <w:vAlign w:val="center"/>
          </w:tcPr>
          <w:p w:rsidR="004A3868" w:rsidRDefault="003F1AB5">
            <w:pPr>
              <w:pStyle w:val="afff7"/>
              <w:rPr>
                <w:rStyle w:val="Style593"/>
                <w:b w:val="0"/>
                <w:szCs w:val="21"/>
              </w:rPr>
            </w:pPr>
            <w:r>
              <w:t xml:space="preserve"> 16.81 </w:t>
            </w:r>
          </w:p>
        </w:tc>
        <w:tc>
          <w:tcPr>
            <w:tcW w:w="824" w:type="pct"/>
            <w:vAlign w:val="center"/>
          </w:tcPr>
          <w:p w:rsidR="004A3868" w:rsidRDefault="003F1AB5">
            <w:pPr>
              <w:pStyle w:val="afff7"/>
              <w:rPr>
                <w:rStyle w:val="Style593"/>
                <w:b w:val="0"/>
                <w:szCs w:val="21"/>
              </w:rPr>
            </w:pPr>
            <w:r>
              <w:t xml:space="preserve"> 89.17 </w:t>
            </w:r>
          </w:p>
        </w:tc>
        <w:tc>
          <w:tcPr>
            <w:tcW w:w="554" w:type="pct"/>
            <w:vAlign w:val="center"/>
          </w:tcPr>
          <w:p w:rsidR="004A3868" w:rsidRDefault="003F1AB5">
            <w:pPr>
              <w:pStyle w:val="afffb"/>
              <w:rPr>
                <w:rStyle w:val="Style593"/>
                <w:b w:val="0"/>
                <w:szCs w:val="21"/>
              </w:rPr>
            </w:pPr>
            <w:r>
              <w:t>说明5</w:t>
            </w:r>
          </w:p>
        </w:tc>
      </w:tr>
      <w:tr w:rsidR="004A3868">
        <w:trPr>
          <w:trHeight w:val="397"/>
          <w:jc w:val="center"/>
        </w:trPr>
        <w:tc>
          <w:tcPr>
            <w:tcW w:w="889" w:type="pct"/>
          </w:tcPr>
          <w:p w:rsidR="004A3868" w:rsidRDefault="003F1AB5">
            <w:pPr>
              <w:pStyle w:val="afff9"/>
              <w:rPr>
                <w:rStyle w:val="Style593"/>
                <w:b w:val="0"/>
                <w:szCs w:val="21"/>
              </w:rPr>
            </w:pPr>
            <w:r>
              <w:t>在建工程</w:t>
            </w:r>
          </w:p>
        </w:tc>
        <w:tc>
          <w:tcPr>
            <w:tcW w:w="970" w:type="pct"/>
            <w:vAlign w:val="center"/>
          </w:tcPr>
          <w:p w:rsidR="004A3868" w:rsidRDefault="003F1AB5">
            <w:pPr>
              <w:pStyle w:val="afff7"/>
              <w:rPr>
                <w:rStyle w:val="Style593"/>
                <w:b w:val="0"/>
                <w:szCs w:val="21"/>
              </w:rPr>
            </w:pPr>
            <w:r>
              <w:t xml:space="preserve"> 37,780.71 </w:t>
            </w:r>
          </w:p>
        </w:tc>
        <w:tc>
          <w:tcPr>
            <w:tcW w:w="485" w:type="pct"/>
            <w:vAlign w:val="center"/>
          </w:tcPr>
          <w:p w:rsidR="004A3868" w:rsidRDefault="003F1AB5">
            <w:pPr>
              <w:pStyle w:val="afff7"/>
              <w:rPr>
                <w:rStyle w:val="Style593"/>
                <w:b w:val="0"/>
                <w:bCs w:val="0"/>
                <w:kern w:val="0"/>
                <w:szCs w:val="24"/>
              </w:rPr>
            </w:pPr>
            <w:r>
              <w:t xml:space="preserve"> 7.75 </w:t>
            </w:r>
          </w:p>
        </w:tc>
        <w:tc>
          <w:tcPr>
            <w:tcW w:w="808" w:type="pct"/>
            <w:vAlign w:val="center"/>
          </w:tcPr>
          <w:p w:rsidR="004A3868" w:rsidRDefault="003F1AB5">
            <w:pPr>
              <w:pStyle w:val="afff7"/>
              <w:rPr>
                <w:rStyle w:val="Style593"/>
                <w:b w:val="0"/>
                <w:szCs w:val="21"/>
              </w:rPr>
            </w:pPr>
            <w:r>
              <w:t xml:space="preserve"> 22,483.24 </w:t>
            </w:r>
          </w:p>
        </w:tc>
        <w:tc>
          <w:tcPr>
            <w:tcW w:w="469" w:type="pct"/>
            <w:vAlign w:val="center"/>
          </w:tcPr>
          <w:p w:rsidR="004A3868" w:rsidRDefault="003F1AB5">
            <w:pPr>
              <w:pStyle w:val="afff7"/>
              <w:rPr>
                <w:rStyle w:val="Style593"/>
                <w:b w:val="0"/>
                <w:szCs w:val="21"/>
              </w:rPr>
            </w:pPr>
            <w:r>
              <w:t xml:space="preserve"> 6.41 </w:t>
            </w:r>
          </w:p>
        </w:tc>
        <w:tc>
          <w:tcPr>
            <w:tcW w:w="824" w:type="pct"/>
            <w:vAlign w:val="center"/>
          </w:tcPr>
          <w:p w:rsidR="004A3868" w:rsidRDefault="003F1AB5">
            <w:pPr>
              <w:pStyle w:val="afff7"/>
              <w:rPr>
                <w:rStyle w:val="Style593"/>
                <w:b w:val="0"/>
                <w:szCs w:val="21"/>
              </w:rPr>
            </w:pPr>
            <w:r>
              <w:t xml:space="preserve"> 68.04 </w:t>
            </w:r>
          </w:p>
        </w:tc>
        <w:tc>
          <w:tcPr>
            <w:tcW w:w="554" w:type="pct"/>
            <w:vAlign w:val="center"/>
          </w:tcPr>
          <w:p w:rsidR="004A3868" w:rsidRDefault="003F1AB5">
            <w:pPr>
              <w:pStyle w:val="afffb"/>
              <w:rPr>
                <w:rStyle w:val="Style593"/>
                <w:b w:val="0"/>
                <w:szCs w:val="21"/>
              </w:rPr>
            </w:pPr>
            <w:r>
              <w:t>说明6</w:t>
            </w:r>
          </w:p>
        </w:tc>
      </w:tr>
      <w:tr w:rsidR="004A3868">
        <w:trPr>
          <w:trHeight w:val="397"/>
          <w:jc w:val="center"/>
        </w:trPr>
        <w:tc>
          <w:tcPr>
            <w:tcW w:w="889" w:type="pct"/>
          </w:tcPr>
          <w:p w:rsidR="004A3868" w:rsidRDefault="003F1AB5">
            <w:pPr>
              <w:pStyle w:val="afff9"/>
              <w:rPr>
                <w:rStyle w:val="Style593"/>
                <w:b w:val="0"/>
                <w:szCs w:val="21"/>
              </w:rPr>
            </w:pPr>
            <w:r>
              <w:t>使用权资产</w:t>
            </w:r>
          </w:p>
        </w:tc>
        <w:tc>
          <w:tcPr>
            <w:tcW w:w="970" w:type="pct"/>
            <w:vAlign w:val="center"/>
          </w:tcPr>
          <w:p w:rsidR="004A3868" w:rsidRDefault="003F1AB5">
            <w:pPr>
              <w:pStyle w:val="afff7"/>
              <w:rPr>
                <w:rStyle w:val="Style593"/>
                <w:b w:val="0"/>
                <w:szCs w:val="21"/>
              </w:rPr>
            </w:pPr>
            <w:r>
              <w:t xml:space="preserve"> 903.92 </w:t>
            </w:r>
          </w:p>
        </w:tc>
        <w:tc>
          <w:tcPr>
            <w:tcW w:w="485" w:type="pct"/>
            <w:vAlign w:val="center"/>
          </w:tcPr>
          <w:p w:rsidR="004A3868" w:rsidRDefault="003F1AB5">
            <w:pPr>
              <w:pStyle w:val="afff7"/>
              <w:rPr>
                <w:rStyle w:val="Style593"/>
                <w:b w:val="0"/>
                <w:bCs w:val="0"/>
                <w:kern w:val="0"/>
                <w:szCs w:val="24"/>
              </w:rPr>
            </w:pPr>
            <w:r>
              <w:t xml:space="preserve"> 0.19 </w:t>
            </w:r>
          </w:p>
        </w:tc>
        <w:tc>
          <w:tcPr>
            <w:tcW w:w="808" w:type="pct"/>
            <w:vAlign w:val="center"/>
          </w:tcPr>
          <w:p w:rsidR="004A3868" w:rsidRDefault="003F1AB5">
            <w:pPr>
              <w:pStyle w:val="afff7"/>
              <w:rPr>
                <w:rStyle w:val="Style593"/>
                <w:b w:val="0"/>
                <w:szCs w:val="21"/>
              </w:rPr>
            </w:pPr>
            <w:r>
              <w:t xml:space="preserve"> 162.95 </w:t>
            </w:r>
          </w:p>
        </w:tc>
        <w:tc>
          <w:tcPr>
            <w:tcW w:w="469" w:type="pct"/>
            <w:vAlign w:val="center"/>
          </w:tcPr>
          <w:p w:rsidR="004A3868" w:rsidRDefault="003F1AB5">
            <w:pPr>
              <w:pStyle w:val="afff7"/>
              <w:rPr>
                <w:rStyle w:val="Style593"/>
                <w:b w:val="0"/>
                <w:szCs w:val="21"/>
              </w:rPr>
            </w:pPr>
            <w:r>
              <w:t xml:space="preserve"> 0.05 </w:t>
            </w:r>
          </w:p>
        </w:tc>
        <w:tc>
          <w:tcPr>
            <w:tcW w:w="824" w:type="pct"/>
            <w:vAlign w:val="center"/>
          </w:tcPr>
          <w:p w:rsidR="004A3868" w:rsidRDefault="003F1AB5">
            <w:pPr>
              <w:pStyle w:val="afff7"/>
              <w:rPr>
                <w:rStyle w:val="Style593"/>
                <w:b w:val="0"/>
                <w:szCs w:val="21"/>
              </w:rPr>
            </w:pPr>
            <w:r>
              <w:t xml:space="preserve"> 454.73 </w:t>
            </w:r>
          </w:p>
        </w:tc>
        <w:tc>
          <w:tcPr>
            <w:tcW w:w="554" w:type="pct"/>
            <w:vAlign w:val="center"/>
          </w:tcPr>
          <w:p w:rsidR="004A3868" w:rsidRDefault="003F1AB5">
            <w:pPr>
              <w:pStyle w:val="afffb"/>
              <w:rPr>
                <w:rStyle w:val="Style593"/>
                <w:b w:val="0"/>
                <w:szCs w:val="21"/>
              </w:rPr>
            </w:pPr>
            <w:r>
              <w:t>说明7</w:t>
            </w:r>
          </w:p>
        </w:tc>
      </w:tr>
      <w:tr w:rsidR="004A3868">
        <w:trPr>
          <w:trHeight w:val="397"/>
          <w:jc w:val="center"/>
        </w:trPr>
        <w:tc>
          <w:tcPr>
            <w:tcW w:w="889" w:type="pct"/>
          </w:tcPr>
          <w:p w:rsidR="004A3868" w:rsidRDefault="003F1AB5">
            <w:pPr>
              <w:pStyle w:val="afff9"/>
              <w:rPr>
                <w:rStyle w:val="Style593"/>
                <w:b w:val="0"/>
                <w:szCs w:val="21"/>
              </w:rPr>
            </w:pPr>
            <w:r>
              <w:t>无形资产</w:t>
            </w:r>
          </w:p>
        </w:tc>
        <w:tc>
          <w:tcPr>
            <w:tcW w:w="970" w:type="pct"/>
            <w:vAlign w:val="center"/>
          </w:tcPr>
          <w:p w:rsidR="004A3868" w:rsidRDefault="003F1AB5">
            <w:pPr>
              <w:pStyle w:val="afff7"/>
              <w:rPr>
                <w:rStyle w:val="Style593"/>
                <w:b w:val="0"/>
                <w:szCs w:val="21"/>
              </w:rPr>
            </w:pPr>
            <w:r>
              <w:t xml:space="preserve"> 12,552.11 </w:t>
            </w:r>
          </w:p>
        </w:tc>
        <w:tc>
          <w:tcPr>
            <w:tcW w:w="485" w:type="pct"/>
            <w:vAlign w:val="center"/>
          </w:tcPr>
          <w:p w:rsidR="004A3868" w:rsidRDefault="003F1AB5">
            <w:pPr>
              <w:pStyle w:val="afff7"/>
              <w:rPr>
                <w:rStyle w:val="Style593"/>
                <w:b w:val="0"/>
                <w:bCs w:val="0"/>
                <w:kern w:val="0"/>
                <w:szCs w:val="24"/>
              </w:rPr>
            </w:pPr>
            <w:r>
              <w:t xml:space="preserve"> 2.57 </w:t>
            </w:r>
          </w:p>
        </w:tc>
        <w:tc>
          <w:tcPr>
            <w:tcW w:w="808" w:type="pct"/>
            <w:vAlign w:val="center"/>
          </w:tcPr>
          <w:p w:rsidR="004A3868" w:rsidRDefault="003F1AB5">
            <w:pPr>
              <w:pStyle w:val="afff7"/>
              <w:rPr>
                <w:rStyle w:val="Style593"/>
                <w:b w:val="0"/>
                <w:szCs w:val="21"/>
              </w:rPr>
            </w:pPr>
            <w:r>
              <w:t xml:space="preserve"> 8,174.38 </w:t>
            </w:r>
          </w:p>
        </w:tc>
        <w:tc>
          <w:tcPr>
            <w:tcW w:w="469" w:type="pct"/>
            <w:vAlign w:val="center"/>
          </w:tcPr>
          <w:p w:rsidR="004A3868" w:rsidRDefault="003F1AB5">
            <w:pPr>
              <w:pStyle w:val="afff7"/>
              <w:rPr>
                <w:rStyle w:val="Style593"/>
                <w:b w:val="0"/>
                <w:szCs w:val="21"/>
              </w:rPr>
            </w:pPr>
            <w:r>
              <w:t xml:space="preserve"> 2.33 </w:t>
            </w:r>
          </w:p>
        </w:tc>
        <w:tc>
          <w:tcPr>
            <w:tcW w:w="824" w:type="pct"/>
            <w:vAlign w:val="center"/>
          </w:tcPr>
          <w:p w:rsidR="004A3868" w:rsidRDefault="003F1AB5">
            <w:pPr>
              <w:pStyle w:val="afff7"/>
              <w:rPr>
                <w:rStyle w:val="Style593"/>
                <w:b w:val="0"/>
                <w:szCs w:val="21"/>
              </w:rPr>
            </w:pPr>
            <w:r>
              <w:t xml:space="preserve"> 53.55 </w:t>
            </w:r>
          </w:p>
        </w:tc>
        <w:tc>
          <w:tcPr>
            <w:tcW w:w="554" w:type="pct"/>
            <w:vAlign w:val="center"/>
          </w:tcPr>
          <w:p w:rsidR="004A3868" w:rsidRDefault="003F1AB5">
            <w:pPr>
              <w:pStyle w:val="afffb"/>
              <w:rPr>
                <w:rStyle w:val="Style593"/>
                <w:b w:val="0"/>
                <w:szCs w:val="21"/>
              </w:rPr>
            </w:pPr>
            <w:r>
              <w:t>说明8</w:t>
            </w:r>
          </w:p>
        </w:tc>
      </w:tr>
      <w:tr w:rsidR="004A3868">
        <w:trPr>
          <w:trHeight w:val="397"/>
          <w:jc w:val="center"/>
        </w:trPr>
        <w:tc>
          <w:tcPr>
            <w:tcW w:w="889" w:type="pct"/>
          </w:tcPr>
          <w:p w:rsidR="004A3868" w:rsidRDefault="003F1AB5">
            <w:pPr>
              <w:pStyle w:val="afff9"/>
              <w:rPr>
                <w:rStyle w:val="Style593"/>
                <w:b w:val="0"/>
                <w:szCs w:val="21"/>
              </w:rPr>
            </w:pPr>
            <w:r>
              <w:t>长期待摊费用</w:t>
            </w:r>
          </w:p>
        </w:tc>
        <w:tc>
          <w:tcPr>
            <w:tcW w:w="970" w:type="pct"/>
            <w:vAlign w:val="center"/>
          </w:tcPr>
          <w:p w:rsidR="004A3868" w:rsidRDefault="003F1AB5">
            <w:pPr>
              <w:pStyle w:val="afff7"/>
              <w:rPr>
                <w:rStyle w:val="Style593"/>
                <w:b w:val="0"/>
                <w:szCs w:val="21"/>
              </w:rPr>
            </w:pPr>
            <w:r>
              <w:t xml:space="preserve"> 384.61 </w:t>
            </w:r>
          </w:p>
        </w:tc>
        <w:tc>
          <w:tcPr>
            <w:tcW w:w="485" w:type="pct"/>
            <w:vAlign w:val="center"/>
          </w:tcPr>
          <w:p w:rsidR="004A3868" w:rsidRDefault="003F1AB5">
            <w:pPr>
              <w:pStyle w:val="afff7"/>
              <w:rPr>
                <w:rStyle w:val="Style593"/>
                <w:b w:val="0"/>
                <w:bCs w:val="0"/>
                <w:kern w:val="0"/>
                <w:szCs w:val="24"/>
              </w:rPr>
            </w:pPr>
            <w:r>
              <w:t xml:space="preserve"> 0.08 </w:t>
            </w:r>
          </w:p>
        </w:tc>
        <w:tc>
          <w:tcPr>
            <w:tcW w:w="808" w:type="pct"/>
            <w:vAlign w:val="center"/>
          </w:tcPr>
          <w:p w:rsidR="004A3868" w:rsidRDefault="003F1AB5">
            <w:pPr>
              <w:pStyle w:val="afff7"/>
              <w:rPr>
                <w:rStyle w:val="Style593"/>
                <w:b w:val="0"/>
                <w:szCs w:val="21"/>
              </w:rPr>
            </w:pPr>
            <w:r>
              <w:t xml:space="preserve"> 147.94 </w:t>
            </w:r>
          </w:p>
        </w:tc>
        <w:tc>
          <w:tcPr>
            <w:tcW w:w="469" w:type="pct"/>
            <w:vAlign w:val="center"/>
          </w:tcPr>
          <w:p w:rsidR="004A3868" w:rsidRDefault="003F1AB5">
            <w:pPr>
              <w:pStyle w:val="afff7"/>
              <w:rPr>
                <w:rStyle w:val="Style593"/>
                <w:b w:val="0"/>
                <w:szCs w:val="21"/>
              </w:rPr>
            </w:pPr>
            <w:r>
              <w:t xml:space="preserve"> 0.04 </w:t>
            </w:r>
          </w:p>
        </w:tc>
        <w:tc>
          <w:tcPr>
            <w:tcW w:w="824" w:type="pct"/>
            <w:vAlign w:val="center"/>
          </w:tcPr>
          <w:p w:rsidR="004A3868" w:rsidRDefault="003F1AB5">
            <w:pPr>
              <w:pStyle w:val="afff7"/>
              <w:rPr>
                <w:rStyle w:val="Style593"/>
                <w:b w:val="0"/>
                <w:szCs w:val="21"/>
              </w:rPr>
            </w:pPr>
            <w:r>
              <w:t xml:space="preserve"> 159.98 </w:t>
            </w:r>
          </w:p>
        </w:tc>
        <w:tc>
          <w:tcPr>
            <w:tcW w:w="554" w:type="pct"/>
            <w:vAlign w:val="center"/>
          </w:tcPr>
          <w:p w:rsidR="004A3868" w:rsidRDefault="003F1AB5">
            <w:pPr>
              <w:pStyle w:val="afffb"/>
              <w:rPr>
                <w:rStyle w:val="Style593"/>
                <w:b w:val="0"/>
                <w:szCs w:val="21"/>
              </w:rPr>
            </w:pPr>
            <w:r>
              <w:t>说明9</w:t>
            </w:r>
          </w:p>
        </w:tc>
      </w:tr>
      <w:tr w:rsidR="004A3868">
        <w:trPr>
          <w:trHeight w:val="397"/>
          <w:jc w:val="center"/>
        </w:trPr>
        <w:tc>
          <w:tcPr>
            <w:tcW w:w="889" w:type="pct"/>
          </w:tcPr>
          <w:p w:rsidR="004A3868" w:rsidRDefault="003F1AB5">
            <w:pPr>
              <w:pStyle w:val="afff9"/>
              <w:rPr>
                <w:rStyle w:val="Style593"/>
                <w:b w:val="0"/>
                <w:szCs w:val="21"/>
              </w:rPr>
            </w:pPr>
            <w:r>
              <w:t>其他非流动资产</w:t>
            </w:r>
          </w:p>
        </w:tc>
        <w:tc>
          <w:tcPr>
            <w:tcW w:w="970" w:type="pct"/>
            <w:vAlign w:val="center"/>
          </w:tcPr>
          <w:p w:rsidR="004A3868" w:rsidRDefault="003F1AB5">
            <w:pPr>
              <w:pStyle w:val="afff7"/>
              <w:rPr>
                <w:rStyle w:val="Style593"/>
                <w:b w:val="0"/>
                <w:szCs w:val="21"/>
              </w:rPr>
            </w:pPr>
            <w:r>
              <w:t xml:space="preserve"> 7,853.85 </w:t>
            </w:r>
          </w:p>
        </w:tc>
        <w:tc>
          <w:tcPr>
            <w:tcW w:w="485" w:type="pct"/>
            <w:vAlign w:val="center"/>
          </w:tcPr>
          <w:p w:rsidR="004A3868" w:rsidRDefault="003F1AB5">
            <w:pPr>
              <w:pStyle w:val="afff7"/>
              <w:rPr>
                <w:rStyle w:val="Style593"/>
                <w:b w:val="0"/>
                <w:bCs w:val="0"/>
                <w:kern w:val="0"/>
                <w:szCs w:val="24"/>
              </w:rPr>
            </w:pPr>
            <w:r>
              <w:t xml:space="preserve"> 1.61 </w:t>
            </w:r>
          </w:p>
        </w:tc>
        <w:tc>
          <w:tcPr>
            <w:tcW w:w="808" w:type="pct"/>
            <w:vAlign w:val="center"/>
          </w:tcPr>
          <w:p w:rsidR="004A3868" w:rsidRDefault="003F1AB5">
            <w:pPr>
              <w:pStyle w:val="afff7"/>
              <w:rPr>
                <w:rStyle w:val="Style593"/>
                <w:b w:val="0"/>
                <w:szCs w:val="21"/>
              </w:rPr>
            </w:pPr>
            <w:r>
              <w:t xml:space="preserve"> 14,523.89 </w:t>
            </w:r>
          </w:p>
        </w:tc>
        <w:tc>
          <w:tcPr>
            <w:tcW w:w="469" w:type="pct"/>
            <w:vAlign w:val="center"/>
          </w:tcPr>
          <w:p w:rsidR="004A3868" w:rsidRDefault="003F1AB5">
            <w:pPr>
              <w:pStyle w:val="afff7"/>
              <w:rPr>
                <w:rStyle w:val="Style593"/>
                <w:b w:val="0"/>
                <w:szCs w:val="21"/>
              </w:rPr>
            </w:pPr>
            <w:r>
              <w:t xml:space="preserve"> 4.14 </w:t>
            </w:r>
          </w:p>
        </w:tc>
        <w:tc>
          <w:tcPr>
            <w:tcW w:w="824" w:type="pct"/>
            <w:vAlign w:val="center"/>
          </w:tcPr>
          <w:p w:rsidR="004A3868" w:rsidRDefault="003F1AB5">
            <w:pPr>
              <w:pStyle w:val="afff7"/>
              <w:rPr>
                <w:rStyle w:val="Style593"/>
                <w:b w:val="0"/>
                <w:szCs w:val="21"/>
              </w:rPr>
            </w:pPr>
            <w:r>
              <w:t xml:space="preserve"> -45.92 </w:t>
            </w:r>
          </w:p>
        </w:tc>
        <w:tc>
          <w:tcPr>
            <w:tcW w:w="554" w:type="pct"/>
            <w:vAlign w:val="center"/>
          </w:tcPr>
          <w:p w:rsidR="004A3868" w:rsidRDefault="003F1AB5">
            <w:pPr>
              <w:pStyle w:val="afffb"/>
              <w:rPr>
                <w:rStyle w:val="Style593"/>
                <w:b w:val="0"/>
                <w:szCs w:val="21"/>
              </w:rPr>
            </w:pPr>
            <w:r>
              <w:t>说明10</w:t>
            </w:r>
          </w:p>
        </w:tc>
      </w:tr>
      <w:tr w:rsidR="004A3868">
        <w:trPr>
          <w:trHeight w:val="397"/>
          <w:jc w:val="center"/>
        </w:trPr>
        <w:tc>
          <w:tcPr>
            <w:tcW w:w="889" w:type="pct"/>
          </w:tcPr>
          <w:p w:rsidR="004A3868" w:rsidRDefault="003F1AB5">
            <w:pPr>
              <w:pStyle w:val="afff9"/>
              <w:rPr>
                <w:rStyle w:val="Style593"/>
                <w:b w:val="0"/>
                <w:szCs w:val="21"/>
              </w:rPr>
            </w:pPr>
            <w:r>
              <w:t>短期借款</w:t>
            </w:r>
          </w:p>
        </w:tc>
        <w:tc>
          <w:tcPr>
            <w:tcW w:w="970" w:type="pct"/>
            <w:vAlign w:val="center"/>
          </w:tcPr>
          <w:p w:rsidR="004A3868" w:rsidRDefault="003F1AB5">
            <w:pPr>
              <w:pStyle w:val="afff7"/>
              <w:rPr>
                <w:rStyle w:val="Style593"/>
                <w:b w:val="0"/>
                <w:szCs w:val="21"/>
              </w:rPr>
            </w:pPr>
            <w:r>
              <w:t xml:space="preserve"> 26,425.26 </w:t>
            </w:r>
          </w:p>
        </w:tc>
        <w:tc>
          <w:tcPr>
            <w:tcW w:w="485" w:type="pct"/>
            <w:vAlign w:val="center"/>
          </w:tcPr>
          <w:p w:rsidR="004A3868" w:rsidRDefault="003F1AB5">
            <w:pPr>
              <w:pStyle w:val="afff7"/>
              <w:rPr>
                <w:rStyle w:val="Style593"/>
                <w:b w:val="0"/>
                <w:bCs w:val="0"/>
                <w:kern w:val="0"/>
                <w:szCs w:val="24"/>
              </w:rPr>
            </w:pPr>
            <w:r>
              <w:t xml:space="preserve"> 5.42 </w:t>
            </w:r>
          </w:p>
        </w:tc>
        <w:tc>
          <w:tcPr>
            <w:tcW w:w="808" w:type="pct"/>
            <w:vAlign w:val="center"/>
          </w:tcPr>
          <w:p w:rsidR="004A3868" w:rsidRDefault="003F1AB5">
            <w:pPr>
              <w:pStyle w:val="afff7"/>
              <w:rPr>
                <w:rStyle w:val="Style593"/>
                <w:b w:val="0"/>
                <w:szCs w:val="21"/>
              </w:rPr>
            </w:pPr>
            <w:r>
              <w:t xml:space="preserve"> 3,342.70 </w:t>
            </w:r>
          </w:p>
        </w:tc>
        <w:tc>
          <w:tcPr>
            <w:tcW w:w="469" w:type="pct"/>
            <w:vAlign w:val="center"/>
          </w:tcPr>
          <w:p w:rsidR="004A3868" w:rsidRDefault="003F1AB5">
            <w:pPr>
              <w:pStyle w:val="afff7"/>
              <w:rPr>
                <w:rStyle w:val="Style593"/>
                <w:b w:val="0"/>
                <w:szCs w:val="21"/>
              </w:rPr>
            </w:pPr>
            <w:r>
              <w:t xml:space="preserve"> 0.95 </w:t>
            </w:r>
          </w:p>
        </w:tc>
        <w:tc>
          <w:tcPr>
            <w:tcW w:w="824" w:type="pct"/>
            <w:vAlign w:val="center"/>
          </w:tcPr>
          <w:p w:rsidR="004A3868" w:rsidRDefault="003F1AB5">
            <w:pPr>
              <w:pStyle w:val="afff7"/>
              <w:rPr>
                <w:rStyle w:val="Style593"/>
                <w:b w:val="0"/>
                <w:szCs w:val="21"/>
              </w:rPr>
            </w:pPr>
            <w:r>
              <w:t xml:space="preserve"> 690.54 </w:t>
            </w:r>
          </w:p>
        </w:tc>
        <w:tc>
          <w:tcPr>
            <w:tcW w:w="554" w:type="pct"/>
            <w:vAlign w:val="center"/>
          </w:tcPr>
          <w:p w:rsidR="004A3868" w:rsidRDefault="003F1AB5">
            <w:pPr>
              <w:pStyle w:val="afffb"/>
              <w:rPr>
                <w:rStyle w:val="Style593"/>
                <w:b w:val="0"/>
                <w:szCs w:val="21"/>
              </w:rPr>
            </w:pPr>
            <w:r>
              <w:t>说明11</w:t>
            </w:r>
          </w:p>
        </w:tc>
      </w:tr>
      <w:tr w:rsidR="004A3868">
        <w:trPr>
          <w:trHeight w:val="397"/>
          <w:jc w:val="center"/>
        </w:trPr>
        <w:tc>
          <w:tcPr>
            <w:tcW w:w="889" w:type="pct"/>
          </w:tcPr>
          <w:p w:rsidR="004A3868" w:rsidRDefault="003F1AB5">
            <w:pPr>
              <w:pStyle w:val="afff9"/>
              <w:rPr>
                <w:rStyle w:val="Style593"/>
                <w:b w:val="0"/>
                <w:szCs w:val="21"/>
              </w:rPr>
            </w:pPr>
            <w:r>
              <w:t>应付票据</w:t>
            </w:r>
          </w:p>
        </w:tc>
        <w:tc>
          <w:tcPr>
            <w:tcW w:w="970" w:type="pct"/>
            <w:vAlign w:val="center"/>
          </w:tcPr>
          <w:p w:rsidR="004A3868" w:rsidRDefault="003F1AB5">
            <w:pPr>
              <w:pStyle w:val="afff7"/>
              <w:rPr>
                <w:rStyle w:val="Style593"/>
                <w:b w:val="0"/>
                <w:szCs w:val="21"/>
              </w:rPr>
            </w:pPr>
            <w:r>
              <w:t xml:space="preserve"> 53,991.04 </w:t>
            </w:r>
          </w:p>
        </w:tc>
        <w:tc>
          <w:tcPr>
            <w:tcW w:w="485" w:type="pct"/>
            <w:vAlign w:val="center"/>
          </w:tcPr>
          <w:p w:rsidR="004A3868" w:rsidRDefault="003F1AB5">
            <w:pPr>
              <w:pStyle w:val="afff7"/>
              <w:rPr>
                <w:rStyle w:val="Style593"/>
                <w:b w:val="0"/>
                <w:bCs w:val="0"/>
                <w:kern w:val="0"/>
                <w:szCs w:val="24"/>
              </w:rPr>
            </w:pPr>
            <w:r>
              <w:t xml:space="preserve"> 11.07 </w:t>
            </w:r>
          </w:p>
        </w:tc>
        <w:tc>
          <w:tcPr>
            <w:tcW w:w="808" w:type="pct"/>
            <w:vAlign w:val="center"/>
          </w:tcPr>
          <w:p w:rsidR="004A3868" w:rsidRDefault="003F1AB5">
            <w:pPr>
              <w:pStyle w:val="afff7"/>
              <w:rPr>
                <w:rStyle w:val="Style593"/>
                <w:b w:val="0"/>
                <w:szCs w:val="21"/>
              </w:rPr>
            </w:pPr>
            <w:r>
              <w:t xml:space="preserve"> 20,433.64 </w:t>
            </w:r>
          </w:p>
        </w:tc>
        <w:tc>
          <w:tcPr>
            <w:tcW w:w="469" w:type="pct"/>
            <w:vAlign w:val="center"/>
          </w:tcPr>
          <w:p w:rsidR="004A3868" w:rsidRDefault="003F1AB5">
            <w:pPr>
              <w:pStyle w:val="afff7"/>
              <w:rPr>
                <w:rStyle w:val="Style593"/>
                <w:b w:val="0"/>
                <w:szCs w:val="21"/>
              </w:rPr>
            </w:pPr>
            <w:r>
              <w:t xml:space="preserve"> 5.83 </w:t>
            </w:r>
          </w:p>
        </w:tc>
        <w:tc>
          <w:tcPr>
            <w:tcW w:w="824" w:type="pct"/>
            <w:vAlign w:val="center"/>
          </w:tcPr>
          <w:p w:rsidR="004A3868" w:rsidRDefault="003F1AB5">
            <w:pPr>
              <w:pStyle w:val="afff7"/>
              <w:rPr>
                <w:rStyle w:val="Style593"/>
                <w:b w:val="0"/>
                <w:szCs w:val="21"/>
              </w:rPr>
            </w:pPr>
            <w:r>
              <w:t xml:space="preserve"> 164.23 </w:t>
            </w:r>
          </w:p>
        </w:tc>
        <w:tc>
          <w:tcPr>
            <w:tcW w:w="554" w:type="pct"/>
            <w:vAlign w:val="center"/>
          </w:tcPr>
          <w:p w:rsidR="004A3868" w:rsidRDefault="003F1AB5">
            <w:pPr>
              <w:pStyle w:val="afffb"/>
              <w:rPr>
                <w:rStyle w:val="Style593"/>
                <w:b w:val="0"/>
                <w:szCs w:val="21"/>
              </w:rPr>
            </w:pPr>
            <w:r>
              <w:t>说明12</w:t>
            </w:r>
          </w:p>
        </w:tc>
      </w:tr>
      <w:tr w:rsidR="004A3868">
        <w:trPr>
          <w:trHeight w:val="397"/>
          <w:jc w:val="center"/>
        </w:trPr>
        <w:tc>
          <w:tcPr>
            <w:tcW w:w="889" w:type="pct"/>
          </w:tcPr>
          <w:p w:rsidR="004A3868" w:rsidRDefault="003F1AB5">
            <w:pPr>
              <w:pStyle w:val="afff9"/>
              <w:rPr>
                <w:rStyle w:val="Style593"/>
                <w:b w:val="0"/>
                <w:szCs w:val="21"/>
              </w:rPr>
            </w:pPr>
            <w:r>
              <w:t>应付账款</w:t>
            </w:r>
          </w:p>
        </w:tc>
        <w:tc>
          <w:tcPr>
            <w:tcW w:w="970" w:type="pct"/>
          </w:tcPr>
          <w:p w:rsidR="004A3868" w:rsidRDefault="003F1AB5">
            <w:pPr>
              <w:pStyle w:val="afff7"/>
              <w:rPr>
                <w:rStyle w:val="Style593"/>
                <w:b w:val="0"/>
                <w:szCs w:val="21"/>
              </w:rPr>
            </w:pPr>
            <w:r>
              <w:t xml:space="preserve"> 55,301.36 </w:t>
            </w:r>
          </w:p>
        </w:tc>
        <w:tc>
          <w:tcPr>
            <w:tcW w:w="485" w:type="pct"/>
            <w:vAlign w:val="center"/>
          </w:tcPr>
          <w:p w:rsidR="004A3868" w:rsidRDefault="003F1AB5">
            <w:pPr>
              <w:pStyle w:val="afff7"/>
              <w:rPr>
                <w:rStyle w:val="Style593"/>
                <w:b w:val="0"/>
                <w:bCs w:val="0"/>
                <w:kern w:val="0"/>
                <w:szCs w:val="24"/>
              </w:rPr>
            </w:pPr>
            <w:r>
              <w:t xml:space="preserve"> 11.34 </w:t>
            </w:r>
          </w:p>
        </w:tc>
        <w:tc>
          <w:tcPr>
            <w:tcW w:w="808" w:type="pct"/>
          </w:tcPr>
          <w:p w:rsidR="004A3868" w:rsidRDefault="003F1AB5">
            <w:pPr>
              <w:pStyle w:val="afff7"/>
              <w:rPr>
                <w:rStyle w:val="Style593"/>
                <w:b w:val="0"/>
                <w:szCs w:val="21"/>
              </w:rPr>
            </w:pPr>
            <w:r>
              <w:t xml:space="preserve"> 31,245.11 </w:t>
            </w:r>
          </w:p>
        </w:tc>
        <w:tc>
          <w:tcPr>
            <w:tcW w:w="469" w:type="pct"/>
          </w:tcPr>
          <w:p w:rsidR="004A3868" w:rsidRDefault="003F1AB5">
            <w:pPr>
              <w:pStyle w:val="afff7"/>
              <w:rPr>
                <w:rStyle w:val="Style593"/>
                <w:b w:val="0"/>
                <w:szCs w:val="21"/>
              </w:rPr>
            </w:pPr>
            <w:r>
              <w:t xml:space="preserve"> 8.91 </w:t>
            </w:r>
          </w:p>
        </w:tc>
        <w:tc>
          <w:tcPr>
            <w:tcW w:w="824" w:type="pct"/>
          </w:tcPr>
          <w:p w:rsidR="004A3868" w:rsidRDefault="003F1AB5">
            <w:pPr>
              <w:pStyle w:val="afff7"/>
              <w:rPr>
                <w:rStyle w:val="Style593"/>
                <w:b w:val="0"/>
                <w:szCs w:val="21"/>
              </w:rPr>
            </w:pPr>
            <w:r>
              <w:t xml:space="preserve"> 76.99 </w:t>
            </w:r>
          </w:p>
        </w:tc>
        <w:tc>
          <w:tcPr>
            <w:tcW w:w="554" w:type="pct"/>
            <w:vAlign w:val="center"/>
          </w:tcPr>
          <w:p w:rsidR="004A3868" w:rsidRDefault="003F1AB5">
            <w:pPr>
              <w:pStyle w:val="afffb"/>
              <w:rPr>
                <w:rStyle w:val="Style593"/>
                <w:b w:val="0"/>
                <w:szCs w:val="21"/>
              </w:rPr>
            </w:pPr>
            <w:r>
              <w:t>说明13</w:t>
            </w:r>
          </w:p>
        </w:tc>
      </w:tr>
      <w:tr w:rsidR="004A3868">
        <w:trPr>
          <w:trHeight w:val="397"/>
          <w:jc w:val="center"/>
        </w:trPr>
        <w:tc>
          <w:tcPr>
            <w:tcW w:w="889" w:type="pct"/>
          </w:tcPr>
          <w:p w:rsidR="004A3868" w:rsidRDefault="003F1AB5">
            <w:pPr>
              <w:pStyle w:val="afff9"/>
              <w:rPr>
                <w:rStyle w:val="Style593"/>
                <w:b w:val="0"/>
                <w:szCs w:val="21"/>
              </w:rPr>
            </w:pPr>
            <w:r>
              <w:t>合同负债</w:t>
            </w:r>
          </w:p>
        </w:tc>
        <w:tc>
          <w:tcPr>
            <w:tcW w:w="970" w:type="pct"/>
            <w:vAlign w:val="center"/>
          </w:tcPr>
          <w:p w:rsidR="004A3868" w:rsidRDefault="003F1AB5">
            <w:pPr>
              <w:pStyle w:val="afff7"/>
              <w:rPr>
                <w:rStyle w:val="Style593"/>
                <w:b w:val="0"/>
                <w:szCs w:val="21"/>
              </w:rPr>
            </w:pPr>
            <w:r>
              <w:t xml:space="preserve"> 8,472.70 </w:t>
            </w:r>
          </w:p>
        </w:tc>
        <w:tc>
          <w:tcPr>
            <w:tcW w:w="485" w:type="pct"/>
            <w:vAlign w:val="center"/>
          </w:tcPr>
          <w:p w:rsidR="004A3868" w:rsidRDefault="003F1AB5">
            <w:pPr>
              <w:pStyle w:val="afff7"/>
              <w:rPr>
                <w:rStyle w:val="Style593"/>
                <w:b w:val="0"/>
                <w:bCs w:val="0"/>
                <w:kern w:val="0"/>
                <w:szCs w:val="24"/>
              </w:rPr>
            </w:pPr>
            <w:r>
              <w:t xml:space="preserve"> 1.74 </w:t>
            </w:r>
          </w:p>
        </w:tc>
        <w:tc>
          <w:tcPr>
            <w:tcW w:w="808" w:type="pct"/>
            <w:vAlign w:val="center"/>
          </w:tcPr>
          <w:p w:rsidR="004A3868" w:rsidRDefault="003F1AB5">
            <w:pPr>
              <w:pStyle w:val="afff7"/>
              <w:rPr>
                <w:rStyle w:val="Style593"/>
                <w:b w:val="0"/>
                <w:szCs w:val="21"/>
              </w:rPr>
            </w:pPr>
            <w:r>
              <w:t xml:space="preserve"> 17,463.22 </w:t>
            </w:r>
          </w:p>
        </w:tc>
        <w:tc>
          <w:tcPr>
            <w:tcW w:w="469" w:type="pct"/>
            <w:vAlign w:val="center"/>
          </w:tcPr>
          <w:p w:rsidR="004A3868" w:rsidRDefault="003F1AB5">
            <w:pPr>
              <w:pStyle w:val="afff7"/>
              <w:rPr>
                <w:rStyle w:val="Style593"/>
                <w:b w:val="0"/>
                <w:szCs w:val="21"/>
              </w:rPr>
            </w:pPr>
            <w:r>
              <w:t xml:space="preserve"> 4.98 </w:t>
            </w:r>
          </w:p>
        </w:tc>
        <w:tc>
          <w:tcPr>
            <w:tcW w:w="824" w:type="pct"/>
            <w:vAlign w:val="center"/>
          </w:tcPr>
          <w:p w:rsidR="004A3868" w:rsidRDefault="003F1AB5">
            <w:pPr>
              <w:pStyle w:val="afff7"/>
              <w:rPr>
                <w:rStyle w:val="Style593"/>
                <w:b w:val="0"/>
                <w:szCs w:val="21"/>
              </w:rPr>
            </w:pPr>
            <w:r>
              <w:t xml:space="preserve"> -51.48 </w:t>
            </w:r>
          </w:p>
        </w:tc>
        <w:tc>
          <w:tcPr>
            <w:tcW w:w="554" w:type="pct"/>
            <w:vAlign w:val="center"/>
          </w:tcPr>
          <w:p w:rsidR="004A3868" w:rsidRDefault="003F1AB5">
            <w:pPr>
              <w:pStyle w:val="afffb"/>
              <w:rPr>
                <w:rStyle w:val="Style593"/>
                <w:b w:val="0"/>
                <w:szCs w:val="21"/>
              </w:rPr>
            </w:pPr>
            <w:r>
              <w:t>说明14</w:t>
            </w:r>
          </w:p>
        </w:tc>
      </w:tr>
      <w:tr w:rsidR="004A3868">
        <w:trPr>
          <w:trHeight w:val="397"/>
          <w:jc w:val="center"/>
        </w:trPr>
        <w:tc>
          <w:tcPr>
            <w:tcW w:w="889" w:type="pct"/>
          </w:tcPr>
          <w:p w:rsidR="004A3868" w:rsidRDefault="003F1AB5">
            <w:pPr>
              <w:pStyle w:val="afff9"/>
            </w:pPr>
            <w:r>
              <w:rPr>
                <w:rFonts w:hint="eastAsia"/>
              </w:rPr>
              <w:t>应交税费</w:t>
            </w:r>
          </w:p>
        </w:tc>
        <w:tc>
          <w:tcPr>
            <w:tcW w:w="970" w:type="pct"/>
            <w:vAlign w:val="center"/>
          </w:tcPr>
          <w:p w:rsidR="004A3868" w:rsidRDefault="003F1AB5">
            <w:pPr>
              <w:pStyle w:val="afff7"/>
            </w:pPr>
            <w:r>
              <w:t xml:space="preserve"> 261.54 </w:t>
            </w:r>
          </w:p>
        </w:tc>
        <w:tc>
          <w:tcPr>
            <w:tcW w:w="485" w:type="pct"/>
            <w:vAlign w:val="center"/>
          </w:tcPr>
          <w:p w:rsidR="004A3868" w:rsidRDefault="003F1AB5">
            <w:pPr>
              <w:pStyle w:val="afff7"/>
            </w:pPr>
            <w:r>
              <w:t xml:space="preserve"> 0.05 </w:t>
            </w:r>
          </w:p>
        </w:tc>
        <w:tc>
          <w:tcPr>
            <w:tcW w:w="808" w:type="pct"/>
            <w:vAlign w:val="center"/>
          </w:tcPr>
          <w:p w:rsidR="004A3868" w:rsidRDefault="003F1AB5">
            <w:pPr>
              <w:pStyle w:val="afff7"/>
            </w:pPr>
            <w:r>
              <w:t xml:space="preserve"> 932.65 </w:t>
            </w:r>
          </w:p>
        </w:tc>
        <w:tc>
          <w:tcPr>
            <w:tcW w:w="469" w:type="pct"/>
            <w:vAlign w:val="center"/>
          </w:tcPr>
          <w:p w:rsidR="004A3868" w:rsidRDefault="003F1AB5">
            <w:pPr>
              <w:pStyle w:val="afff7"/>
            </w:pPr>
            <w:r>
              <w:t xml:space="preserve"> 0.27 </w:t>
            </w:r>
          </w:p>
        </w:tc>
        <w:tc>
          <w:tcPr>
            <w:tcW w:w="824" w:type="pct"/>
            <w:vAlign w:val="center"/>
          </w:tcPr>
          <w:p w:rsidR="004A3868" w:rsidRDefault="003F1AB5">
            <w:pPr>
              <w:pStyle w:val="afff7"/>
            </w:pPr>
            <w:r>
              <w:t xml:space="preserve"> -71.96 </w:t>
            </w:r>
          </w:p>
        </w:tc>
        <w:tc>
          <w:tcPr>
            <w:tcW w:w="554" w:type="pct"/>
            <w:vAlign w:val="center"/>
          </w:tcPr>
          <w:p w:rsidR="004A3868" w:rsidRDefault="003F1AB5">
            <w:pPr>
              <w:pStyle w:val="afffb"/>
            </w:pPr>
            <w:r>
              <w:rPr>
                <w:rFonts w:hint="eastAsia"/>
              </w:rPr>
              <w:t>说明</w:t>
            </w:r>
            <w:r>
              <w:t>15</w:t>
            </w:r>
          </w:p>
        </w:tc>
      </w:tr>
      <w:tr w:rsidR="004A3868">
        <w:trPr>
          <w:trHeight w:val="397"/>
          <w:jc w:val="center"/>
        </w:trPr>
        <w:tc>
          <w:tcPr>
            <w:tcW w:w="889" w:type="pct"/>
          </w:tcPr>
          <w:p w:rsidR="004A3868" w:rsidRDefault="003F1AB5">
            <w:pPr>
              <w:pStyle w:val="afff9"/>
              <w:rPr>
                <w:rStyle w:val="Style593"/>
                <w:b w:val="0"/>
                <w:szCs w:val="21"/>
              </w:rPr>
            </w:pPr>
            <w:r>
              <w:t>一年内到期的非流动负债</w:t>
            </w:r>
          </w:p>
        </w:tc>
        <w:tc>
          <w:tcPr>
            <w:tcW w:w="970" w:type="pct"/>
            <w:vAlign w:val="center"/>
          </w:tcPr>
          <w:p w:rsidR="004A3868" w:rsidRDefault="003F1AB5">
            <w:pPr>
              <w:pStyle w:val="afff7"/>
              <w:rPr>
                <w:rStyle w:val="Style593"/>
                <w:b w:val="0"/>
                <w:szCs w:val="21"/>
              </w:rPr>
            </w:pPr>
            <w:r>
              <w:t xml:space="preserve"> 6,900.20 </w:t>
            </w:r>
          </w:p>
        </w:tc>
        <w:tc>
          <w:tcPr>
            <w:tcW w:w="485" w:type="pct"/>
            <w:vAlign w:val="center"/>
          </w:tcPr>
          <w:p w:rsidR="004A3868" w:rsidRDefault="003F1AB5">
            <w:pPr>
              <w:pStyle w:val="afff7"/>
              <w:rPr>
                <w:rStyle w:val="Style593"/>
                <w:b w:val="0"/>
                <w:bCs w:val="0"/>
                <w:kern w:val="0"/>
                <w:szCs w:val="24"/>
              </w:rPr>
            </w:pPr>
            <w:r>
              <w:t xml:space="preserve"> 1.42 </w:t>
            </w:r>
          </w:p>
        </w:tc>
        <w:tc>
          <w:tcPr>
            <w:tcW w:w="808" w:type="pct"/>
            <w:vAlign w:val="center"/>
          </w:tcPr>
          <w:p w:rsidR="004A3868" w:rsidRDefault="003F1AB5">
            <w:pPr>
              <w:pStyle w:val="afff7"/>
              <w:rPr>
                <w:rStyle w:val="Style593"/>
                <w:b w:val="0"/>
                <w:szCs w:val="21"/>
              </w:rPr>
            </w:pPr>
            <w:r>
              <w:t xml:space="preserve"> 1,341.31 </w:t>
            </w:r>
          </w:p>
        </w:tc>
        <w:tc>
          <w:tcPr>
            <w:tcW w:w="469" w:type="pct"/>
            <w:vAlign w:val="center"/>
          </w:tcPr>
          <w:p w:rsidR="004A3868" w:rsidRDefault="003F1AB5">
            <w:pPr>
              <w:pStyle w:val="afff7"/>
              <w:rPr>
                <w:rStyle w:val="Style593"/>
                <w:b w:val="0"/>
                <w:szCs w:val="21"/>
              </w:rPr>
            </w:pPr>
            <w:r>
              <w:t xml:space="preserve"> 0.38 </w:t>
            </w:r>
          </w:p>
        </w:tc>
        <w:tc>
          <w:tcPr>
            <w:tcW w:w="824" w:type="pct"/>
            <w:vAlign w:val="center"/>
          </w:tcPr>
          <w:p w:rsidR="004A3868" w:rsidRDefault="003F1AB5">
            <w:pPr>
              <w:pStyle w:val="afff7"/>
              <w:rPr>
                <w:rStyle w:val="Style593"/>
                <w:b w:val="0"/>
                <w:szCs w:val="21"/>
              </w:rPr>
            </w:pPr>
            <w:r>
              <w:t xml:space="preserve"> 414.44 </w:t>
            </w:r>
          </w:p>
        </w:tc>
        <w:tc>
          <w:tcPr>
            <w:tcW w:w="554" w:type="pct"/>
            <w:vAlign w:val="center"/>
          </w:tcPr>
          <w:p w:rsidR="004A3868" w:rsidRDefault="003F1AB5">
            <w:pPr>
              <w:pStyle w:val="afffb"/>
              <w:rPr>
                <w:rStyle w:val="Style593"/>
                <w:b w:val="0"/>
                <w:szCs w:val="21"/>
              </w:rPr>
            </w:pPr>
            <w:r>
              <w:t>说明16</w:t>
            </w:r>
          </w:p>
        </w:tc>
      </w:tr>
      <w:tr w:rsidR="004A3868">
        <w:trPr>
          <w:trHeight w:val="397"/>
          <w:jc w:val="center"/>
        </w:trPr>
        <w:tc>
          <w:tcPr>
            <w:tcW w:w="889" w:type="pct"/>
          </w:tcPr>
          <w:p w:rsidR="004A3868" w:rsidRDefault="003F1AB5">
            <w:pPr>
              <w:pStyle w:val="afff9"/>
              <w:rPr>
                <w:rStyle w:val="Style593"/>
                <w:b w:val="0"/>
                <w:szCs w:val="21"/>
              </w:rPr>
            </w:pPr>
            <w:r>
              <w:t>长期借款</w:t>
            </w:r>
          </w:p>
        </w:tc>
        <w:tc>
          <w:tcPr>
            <w:tcW w:w="970" w:type="pct"/>
            <w:vAlign w:val="center"/>
          </w:tcPr>
          <w:p w:rsidR="004A3868" w:rsidRDefault="003F1AB5">
            <w:pPr>
              <w:pStyle w:val="afff7"/>
              <w:rPr>
                <w:rStyle w:val="Style593"/>
                <w:b w:val="0"/>
                <w:szCs w:val="21"/>
              </w:rPr>
            </w:pPr>
            <w:r>
              <w:t xml:space="preserve"> 66,511.76 </w:t>
            </w:r>
          </w:p>
        </w:tc>
        <w:tc>
          <w:tcPr>
            <w:tcW w:w="485" w:type="pct"/>
            <w:vAlign w:val="center"/>
          </w:tcPr>
          <w:p w:rsidR="004A3868" w:rsidRDefault="003F1AB5">
            <w:pPr>
              <w:pStyle w:val="afff7"/>
              <w:rPr>
                <w:rStyle w:val="Style593"/>
                <w:b w:val="0"/>
                <w:bCs w:val="0"/>
                <w:kern w:val="0"/>
                <w:szCs w:val="24"/>
              </w:rPr>
            </w:pPr>
            <w:r>
              <w:t xml:space="preserve"> 13.64 </w:t>
            </w:r>
          </w:p>
        </w:tc>
        <w:tc>
          <w:tcPr>
            <w:tcW w:w="808" w:type="pct"/>
            <w:vAlign w:val="center"/>
          </w:tcPr>
          <w:p w:rsidR="004A3868" w:rsidRDefault="003F1AB5">
            <w:pPr>
              <w:pStyle w:val="afff7"/>
              <w:rPr>
                <w:rStyle w:val="Style593"/>
                <w:b w:val="0"/>
                <w:szCs w:val="21"/>
              </w:rPr>
            </w:pPr>
            <w:r>
              <w:t xml:space="preserve"> 17,920.67 </w:t>
            </w:r>
          </w:p>
        </w:tc>
        <w:tc>
          <w:tcPr>
            <w:tcW w:w="469" w:type="pct"/>
            <w:vAlign w:val="center"/>
          </w:tcPr>
          <w:p w:rsidR="004A3868" w:rsidRDefault="003F1AB5">
            <w:pPr>
              <w:pStyle w:val="afff7"/>
              <w:rPr>
                <w:rStyle w:val="Style593"/>
                <w:b w:val="0"/>
                <w:szCs w:val="21"/>
              </w:rPr>
            </w:pPr>
            <w:r>
              <w:t xml:space="preserve"> 5.11 </w:t>
            </w:r>
          </w:p>
        </w:tc>
        <w:tc>
          <w:tcPr>
            <w:tcW w:w="824" w:type="pct"/>
            <w:vAlign w:val="center"/>
          </w:tcPr>
          <w:p w:rsidR="004A3868" w:rsidRDefault="003F1AB5">
            <w:pPr>
              <w:pStyle w:val="afff7"/>
              <w:rPr>
                <w:rStyle w:val="Style593"/>
                <w:b w:val="0"/>
                <w:szCs w:val="21"/>
              </w:rPr>
            </w:pPr>
            <w:r>
              <w:t xml:space="preserve"> 271.15 </w:t>
            </w:r>
          </w:p>
        </w:tc>
        <w:tc>
          <w:tcPr>
            <w:tcW w:w="554" w:type="pct"/>
            <w:vAlign w:val="center"/>
          </w:tcPr>
          <w:p w:rsidR="004A3868" w:rsidRDefault="003F1AB5">
            <w:pPr>
              <w:pStyle w:val="afffb"/>
              <w:rPr>
                <w:rStyle w:val="Style593"/>
                <w:b w:val="0"/>
                <w:szCs w:val="21"/>
              </w:rPr>
            </w:pPr>
            <w:r>
              <w:t>说明17</w:t>
            </w:r>
          </w:p>
        </w:tc>
      </w:tr>
      <w:tr w:rsidR="004A3868">
        <w:trPr>
          <w:trHeight w:val="397"/>
          <w:jc w:val="center"/>
        </w:trPr>
        <w:tc>
          <w:tcPr>
            <w:tcW w:w="889" w:type="pct"/>
          </w:tcPr>
          <w:p w:rsidR="004A3868" w:rsidRDefault="003F1AB5">
            <w:pPr>
              <w:pStyle w:val="afff9"/>
              <w:rPr>
                <w:rStyle w:val="Style593"/>
                <w:b w:val="0"/>
                <w:szCs w:val="21"/>
              </w:rPr>
            </w:pPr>
            <w:r>
              <w:t>租赁负债</w:t>
            </w:r>
          </w:p>
        </w:tc>
        <w:tc>
          <w:tcPr>
            <w:tcW w:w="970" w:type="pct"/>
            <w:vAlign w:val="center"/>
          </w:tcPr>
          <w:p w:rsidR="004A3868" w:rsidRDefault="003F1AB5">
            <w:pPr>
              <w:pStyle w:val="afff7"/>
              <w:rPr>
                <w:rStyle w:val="Style593"/>
                <w:b w:val="0"/>
                <w:szCs w:val="21"/>
              </w:rPr>
            </w:pPr>
            <w:r>
              <w:t xml:space="preserve"> 422.80 </w:t>
            </w:r>
          </w:p>
        </w:tc>
        <w:tc>
          <w:tcPr>
            <w:tcW w:w="485" w:type="pct"/>
            <w:vAlign w:val="center"/>
          </w:tcPr>
          <w:p w:rsidR="004A3868" w:rsidRDefault="003F1AB5">
            <w:pPr>
              <w:pStyle w:val="afff7"/>
              <w:rPr>
                <w:rStyle w:val="Style593"/>
                <w:b w:val="0"/>
                <w:bCs w:val="0"/>
                <w:kern w:val="0"/>
                <w:szCs w:val="24"/>
              </w:rPr>
            </w:pPr>
            <w:r>
              <w:t xml:space="preserve"> 0.09 </w:t>
            </w:r>
          </w:p>
        </w:tc>
        <w:tc>
          <w:tcPr>
            <w:tcW w:w="808" w:type="pct"/>
            <w:vAlign w:val="center"/>
          </w:tcPr>
          <w:p w:rsidR="004A3868" w:rsidRDefault="003F1AB5">
            <w:pPr>
              <w:pStyle w:val="afff7"/>
              <w:rPr>
                <w:rStyle w:val="Style593"/>
                <w:b w:val="0"/>
                <w:szCs w:val="21"/>
              </w:rPr>
            </w:pPr>
            <w:r>
              <w:t xml:space="preserve"> 56.12 </w:t>
            </w:r>
          </w:p>
        </w:tc>
        <w:tc>
          <w:tcPr>
            <w:tcW w:w="469" w:type="pct"/>
            <w:vAlign w:val="center"/>
          </w:tcPr>
          <w:p w:rsidR="004A3868" w:rsidRDefault="003F1AB5">
            <w:pPr>
              <w:pStyle w:val="afff7"/>
              <w:rPr>
                <w:rStyle w:val="Style593"/>
                <w:b w:val="0"/>
                <w:szCs w:val="21"/>
              </w:rPr>
            </w:pPr>
            <w:r>
              <w:t xml:space="preserve"> 0.02 </w:t>
            </w:r>
          </w:p>
        </w:tc>
        <w:tc>
          <w:tcPr>
            <w:tcW w:w="824" w:type="pct"/>
            <w:vAlign w:val="center"/>
          </w:tcPr>
          <w:p w:rsidR="004A3868" w:rsidRDefault="003F1AB5">
            <w:pPr>
              <w:pStyle w:val="afff7"/>
              <w:rPr>
                <w:rStyle w:val="Style593"/>
                <w:b w:val="0"/>
                <w:szCs w:val="21"/>
              </w:rPr>
            </w:pPr>
            <w:r>
              <w:t xml:space="preserve"> 653.33 </w:t>
            </w:r>
          </w:p>
        </w:tc>
        <w:tc>
          <w:tcPr>
            <w:tcW w:w="554" w:type="pct"/>
            <w:vAlign w:val="center"/>
          </w:tcPr>
          <w:p w:rsidR="004A3868" w:rsidRDefault="003F1AB5">
            <w:pPr>
              <w:pStyle w:val="afffb"/>
              <w:rPr>
                <w:rStyle w:val="Style593"/>
                <w:b w:val="0"/>
                <w:szCs w:val="21"/>
              </w:rPr>
            </w:pPr>
            <w:r>
              <w:t>说明18</w:t>
            </w:r>
          </w:p>
        </w:tc>
      </w:tr>
      <w:tr w:rsidR="004A3868">
        <w:trPr>
          <w:trHeight w:val="397"/>
          <w:jc w:val="center"/>
        </w:trPr>
        <w:tc>
          <w:tcPr>
            <w:tcW w:w="889" w:type="pct"/>
          </w:tcPr>
          <w:p w:rsidR="004A3868" w:rsidRDefault="003F1AB5">
            <w:pPr>
              <w:pStyle w:val="afff9"/>
              <w:rPr>
                <w:rStyle w:val="Style593"/>
                <w:b w:val="0"/>
                <w:szCs w:val="21"/>
              </w:rPr>
            </w:pPr>
            <w:r>
              <w:t>预计负债</w:t>
            </w:r>
          </w:p>
        </w:tc>
        <w:tc>
          <w:tcPr>
            <w:tcW w:w="970" w:type="pct"/>
            <w:vAlign w:val="center"/>
          </w:tcPr>
          <w:p w:rsidR="004A3868" w:rsidRDefault="003F1AB5">
            <w:pPr>
              <w:pStyle w:val="afff7"/>
              <w:rPr>
                <w:rStyle w:val="Style593"/>
                <w:b w:val="0"/>
                <w:szCs w:val="21"/>
              </w:rPr>
            </w:pPr>
            <w:r>
              <w:t xml:space="preserve"> 35.22 </w:t>
            </w:r>
          </w:p>
        </w:tc>
        <w:tc>
          <w:tcPr>
            <w:tcW w:w="485" w:type="pct"/>
            <w:vAlign w:val="center"/>
          </w:tcPr>
          <w:p w:rsidR="004A3868" w:rsidRDefault="003F1AB5">
            <w:pPr>
              <w:pStyle w:val="afff7"/>
              <w:rPr>
                <w:rStyle w:val="Style593"/>
                <w:b w:val="0"/>
                <w:bCs w:val="0"/>
                <w:kern w:val="0"/>
                <w:szCs w:val="24"/>
              </w:rPr>
            </w:pPr>
            <w:r>
              <w:t xml:space="preserve"> 0.01 </w:t>
            </w:r>
          </w:p>
        </w:tc>
        <w:tc>
          <w:tcPr>
            <w:tcW w:w="808" w:type="pct"/>
            <w:vAlign w:val="center"/>
          </w:tcPr>
          <w:p w:rsidR="004A3868" w:rsidRDefault="003F1AB5">
            <w:pPr>
              <w:pStyle w:val="afff7"/>
              <w:rPr>
                <w:rStyle w:val="Style593"/>
                <w:b w:val="0"/>
                <w:szCs w:val="21"/>
              </w:rPr>
            </w:pPr>
            <w:r>
              <w:t xml:space="preserve"> 278.58 </w:t>
            </w:r>
          </w:p>
        </w:tc>
        <w:tc>
          <w:tcPr>
            <w:tcW w:w="469" w:type="pct"/>
            <w:vAlign w:val="center"/>
          </w:tcPr>
          <w:p w:rsidR="004A3868" w:rsidRDefault="003F1AB5">
            <w:pPr>
              <w:pStyle w:val="afff7"/>
              <w:rPr>
                <w:rStyle w:val="Style593"/>
                <w:b w:val="0"/>
                <w:szCs w:val="21"/>
              </w:rPr>
            </w:pPr>
            <w:r>
              <w:t xml:space="preserve"> 0.08 </w:t>
            </w:r>
          </w:p>
        </w:tc>
        <w:tc>
          <w:tcPr>
            <w:tcW w:w="824" w:type="pct"/>
            <w:vAlign w:val="center"/>
          </w:tcPr>
          <w:p w:rsidR="004A3868" w:rsidRDefault="003F1AB5">
            <w:pPr>
              <w:pStyle w:val="afff7"/>
              <w:rPr>
                <w:rStyle w:val="Style593"/>
                <w:b w:val="0"/>
                <w:szCs w:val="21"/>
              </w:rPr>
            </w:pPr>
            <w:r>
              <w:t xml:space="preserve"> -87.36 </w:t>
            </w:r>
          </w:p>
        </w:tc>
        <w:tc>
          <w:tcPr>
            <w:tcW w:w="554" w:type="pct"/>
            <w:vAlign w:val="center"/>
          </w:tcPr>
          <w:p w:rsidR="004A3868" w:rsidRDefault="003F1AB5">
            <w:pPr>
              <w:pStyle w:val="afffb"/>
              <w:rPr>
                <w:rStyle w:val="Style593"/>
                <w:b w:val="0"/>
                <w:szCs w:val="21"/>
              </w:rPr>
            </w:pPr>
            <w:r>
              <w:t>说明19</w:t>
            </w:r>
          </w:p>
        </w:tc>
      </w:tr>
      <w:tr w:rsidR="004A3868">
        <w:trPr>
          <w:trHeight w:val="397"/>
          <w:jc w:val="center"/>
        </w:trPr>
        <w:tc>
          <w:tcPr>
            <w:tcW w:w="889" w:type="pct"/>
          </w:tcPr>
          <w:p w:rsidR="004A3868" w:rsidRDefault="003F1AB5">
            <w:pPr>
              <w:pStyle w:val="afff9"/>
              <w:rPr>
                <w:rStyle w:val="Style593"/>
                <w:b w:val="0"/>
                <w:szCs w:val="21"/>
              </w:rPr>
            </w:pPr>
            <w:r>
              <w:t>递延所得税负债</w:t>
            </w:r>
          </w:p>
        </w:tc>
        <w:tc>
          <w:tcPr>
            <w:tcW w:w="970" w:type="pct"/>
            <w:vAlign w:val="center"/>
          </w:tcPr>
          <w:p w:rsidR="004A3868" w:rsidRDefault="003F1AB5">
            <w:pPr>
              <w:pStyle w:val="afff7"/>
              <w:rPr>
                <w:rStyle w:val="Style593"/>
                <w:b w:val="0"/>
                <w:szCs w:val="21"/>
              </w:rPr>
            </w:pPr>
            <w:r>
              <w:t xml:space="preserve"> 4,741.59 </w:t>
            </w:r>
          </w:p>
        </w:tc>
        <w:tc>
          <w:tcPr>
            <w:tcW w:w="485" w:type="pct"/>
            <w:vAlign w:val="center"/>
          </w:tcPr>
          <w:p w:rsidR="004A3868" w:rsidRDefault="003F1AB5">
            <w:pPr>
              <w:pStyle w:val="afff7"/>
              <w:rPr>
                <w:rStyle w:val="Style593"/>
                <w:b w:val="0"/>
                <w:bCs w:val="0"/>
                <w:kern w:val="0"/>
                <w:szCs w:val="24"/>
              </w:rPr>
            </w:pPr>
            <w:r>
              <w:t xml:space="preserve"> 0.97 </w:t>
            </w:r>
          </w:p>
        </w:tc>
        <w:tc>
          <w:tcPr>
            <w:tcW w:w="808" w:type="pct"/>
            <w:vAlign w:val="center"/>
          </w:tcPr>
          <w:p w:rsidR="004A3868" w:rsidRDefault="003F1AB5">
            <w:pPr>
              <w:pStyle w:val="afff7"/>
              <w:rPr>
                <w:rStyle w:val="Style593"/>
                <w:b w:val="0"/>
                <w:szCs w:val="21"/>
              </w:rPr>
            </w:pPr>
            <w:r>
              <w:t xml:space="preserve"> 2,470.78 </w:t>
            </w:r>
          </w:p>
        </w:tc>
        <w:tc>
          <w:tcPr>
            <w:tcW w:w="469" w:type="pct"/>
            <w:vAlign w:val="center"/>
          </w:tcPr>
          <w:p w:rsidR="004A3868" w:rsidRDefault="003F1AB5">
            <w:pPr>
              <w:pStyle w:val="afff7"/>
              <w:rPr>
                <w:rStyle w:val="Style593"/>
                <w:b w:val="0"/>
                <w:szCs w:val="21"/>
              </w:rPr>
            </w:pPr>
            <w:r>
              <w:t xml:space="preserve"> 0.70 </w:t>
            </w:r>
          </w:p>
        </w:tc>
        <w:tc>
          <w:tcPr>
            <w:tcW w:w="824" w:type="pct"/>
            <w:vAlign w:val="center"/>
          </w:tcPr>
          <w:p w:rsidR="004A3868" w:rsidRDefault="003F1AB5">
            <w:pPr>
              <w:pStyle w:val="afff7"/>
              <w:rPr>
                <w:rStyle w:val="Style593"/>
                <w:b w:val="0"/>
                <w:szCs w:val="21"/>
              </w:rPr>
            </w:pPr>
            <w:r>
              <w:t xml:space="preserve"> 91.91 </w:t>
            </w:r>
          </w:p>
        </w:tc>
        <w:tc>
          <w:tcPr>
            <w:tcW w:w="554" w:type="pct"/>
            <w:vAlign w:val="center"/>
          </w:tcPr>
          <w:p w:rsidR="004A3868" w:rsidRDefault="003F1AB5">
            <w:pPr>
              <w:pStyle w:val="afffb"/>
              <w:rPr>
                <w:rStyle w:val="Style593"/>
                <w:b w:val="0"/>
                <w:szCs w:val="21"/>
              </w:rPr>
            </w:pPr>
            <w:r>
              <w:t>说明</w:t>
            </w:r>
            <w:r>
              <w:rPr>
                <w:rFonts w:hint="eastAsia"/>
              </w:rPr>
              <w:t>2</w:t>
            </w:r>
            <w:r>
              <w:t>0</w:t>
            </w:r>
          </w:p>
        </w:tc>
      </w:tr>
      <w:tr w:rsidR="004A3868">
        <w:trPr>
          <w:trHeight w:val="397"/>
          <w:jc w:val="center"/>
        </w:trPr>
        <w:tc>
          <w:tcPr>
            <w:tcW w:w="889" w:type="pct"/>
          </w:tcPr>
          <w:p w:rsidR="004A3868" w:rsidRDefault="003F1AB5">
            <w:pPr>
              <w:pStyle w:val="afff9"/>
              <w:rPr>
                <w:rStyle w:val="Style593"/>
                <w:b w:val="0"/>
                <w:szCs w:val="21"/>
              </w:rPr>
            </w:pPr>
            <w:r>
              <w:lastRenderedPageBreak/>
              <w:t>专项储备</w:t>
            </w:r>
          </w:p>
        </w:tc>
        <w:tc>
          <w:tcPr>
            <w:tcW w:w="970" w:type="pct"/>
            <w:vAlign w:val="center"/>
          </w:tcPr>
          <w:p w:rsidR="004A3868" w:rsidRDefault="003F1AB5">
            <w:pPr>
              <w:pStyle w:val="afff7"/>
              <w:rPr>
                <w:rStyle w:val="Style593"/>
                <w:b w:val="0"/>
                <w:szCs w:val="21"/>
              </w:rPr>
            </w:pPr>
            <w:r>
              <w:t xml:space="preserve"> 2,190.31 </w:t>
            </w:r>
          </w:p>
        </w:tc>
        <w:tc>
          <w:tcPr>
            <w:tcW w:w="485" w:type="pct"/>
            <w:vAlign w:val="center"/>
          </w:tcPr>
          <w:p w:rsidR="004A3868" w:rsidRDefault="003F1AB5">
            <w:pPr>
              <w:pStyle w:val="afff7"/>
              <w:rPr>
                <w:rStyle w:val="Style593"/>
                <w:b w:val="0"/>
                <w:bCs w:val="0"/>
                <w:kern w:val="0"/>
                <w:szCs w:val="24"/>
              </w:rPr>
            </w:pPr>
            <w:r>
              <w:t xml:space="preserve"> 0.45 </w:t>
            </w:r>
          </w:p>
        </w:tc>
        <w:tc>
          <w:tcPr>
            <w:tcW w:w="808" w:type="pct"/>
            <w:vAlign w:val="center"/>
          </w:tcPr>
          <w:p w:rsidR="004A3868" w:rsidRDefault="003F1AB5">
            <w:pPr>
              <w:pStyle w:val="afff7"/>
              <w:rPr>
                <w:rStyle w:val="Style593"/>
                <w:b w:val="0"/>
                <w:szCs w:val="21"/>
              </w:rPr>
            </w:pPr>
            <w:r>
              <w:t xml:space="preserve"> 1,531.19 </w:t>
            </w:r>
          </w:p>
        </w:tc>
        <w:tc>
          <w:tcPr>
            <w:tcW w:w="469" w:type="pct"/>
            <w:vAlign w:val="center"/>
          </w:tcPr>
          <w:p w:rsidR="004A3868" w:rsidRDefault="003F1AB5">
            <w:pPr>
              <w:pStyle w:val="afff7"/>
              <w:rPr>
                <w:rStyle w:val="Style593"/>
                <w:b w:val="0"/>
                <w:szCs w:val="21"/>
              </w:rPr>
            </w:pPr>
            <w:r>
              <w:t xml:space="preserve"> 0.44 </w:t>
            </w:r>
          </w:p>
        </w:tc>
        <w:tc>
          <w:tcPr>
            <w:tcW w:w="824" w:type="pct"/>
            <w:vAlign w:val="center"/>
          </w:tcPr>
          <w:p w:rsidR="004A3868" w:rsidRDefault="003F1AB5">
            <w:pPr>
              <w:pStyle w:val="afff7"/>
              <w:rPr>
                <w:rStyle w:val="Style593"/>
                <w:b w:val="0"/>
                <w:szCs w:val="21"/>
              </w:rPr>
            </w:pPr>
            <w:r>
              <w:t xml:space="preserve"> 43.05 </w:t>
            </w:r>
          </w:p>
        </w:tc>
        <w:tc>
          <w:tcPr>
            <w:tcW w:w="554" w:type="pct"/>
            <w:vAlign w:val="center"/>
          </w:tcPr>
          <w:p w:rsidR="004A3868" w:rsidRDefault="003F1AB5">
            <w:pPr>
              <w:pStyle w:val="afffb"/>
              <w:rPr>
                <w:rStyle w:val="Style593"/>
                <w:b w:val="0"/>
                <w:szCs w:val="21"/>
              </w:rPr>
            </w:pPr>
            <w:r>
              <w:t>说明21</w:t>
            </w:r>
          </w:p>
        </w:tc>
      </w:tr>
    </w:tbl>
    <w:p w:rsidR="004A3868" w:rsidRDefault="004A3868">
      <w:pPr>
        <w:pStyle w:val="Style580"/>
        <w:rPr>
          <w:sz w:val="21"/>
          <w:szCs w:val="21"/>
        </w:rPr>
      </w:pPr>
    </w:p>
    <w:p w:rsidR="004A3868" w:rsidRDefault="003F1AB5">
      <w:pPr>
        <w:pStyle w:val="Style842"/>
        <w:rPr>
          <w:sz w:val="21"/>
          <w:szCs w:val="21"/>
        </w:rPr>
      </w:pPr>
      <w:r>
        <w:rPr>
          <w:rFonts w:hint="eastAsia"/>
          <w:sz w:val="21"/>
          <w:szCs w:val="21"/>
        </w:rPr>
        <w:t>其他说明</w:t>
      </w:r>
    </w:p>
    <w:sdt>
      <w:sdtPr>
        <w:rPr>
          <w:rFonts w:hint="eastAsia"/>
        </w:rPr>
        <w:alias w:val="资产及负债状况的其他说明"/>
        <w:tag w:val="_GBC_3aee54264edd4bb08807d2335eb33f43"/>
        <w:id w:val="1085884079"/>
        <w:placeholder>
          <w:docPart w:val="GBC22222222222222222222222222222"/>
        </w:placeholder>
      </w:sdtPr>
      <w:sdtEndPr>
        <w:rPr>
          <w:szCs w:val="21"/>
        </w:rPr>
      </w:sdtEndPr>
      <w:sdtContent>
        <w:p w:rsidR="004A3868" w:rsidRDefault="003F1AB5">
          <w:pPr>
            <w:pStyle w:val="afff3"/>
            <w:ind w:firstLine="420"/>
            <w:rPr>
              <w:szCs w:val="21"/>
            </w:rPr>
          </w:pPr>
          <w:r>
            <w:rPr>
              <w:rFonts w:hint="eastAsia"/>
              <w:szCs w:val="21"/>
            </w:rPr>
            <w:t>说明</w:t>
          </w:r>
          <w:r>
            <w:rPr>
              <w:szCs w:val="21"/>
            </w:rPr>
            <w:t>1：货币资金较期初增</w:t>
          </w:r>
          <w:r>
            <w:rPr>
              <w:rFonts w:hint="eastAsia"/>
              <w:szCs w:val="21"/>
            </w:rPr>
            <w:t>加</w:t>
          </w:r>
          <w:r>
            <w:rPr>
              <w:szCs w:val="21"/>
            </w:rPr>
            <w:t>44,014.56万元，</w:t>
          </w:r>
          <w:r>
            <w:rPr>
              <w:rFonts w:hint="eastAsia"/>
              <w:szCs w:val="21"/>
            </w:rPr>
            <w:t>同比</w:t>
          </w:r>
          <w:r>
            <w:rPr>
              <w:szCs w:val="21"/>
            </w:rPr>
            <w:t>增长47.18%，主要系本期</w:t>
          </w:r>
          <w:r>
            <w:rPr>
              <w:rFonts w:hint="eastAsia"/>
              <w:szCs w:val="21"/>
            </w:rPr>
            <w:t>经营性现金流入增加带来的现金增加</w:t>
          </w:r>
          <w:r>
            <w:rPr>
              <w:szCs w:val="21"/>
            </w:rPr>
            <w:t>；</w:t>
          </w:r>
        </w:p>
        <w:p w:rsidR="004A3868" w:rsidRDefault="003F1AB5">
          <w:pPr>
            <w:pStyle w:val="afff3"/>
            <w:ind w:firstLine="420"/>
            <w:rPr>
              <w:szCs w:val="21"/>
            </w:rPr>
          </w:pPr>
          <w:r>
            <w:rPr>
              <w:rFonts w:hint="eastAsia"/>
              <w:szCs w:val="21"/>
            </w:rPr>
            <w:t>说明</w:t>
          </w:r>
          <w:r>
            <w:rPr>
              <w:szCs w:val="21"/>
            </w:rPr>
            <w:t>2：交易性金融资产较期初减少3,002.14万元，主要系上期末结构性存款</w:t>
          </w:r>
          <w:r>
            <w:rPr>
              <w:rFonts w:hint="eastAsia"/>
              <w:szCs w:val="21"/>
            </w:rPr>
            <w:t>3</w:t>
          </w:r>
          <w:r>
            <w:rPr>
              <w:szCs w:val="21"/>
            </w:rPr>
            <w:t>000</w:t>
          </w:r>
          <w:r>
            <w:rPr>
              <w:rFonts w:hint="eastAsia"/>
              <w:szCs w:val="21"/>
            </w:rPr>
            <w:t>万元本期</w:t>
          </w:r>
          <w:r>
            <w:rPr>
              <w:szCs w:val="21"/>
            </w:rPr>
            <w:t>到期</w:t>
          </w:r>
          <w:r>
            <w:rPr>
              <w:rFonts w:hint="eastAsia"/>
              <w:szCs w:val="21"/>
            </w:rPr>
            <w:t>减少</w:t>
          </w:r>
          <w:r>
            <w:rPr>
              <w:szCs w:val="21"/>
            </w:rPr>
            <w:t>所致；</w:t>
          </w:r>
        </w:p>
        <w:p w:rsidR="004A3868" w:rsidRDefault="003F1AB5">
          <w:pPr>
            <w:pStyle w:val="afff3"/>
            <w:ind w:firstLine="420"/>
            <w:rPr>
              <w:szCs w:val="21"/>
            </w:rPr>
          </w:pPr>
          <w:r>
            <w:rPr>
              <w:rFonts w:hint="eastAsia"/>
              <w:szCs w:val="21"/>
            </w:rPr>
            <w:t>说明</w:t>
          </w:r>
          <w:r>
            <w:rPr>
              <w:szCs w:val="21"/>
            </w:rPr>
            <w:t>3：应收账款较期初增</w:t>
          </w:r>
          <w:r>
            <w:rPr>
              <w:rFonts w:hint="eastAsia"/>
              <w:szCs w:val="21"/>
            </w:rPr>
            <w:t>加</w:t>
          </w:r>
          <w:r>
            <w:rPr>
              <w:szCs w:val="21"/>
            </w:rPr>
            <w:t>22,764.59万元，</w:t>
          </w:r>
          <w:r>
            <w:rPr>
              <w:rFonts w:hint="eastAsia"/>
              <w:szCs w:val="21"/>
            </w:rPr>
            <w:t>同比</w:t>
          </w:r>
          <w:r>
            <w:rPr>
              <w:szCs w:val="21"/>
            </w:rPr>
            <w:t>增长30.80%，主要系输配电及控制设备营业收入增加37,628.13万元，增长38.52%，应收账款同步增长；</w:t>
          </w:r>
        </w:p>
        <w:p w:rsidR="004A3868" w:rsidRDefault="003F1AB5">
          <w:pPr>
            <w:pStyle w:val="afff3"/>
            <w:ind w:firstLine="420"/>
            <w:rPr>
              <w:szCs w:val="21"/>
            </w:rPr>
          </w:pPr>
          <w:r>
            <w:rPr>
              <w:rFonts w:hint="eastAsia"/>
              <w:szCs w:val="21"/>
            </w:rPr>
            <w:t>说明</w:t>
          </w:r>
          <w:r>
            <w:rPr>
              <w:szCs w:val="21"/>
            </w:rPr>
            <w:t>4：其他流动资产较期初增加2,321.02万元，</w:t>
          </w:r>
          <w:r>
            <w:rPr>
              <w:rFonts w:hint="eastAsia"/>
              <w:szCs w:val="21"/>
            </w:rPr>
            <w:t>同比</w:t>
          </w:r>
          <w:r>
            <w:rPr>
              <w:szCs w:val="21"/>
            </w:rPr>
            <w:t>增长1060.61%，主要系</w:t>
          </w:r>
          <w:r>
            <w:rPr>
              <w:rFonts w:hint="eastAsia"/>
              <w:szCs w:val="21"/>
            </w:rPr>
            <w:t>预缴</w:t>
          </w:r>
          <w:r>
            <w:rPr>
              <w:szCs w:val="21"/>
            </w:rPr>
            <w:t>企业所得税所致；</w:t>
          </w:r>
        </w:p>
        <w:p w:rsidR="004A3868" w:rsidRDefault="003F1AB5">
          <w:pPr>
            <w:pStyle w:val="afff3"/>
            <w:ind w:firstLine="420"/>
            <w:rPr>
              <w:szCs w:val="21"/>
            </w:rPr>
          </w:pPr>
          <w:r>
            <w:rPr>
              <w:rFonts w:hint="eastAsia"/>
              <w:szCs w:val="21"/>
            </w:rPr>
            <w:t>说明</w:t>
          </w:r>
          <w:r>
            <w:rPr>
              <w:szCs w:val="21"/>
            </w:rPr>
            <w:t>5：固定资产较期初增加52,550.46万元，</w:t>
          </w:r>
          <w:r>
            <w:rPr>
              <w:rFonts w:hint="eastAsia"/>
              <w:szCs w:val="21"/>
            </w:rPr>
            <w:t>同比</w:t>
          </w:r>
          <w:r>
            <w:rPr>
              <w:szCs w:val="21"/>
            </w:rPr>
            <w:t>增长89.17%，主要系</w:t>
          </w:r>
          <w:r>
            <w:rPr>
              <w:rFonts w:hint="eastAsia"/>
              <w:szCs w:val="21"/>
            </w:rPr>
            <w:t>在建</w:t>
          </w:r>
          <w:r>
            <w:rPr>
              <w:szCs w:val="21"/>
            </w:rPr>
            <w:t>项目</w:t>
          </w:r>
          <w:r>
            <w:rPr>
              <w:rFonts w:hint="eastAsia"/>
              <w:szCs w:val="21"/>
            </w:rPr>
            <w:t>相关</w:t>
          </w:r>
          <w:r>
            <w:rPr>
              <w:szCs w:val="21"/>
            </w:rPr>
            <w:t>设备及建筑工程陆续达到预定使用状态转固所致；</w:t>
          </w:r>
        </w:p>
        <w:p w:rsidR="004A3868" w:rsidRDefault="003F1AB5">
          <w:pPr>
            <w:pStyle w:val="afff3"/>
            <w:ind w:firstLine="420"/>
            <w:rPr>
              <w:szCs w:val="21"/>
            </w:rPr>
          </w:pPr>
          <w:r>
            <w:rPr>
              <w:rFonts w:hint="eastAsia"/>
              <w:szCs w:val="21"/>
            </w:rPr>
            <w:t>说明</w:t>
          </w:r>
          <w:r>
            <w:rPr>
              <w:szCs w:val="21"/>
            </w:rPr>
            <w:t>6：在建工程较期初增加15,297.47万元，</w:t>
          </w:r>
          <w:r>
            <w:rPr>
              <w:rFonts w:hint="eastAsia"/>
              <w:szCs w:val="21"/>
            </w:rPr>
            <w:t>同比</w:t>
          </w:r>
          <w:r>
            <w:rPr>
              <w:szCs w:val="21"/>
            </w:rPr>
            <w:t>增长68.04%，主要系</w:t>
          </w:r>
          <w:r>
            <w:rPr>
              <w:rFonts w:hint="eastAsia"/>
              <w:szCs w:val="21"/>
            </w:rPr>
            <w:t>相关在建项目</w:t>
          </w:r>
          <w:r>
            <w:rPr>
              <w:szCs w:val="21"/>
            </w:rPr>
            <w:t>投入</w:t>
          </w:r>
          <w:r>
            <w:rPr>
              <w:rFonts w:hint="eastAsia"/>
              <w:szCs w:val="21"/>
            </w:rPr>
            <w:t>增加</w:t>
          </w:r>
          <w:r>
            <w:rPr>
              <w:szCs w:val="21"/>
            </w:rPr>
            <w:t>所致；</w:t>
          </w:r>
        </w:p>
        <w:p w:rsidR="004A3868" w:rsidRDefault="003F1AB5">
          <w:pPr>
            <w:pStyle w:val="afff3"/>
            <w:ind w:firstLine="420"/>
            <w:rPr>
              <w:szCs w:val="21"/>
            </w:rPr>
          </w:pPr>
          <w:r>
            <w:rPr>
              <w:rFonts w:hint="eastAsia"/>
              <w:szCs w:val="21"/>
            </w:rPr>
            <w:t>说明</w:t>
          </w:r>
          <w:r>
            <w:rPr>
              <w:szCs w:val="21"/>
            </w:rPr>
            <w:t>7：使用权资产较期初增加740.97万元</w:t>
          </w:r>
          <w:r>
            <w:rPr>
              <w:rFonts w:hint="eastAsia"/>
              <w:szCs w:val="21"/>
            </w:rPr>
            <w:t>,同比增长4</w:t>
          </w:r>
          <w:r>
            <w:rPr>
              <w:szCs w:val="21"/>
            </w:rPr>
            <w:t>54.73%，主要系公司</w:t>
          </w:r>
          <w:r>
            <w:rPr>
              <w:rFonts w:hint="eastAsia"/>
              <w:szCs w:val="21"/>
            </w:rPr>
            <w:t>租赁重庆</w:t>
          </w:r>
          <w:r>
            <w:rPr>
              <w:szCs w:val="21"/>
            </w:rPr>
            <w:t>、</w:t>
          </w:r>
          <w:r>
            <w:rPr>
              <w:rFonts w:hint="eastAsia"/>
              <w:szCs w:val="21"/>
            </w:rPr>
            <w:t>北京办公场所以及为员工租赁</w:t>
          </w:r>
          <w:r>
            <w:rPr>
              <w:szCs w:val="21"/>
            </w:rPr>
            <w:t>公寓</w:t>
          </w:r>
          <w:r>
            <w:rPr>
              <w:rFonts w:hint="eastAsia"/>
              <w:szCs w:val="21"/>
            </w:rPr>
            <w:t>所致</w:t>
          </w:r>
          <w:r>
            <w:rPr>
              <w:szCs w:val="21"/>
            </w:rPr>
            <w:t xml:space="preserve">; </w:t>
          </w:r>
        </w:p>
        <w:p w:rsidR="004A3868" w:rsidRDefault="003F1AB5">
          <w:pPr>
            <w:pStyle w:val="afff3"/>
            <w:ind w:firstLine="420"/>
            <w:rPr>
              <w:szCs w:val="21"/>
            </w:rPr>
          </w:pPr>
          <w:r>
            <w:rPr>
              <w:rFonts w:hint="eastAsia"/>
              <w:szCs w:val="21"/>
            </w:rPr>
            <w:t>说明</w:t>
          </w:r>
          <w:r>
            <w:rPr>
              <w:szCs w:val="21"/>
            </w:rPr>
            <w:t>8：无形资产较期初增加4,377.73万元，</w:t>
          </w:r>
          <w:r>
            <w:rPr>
              <w:rFonts w:hint="eastAsia"/>
              <w:szCs w:val="21"/>
            </w:rPr>
            <w:t>同比</w:t>
          </w:r>
          <w:r>
            <w:rPr>
              <w:szCs w:val="21"/>
            </w:rPr>
            <w:t>增长53.55%，主要系公司本年度新购置土地使用权所致；</w:t>
          </w:r>
        </w:p>
        <w:p w:rsidR="004A3868" w:rsidRDefault="003F1AB5">
          <w:pPr>
            <w:pStyle w:val="afff3"/>
            <w:ind w:firstLine="420"/>
            <w:rPr>
              <w:szCs w:val="21"/>
            </w:rPr>
          </w:pPr>
          <w:r>
            <w:rPr>
              <w:rFonts w:hint="eastAsia"/>
              <w:szCs w:val="21"/>
            </w:rPr>
            <w:t>说明</w:t>
          </w:r>
          <w:r>
            <w:rPr>
              <w:szCs w:val="21"/>
            </w:rPr>
            <w:t>9：长期待摊费用较期初增加236.67万元，</w:t>
          </w:r>
          <w:r>
            <w:rPr>
              <w:rFonts w:hint="eastAsia"/>
              <w:szCs w:val="21"/>
            </w:rPr>
            <w:t>同比</w:t>
          </w:r>
          <w:r>
            <w:rPr>
              <w:szCs w:val="21"/>
            </w:rPr>
            <w:t>增长159.98%，主要系本期厂房及办公</w:t>
          </w:r>
          <w:r>
            <w:rPr>
              <w:rFonts w:hint="eastAsia"/>
              <w:szCs w:val="21"/>
            </w:rPr>
            <w:t>场所</w:t>
          </w:r>
          <w:r>
            <w:rPr>
              <w:szCs w:val="21"/>
            </w:rPr>
            <w:t>装修费增加所致；</w:t>
          </w:r>
        </w:p>
        <w:p w:rsidR="004A3868" w:rsidRDefault="003F1AB5">
          <w:pPr>
            <w:pStyle w:val="afff3"/>
            <w:ind w:firstLine="420"/>
            <w:rPr>
              <w:szCs w:val="21"/>
            </w:rPr>
          </w:pPr>
          <w:r>
            <w:rPr>
              <w:rFonts w:hint="eastAsia"/>
              <w:szCs w:val="21"/>
            </w:rPr>
            <w:t>说明</w:t>
          </w:r>
          <w:r>
            <w:rPr>
              <w:szCs w:val="21"/>
            </w:rPr>
            <w:t>10：其他非流动资产较期初减少6,670.04万元，</w:t>
          </w:r>
          <w:r>
            <w:rPr>
              <w:rFonts w:hint="eastAsia"/>
              <w:szCs w:val="21"/>
            </w:rPr>
            <w:t>同比</w:t>
          </w:r>
          <w:r>
            <w:rPr>
              <w:szCs w:val="21"/>
            </w:rPr>
            <w:t>降</w:t>
          </w:r>
          <w:r>
            <w:rPr>
              <w:rFonts w:hint="eastAsia"/>
              <w:szCs w:val="21"/>
            </w:rPr>
            <w:t>低</w:t>
          </w:r>
          <w:r>
            <w:rPr>
              <w:szCs w:val="21"/>
            </w:rPr>
            <w:t>45.92%，主要系</w:t>
          </w:r>
          <w:r>
            <w:rPr>
              <w:rFonts w:hint="eastAsia"/>
              <w:szCs w:val="21"/>
            </w:rPr>
            <w:t>在建</w:t>
          </w:r>
          <w:r>
            <w:rPr>
              <w:szCs w:val="21"/>
            </w:rPr>
            <w:t>项目的预付款项完成设备交付所致；</w:t>
          </w:r>
        </w:p>
        <w:p w:rsidR="004A3868" w:rsidRDefault="003F1AB5">
          <w:pPr>
            <w:pStyle w:val="afff3"/>
            <w:ind w:firstLine="420"/>
            <w:rPr>
              <w:szCs w:val="21"/>
            </w:rPr>
          </w:pPr>
          <w:r>
            <w:rPr>
              <w:rFonts w:hint="eastAsia"/>
              <w:szCs w:val="21"/>
            </w:rPr>
            <w:t>说明</w:t>
          </w:r>
          <w:r>
            <w:rPr>
              <w:szCs w:val="21"/>
            </w:rPr>
            <w:t>11：短期借款较期初增加23,082.55万元，</w:t>
          </w:r>
          <w:r>
            <w:rPr>
              <w:rFonts w:hint="eastAsia"/>
              <w:szCs w:val="21"/>
            </w:rPr>
            <w:t>同比</w:t>
          </w:r>
          <w:r>
            <w:rPr>
              <w:szCs w:val="21"/>
            </w:rPr>
            <w:t>增长690.54%，主要系本期根据业务需要向银行申请短期借款</w:t>
          </w:r>
          <w:r>
            <w:rPr>
              <w:rFonts w:hint="eastAsia"/>
              <w:szCs w:val="21"/>
            </w:rPr>
            <w:t>增加</w:t>
          </w:r>
          <w:r>
            <w:rPr>
              <w:szCs w:val="21"/>
            </w:rPr>
            <w:t>所致；</w:t>
          </w:r>
        </w:p>
        <w:p w:rsidR="004A3868" w:rsidRDefault="003F1AB5">
          <w:pPr>
            <w:pStyle w:val="afff3"/>
            <w:ind w:firstLine="420"/>
            <w:rPr>
              <w:szCs w:val="21"/>
            </w:rPr>
          </w:pPr>
          <w:r>
            <w:rPr>
              <w:rFonts w:hint="eastAsia"/>
              <w:szCs w:val="21"/>
            </w:rPr>
            <w:t>说明</w:t>
          </w:r>
          <w:r>
            <w:rPr>
              <w:szCs w:val="21"/>
            </w:rPr>
            <w:t>12：应付票据较期初增加33,557.40万元，</w:t>
          </w:r>
          <w:r>
            <w:rPr>
              <w:rFonts w:hint="eastAsia"/>
              <w:szCs w:val="21"/>
            </w:rPr>
            <w:t>同比</w:t>
          </w:r>
          <w:r>
            <w:rPr>
              <w:szCs w:val="21"/>
            </w:rPr>
            <w:t>增长164.23%，主要系公司规模扩大，开具银行承兑汇票用于支付货款</w:t>
          </w:r>
          <w:r>
            <w:rPr>
              <w:rFonts w:hint="eastAsia"/>
              <w:szCs w:val="21"/>
            </w:rPr>
            <w:t>增加</w:t>
          </w:r>
          <w:r>
            <w:rPr>
              <w:szCs w:val="21"/>
            </w:rPr>
            <w:t>所致；</w:t>
          </w:r>
        </w:p>
        <w:p w:rsidR="004A3868" w:rsidRDefault="003F1AB5">
          <w:pPr>
            <w:pStyle w:val="afff3"/>
            <w:ind w:firstLine="420"/>
            <w:rPr>
              <w:szCs w:val="21"/>
            </w:rPr>
          </w:pPr>
          <w:r>
            <w:rPr>
              <w:rFonts w:hint="eastAsia"/>
              <w:szCs w:val="21"/>
            </w:rPr>
            <w:t>说明</w:t>
          </w:r>
          <w:r>
            <w:rPr>
              <w:szCs w:val="21"/>
            </w:rPr>
            <w:t>13：应付账款较期初增加24,056.25万元，</w:t>
          </w:r>
          <w:r>
            <w:rPr>
              <w:rFonts w:hint="eastAsia"/>
              <w:szCs w:val="21"/>
            </w:rPr>
            <w:t>同比</w:t>
          </w:r>
          <w:r>
            <w:rPr>
              <w:szCs w:val="21"/>
            </w:rPr>
            <w:t>增长76.99%，主要系公司规模扩大且在建项目及设备款项</w:t>
          </w:r>
          <w:r>
            <w:rPr>
              <w:rFonts w:hint="eastAsia"/>
              <w:szCs w:val="21"/>
            </w:rPr>
            <w:t>未达到支付节点的</w:t>
          </w:r>
          <w:r>
            <w:rPr>
              <w:szCs w:val="21"/>
            </w:rPr>
            <w:t>应付账款</w:t>
          </w:r>
          <w:r>
            <w:rPr>
              <w:rFonts w:hint="eastAsia"/>
              <w:szCs w:val="21"/>
            </w:rPr>
            <w:t>增加</w:t>
          </w:r>
          <w:r>
            <w:rPr>
              <w:szCs w:val="21"/>
            </w:rPr>
            <w:t>所致；</w:t>
          </w:r>
        </w:p>
        <w:p w:rsidR="004A3868" w:rsidRDefault="003F1AB5">
          <w:pPr>
            <w:pStyle w:val="afff3"/>
            <w:ind w:firstLine="420"/>
            <w:rPr>
              <w:szCs w:val="21"/>
            </w:rPr>
          </w:pPr>
          <w:r>
            <w:rPr>
              <w:rFonts w:hint="eastAsia"/>
              <w:szCs w:val="21"/>
            </w:rPr>
            <w:t>说明</w:t>
          </w:r>
          <w:r>
            <w:rPr>
              <w:szCs w:val="21"/>
            </w:rPr>
            <w:t>14：合同负债较期初减少8,990.52万元，</w:t>
          </w:r>
          <w:r>
            <w:rPr>
              <w:rFonts w:hint="eastAsia"/>
              <w:szCs w:val="21"/>
            </w:rPr>
            <w:t>同比</w:t>
          </w:r>
          <w:r>
            <w:rPr>
              <w:szCs w:val="21"/>
            </w:rPr>
            <w:t>降</w:t>
          </w:r>
          <w:r>
            <w:rPr>
              <w:rFonts w:hint="eastAsia"/>
              <w:szCs w:val="21"/>
            </w:rPr>
            <w:t>低</w:t>
          </w:r>
          <w:r>
            <w:rPr>
              <w:szCs w:val="21"/>
            </w:rPr>
            <w:t>51.48%，主要系预收货款减少所致；</w:t>
          </w:r>
        </w:p>
        <w:p w:rsidR="004A3868" w:rsidRDefault="003F1AB5">
          <w:pPr>
            <w:pStyle w:val="afff3"/>
            <w:ind w:firstLine="420"/>
            <w:rPr>
              <w:szCs w:val="21"/>
            </w:rPr>
          </w:pPr>
          <w:r>
            <w:rPr>
              <w:rFonts w:hint="eastAsia"/>
              <w:szCs w:val="21"/>
            </w:rPr>
            <w:t>说明1</w:t>
          </w:r>
          <w:r>
            <w:rPr>
              <w:szCs w:val="21"/>
            </w:rPr>
            <w:t>5</w:t>
          </w:r>
          <w:r>
            <w:rPr>
              <w:rFonts w:hint="eastAsia"/>
              <w:szCs w:val="21"/>
            </w:rPr>
            <w:t>：应交税费较期初减少</w:t>
          </w:r>
          <w:r>
            <w:rPr>
              <w:szCs w:val="21"/>
            </w:rPr>
            <w:t>671.11万元，</w:t>
          </w:r>
          <w:r>
            <w:rPr>
              <w:rFonts w:hint="eastAsia"/>
              <w:szCs w:val="21"/>
            </w:rPr>
            <w:t>同比降低</w:t>
          </w:r>
          <w:r>
            <w:rPr>
              <w:szCs w:val="21"/>
            </w:rPr>
            <w:t>71.96%，主要系2022年四季度应交所得税在2023年正常期间缴纳所致</w:t>
          </w:r>
          <w:r>
            <w:rPr>
              <w:rFonts w:hint="eastAsia"/>
              <w:szCs w:val="21"/>
            </w:rPr>
            <w:t>；</w:t>
          </w:r>
        </w:p>
        <w:p w:rsidR="004A3868" w:rsidRDefault="003F1AB5">
          <w:pPr>
            <w:pStyle w:val="afff3"/>
            <w:ind w:firstLine="420"/>
            <w:rPr>
              <w:szCs w:val="21"/>
            </w:rPr>
          </w:pPr>
          <w:r>
            <w:rPr>
              <w:rFonts w:hint="eastAsia"/>
              <w:szCs w:val="21"/>
            </w:rPr>
            <w:t>说明</w:t>
          </w:r>
          <w:r>
            <w:rPr>
              <w:szCs w:val="21"/>
            </w:rPr>
            <w:t>16：一年内到期非流动负债较期初增加5,558.89万元，</w:t>
          </w:r>
          <w:r>
            <w:rPr>
              <w:rFonts w:hint="eastAsia"/>
              <w:szCs w:val="21"/>
            </w:rPr>
            <w:t>同比</w:t>
          </w:r>
          <w:r>
            <w:rPr>
              <w:szCs w:val="21"/>
            </w:rPr>
            <w:t>增长414.44%，主要系一年内到期长期借款</w:t>
          </w:r>
          <w:r>
            <w:rPr>
              <w:rFonts w:hint="eastAsia"/>
              <w:szCs w:val="21"/>
            </w:rPr>
            <w:t>增加</w:t>
          </w:r>
          <w:r>
            <w:rPr>
              <w:szCs w:val="21"/>
            </w:rPr>
            <w:t>所致；</w:t>
          </w:r>
        </w:p>
        <w:p w:rsidR="004A3868" w:rsidRDefault="003F1AB5">
          <w:pPr>
            <w:pStyle w:val="afff3"/>
            <w:ind w:firstLine="420"/>
            <w:rPr>
              <w:szCs w:val="21"/>
            </w:rPr>
          </w:pPr>
          <w:r>
            <w:rPr>
              <w:rFonts w:hint="eastAsia"/>
              <w:szCs w:val="21"/>
            </w:rPr>
            <w:t>说明</w:t>
          </w:r>
          <w:r>
            <w:rPr>
              <w:szCs w:val="21"/>
            </w:rPr>
            <w:t>17：长期借款较期初增加48,591.09万元，</w:t>
          </w:r>
          <w:r>
            <w:rPr>
              <w:rFonts w:hint="eastAsia"/>
              <w:szCs w:val="21"/>
            </w:rPr>
            <w:t>同比</w:t>
          </w:r>
          <w:r>
            <w:rPr>
              <w:szCs w:val="21"/>
            </w:rPr>
            <w:t>增长271.15%，主要系增加8万吨项目建设贷款和2年以上流动资金借款所致；</w:t>
          </w:r>
        </w:p>
        <w:p w:rsidR="004A3868" w:rsidRDefault="003F1AB5">
          <w:pPr>
            <w:pStyle w:val="afff3"/>
            <w:ind w:firstLine="420"/>
            <w:rPr>
              <w:szCs w:val="21"/>
            </w:rPr>
          </w:pPr>
          <w:r>
            <w:rPr>
              <w:rFonts w:hint="eastAsia"/>
              <w:szCs w:val="21"/>
            </w:rPr>
            <w:t>说明</w:t>
          </w:r>
          <w:r>
            <w:rPr>
              <w:szCs w:val="21"/>
            </w:rPr>
            <w:t>18：租赁负债较期初增加366.68万元</w:t>
          </w:r>
          <w:r>
            <w:rPr>
              <w:rFonts w:hint="eastAsia"/>
              <w:szCs w:val="21"/>
            </w:rPr>
            <w:t>，同比增长6</w:t>
          </w:r>
          <w:r>
            <w:rPr>
              <w:szCs w:val="21"/>
            </w:rPr>
            <w:t>53.33%，主要系公司</w:t>
          </w:r>
          <w:r>
            <w:rPr>
              <w:rFonts w:hint="eastAsia"/>
              <w:szCs w:val="21"/>
            </w:rPr>
            <w:t>租赁</w:t>
          </w:r>
          <w:r>
            <w:rPr>
              <w:szCs w:val="21"/>
            </w:rPr>
            <w:t>员工公寓</w:t>
          </w:r>
          <w:r>
            <w:rPr>
              <w:rFonts w:hint="eastAsia"/>
              <w:szCs w:val="21"/>
            </w:rPr>
            <w:t>办公场所</w:t>
          </w:r>
          <w:r>
            <w:rPr>
              <w:szCs w:val="21"/>
            </w:rPr>
            <w:t>所致；</w:t>
          </w:r>
        </w:p>
        <w:p w:rsidR="004A3868" w:rsidRDefault="003F1AB5">
          <w:pPr>
            <w:pStyle w:val="afff3"/>
            <w:ind w:firstLine="420"/>
            <w:rPr>
              <w:szCs w:val="21"/>
            </w:rPr>
          </w:pPr>
          <w:r>
            <w:rPr>
              <w:rFonts w:hint="eastAsia"/>
              <w:szCs w:val="21"/>
            </w:rPr>
            <w:t>说明</w:t>
          </w:r>
          <w:r>
            <w:rPr>
              <w:szCs w:val="21"/>
            </w:rPr>
            <w:t>19：预计负债较期初减少243.37万元，主要系前期</w:t>
          </w:r>
          <w:r>
            <w:rPr>
              <w:rFonts w:hint="eastAsia"/>
              <w:szCs w:val="21"/>
            </w:rPr>
            <w:t>预计负债本期处理</w:t>
          </w:r>
          <w:r>
            <w:rPr>
              <w:szCs w:val="21"/>
            </w:rPr>
            <w:t>完成所致；</w:t>
          </w:r>
        </w:p>
        <w:p w:rsidR="004A3868" w:rsidRDefault="003F1AB5">
          <w:pPr>
            <w:pStyle w:val="afff3"/>
            <w:ind w:firstLine="420"/>
            <w:rPr>
              <w:szCs w:val="21"/>
            </w:rPr>
          </w:pPr>
          <w:r>
            <w:rPr>
              <w:rFonts w:hint="eastAsia"/>
              <w:szCs w:val="21"/>
            </w:rPr>
            <w:t>说明2</w:t>
          </w:r>
          <w:r>
            <w:rPr>
              <w:szCs w:val="21"/>
            </w:rPr>
            <w:t>0：递延所得税负债较期初增加2,270.81万元，增长91.91%，主要系公司执行</w:t>
          </w:r>
          <w:r>
            <w:rPr>
              <w:rFonts w:hint="eastAsia"/>
              <w:szCs w:val="21"/>
            </w:rPr>
            <w:t>单位价值不超过</w:t>
          </w:r>
          <w:r>
            <w:rPr>
              <w:szCs w:val="21"/>
            </w:rPr>
            <w:t>500万的固定资产一次性税前扣除政策</w:t>
          </w:r>
          <w:r>
            <w:rPr>
              <w:rFonts w:hint="eastAsia"/>
              <w:szCs w:val="21"/>
            </w:rPr>
            <w:t>、</w:t>
          </w:r>
          <w:r>
            <w:rPr>
              <w:szCs w:val="21"/>
            </w:rPr>
            <w:t>高新技术企业在2022年10月1日至2023年12月31日期间新购置的设备、器具，允许当年一次性全额在计算应纳税所得额时扣除</w:t>
          </w:r>
          <w:r>
            <w:rPr>
              <w:rFonts w:hint="eastAsia"/>
              <w:szCs w:val="21"/>
            </w:rPr>
            <w:t>，</w:t>
          </w:r>
          <w:r>
            <w:rPr>
              <w:szCs w:val="21"/>
            </w:rPr>
            <w:t>以上</w:t>
          </w:r>
          <w:r>
            <w:rPr>
              <w:rFonts w:hint="eastAsia"/>
              <w:szCs w:val="21"/>
            </w:rPr>
            <w:t>政策的执行带来的</w:t>
          </w:r>
          <w:r>
            <w:rPr>
              <w:szCs w:val="21"/>
            </w:rPr>
            <w:t>递延所得税负债增加</w:t>
          </w:r>
          <w:r>
            <w:rPr>
              <w:rFonts w:hint="eastAsia"/>
              <w:szCs w:val="21"/>
            </w:rPr>
            <w:t>所致；</w:t>
          </w:r>
        </w:p>
        <w:p w:rsidR="004A3868" w:rsidRDefault="003F1AB5">
          <w:pPr>
            <w:pStyle w:val="afff3"/>
            <w:ind w:firstLine="420"/>
            <w:rPr>
              <w:szCs w:val="21"/>
            </w:rPr>
          </w:pPr>
          <w:r>
            <w:rPr>
              <w:rFonts w:hint="eastAsia"/>
              <w:szCs w:val="21"/>
            </w:rPr>
            <w:t>说明</w:t>
          </w:r>
          <w:r>
            <w:rPr>
              <w:szCs w:val="21"/>
            </w:rPr>
            <w:t>21：专项储备较期初增加659.12万元，增长43.05%，主要系公司2022年12月输配电及控制设备行业开始按最新国家政策规定计提安全生产费用，2022年只计提1个月</w:t>
          </w:r>
          <w:r>
            <w:rPr>
              <w:rFonts w:hint="eastAsia"/>
              <w:szCs w:val="21"/>
            </w:rPr>
            <w:t>而2</w:t>
          </w:r>
          <w:r>
            <w:rPr>
              <w:szCs w:val="21"/>
            </w:rPr>
            <w:t>023</w:t>
          </w:r>
          <w:r>
            <w:rPr>
              <w:rFonts w:hint="eastAsia"/>
              <w:szCs w:val="21"/>
            </w:rPr>
            <w:t>年计提1</w:t>
          </w:r>
          <w:r>
            <w:rPr>
              <w:szCs w:val="21"/>
            </w:rPr>
            <w:t>2</w:t>
          </w:r>
          <w:r>
            <w:rPr>
              <w:rFonts w:hint="eastAsia"/>
              <w:szCs w:val="21"/>
            </w:rPr>
            <w:t>个月</w:t>
          </w:r>
          <w:r>
            <w:rPr>
              <w:szCs w:val="21"/>
            </w:rPr>
            <w:t>所致</w:t>
          </w:r>
          <w:r>
            <w:rPr>
              <w:rFonts w:hint="eastAsia"/>
              <w:szCs w:val="21"/>
            </w:rPr>
            <w:t>。</w:t>
          </w:r>
        </w:p>
      </w:sdtContent>
    </w:sdt>
    <w:p w:rsidR="004A3868" w:rsidRDefault="003F1AB5">
      <w:pPr>
        <w:pStyle w:val="Style829"/>
        <w:numPr>
          <w:ilvl w:val="0"/>
          <w:numId w:val="17"/>
        </w:numPr>
      </w:pPr>
      <w:bookmarkStart w:id="31" w:name="_Hlk89877438"/>
      <w:r>
        <w:rPr>
          <w:rFonts w:hint="eastAsia"/>
        </w:rPr>
        <w:t>境外资产情况</w:t>
      </w:r>
    </w:p>
    <w:sdt>
      <w:sdtPr>
        <w:rPr>
          <w:rFonts w:hint="eastAsia"/>
        </w:rPr>
        <w:alias w:val="是否适用：境外资产情况 [双击切换]"/>
        <w:tag w:val="_GBC_7c019689b55740839a263ecc68721e10"/>
        <w:id w:val="50503967"/>
        <w:placeholder>
          <w:docPart w:val="GBC22222222222222222222222222222"/>
        </w:placeholder>
      </w:sdtPr>
      <w:sdtEndPr/>
      <w:sdtContent>
        <w:p w:rsidR="004A3868" w:rsidRDefault="003F1AB5">
          <w:pPr>
            <w:pStyle w:val="Style842"/>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830"/>
        <w:numPr>
          <w:ilvl w:val="0"/>
          <w:numId w:val="18"/>
        </w:numPr>
      </w:pPr>
      <w:r>
        <w:rPr>
          <w:rFonts w:hint="eastAsia"/>
        </w:rPr>
        <w:lastRenderedPageBreak/>
        <w:t>资产规模</w:t>
      </w:r>
    </w:p>
    <w:p w:rsidR="004A3868" w:rsidRDefault="003F1AB5">
      <w:pPr>
        <w:pStyle w:val="Style842"/>
        <w:rPr>
          <w:sz w:val="21"/>
          <w:szCs w:val="21"/>
        </w:rPr>
      </w:pPr>
      <w:r>
        <w:rPr>
          <w:rFonts w:hint="eastAsia"/>
          <w:sz w:val="21"/>
          <w:szCs w:val="21"/>
        </w:rPr>
        <w:t>其中：境外资产</w:t>
      </w:r>
      <w:bookmarkStart w:id="32" w:name="_Hlk74646369"/>
      <w:bookmarkStart w:id="33" w:name="_Hlk89175643"/>
      <w:sdt>
        <w:sdtPr>
          <w:rPr>
            <w:rFonts w:hint="eastAsia"/>
            <w:sz w:val="21"/>
            <w:szCs w:val="21"/>
          </w:rPr>
          <w:alias w:val="报告期内公司境外资产变化"/>
          <w:tag w:val="_GBC_cbb65327857a4a80a4f343e0bf736822"/>
          <w:id w:val="2004003023"/>
          <w:placeholder>
            <w:docPart w:val="GBC22222222222222222222222222222"/>
          </w:placeholder>
        </w:sdtPr>
        <w:sdtEndPr/>
        <w:sdtContent>
          <w:r>
            <w:rPr>
              <w:sz w:val="21"/>
              <w:szCs w:val="21"/>
            </w:rPr>
            <w:t>0</w:t>
          </w:r>
        </w:sdtContent>
      </w:sdt>
      <w:r>
        <w:rPr>
          <w:rFonts w:hint="eastAsia"/>
          <w:sz w:val="21"/>
          <w:szCs w:val="21"/>
        </w:rPr>
        <w:t>（单位：</w:t>
      </w:r>
      <w:sdt>
        <w:sdtPr>
          <w:rPr>
            <w:rFonts w:hint="eastAsia"/>
            <w:sz w:val="21"/>
            <w:szCs w:val="21"/>
          </w:rPr>
          <w:alias w:val="单位：报告期内公司境外资产变化"/>
          <w:tag w:val="_GBC_269723869c544fd5af5f26c6edeeb598"/>
          <w:id w:val="16295895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币种：</w:t>
      </w:r>
      <w:sdt>
        <w:sdtPr>
          <w:rPr>
            <w:rFonts w:hint="eastAsia"/>
            <w:sz w:val="21"/>
            <w:szCs w:val="21"/>
          </w:rPr>
          <w:alias w:val="币种：报告期内公司境外资产变化"/>
          <w:tag w:val="_GBC_a1adc6e0671d485da640bb0d68ad82d0"/>
          <w:id w:val="-10333424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r>
        <w:rPr>
          <w:rFonts w:hint="eastAsia"/>
          <w:sz w:val="21"/>
          <w:szCs w:val="21"/>
        </w:rPr>
        <w:t>），占总资产的比例为</w:t>
      </w:r>
      <w:sdt>
        <w:sdtPr>
          <w:rPr>
            <w:rFonts w:hint="eastAsia"/>
            <w:sz w:val="21"/>
            <w:szCs w:val="21"/>
          </w:rPr>
          <w:alias w:val="报告期内公司境外资产变化占总资产的比例"/>
          <w:tag w:val="_GBC_5480c4d77db342bdbf4d43b6611f0966"/>
          <w:id w:val="105322988"/>
          <w:placeholder>
            <w:docPart w:val="GBC22222222222222222222222222222"/>
          </w:placeholder>
        </w:sdtPr>
        <w:sdtEndPr/>
        <w:sdtContent>
          <w:r>
            <w:rPr>
              <w:sz w:val="21"/>
              <w:szCs w:val="21"/>
            </w:rPr>
            <w:t>0</w:t>
          </w:r>
        </w:sdtContent>
      </w:sdt>
      <w:r>
        <w:rPr>
          <w:rFonts w:hint="eastAsia"/>
          <w:sz w:val="21"/>
          <w:szCs w:val="21"/>
        </w:rPr>
        <w:t>%。</w:t>
      </w:r>
      <w:bookmarkEnd w:id="32"/>
    </w:p>
    <w:p w:rsidR="004A3868" w:rsidRDefault="003F1AB5">
      <w:pPr>
        <w:pStyle w:val="Style830"/>
        <w:numPr>
          <w:ilvl w:val="0"/>
          <w:numId w:val="18"/>
        </w:numPr>
        <w:rPr>
          <w:sz w:val="21"/>
          <w:szCs w:val="21"/>
        </w:rPr>
      </w:pPr>
      <w:r>
        <w:rPr>
          <w:rFonts w:hint="eastAsia"/>
          <w:sz w:val="21"/>
          <w:szCs w:val="21"/>
        </w:rPr>
        <w:t>境外资产占比较高的相关说明</w:t>
      </w:r>
    </w:p>
    <w:bookmarkEnd w:id="33" w:displacedByCustomXml="next"/>
    <w:bookmarkStart w:id="34" w:name="_Hlk89176028" w:displacedByCustomXml="next"/>
    <w:sdt>
      <w:sdtPr>
        <w:rPr>
          <w:rFonts w:hint="eastAsia"/>
          <w:sz w:val="21"/>
          <w:szCs w:val="21"/>
        </w:rPr>
        <w:alias w:val="是否适用：境外资产占比较高的相关说明  [双击切换]"/>
        <w:tag w:val="_GBC_2dd8a14582494b7fb2da678323726771"/>
        <w:id w:val="-995105032"/>
        <w:lock w:val="sdtLocked"/>
        <w:placeholder>
          <w:docPart w:val="GBC22222222222222222222222222222"/>
        </w:placeholder>
      </w:sdtPr>
      <w:sdtEndPr/>
      <w:sdtContent>
        <w:p w:rsidR="004A3868" w:rsidRDefault="003F1AB5">
          <w:pPr>
            <w:pStyle w:val="Style842"/>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34"/>
    <w:p w:rsidR="004A3868" w:rsidRDefault="003F1AB5">
      <w:pPr>
        <w:pStyle w:val="Style829"/>
        <w:numPr>
          <w:ilvl w:val="0"/>
          <w:numId w:val="17"/>
        </w:numPr>
      </w:pPr>
      <w:r>
        <w:t>截至报告期末主要资产受限情</w:t>
      </w:r>
      <w:r>
        <w:rPr>
          <w:rFonts w:hint="eastAsia"/>
        </w:rPr>
        <w:t>况</w:t>
      </w:r>
    </w:p>
    <w:bookmarkEnd w:id="31" w:displacedByCustomXml="next"/>
    <w:sdt>
      <w:sdtPr>
        <w:rPr>
          <w:rFonts w:hint="eastAsia"/>
        </w:rPr>
        <w:alias w:val="是否适用：主要资产受限情况[双击切换]"/>
        <w:tag w:val="_GBC_01311ee451194f52a953344cf249b1b9"/>
        <w:id w:val="510344344"/>
        <w:placeholder>
          <w:docPart w:val="GBC22222222222222222222222222222"/>
        </w:placeholder>
      </w:sdtPr>
      <w:sdtEndPr>
        <w:rPr>
          <w:sz w:val="21"/>
          <w:szCs w:val="21"/>
        </w:rPr>
      </w:sdtEndPr>
      <w:sdtContent>
        <w:p w:rsidR="004A3868" w:rsidRDefault="003F1AB5">
          <w:pPr>
            <w:pStyle w:val="Style842"/>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主要资产受限情况"/>
        <w:tag w:val="_GBC_cb7fe3db517742e2a0cff2593f270f8e"/>
        <w:id w:val="-272628565"/>
        <w:placeholder>
          <w:docPart w:val="GBC22222222222222222222222222222"/>
        </w:placeholder>
      </w:sdtPr>
      <w:sdtEndPr>
        <w:rPr>
          <w:sz w:val="24"/>
          <w:szCs w:val="24"/>
        </w:rPr>
      </w:sdtEndPr>
      <w:sdtContent>
        <w:p w:rsidR="004A3868" w:rsidRDefault="003F1AB5">
          <w:pPr>
            <w:pStyle w:val="Style842"/>
          </w:pPr>
          <w:r>
            <w:rPr>
              <w:rFonts w:hint="eastAsia"/>
              <w:sz w:val="21"/>
              <w:szCs w:val="21"/>
            </w:rPr>
            <w:t>详见第十节.七.3</w:t>
          </w:r>
          <w:r>
            <w:rPr>
              <w:sz w:val="21"/>
              <w:szCs w:val="21"/>
            </w:rPr>
            <w:t>1.</w:t>
          </w:r>
          <w:r>
            <w:rPr>
              <w:rFonts w:hint="eastAsia"/>
              <w:sz w:val="21"/>
              <w:szCs w:val="21"/>
            </w:rPr>
            <w:t>“所有权或使用权受限资产”。</w:t>
          </w:r>
        </w:p>
      </w:sdtContent>
    </w:sdt>
    <w:p w:rsidR="004A3868" w:rsidRDefault="003F1AB5">
      <w:pPr>
        <w:pStyle w:val="Style829"/>
        <w:numPr>
          <w:ilvl w:val="0"/>
          <w:numId w:val="17"/>
        </w:numPr>
      </w:pPr>
      <w:r>
        <w:t>其他说明</w:t>
      </w:r>
    </w:p>
    <w:sdt>
      <w:sdtPr>
        <w:rPr>
          <w:rFonts w:hint="eastAsia"/>
        </w:rPr>
        <w:alias w:val="是否适用：资产及负债状况的其他说明[双击切换]"/>
        <w:tag w:val="_GBC_364e24c8cf1a4469ba88a4ae16e0417f"/>
        <w:id w:val="1703821388"/>
        <w:lock w:val="sdtLocked"/>
        <w:placeholder>
          <w:docPart w:val="GBC22222222222222222222222222222"/>
        </w:placeholder>
      </w:sdtPr>
      <w:sdtEndPr/>
      <w:sdtContent>
        <w:p w:rsidR="004A3868" w:rsidRDefault="003F1AB5">
          <w:pPr>
            <w:pStyle w:val="Style84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810"/>
        <w:numPr>
          <w:ilvl w:val="0"/>
          <w:numId w:val="16"/>
        </w:numPr>
        <w:ind w:leftChars="0" w:firstLineChars="0"/>
      </w:pPr>
      <w:r>
        <w:rPr>
          <w:rFonts w:hint="eastAsia"/>
        </w:rPr>
        <w:t>行业经营性信息分析</w:t>
      </w:r>
    </w:p>
    <w:sdt>
      <w:sdtPr>
        <w:rPr>
          <w:rFonts w:hint="eastAsia"/>
        </w:rPr>
        <w:alias w:val="是否适用：行业经营性信息分析[双击切换]"/>
        <w:tag w:val="_GBC_8a02ac4934eb426ab273323b8694d88c"/>
        <w:id w:val="93989416"/>
        <w:placeholder>
          <w:docPart w:val="GBC22222222222222222222222222222"/>
        </w:placeholder>
      </w:sdtPr>
      <w:sdtEndPr/>
      <w:sdtContent>
        <w:p w:rsidR="004A3868" w:rsidRDefault="003F1AB5">
          <w:pPr>
            <w:pStyle w:val="Style811"/>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4A3868">
      <w:pPr>
        <w:sectPr w:rsidR="004A3868">
          <w:pgSz w:w="11906" w:h="16838"/>
          <w:pgMar w:top="1440" w:right="1797" w:bottom="1525" w:left="1276" w:header="855" w:footer="992" w:gutter="0"/>
          <w:cols w:space="425"/>
          <w:docGrid w:linePitch="312"/>
        </w:sectPr>
      </w:pPr>
    </w:p>
    <w:p w:rsidR="004A3868" w:rsidRDefault="003F1AB5">
      <w:pPr>
        <w:pStyle w:val="4"/>
        <w:rPr>
          <w:szCs w:val="21"/>
        </w:rPr>
      </w:pPr>
      <w:r>
        <w:rPr>
          <w:rFonts w:hint="eastAsia"/>
        </w:rPr>
        <w:lastRenderedPageBreak/>
        <w:t>电力行业经营性信息分析</w:t>
      </w:r>
    </w:p>
    <w:p w:rsidR="004A3868" w:rsidRDefault="003F1AB5">
      <w:pPr>
        <w:pStyle w:val="6"/>
      </w:pPr>
      <w:r>
        <w:rPr>
          <w:rFonts w:hint="eastAsia"/>
        </w:rPr>
        <w:t>报告期内电量电价情况</w:t>
      </w:r>
    </w:p>
    <w:p w:rsidR="004A3868" w:rsidRDefault="00B34370">
      <w:pPr>
        <w:pStyle w:val="Style811"/>
        <w:rPr>
          <w:rStyle w:val="af2"/>
        </w:rPr>
      </w:pPr>
      <w:sdt>
        <w:sdtPr>
          <w:rPr>
            <w:rFonts w:hAnsi="Courier New"/>
            <w:kern w:val="2"/>
            <w:sz w:val="21"/>
          </w:rPr>
          <w:alias w:val="是否适用：报告期内电量电价情况[双击切换]"/>
          <w:tag w:val="_GBC_bb8f3232b3eb46219d36216e2afe3aee"/>
          <w:id w:val="-1974751267"/>
          <w:placeholder>
            <w:docPart w:val="GBC22222222222222222222222222222"/>
          </w:placeholder>
        </w:sdtPr>
        <w:sdtEndPr>
          <w:rPr>
            <w:rStyle w:val="af2"/>
          </w:rPr>
        </w:sdtEndPr>
        <w:sdtContent>
          <w:r w:rsidR="003F1AB5">
            <w:rPr>
              <w:rStyle w:val="af2"/>
            </w:rPr>
            <w:fldChar w:fldCharType="begin"/>
          </w:r>
          <w:r w:rsidR="003F1AB5">
            <w:rPr>
              <w:rStyle w:val="af2"/>
            </w:rPr>
            <w:instrText xml:space="preserve">MACROBUTTON  SnrToggleCheckbox </w:instrText>
          </w:r>
          <w:r w:rsidR="003F1AB5">
            <w:rPr>
              <w:rStyle w:val="af2"/>
            </w:rPr>
            <w:instrText>□</w:instrText>
          </w:r>
          <w:r w:rsidR="003F1AB5">
            <w:rPr>
              <w:rStyle w:val="af2"/>
            </w:rPr>
            <w:instrText xml:space="preserve">适用 </w:instrText>
          </w:r>
          <w:r w:rsidR="003F1AB5">
            <w:rPr>
              <w:rStyle w:val="af2"/>
            </w:rPr>
            <w:fldChar w:fldCharType="end"/>
          </w:r>
          <w:r w:rsidR="003F1AB5">
            <w:rPr>
              <w:rStyle w:val="af2"/>
            </w:rPr>
            <w:fldChar w:fldCharType="begin"/>
          </w:r>
          <w:r w:rsidR="003F1AB5">
            <w:rPr>
              <w:rStyle w:val="af2"/>
            </w:rPr>
            <w:instrText xml:space="preserve"> MACROBUTTON  SnrToggleCheckbox </w:instrText>
          </w:r>
          <w:r w:rsidR="003F1AB5">
            <w:rPr>
              <w:rStyle w:val="af2"/>
            </w:rPr>
            <w:instrText>√</w:instrText>
          </w:r>
          <w:r w:rsidR="003F1AB5">
            <w:rPr>
              <w:rStyle w:val="af2"/>
            </w:rPr>
            <w:instrText xml:space="preserve">不适用 </w:instrText>
          </w:r>
          <w:r w:rsidR="003F1AB5">
            <w:rPr>
              <w:rStyle w:val="af2"/>
            </w:rPr>
            <w:fldChar w:fldCharType="end"/>
          </w:r>
        </w:sdtContent>
      </w:sdt>
    </w:p>
    <w:p w:rsidR="004A3868" w:rsidRDefault="003F1AB5">
      <w:pPr>
        <w:pStyle w:val="af1"/>
      </w:pPr>
      <w:r>
        <w:rPr>
          <w:rFonts w:hint="eastAsia"/>
        </w:rPr>
        <w:t>报告期内电量、收入及成本情况</w:t>
      </w:r>
    </w:p>
    <w:p w:rsidR="004A3868" w:rsidRDefault="00B34370">
      <w:pPr>
        <w:pStyle w:val="af1"/>
      </w:pPr>
      <w:sdt>
        <w:sdtPr>
          <w:alias w:val="是否适用：报告期内电量、收入及成本情况[双击切换]"/>
          <w:tag w:val="_GBC_bcc99b9b926a4812aa74718fc16937fe"/>
          <w:id w:val="248700196"/>
          <w:placeholder>
            <w:docPart w:val="GBC22222222222222222222222222222"/>
          </w:placeholder>
        </w:sdtPr>
        <w:sdtEndPr/>
        <w:sdtContent>
          <w:r w:rsidR="003F1AB5">
            <w:fldChar w:fldCharType="begin"/>
          </w:r>
          <w:r w:rsidR="003F1AB5">
            <w:instrText xml:space="preserve">MACROBUTTON  SnrToggleCheckbox </w:instrText>
          </w:r>
          <w:r w:rsidR="003F1AB5">
            <w:instrText>□</w:instrText>
          </w:r>
          <w:r w:rsidR="003F1AB5">
            <w:instrText xml:space="preserve">适用 </w:instrText>
          </w:r>
          <w:r w:rsidR="003F1AB5">
            <w:fldChar w:fldCharType="end"/>
          </w:r>
          <w:r w:rsidR="003F1AB5">
            <w:fldChar w:fldCharType="begin"/>
          </w:r>
          <w:r w:rsidR="003F1AB5">
            <w:instrText xml:space="preserve"> MACROBUTTON  SnrToggleCheckbox </w:instrText>
          </w:r>
          <w:r w:rsidR="003F1AB5">
            <w:instrText>√</w:instrText>
          </w:r>
          <w:r w:rsidR="003F1AB5">
            <w:instrText xml:space="preserve">不适用 </w:instrText>
          </w:r>
          <w:r w:rsidR="003F1AB5">
            <w:fldChar w:fldCharType="end"/>
          </w:r>
        </w:sdtContent>
      </w:sdt>
    </w:p>
    <w:p w:rsidR="004A3868" w:rsidRDefault="003F1AB5">
      <w:pPr>
        <w:pStyle w:val="6"/>
      </w:pPr>
      <w:r>
        <w:rPr>
          <w:rFonts w:hint="eastAsia"/>
        </w:rPr>
        <w:t>装机容量情况分析</w:t>
      </w:r>
    </w:p>
    <w:sdt>
      <w:sdtPr>
        <w:rPr>
          <w:rFonts w:hint="eastAsia"/>
        </w:rPr>
        <w:alias w:val="是否适用：装机容量情况分析[双击切换]"/>
        <w:tag w:val="_GBC_5fc815a9b7704e59a6ac49b2f904ff77"/>
        <w:id w:val="620499852"/>
        <w:placeholder>
          <w:docPart w:val="GBC22222222222222222222222222222"/>
        </w:placeholder>
      </w:sdtPr>
      <w:sdtEndPr/>
      <w:sdtContent>
        <w:p w:rsidR="004A3868" w:rsidRDefault="003F1AB5">
          <w:pPr>
            <w:pStyle w:val="Style842"/>
          </w:pPr>
          <w:r>
            <w:rPr>
              <w:rStyle w:val="af2"/>
            </w:rPr>
            <w:fldChar w:fldCharType="begin"/>
          </w:r>
          <w:r>
            <w:rPr>
              <w:rStyle w:val="af2"/>
            </w:rPr>
            <w:instrText xml:space="preserve"> 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p w:rsidR="004A3868" w:rsidRDefault="003F1AB5">
      <w:pPr>
        <w:pStyle w:val="6"/>
      </w:pPr>
      <w:r>
        <w:rPr>
          <w:rFonts w:hint="eastAsia"/>
        </w:rPr>
        <w:t>发电效率情况分析</w:t>
      </w:r>
    </w:p>
    <w:sdt>
      <w:sdtPr>
        <w:alias w:val="是否适用：发电效率情况分析说明[双击切换]"/>
        <w:tag w:val="_GBC_8ef272b7026a4ddbb655807a88bcedea"/>
        <w:id w:val="851611649"/>
        <w:placeholder>
          <w:docPart w:val="GBC22222222222222222222222222222"/>
        </w:placeholder>
      </w:sdtPr>
      <w:sdtEndPr>
        <w:rPr>
          <w:rStyle w:val="af2"/>
          <w:rFonts w:hAnsi="Courier New"/>
          <w:kern w:val="2"/>
          <w:sz w:val="21"/>
        </w:rPr>
      </w:sdtEndPr>
      <w:sdtContent>
        <w:p w:rsidR="004A3868" w:rsidRDefault="003F1AB5">
          <w:pPr>
            <w:pStyle w:val="Style842"/>
            <w:rPr>
              <w:rStyle w:val="af2"/>
            </w:rPr>
          </w:pPr>
          <w:r>
            <w:rPr>
              <w:rStyle w:val="af2"/>
            </w:rPr>
            <w:fldChar w:fldCharType="begin"/>
          </w:r>
          <w:r>
            <w:rPr>
              <w:rStyle w:val="af2"/>
            </w:rPr>
            <w:instrText xml:space="preserve">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p w:rsidR="004A3868" w:rsidRDefault="003F1AB5">
      <w:pPr>
        <w:pStyle w:val="6"/>
      </w:pPr>
      <w:r>
        <w:rPr>
          <w:rFonts w:hint="eastAsia"/>
        </w:rPr>
        <w:t>资本性支出情况</w:t>
      </w:r>
    </w:p>
    <w:sdt>
      <w:sdtPr>
        <w:rPr>
          <w:rFonts w:hint="eastAsia"/>
        </w:rPr>
        <w:alias w:val="是否适用：电力行业资本性支出情况说明[双击切换]"/>
        <w:tag w:val="_GBC_9b765ffeda97489fa4da73cea53c4f5b"/>
        <w:id w:val="-871296190"/>
        <w:placeholder>
          <w:docPart w:val="GBC22222222222222222222222222222"/>
        </w:placeholder>
      </w:sdtPr>
      <w:sdtEndPr>
        <w:rPr>
          <w:rStyle w:val="af2"/>
          <w:rFonts w:hAnsi="Courier New"/>
          <w:kern w:val="2"/>
          <w:sz w:val="21"/>
        </w:rPr>
      </w:sdtEndPr>
      <w:sdtContent>
        <w:p w:rsidR="004A3868" w:rsidRDefault="003F1AB5">
          <w:pPr>
            <w:pStyle w:val="Style842"/>
            <w:rPr>
              <w:rStyle w:val="af2"/>
            </w:rPr>
          </w:pPr>
          <w:r>
            <w:rPr>
              <w:rStyle w:val="af2"/>
            </w:rPr>
            <w:fldChar w:fldCharType="begin"/>
          </w:r>
          <w:r>
            <w:rPr>
              <w:rStyle w:val="af2"/>
            </w:rPr>
            <w:instrText xml:space="preserve"> 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p w:rsidR="004A3868" w:rsidRDefault="003F1AB5">
      <w:pPr>
        <w:pStyle w:val="6"/>
      </w:pPr>
      <w:r>
        <w:rPr>
          <w:rFonts w:hint="eastAsia"/>
        </w:rPr>
        <w:t>电力市场化交易</w:t>
      </w:r>
    </w:p>
    <w:sdt>
      <w:sdtPr>
        <w:alias w:val="是否适用：电力市场化交易[双击切换]"/>
        <w:tag w:val="_GBC_969b463c41714d799822216eb266c7a6"/>
        <w:id w:val="204758768"/>
        <w:placeholder>
          <w:docPart w:val="GBC22222222222222222222222222222"/>
        </w:placeholder>
      </w:sdtPr>
      <w:sdtEndPr/>
      <w:sdtContent>
        <w:p w:rsidR="004A3868" w:rsidRDefault="003F1AB5">
          <w:pPr>
            <w:pStyle w:val="Style842"/>
          </w:pPr>
          <w:r>
            <w:rPr>
              <w:rStyle w:val="20"/>
            </w:rPr>
            <w:fldChar w:fldCharType="begin"/>
          </w:r>
          <w:r>
            <w:rPr>
              <w:rStyle w:val="20"/>
            </w:rPr>
            <w:instrText xml:space="preserve"> MACROBUTTON  SnrToggleCheckbox □</w:instrText>
          </w:r>
          <w:r>
            <w:rPr>
              <w:rStyle w:val="20"/>
            </w:rPr>
            <w:instrText>适用</w:instrText>
          </w:r>
          <w:r>
            <w:rPr>
              <w:rStyle w:val="20"/>
            </w:rPr>
            <w:instrText xml:space="preserve"> </w:instrText>
          </w:r>
          <w:r>
            <w:rPr>
              <w:rStyle w:val="20"/>
            </w:rPr>
            <w:fldChar w:fldCharType="end"/>
          </w:r>
          <w:r>
            <w:rPr>
              <w:rStyle w:val="20"/>
            </w:rPr>
            <w:fldChar w:fldCharType="begin"/>
          </w:r>
          <w:r>
            <w:rPr>
              <w:rStyle w:val="20"/>
            </w:rPr>
            <w:instrText xml:space="preserve"> MACROBUTTON  SnrToggleCheckbox √</w:instrText>
          </w:r>
          <w:r>
            <w:rPr>
              <w:rStyle w:val="20"/>
            </w:rPr>
            <w:instrText>不适用</w:instrText>
          </w:r>
          <w:r>
            <w:rPr>
              <w:rStyle w:val="20"/>
            </w:rPr>
            <w:instrText xml:space="preserve"> </w:instrText>
          </w:r>
          <w:r>
            <w:rPr>
              <w:rStyle w:val="20"/>
            </w:rPr>
            <w:fldChar w:fldCharType="end"/>
          </w:r>
        </w:p>
      </w:sdtContent>
    </w:sdt>
    <w:p w:rsidR="004A3868" w:rsidRDefault="003F1AB5">
      <w:pPr>
        <w:pStyle w:val="6"/>
      </w:pPr>
      <w:r>
        <w:rPr>
          <w:rFonts w:hint="eastAsia"/>
        </w:rPr>
        <w:t>售电业务经营情况</w:t>
      </w:r>
    </w:p>
    <w:sdt>
      <w:sdtPr>
        <w:alias w:val="是否适用：售电业务经营情况 [双击切换]"/>
        <w:tag w:val="_GBC_9ecfa54218574bb7866f8169186206d5"/>
        <w:id w:val="1882283941"/>
        <w:placeholder>
          <w:docPart w:val="GBC22222222222222222222222222222"/>
        </w:placeholder>
      </w:sdtPr>
      <w:sdtEndPr>
        <w:rPr>
          <w:rStyle w:val="af2"/>
          <w:rFonts w:hAnsi="Courier New"/>
          <w:kern w:val="2"/>
          <w:sz w:val="21"/>
        </w:rPr>
      </w:sdtEndPr>
      <w:sdtContent>
        <w:p w:rsidR="004A3868" w:rsidRDefault="003F1AB5">
          <w:pPr>
            <w:pStyle w:val="Style842"/>
            <w:rPr>
              <w:rStyle w:val="af2"/>
            </w:rPr>
          </w:pPr>
          <w:r>
            <w:rPr>
              <w:rStyle w:val="af2"/>
            </w:rPr>
            <w:fldChar w:fldCharType="begin"/>
          </w:r>
          <w:r>
            <w:rPr>
              <w:rStyle w:val="af2"/>
            </w:rPr>
            <w:instrText xml:space="preserve"> 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p w:rsidR="004A3868" w:rsidRDefault="003F1AB5">
      <w:pPr>
        <w:pStyle w:val="6"/>
      </w:pPr>
      <w:r>
        <w:rPr>
          <w:rFonts w:hint="eastAsia"/>
        </w:rPr>
        <w:t>其他说明</w:t>
      </w:r>
    </w:p>
    <w:sdt>
      <w:sdtPr>
        <w:alias w:val="是否适用：电力行业经营性信息分析其他情况说明[双击切换]"/>
        <w:tag w:val="_GBC_cf3b7421846c4588a825a84747bfc5d4"/>
        <w:id w:val="-1838230116"/>
        <w:placeholder>
          <w:docPart w:val="GBC22222222222222222222222222222"/>
        </w:placeholder>
      </w:sdtPr>
      <w:sdtEndPr>
        <w:rPr>
          <w:rStyle w:val="af2"/>
          <w:rFonts w:hAnsi="Courier New"/>
          <w:kern w:val="2"/>
          <w:sz w:val="21"/>
        </w:rPr>
      </w:sdtEndPr>
      <w:sdtContent>
        <w:p w:rsidR="004A3868" w:rsidRDefault="003F1AB5">
          <w:pPr>
            <w:pStyle w:val="Style811"/>
            <w:rPr>
              <w:rStyle w:val="af2"/>
            </w:rPr>
          </w:pPr>
          <w:r>
            <w:rPr>
              <w:rStyle w:val="af2"/>
            </w:rPr>
            <w:fldChar w:fldCharType="begin"/>
          </w:r>
          <w:r>
            <w:rPr>
              <w:rStyle w:val="af2"/>
            </w:rPr>
            <w:instrText xml:space="preserve">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p w:rsidR="004A3868" w:rsidRDefault="004A3868">
      <w:pPr>
        <w:sectPr w:rsidR="004A3868">
          <w:pgSz w:w="16838" w:h="11906" w:orient="landscape"/>
          <w:pgMar w:top="1797" w:right="1525" w:bottom="1276" w:left="1440" w:header="855" w:footer="992" w:gutter="0"/>
          <w:cols w:space="425"/>
          <w:docGrid w:linePitch="312"/>
        </w:sectPr>
      </w:pPr>
    </w:p>
    <w:p w:rsidR="004A3868" w:rsidRDefault="003F1AB5">
      <w:pPr>
        <w:pStyle w:val="4"/>
        <w:rPr>
          <w:rFonts w:ascii="Calibri" w:hAnsi="Calibri"/>
          <w:szCs w:val="21"/>
        </w:rPr>
      </w:pPr>
      <w:r>
        <w:rPr>
          <w:rFonts w:hint="eastAsia"/>
        </w:rPr>
        <w:lastRenderedPageBreak/>
        <w:t>钢铁行业经营性信息分析</w:t>
      </w:r>
    </w:p>
    <w:p w:rsidR="004A3868" w:rsidRDefault="003F1AB5">
      <w:pPr>
        <w:pStyle w:val="5"/>
        <w:numPr>
          <w:ilvl w:val="0"/>
          <w:numId w:val="19"/>
        </w:numPr>
        <w:ind w:leftChars="0"/>
      </w:pPr>
      <w:r>
        <w:rPr>
          <w:rFonts w:hint="eastAsia"/>
        </w:rPr>
        <w:t>按加工工艺分类的钢材制造和销售情况</w:t>
      </w:r>
    </w:p>
    <w:sdt>
      <w:sdtPr>
        <w:rPr>
          <w:rFonts w:hint="eastAsia"/>
        </w:rPr>
        <w:alias w:val="是否适用：按加工工艺分类的钢材制造和销售情况[双击切换]"/>
        <w:tag w:val="_GBC_cc7950b41e274e878e06084299f40f13"/>
        <w:id w:val="475888367"/>
        <w:placeholder>
          <w:docPart w:val="GBC22222222222222222222222222222"/>
        </w:placeholder>
      </w:sdtPr>
      <w:sdtEndPr/>
      <w:sdtContent>
        <w:p w:rsidR="004A3868" w:rsidRDefault="003F1AB5">
          <w:pPr>
            <w:pStyle w:val="Style811"/>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5"/>
        <w:numPr>
          <w:ilvl w:val="0"/>
          <w:numId w:val="19"/>
        </w:numPr>
        <w:ind w:leftChars="0"/>
      </w:pPr>
      <w:r>
        <w:rPr>
          <w:rFonts w:hint="eastAsia"/>
        </w:rPr>
        <w:t>按成品形态分类的钢材制造和销售情况</w:t>
      </w:r>
    </w:p>
    <w:sdt>
      <w:sdtPr>
        <w:rPr>
          <w:rFonts w:hint="eastAsia"/>
        </w:rPr>
        <w:alias w:val="是否适用：按成品形态分类的钢材制造和销售情况[双击切换]"/>
        <w:tag w:val="_GBC_05668711417544f9b3ce7083b909a747"/>
        <w:id w:val="1962229595"/>
        <w:placeholder>
          <w:docPart w:val="GBC22222222222222222222222222222"/>
        </w:placeholder>
      </w:sdtPr>
      <w:sdtEndPr/>
      <w:sdtContent>
        <w:p w:rsidR="004A3868" w:rsidRDefault="003F1AB5">
          <w:pPr>
            <w:pStyle w:val="Style811"/>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5"/>
        <w:numPr>
          <w:ilvl w:val="0"/>
          <w:numId w:val="19"/>
        </w:numPr>
        <w:ind w:leftChars="0"/>
      </w:pPr>
      <w:r>
        <w:rPr>
          <w:rFonts w:hint="eastAsia"/>
        </w:rPr>
        <w:t>按销售渠道分类的钢材销售情况</w:t>
      </w:r>
    </w:p>
    <w:sdt>
      <w:sdtPr>
        <w:rPr>
          <w:rFonts w:hint="eastAsia"/>
        </w:rPr>
        <w:alias w:val="是否适用：按销售渠道分类的钢材销售情况[双击切换]"/>
        <w:tag w:val="_GBC_e005391142e146af9117f93cb7c4c136"/>
        <w:id w:val="-718280754"/>
        <w:placeholder>
          <w:docPart w:val="GBC22222222222222222222222222222"/>
        </w:placeholder>
      </w:sdtPr>
      <w:sdtEndPr>
        <w:rPr>
          <w:rStyle w:val="afff2"/>
          <w:sz w:val="21"/>
        </w:rPr>
      </w:sdtEndPr>
      <w:sdtContent>
        <w:p w:rsidR="004A3868" w:rsidRDefault="003F1AB5">
          <w:pPr>
            <w:pStyle w:val="Style811"/>
            <w:rPr>
              <w:rStyle w:val="afff2"/>
            </w:rPr>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5"/>
        <w:numPr>
          <w:ilvl w:val="0"/>
          <w:numId w:val="19"/>
        </w:numPr>
        <w:ind w:leftChars="0"/>
      </w:pPr>
      <w:r>
        <w:rPr>
          <w:rFonts w:hint="eastAsia"/>
        </w:rPr>
        <w:t>特殊钢铁产品制造和销售情况</w:t>
      </w:r>
    </w:p>
    <w:sdt>
      <w:sdtPr>
        <w:rPr>
          <w:rFonts w:hint="eastAsia"/>
        </w:rPr>
        <w:alias w:val="是否适用：特殊钢铁产品制造和销售情况[双击切换]"/>
        <w:tag w:val="_GBC_47461f69d5414de0a1ec7d1de22fcf86"/>
        <w:id w:val="717858731"/>
        <w:placeholder>
          <w:docPart w:val="GBC22222222222222222222222222222"/>
        </w:placeholder>
      </w:sdtPr>
      <w:sdtEndPr>
        <w:rPr>
          <w:rStyle w:val="afff2"/>
          <w:sz w:val="21"/>
        </w:rPr>
      </w:sdtEndPr>
      <w:sdtContent>
        <w:p w:rsidR="004A3868" w:rsidRDefault="003F1AB5">
          <w:pPr>
            <w:pStyle w:val="Style811"/>
            <w:rPr>
              <w:rStyle w:val="afff2"/>
            </w:rPr>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5"/>
        <w:numPr>
          <w:ilvl w:val="0"/>
          <w:numId w:val="19"/>
        </w:numPr>
        <w:ind w:leftChars="0"/>
      </w:pPr>
      <w:r>
        <w:rPr>
          <w:rFonts w:hint="eastAsia"/>
        </w:rPr>
        <w:t>铁矿石供应情况</w:t>
      </w:r>
    </w:p>
    <w:sdt>
      <w:sdtPr>
        <w:rPr>
          <w:rFonts w:hint="eastAsia"/>
        </w:rPr>
        <w:alias w:val="是否适用：铁矿石供应情况[双击切换]"/>
        <w:tag w:val="_GBC_f4083f01dff74e19b0cffa64a3284de0"/>
        <w:id w:val="-1296980227"/>
        <w:placeholder>
          <w:docPart w:val="GBC22222222222222222222222222222"/>
        </w:placeholder>
      </w:sdtPr>
      <w:sdtEndPr>
        <w:rPr>
          <w:rStyle w:val="afff2"/>
          <w:sz w:val="21"/>
        </w:rPr>
      </w:sdtEndPr>
      <w:sdtContent>
        <w:p w:rsidR="004A3868" w:rsidRDefault="003F1AB5">
          <w:pPr>
            <w:pStyle w:val="Style811"/>
            <w:rPr>
              <w:rStyle w:val="afff2"/>
            </w:rPr>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5"/>
        <w:numPr>
          <w:ilvl w:val="0"/>
          <w:numId w:val="19"/>
        </w:numPr>
        <w:ind w:leftChars="0"/>
      </w:pPr>
      <w:r>
        <w:rPr>
          <w:rFonts w:hint="eastAsia"/>
        </w:rPr>
        <w:t>废钢供应情况</w:t>
      </w:r>
    </w:p>
    <w:sdt>
      <w:sdtPr>
        <w:alias w:val="是否适用：废钢供应情况[双击切换]"/>
        <w:tag w:val="_GBC_f3460ddb8d5c4e1292fc811cd4c67d4a"/>
        <w:id w:val="-1441989926"/>
        <w:placeholder>
          <w:docPart w:val="GBC22222222222222222222222222222"/>
        </w:placeholder>
      </w:sdtPr>
      <w:sdtEndPr>
        <w:rPr>
          <w:rStyle w:val="afff2"/>
          <w:sz w:val="21"/>
        </w:rPr>
      </w:sdtEndPr>
      <w:sdtContent>
        <w:p w:rsidR="004A3868" w:rsidRDefault="003F1AB5">
          <w:pPr>
            <w:pStyle w:val="Style811"/>
            <w:rPr>
              <w:rStyle w:val="afff2"/>
            </w:rPr>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5"/>
        <w:numPr>
          <w:ilvl w:val="0"/>
          <w:numId w:val="19"/>
        </w:numPr>
        <w:ind w:leftChars="0"/>
      </w:pPr>
      <w:r>
        <w:rPr>
          <w:rFonts w:hint="eastAsia"/>
        </w:rPr>
        <w:t>其他说明</w:t>
      </w:r>
    </w:p>
    <w:p w:rsidR="004A3868" w:rsidRDefault="00B34370">
      <w:pPr>
        <w:pStyle w:val="Style811"/>
        <w:rPr>
          <w:rStyle w:val="afff2"/>
        </w:rPr>
      </w:pPr>
      <w:sdt>
        <w:sdtPr>
          <w:rPr>
            <w:rFonts w:hint="eastAsia"/>
            <w:sz w:val="21"/>
          </w:rPr>
          <w:alias w:val="是否适用：钢铁行业经营性信息分析其他情况说明[双击切换]"/>
          <w:tag w:val="_GBC_1f3ffeb00e3145a3bf75e9da328793b2"/>
          <w:id w:val="-188677992"/>
          <w:placeholder>
            <w:docPart w:val="GBC22222222222222222222222222222"/>
          </w:placeholder>
        </w:sdtPr>
        <w:sdtEndPr>
          <w:rPr>
            <w:rStyle w:val="afff2"/>
          </w:rPr>
        </w:sdtEndPr>
        <w:sdtContent>
          <w:r w:rsidR="003F1AB5">
            <w:rPr>
              <w:rStyle w:val="afff2"/>
            </w:rPr>
            <w:fldChar w:fldCharType="begin"/>
          </w:r>
          <w:r w:rsidR="003F1AB5">
            <w:rPr>
              <w:rStyle w:val="afff2"/>
            </w:rPr>
            <w:instrText xml:space="preserve"> MACROBUTTON  SnrToggleCheckbox □适用  </w:instrText>
          </w:r>
          <w:r w:rsidR="003F1AB5">
            <w:rPr>
              <w:rStyle w:val="afff2"/>
            </w:rPr>
            <w:fldChar w:fldCharType="end"/>
          </w:r>
          <w:r w:rsidR="003F1AB5">
            <w:rPr>
              <w:rStyle w:val="afff2"/>
            </w:rPr>
            <w:fldChar w:fldCharType="begin"/>
          </w:r>
          <w:r w:rsidR="003F1AB5">
            <w:rPr>
              <w:rStyle w:val="afff2"/>
            </w:rPr>
            <w:instrText xml:space="preserve"> MACROBUTTON  SnrToggleCheckbox √不适用 </w:instrText>
          </w:r>
          <w:r w:rsidR="003F1AB5">
            <w:rPr>
              <w:rStyle w:val="afff2"/>
            </w:rPr>
            <w:fldChar w:fldCharType="end"/>
          </w:r>
        </w:sdtContent>
      </w:sdt>
    </w:p>
    <w:p w:rsidR="004A3868" w:rsidRDefault="004A3868">
      <w:pPr>
        <w:pStyle w:val="16"/>
        <w:sectPr w:rsidR="004A3868">
          <w:pgSz w:w="11906" w:h="16838"/>
          <w:pgMar w:top="1525" w:right="1276" w:bottom="1440" w:left="1797" w:header="855" w:footer="992" w:gutter="0"/>
          <w:cols w:space="425"/>
          <w:docGrid w:linePitch="312"/>
        </w:sectPr>
      </w:pPr>
    </w:p>
    <w:p w:rsidR="004A3868" w:rsidRDefault="003F1AB5">
      <w:pPr>
        <w:pStyle w:val="Style810"/>
        <w:numPr>
          <w:ilvl w:val="0"/>
          <w:numId w:val="16"/>
        </w:numPr>
        <w:ind w:leftChars="0" w:firstLineChars="0"/>
      </w:pPr>
      <w:r>
        <w:rPr>
          <w:rFonts w:hint="eastAsia"/>
        </w:rPr>
        <w:lastRenderedPageBreak/>
        <w:t>投资状况分析</w:t>
      </w:r>
    </w:p>
    <w:p w:rsidR="004A3868" w:rsidRDefault="003F1AB5">
      <w:pPr>
        <w:pStyle w:val="afff1"/>
        <w:ind w:firstLine="420"/>
      </w:pPr>
      <w:r>
        <w:t>对外股权投资总体分析</w:t>
      </w:r>
    </w:p>
    <w:bookmarkStart w:id="35" w:name="_Hlk533433706" w:displacedByCustomXml="next"/>
    <w:bookmarkEnd w:id="35" w:displacedByCustomXml="next"/>
    <w:bookmarkStart w:id="36" w:name="_Hlk533666971" w:displacedByCustomXml="next"/>
    <w:bookmarkEnd w:id="36" w:displacedByCustomXml="next"/>
    <w:bookmarkStart w:id="37" w:name="_Hlk533435360" w:displacedByCustomXml="next"/>
    <w:bookmarkEnd w:id="37" w:displacedByCustomXml="next"/>
    <w:bookmarkStart w:id="38" w:name="_Hlk533435130" w:displacedByCustomXml="next"/>
    <w:bookmarkEnd w:id="38" w:displacedByCustomXml="next"/>
    <w:sdt>
      <w:sdtPr>
        <w:alias w:val="是否适用：对外股权投资总体分析[双击切换]"/>
        <w:tag w:val="_GBC_cfb706fadf2c47bbbaf1bf90c054ccaf"/>
        <w:id w:val="178317901"/>
        <w:placeholder>
          <w:docPart w:val="GBC22222222222222222222222222222"/>
        </w:placeholder>
      </w:sdtPr>
      <w:sdtEndPr/>
      <w:sdtContent>
        <w:p w:rsidR="004A3868" w:rsidRDefault="003F1AB5">
          <w:pPr>
            <w:pStyle w:val="Style842"/>
          </w:pPr>
          <w:r>
            <w:rPr>
              <w:rStyle w:val="afff2"/>
            </w:rPr>
            <w:fldChar w:fldCharType="begin"/>
          </w:r>
          <w:r>
            <w:rPr>
              <w:rStyle w:val="afff2"/>
              <w:rFonts w:hint="eastAsia"/>
            </w:rPr>
            <w:instrText xml:space="preserve">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sdt>
      <w:sdtPr>
        <w:alias w:val="对外股权投资总体分析"/>
        <w:tag w:val="_GBC_fe6d59343f314ea694416d2e9d0fcf01"/>
        <w:id w:val="-136413941"/>
        <w:lock w:val="sdtLocked"/>
        <w:placeholder>
          <w:docPart w:val="GBC22222222222222222222222222222"/>
        </w:placeholder>
      </w:sdtPr>
      <w:sdtEndPr/>
      <w:sdtContent>
        <w:p w:rsidR="004A3868" w:rsidRDefault="003F1AB5">
          <w:pPr>
            <w:pStyle w:val="afff1"/>
            <w:ind w:firstLine="420"/>
          </w:pPr>
          <w:r>
            <w:rPr>
              <w:rFonts w:hint="eastAsia"/>
            </w:rPr>
            <w:t>截至报告期末，公司长期股权投资、交易性金融资产、应收款项融资余额</w:t>
          </w:r>
          <w:r>
            <w:t xml:space="preserve"> 2,777.93</w:t>
          </w:r>
          <w:r>
            <w:rPr>
              <w:rFonts w:hint="eastAsia"/>
            </w:rPr>
            <w:t>万</w:t>
          </w:r>
          <w:r>
            <w:t>元，较期初余额下降3,469.09</w:t>
          </w:r>
          <w:r>
            <w:rPr>
              <w:rFonts w:hint="eastAsia"/>
            </w:rPr>
            <w:t>万元</w:t>
          </w:r>
          <w:r>
            <w:t>。</w:t>
          </w:r>
        </w:p>
      </w:sdtContent>
    </w:sdt>
    <w:p w:rsidR="004A3868" w:rsidRDefault="003F1AB5">
      <w:pPr>
        <w:pStyle w:val="Style829"/>
        <w:numPr>
          <w:ilvl w:val="0"/>
          <w:numId w:val="20"/>
        </w:numPr>
      </w:pPr>
      <w:r>
        <w:rPr>
          <w:rFonts w:hint="eastAsia"/>
        </w:rPr>
        <w:t>重大的股权投资</w:t>
      </w:r>
    </w:p>
    <w:sdt>
      <w:sdtPr>
        <w:rPr>
          <w:rFonts w:hint="eastAsia"/>
        </w:rPr>
        <w:alias w:val="是否适用：重大的股权投资[双击切换]"/>
        <w:tag w:val="_GBC_b20506918d854c13b13a3b89dd84c7d3"/>
        <w:id w:val="1647622340"/>
        <w:lock w:val="sdtLocked"/>
        <w:placeholder>
          <w:docPart w:val="GBC22222222222222222222222222222"/>
        </w:placeholder>
      </w:sdtPr>
      <w:sdtEndPr>
        <w:rPr>
          <w:rStyle w:val="afff2"/>
          <w:sz w:val="21"/>
        </w:rPr>
      </w:sdtEndPr>
      <w:sdtContent>
        <w:p w:rsidR="004A3868" w:rsidRDefault="003F1AB5">
          <w:pPr>
            <w:pStyle w:val="Style580"/>
            <w:rPr>
              <w:rStyle w:val="afff2"/>
            </w:rPr>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Style829"/>
        <w:numPr>
          <w:ilvl w:val="0"/>
          <w:numId w:val="20"/>
        </w:numPr>
      </w:pPr>
      <w:r>
        <w:rPr>
          <w:rFonts w:hint="eastAsia"/>
        </w:rPr>
        <w:t>重大的非股权投资</w:t>
      </w:r>
    </w:p>
    <w:sdt>
      <w:sdtPr>
        <w:rPr>
          <w:rFonts w:hint="eastAsia"/>
        </w:rPr>
        <w:alias w:val="是否适用：重大的非股权投资[双击切换]"/>
        <w:tag w:val="_GBC_fbd46075a5b9414d9e28cd2404e5d47c"/>
        <w:id w:val="-1499031411"/>
        <w:lock w:val="sdtLocked"/>
        <w:placeholder>
          <w:docPart w:val="GBC22222222222222222222222222222"/>
        </w:placeholder>
      </w:sdtPr>
      <w:sdtEndPr>
        <w:rPr>
          <w:rStyle w:val="afff2"/>
          <w:sz w:val="21"/>
        </w:rPr>
      </w:sdtEndPr>
      <w:sdtContent>
        <w:p w:rsidR="004A3868" w:rsidRDefault="003F1AB5">
          <w:pPr>
            <w:pStyle w:val="Style580"/>
            <w:rPr>
              <w:rStyle w:val="afff2"/>
            </w:rPr>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Style829"/>
        <w:numPr>
          <w:ilvl w:val="0"/>
          <w:numId w:val="20"/>
        </w:numPr>
      </w:pPr>
      <w:r>
        <w:rPr>
          <w:rFonts w:hint="eastAsia"/>
        </w:rPr>
        <w:t>以公允价值计量的金融资产</w:t>
      </w:r>
    </w:p>
    <w:bookmarkStart w:id="39" w:name="_Hlk40532846" w:displacedByCustomXml="next"/>
    <w:sdt>
      <w:sdtPr>
        <w:rPr>
          <w:rFonts w:hint="eastAsia"/>
        </w:rPr>
        <w:alias w:val="是否适用：以公允价值计量的金融资产[双击切换]"/>
        <w:tag w:val="_GBC_27fa42d1c8fd489d9e8648bed00ddd53"/>
        <w:id w:val="-1395886198"/>
        <w:placeholder>
          <w:docPart w:val="GBC22222222222222222222222222222"/>
        </w:placeholder>
      </w:sdtPr>
      <w:sdtEndPr>
        <w:rPr>
          <w:rStyle w:val="afff2"/>
          <w:sz w:val="21"/>
        </w:rPr>
      </w:sdtEndPr>
      <w:sdtContent>
        <w:p w:rsidR="004A3868" w:rsidRDefault="003F1AB5">
          <w:pPr>
            <w:pStyle w:val="Style842"/>
            <w:rPr>
              <w:rStyle w:val="afff2"/>
            </w:rPr>
          </w:pPr>
          <w:r>
            <w:rPr>
              <w:rStyle w:val="afff2"/>
            </w:rPr>
            <w:fldChar w:fldCharType="begin"/>
          </w:r>
          <w:r>
            <w:rPr>
              <w:rStyle w:val="afff2"/>
            </w:rPr>
            <w:instrText xml:space="preserve"> </w:instrText>
          </w:r>
          <w:r>
            <w:rPr>
              <w:rStyle w:val="afff2"/>
              <w:rFonts w:hint="eastAsia"/>
            </w:rPr>
            <w:instrText xml:space="preserve">MACROBUTTON  SnrToggleCheckbox √适用 </w:instrText>
          </w:r>
          <w:r>
            <w:rPr>
              <w:rStyle w:val="afff2"/>
            </w:rPr>
            <w:instrText xml:space="preserve">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Style661"/>
      </w:pPr>
      <w:r>
        <w:rPr>
          <w:rFonts w:hint="eastAsia"/>
        </w:rPr>
        <w:t>单位：</w:t>
      </w:r>
      <w:sdt>
        <w:sdtPr>
          <w:rPr>
            <w:rFonts w:hint="eastAsia"/>
          </w:rPr>
          <w:alias w:val="单位：以公允价值计量的金融资产"/>
          <w:tag w:val="_GBC_b2e3ce23c85c488ab3fa1ba1294ef546"/>
          <w:id w:val="134890532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w:t>
      </w:r>
      <w:r>
        <w:rPr>
          <w:rFonts w:hint="eastAsia"/>
        </w:rPr>
        <w:t>币种：</w:t>
      </w:r>
      <w:sdt>
        <w:sdtPr>
          <w:rPr>
            <w:rFonts w:hint="eastAsia"/>
          </w:rPr>
          <w:alias w:val="币种：以公允价值计量的金融资产"/>
          <w:tag w:val="_GBC_77ed3303d22c48dc98ae781142db662c"/>
          <w:id w:val="-12267580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4"/>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071"/>
        <w:gridCol w:w="1504"/>
        <w:gridCol w:w="1266"/>
        <w:gridCol w:w="1504"/>
        <w:gridCol w:w="1503"/>
        <w:gridCol w:w="1504"/>
        <w:gridCol w:w="1503"/>
        <w:gridCol w:w="1504"/>
        <w:gridCol w:w="1504"/>
      </w:tblGrid>
      <w:tr w:rsidR="004A3868">
        <w:trPr>
          <w:trHeight w:val="397"/>
          <w:jc w:val="center"/>
        </w:trPr>
        <w:bookmarkEnd w:id="39" w:displacedByCustomXml="next"/>
        <w:sdt>
          <w:sdtPr>
            <w:rPr>
              <w:rFonts w:hint="eastAsia"/>
            </w:rPr>
            <w:tag w:val="_PLD_0c54b9fd583d4e649fc12d33a6f94086"/>
            <w:id w:val="-738704090"/>
            <w:lock w:val="sdtLocked"/>
          </w:sdtPr>
          <w:sdtEndPr/>
          <w:sdtContent>
            <w:tc>
              <w:tcPr>
                <w:tcW w:w="2121" w:type="dxa"/>
                <w:shd w:val="clear" w:color="auto" w:fill="auto"/>
                <w:vAlign w:val="center"/>
              </w:tcPr>
              <w:p w:rsidR="004A3868" w:rsidRDefault="003F1AB5">
                <w:pPr>
                  <w:pStyle w:val="33"/>
                </w:pPr>
                <w:r>
                  <w:rPr>
                    <w:rFonts w:hint="eastAsia"/>
                  </w:rPr>
                  <w:t>资产类别</w:t>
                </w:r>
              </w:p>
            </w:tc>
          </w:sdtContent>
        </w:sdt>
        <w:sdt>
          <w:sdtPr>
            <w:rPr>
              <w:rFonts w:hint="eastAsia"/>
            </w:rPr>
            <w:tag w:val="_PLD_4b84ad0ddc154021b1b8d9a6bffa6c39"/>
            <w:id w:val="219643763"/>
            <w:lock w:val="sdtLocked"/>
          </w:sdtPr>
          <w:sdtEndPr/>
          <w:sdtContent>
            <w:tc>
              <w:tcPr>
                <w:tcW w:w="1540" w:type="dxa"/>
                <w:shd w:val="clear" w:color="auto" w:fill="auto"/>
                <w:vAlign w:val="center"/>
              </w:tcPr>
              <w:p w:rsidR="004A3868" w:rsidRDefault="003F1AB5">
                <w:pPr>
                  <w:pStyle w:val="33"/>
                </w:pPr>
                <w:r>
                  <w:rPr>
                    <w:rFonts w:hint="eastAsia"/>
                  </w:rPr>
                  <w:t>期初数</w:t>
                </w:r>
              </w:p>
            </w:tc>
          </w:sdtContent>
        </w:sdt>
        <w:sdt>
          <w:sdtPr>
            <w:rPr>
              <w:rFonts w:hint="eastAsia"/>
            </w:rPr>
            <w:tag w:val="_PLD_fa8919b699f843d2b03f2004a27810b6"/>
            <w:id w:val="-1373382958"/>
            <w:lock w:val="sdtLocked"/>
          </w:sdtPr>
          <w:sdtEndPr/>
          <w:sdtContent>
            <w:tc>
              <w:tcPr>
                <w:tcW w:w="1296" w:type="dxa"/>
                <w:shd w:val="clear" w:color="auto" w:fill="auto"/>
                <w:vAlign w:val="center"/>
              </w:tcPr>
              <w:p w:rsidR="004A3868" w:rsidRDefault="003F1AB5">
                <w:pPr>
                  <w:pStyle w:val="33"/>
                  <w:rPr>
                    <w:b/>
                  </w:rPr>
                </w:pPr>
                <w:r>
                  <w:rPr>
                    <w:rFonts w:hint="eastAsia"/>
                  </w:rPr>
                  <w:t>本期公允价值变动损益</w:t>
                </w:r>
              </w:p>
            </w:tc>
          </w:sdtContent>
        </w:sdt>
        <w:sdt>
          <w:sdtPr>
            <w:rPr>
              <w:rFonts w:hint="eastAsia"/>
            </w:rPr>
            <w:tag w:val="_PLD_81fc9fd2b35c49e2bfd3b55b8724ae1d"/>
            <w:id w:val="-1536803312"/>
            <w:lock w:val="sdtLocked"/>
          </w:sdtPr>
          <w:sdtEndPr/>
          <w:sdtContent>
            <w:tc>
              <w:tcPr>
                <w:tcW w:w="1541" w:type="dxa"/>
                <w:shd w:val="clear" w:color="auto" w:fill="auto"/>
                <w:vAlign w:val="center"/>
              </w:tcPr>
              <w:p w:rsidR="004A3868" w:rsidRDefault="003F1AB5">
                <w:pPr>
                  <w:pStyle w:val="33"/>
                </w:pPr>
                <w:r>
                  <w:rPr>
                    <w:rFonts w:hint="eastAsia"/>
                  </w:rPr>
                  <w:t>计入权益的累计公允价值变动</w:t>
                </w:r>
              </w:p>
            </w:tc>
          </w:sdtContent>
        </w:sdt>
        <w:sdt>
          <w:sdtPr>
            <w:rPr>
              <w:rFonts w:hint="eastAsia"/>
            </w:rPr>
            <w:tag w:val="_PLD_d6f12030ef654b5cad4265cc31977836"/>
            <w:id w:val="1196436633"/>
            <w:lock w:val="sdtLocked"/>
          </w:sdtPr>
          <w:sdtEndPr/>
          <w:sdtContent>
            <w:tc>
              <w:tcPr>
                <w:tcW w:w="1540" w:type="dxa"/>
                <w:shd w:val="clear" w:color="auto" w:fill="auto"/>
                <w:vAlign w:val="center"/>
              </w:tcPr>
              <w:p w:rsidR="004A3868" w:rsidRDefault="003F1AB5">
                <w:pPr>
                  <w:pStyle w:val="33"/>
                </w:pPr>
                <w:r>
                  <w:rPr>
                    <w:rFonts w:hint="eastAsia"/>
                  </w:rPr>
                  <w:t>本期计提的减值</w:t>
                </w:r>
              </w:p>
            </w:tc>
          </w:sdtContent>
        </w:sdt>
        <w:sdt>
          <w:sdtPr>
            <w:rPr>
              <w:rFonts w:hint="eastAsia"/>
            </w:rPr>
            <w:tag w:val="_PLD_8693ec76f7f14d898c4b16665659ded9"/>
            <w:id w:val="986896216"/>
            <w:lock w:val="sdtLocked"/>
          </w:sdtPr>
          <w:sdtEndPr/>
          <w:sdtContent>
            <w:tc>
              <w:tcPr>
                <w:tcW w:w="1541" w:type="dxa"/>
                <w:shd w:val="clear" w:color="auto" w:fill="auto"/>
                <w:vAlign w:val="center"/>
              </w:tcPr>
              <w:p w:rsidR="004A3868" w:rsidRDefault="003F1AB5">
                <w:pPr>
                  <w:pStyle w:val="33"/>
                </w:pPr>
                <w:r>
                  <w:rPr>
                    <w:rFonts w:hint="eastAsia"/>
                  </w:rPr>
                  <w:t>本期购买金额</w:t>
                </w:r>
              </w:p>
            </w:tc>
          </w:sdtContent>
        </w:sdt>
        <w:sdt>
          <w:sdtPr>
            <w:rPr>
              <w:rFonts w:hint="eastAsia"/>
            </w:rPr>
            <w:tag w:val="_PLD_ba0671fda1cb4d8c8d3c1e5b16cc6e5a"/>
            <w:id w:val="-1194079682"/>
            <w:lock w:val="sdtLocked"/>
          </w:sdtPr>
          <w:sdtEndPr/>
          <w:sdtContent>
            <w:tc>
              <w:tcPr>
                <w:tcW w:w="1540" w:type="dxa"/>
                <w:shd w:val="clear" w:color="auto" w:fill="auto"/>
                <w:vAlign w:val="center"/>
              </w:tcPr>
              <w:p w:rsidR="004A3868" w:rsidRDefault="003F1AB5">
                <w:pPr>
                  <w:pStyle w:val="afffb"/>
                </w:pPr>
                <w:r>
                  <w:rPr>
                    <w:rFonts w:hint="eastAsia"/>
                  </w:rPr>
                  <w:t>本期出售/赎回金额</w:t>
                </w:r>
              </w:p>
            </w:tc>
          </w:sdtContent>
        </w:sdt>
        <w:sdt>
          <w:sdtPr>
            <w:rPr>
              <w:rFonts w:hint="eastAsia"/>
            </w:rPr>
            <w:tag w:val="_PLD_50b7e7d4561f48f190f80d486d12a170"/>
            <w:id w:val="162981077"/>
            <w:lock w:val="sdtLocked"/>
          </w:sdtPr>
          <w:sdtEndPr/>
          <w:sdtContent>
            <w:tc>
              <w:tcPr>
                <w:tcW w:w="1541" w:type="dxa"/>
                <w:shd w:val="clear" w:color="auto" w:fill="auto"/>
                <w:vAlign w:val="center"/>
              </w:tcPr>
              <w:p w:rsidR="004A3868" w:rsidRDefault="003F1AB5">
                <w:pPr>
                  <w:pStyle w:val="afffb"/>
                </w:pPr>
                <w:r>
                  <w:rPr>
                    <w:rFonts w:hint="eastAsia"/>
                  </w:rPr>
                  <w:t>其他变动</w:t>
                </w:r>
              </w:p>
            </w:tc>
          </w:sdtContent>
        </w:sdt>
        <w:sdt>
          <w:sdtPr>
            <w:rPr>
              <w:rFonts w:hint="eastAsia"/>
            </w:rPr>
            <w:tag w:val="_PLD_816d427a273240d9af67db4a5feee586"/>
            <w:id w:val="830184707"/>
            <w:lock w:val="sdtLocked"/>
          </w:sdtPr>
          <w:sdtEndPr/>
          <w:sdtContent>
            <w:tc>
              <w:tcPr>
                <w:tcW w:w="1541" w:type="dxa"/>
                <w:shd w:val="clear" w:color="auto" w:fill="auto"/>
                <w:vAlign w:val="center"/>
              </w:tcPr>
              <w:p w:rsidR="004A3868" w:rsidRDefault="003F1AB5">
                <w:pPr>
                  <w:pStyle w:val="afffb"/>
                </w:pPr>
                <w:r>
                  <w:rPr>
                    <w:rFonts w:hint="eastAsia"/>
                  </w:rPr>
                  <w:t>期末数</w:t>
                </w:r>
              </w:p>
            </w:tc>
          </w:sdtContent>
        </w:sdt>
      </w:tr>
      <w:tr w:rsidR="004A3868">
        <w:trPr>
          <w:trHeight w:val="397"/>
          <w:jc w:val="center"/>
        </w:trPr>
        <w:sdt>
          <w:sdtPr>
            <w:alias w:val="以公允价值计量的金融资产情况明细_资产类别"/>
            <w:tag w:val="_GBC_cc72d7a8c8f74a64a251dbd2114ca4fe"/>
            <w:id w:val="-827363562"/>
            <w:lock w:val="sdtLocked"/>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2121" w:type="dxa"/>
                <w:shd w:val="clear" w:color="auto" w:fill="auto"/>
              </w:tcPr>
              <w:p w:rsidR="004A3868" w:rsidRDefault="003F1AB5">
                <w:pPr>
                  <w:pStyle w:val="33"/>
                </w:pPr>
                <w:r>
                  <w:t>交易性金融资产</w:t>
                </w:r>
              </w:p>
            </w:tc>
          </w:sdtContent>
        </w:sdt>
        <w:tc>
          <w:tcPr>
            <w:tcW w:w="1540" w:type="dxa"/>
            <w:shd w:val="clear" w:color="auto" w:fill="auto"/>
            <w:vAlign w:val="center"/>
          </w:tcPr>
          <w:p w:rsidR="004A3868" w:rsidRDefault="003F1AB5">
            <w:pPr>
              <w:pStyle w:val="afff7"/>
            </w:pPr>
            <w:r>
              <w:t>3,002.14</w:t>
            </w:r>
          </w:p>
        </w:tc>
        <w:tc>
          <w:tcPr>
            <w:tcW w:w="1296" w:type="dxa"/>
            <w:shd w:val="clear" w:color="auto" w:fill="auto"/>
          </w:tcPr>
          <w:p w:rsidR="004A3868" w:rsidRDefault="004A3868">
            <w:pPr>
              <w:pStyle w:val="afff7"/>
            </w:pPr>
          </w:p>
        </w:tc>
        <w:tc>
          <w:tcPr>
            <w:tcW w:w="1541" w:type="dxa"/>
            <w:shd w:val="clear" w:color="auto" w:fill="auto"/>
          </w:tcPr>
          <w:p w:rsidR="004A3868" w:rsidRDefault="004A3868">
            <w:pPr>
              <w:pStyle w:val="afff7"/>
            </w:pPr>
          </w:p>
        </w:tc>
        <w:tc>
          <w:tcPr>
            <w:tcW w:w="1540" w:type="dxa"/>
            <w:shd w:val="clear" w:color="auto" w:fill="auto"/>
          </w:tcPr>
          <w:p w:rsidR="004A3868" w:rsidRDefault="004A3868">
            <w:pPr>
              <w:pStyle w:val="afff7"/>
            </w:pPr>
          </w:p>
        </w:tc>
        <w:tc>
          <w:tcPr>
            <w:tcW w:w="1541" w:type="dxa"/>
            <w:shd w:val="clear" w:color="auto" w:fill="auto"/>
          </w:tcPr>
          <w:p w:rsidR="004A3868" w:rsidRDefault="004A3868">
            <w:pPr>
              <w:pStyle w:val="afff7"/>
            </w:pPr>
          </w:p>
        </w:tc>
        <w:tc>
          <w:tcPr>
            <w:tcW w:w="1540" w:type="dxa"/>
            <w:shd w:val="clear" w:color="auto" w:fill="auto"/>
            <w:vAlign w:val="center"/>
          </w:tcPr>
          <w:p w:rsidR="004A3868" w:rsidRDefault="003F1AB5">
            <w:pPr>
              <w:pStyle w:val="afff7"/>
            </w:pPr>
            <w:r>
              <w:t>3,002.14</w:t>
            </w:r>
          </w:p>
        </w:tc>
        <w:tc>
          <w:tcPr>
            <w:tcW w:w="1541" w:type="dxa"/>
            <w:shd w:val="clear" w:color="auto" w:fill="auto"/>
            <w:vAlign w:val="center"/>
          </w:tcPr>
          <w:p w:rsidR="004A3868" w:rsidRDefault="004A3868">
            <w:pPr>
              <w:pStyle w:val="afff7"/>
            </w:pPr>
          </w:p>
        </w:tc>
        <w:tc>
          <w:tcPr>
            <w:tcW w:w="1541" w:type="dxa"/>
            <w:shd w:val="clear" w:color="auto" w:fill="auto"/>
            <w:vAlign w:val="center"/>
          </w:tcPr>
          <w:p w:rsidR="004A3868" w:rsidRDefault="004A3868">
            <w:pPr>
              <w:pStyle w:val="afff7"/>
            </w:pPr>
          </w:p>
        </w:tc>
      </w:tr>
      <w:tr w:rsidR="004A3868">
        <w:trPr>
          <w:trHeight w:val="397"/>
          <w:jc w:val="center"/>
        </w:trPr>
        <w:sdt>
          <w:sdtPr>
            <w:alias w:val="以公允价值计量的金融资产情况明细_资产类别"/>
            <w:tag w:val="_GBC_cc72d7a8c8f74a64a251dbd2114ca4fe"/>
            <w:id w:val="54211294"/>
            <w:lock w:val="sdtLocked"/>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2121" w:type="dxa"/>
                <w:shd w:val="clear" w:color="auto" w:fill="auto"/>
              </w:tcPr>
              <w:p w:rsidR="004A3868" w:rsidRDefault="003F1AB5">
                <w:pPr>
                  <w:pStyle w:val="33"/>
                </w:pPr>
                <w:r>
                  <w:t>应收款项融资</w:t>
                </w:r>
              </w:p>
            </w:tc>
          </w:sdtContent>
        </w:sdt>
        <w:tc>
          <w:tcPr>
            <w:tcW w:w="1540" w:type="dxa"/>
            <w:shd w:val="clear" w:color="auto" w:fill="auto"/>
            <w:vAlign w:val="center"/>
          </w:tcPr>
          <w:p w:rsidR="004A3868" w:rsidRDefault="003F1AB5">
            <w:pPr>
              <w:pStyle w:val="afff7"/>
            </w:pPr>
            <w:r>
              <w:t>1,643.47</w:t>
            </w:r>
          </w:p>
        </w:tc>
        <w:tc>
          <w:tcPr>
            <w:tcW w:w="1296" w:type="dxa"/>
            <w:shd w:val="clear" w:color="auto" w:fill="auto"/>
          </w:tcPr>
          <w:p w:rsidR="004A3868" w:rsidRDefault="004A3868">
            <w:pPr>
              <w:pStyle w:val="afff7"/>
            </w:pPr>
          </w:p>
        </w:tc>
        <w:tc>
          <w:tcPr>
            <w:tcW w:w="1541" w:type="dxa"/>
            <w:shd w:val="clear" w:color="auto" w:fill="auto"/>
          </w:tcPr>
          <w:p w:rsidR="004A3868" w:rsidRDefault="004A3868">
            <w:pPr>
              <w:pStyle w:val="afff7"/>
            </w:pPr>
          </w:p>
        </w:tc>
        <w:tc>
          <w:tcPr>
            <w:tcW w:w="1540" w:type="dxa"/>
            <w:shd w:val="clear" w:color="auto" w:fill="auto"/>
          </w:tcPr>
          <w:p w:rsidR="004A3868" w:rsidRDefault="004A3868">
            <w:pPr>
              <w:pStyle w:val="afff7"/>
            </w:pPr>
          </w:p>
        </w:tc>
        <w:tc>
          <w:tcPr>
            <w:tcW w:w="1541" w:type="dxa"/>
            <w:shd w:val="clear" w:color="auto" w:fill="auto"/>
          </w:tcPr>
          <w:p w:rsidR="004A3868" w:rsidRDefault="004A3868">
            <w:pPr>
              <w:pStyle w:val="afff7"/>
            </w:pPr>
          </w:p>
        </w:tc>
        <w:tc>
          <w:tcPr>
            <w:tcW w:w="1540" w:type="dxa"/>
            <w:shd w:val="clear" w:color="auto" w:fill="auto"/>
            <w:vAlign w:val="center"/>
          </w:tcPr>
          <w:p w:rsidR="004A3868" w:rsidRDefault="004A3868">
            <w:pPr>
              <w:pStyle w:val="afff7"/>
            </w:pPr>
          </w:p>
        </w:tc>
        <w:tc>
          <w:tcPr>
            <w:tcW w:w="1541" w:type="dxa"/>
            <w:shd w:val="clear" w:color="auto" w:fill="auto"/>
            <w:vAlign w:val="center"/>
          </w:tcPr>
          <w:p w:rsidR="004A3868" w:rsidRDefault="003F1AB5">
            <w:pPr>
              <w:pStyle w:val="afff7"/>
            </w:pPr>
            <w:r>
              <w:t>419.00</w:t>
            </w:r>
          </w:p>
        </w:tc>
        <w:tc>
          <w:tcPr>
            <w:tcW w:w="1541" w:type="dxa"/>
            <w:shd w:val="clear" w:color="auto" w:fill="auto"/>
            <w:vAlign w:val="center"/>
          </w:tcPr>
          <w:p w:rsidR="004A3868" w:rsidRDefault="003F1AB5">
            <w:pPr>
              <w:pStyle w:val="afff7"/>
            </w:pPr>
            <w:r>
              <w:t>1,224.47</w:t>
            </w:r>
          </w:p>
        </w:tc>
      </w:tr>
      <w:tr w:rsidR="004A3868">
        <w:trPr>
          <w:trHeight w:val="397"/>
          <w:jc w:val="center"/>
        </w:trPr>
        <w:tc>
          <w:tcPr>
            <w:tcW w:w="2121" w:type="dxa"/>
            <w:shd w:val="clear" w:color="auto" w:fill="auto"/>
          </w:tcPr>
          <w:p w:rsidR="004A3868" w:rsidRDefault="003F1AB5">
            <w:pPr>
              <w:pStyle w:val="33"/>
            </w:pPr>
            <w:r>
              <w:t>合计</w:t>
            </w:r>
          </w:p>
        </w:tc>
        <w:tc>
          <w:tcPr>
            <w:tcW w:w="1540" w:type="dxa"/>
            <w:shd w:val="clear" w:color="auto" w:fill="auto"/>
            <w:vAlign w:val="center"/>
          </w:tcPr>
          <w:p w:rsidR="004A3868" w:rsidRDefault="003F1AB5">
            <w:pPr>
              <w:pStyle w:val="afff7"/>
            </w:pPr>
            <w:r>
              <w:t>4,645.61</w:t>
            </w:r>
          </w:p>
        </w:tc>
        <w:tc>
          <w:tcPr>
            <w:tcW w:w="1296" w:type="dxa"/>
            <w:shd w:val="clear" w:color="auto" w:fill="auto"/>
          </w:tcPr>
          <w:p w:rsidR="004A3868" w:rsidRDefault="004A3868">
            <w:pPr>
              <w:pStyle w:val="afff7"/>
            </w:pPr>
          </w:p>
        </w:tc>
        <w:tc>
          <w:tcPr>
            <w:tcW w:w="1541" w:type="dxa"/>
            <w:shd w:val="clear" w:color="auto" w:fill="auto"/>
          </w:tcPr>
          <w:p w:rsidR="004A3868" w:rsidRDefault="004A3868">
            <w:pPr>
              <w:pStyle w:val="afff7"/>
            </w:pPr>
          </w:p>
        </w:tc>
        <w:tc>
          <w:tcPr>
            <w:tcW w:w="1540" w:type="dxa"/>
            <w:shd w:val="clear" w:color="auto" w:fill="auto"/>
          </w:tcPr>
          <w:p w:rsidR="004A3868" w:rsidRDefault="004A3868">
            <w:pPr>
              <w:pStyle w:val="afff7"/>
            </w:pPr>
          </w:p>
        </w:tc>
        <w:tc>
          <w:tcPr>
            <w:tcW w:w="1541" w:type="dxa"/>
            <w:shd w:val="clear" w:color="auto" w:fill="auto"/>
          </w:tcPr>
          <w:p w:rsidR="004A3868" w:rsidRDefault="004A3868">
            <w:pPr>
              <w:pStyle w:val="afff7"/>
            </w:pPr>
          </w:p>
        </w:tc>
        <w:tc>
          <w:tcPr>
            <w:tcW w:w="1540" w:type="dxa"/>
            <w:shd w:val="clear" w:color="auto" w:fill="auto"/>
            <w:vAlign w:val="center"/>
          </w:tcPr>
          <w:p w:rsidR="004A3868" w:rsidRDefault="003F1AB5">
            <w:pPr>
              <w:pStyle w:val="afff7"/>
            </w:pPr>
            <w:r>
              <w:t>3,002.14</w:t>
            </w:r>
          </w:p>
        </w:tc>
        <w:tc>
          <w:tcPr>
            <w:tcW w:w="1541" w:type="dxa"/>
            <w:shd w:val="clear" w:color="auto" w:fill="auto"/>
            <w:vAlign w:val="center"/>
          </w:tcPr>
          <w:p w:rsidR="004A3868" w:rsidRDefault="003F1AB5">
            <w:pPr>
              <w:pStyle w:val="afff7"/>
            </w:pPr>
            <w:r>
              <w:t>419.00</w:t>
            </w:r>
          </w:p>
        </w:tc>
        <w:tc>
          <w:tcPr>
            <w:tcW w:w="1541" w:type="dxa"/>
            <w:shd w:val="clear" w:color="auto" w:fill="auto"/>
            <w:vAlign w:val="center"/>
          </w:tcPr>
          <w:p w:rsidR="004A3868" w:rsidRDefault="003F1AB5">
            <w:pPr>
              <w:pStyle w:val="afff7"/>
            </w:pPr>
            <w:r>
              <w:t>1,224.47</w:t>
            </w:r>
          </w:p>
        </w:tc>
      </w:tr>
    </w:tbl>
    <w:p w:rsidR="004A3868" w:rsidRDefault="004A3868">
      <w:pPr>
        <w:pStyle w:val="Style580"/>
      </w:pPr>
    </w:p>
    <w:p w:rsidR="004A3868" w:rsidRDefault="003F1AB5">
      <w:pPr>
        <w:pStyle w:val="af1"/>
      </w:pPr>
      <w:r>
        <w:rPr>
          <w:rFonts w:hint="eastAsia"/>
        </w:rPr>
        <w:t>证券投资情况</w:t>
      </w:r>
    </w:p>
    <w:sdt>
      <w:sdtPr>
        <w:alias w:val="是否适用：证券投资情况[双击切换]"/>
        <w:tag w:val="_GBC_7d04680e71454924aa49897089c6ec88"/>
        <w:id w:val="-1144658763"/>
        <w:lock w:val="sdtLocked"/>
        <w:placeholder>
          <w:docPart w:val="GBC22222222222222222222222222222"/>
        </w:placeholder>
      </w:sdtPr>
      <w:sdtEndPr>
        <w:rPr>
          <w:rStyle w:val="afff2"/>
          <w:sz w:val="21"/>
        </w:rPr>
      </w:sdtEndPr>
      <w:sdtContent>
        <w:p w:rsidR="004A3868" w:rsidRDefault="003F1AB5">
          <w:pPr>
            <w:pStyle w:val="Style842"/>
            <w:rPr>
              <w:rStyle w:val="afff2"/>
            </w:rPr>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p w:rsidR="004A3868" w:rsidRDefault="003F1AB5">
      <w:pPr>
        <w:pStyle w:val="af1"/>
      </w:pPr>
      <w:bookmarkStart w:id="40" w:name="_Hlk40533881"/>
      <w:r>
        <w:rPr>
          <w:rFonts w:hint="eastAsia"/>
        </w:rPr>
        <w:t>证券投资情况的说明</w:t>
      </w:r>
    </w:p>
    <w:bookmarkEnd w:id="40" w:displacedByCustomXml="next"/>
    <w:bookmarkStart w:id="41" w:name="_Hlk151135120" w:displacedByCustomXml="next"/>
    <w:sdt>
      <w:sdtPr>
        <w:alias w:val="是否适用：证券投资情况的说明[双击切换]"/>
        <w:tag w:val="_GBC_846a2917c37545bbb004e11b14dfefbc"/>
        <w:id w:val="1773045479"/>
        <w:lock w:val="sdtLocked"/>
        <w:placeholder>
          <w:docPart w:val="GBC22222222222222222222222222222"/>
        </w:placeholder>
      </w:sdtPr>
      <w:sdtEndPr/>
      <w:sdtContent>
        <w:p w:rsidR="004A3868" w:rsidRDefault="003F1AB5">
          <w:pPr>
            <w:pStyle w:val="af1"/>
          </w:pPr>
          <w:r>
            <w:rPr>
              <w:rStyle w:val="afff2"/>
            </w:rPr>
            <w:fldChar w:fldCharType="begin"/>
          </w:r>
          <w:r>
            <w:rPr>
              <w:rStyle w:val="afff2"/>
            </w:rPr>
            <w:instrText xml:space="preserve"> MACROBUTTON  SnrToggleCheckbox □适用 </w:instrText>
          </w:r>
          <w:r>
            <w:rPr>
              <w:rStyle w:val="afff2"/>
            </w:rPr>
            <w:fldChar w:fldCharType="end"/>
          </w:r>
          <w:r>
            <w:fldChar w:fldCharType="begin"/>
          </w:r>
          <w:r>
            <w:instrText xml:space="preserve"> MACROBUTTON  SnrToggleCheckbox </w:instrText>
          </w:r>
          <w:r>
            <w:instrText>√</w:instrText>
          </w:r>
          <w:r>
            <w:instrText xml:space="preserve">不适用 </w:instrText>
          </w:r>
          <w:r>
            <w:fldChar w:fldCharType="end"/>
          </w:r>
        </w:p>
      </w:sdtContent>
    </w:sdt>
    <w:p w:rsidR="004A3868" w:rsidRDefault="003F1AB5">
      <w:pPr>
        <w:pStyle w:val="af1"/>
      </w:pPr>
      <w:r>
        <w:rPr>
          <w:rFonts w:hint="eastAsia"/>
        </w:rPr>
        <w:t>私募基金投资情况</w:t>
      </w:r>
    </w:p>
    <w:bookmarkEnd w:id="41" w:displacedByCustomXml="next"/>
    <w:bookmarkStart w:id="42" w:name="_Hlk40534809" w:displacedByCustomXml="next"/>
    <w:sdt>
      <w:sdtPr>
        <w:alias w:val="是否适用：私募基金投资情况[双击切换]"/>
        <w:tag w:val="_GBC_6e916a873a4e4af3a90d6fc81d187ac8"/>
        <w:id w:val="-1578207622"/>
        <w:lock w:val="sdtLocked"/>
        <w:placeholder>
          <w:docPart w:val="GBC22222222222222222222222222222"/>
        </w:placeholder>
      </w:sdtPr>
      <w:sdtEndPr>
        <w:rPr>
          <w:rStyle w:val="afff2"/>
          <w:sz w:val="21"/>
        </w:rPr>
      </w:sdtEndPr>
      <w:sdtContent>
        <w:p w:rsidR="004A3868" w:rsidRDefault="003F1AB5">
          <w:pPr>
            <w:pStyle w:val="Style842"/>
            <w:rPr>
              <w:rStyle w:val="afff2"/>
            </w:rPr>
          </w:pPr>
          <w:r>
            <w:rPr>
              <w:rStyle w:val="afff2"/>
            </w:rPr>
            <w:fldChar w:fldCharType="begin"/>
          </w:r>
          <w:r>
            <w:rPr>
              <w:rStyle w:val="afff2"/>
            </w:rPr>
            <w:instrText xml:space="preserve"> 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bookmarkEnd w:id="42"/>
    <w:p w:rsidR="004A3868" w:rsidRDefault="003F1AB5">
      <w:pPr>
        <w:pStyle w:val="af1"/>
      </w:pPr>
      <w:r>
        <w:rPr>
          <w:rFonts w:hint="eastAsia"/>
        </w:rPr>
        <w:t>衍生品投资情况</w:t>
      </w:r>
    </w:p>
    <w:sdt>
      <w:sdtPr>
        <w:rPr>
          <w:rFonts w:hint="eastAsia"/>
        </w:rPr>
        <w:alias w:val="是否适用：衍生品投资情况  [双击切换]"/>
        <w:tag w:val="_GBC_0155f13d04cb48bc8f6a2a16edfe26b3"/>
        <w:id w:val="2000460264"/>
        <w:placeholder>
          <w:docPart w:val="GBC22222222222222222222222222222"/>
        </w:placeholder>
      </w:sdtPr>
      <w:sdtEndPr/>
      <w:sdtContent>
        <w:p w:rsidR="004A3868" w:rsidRDefault="003F1AB5">
          <w:pPr>
            <w:pStyle w:val="af1"/>
          </w:pPr>
          <w:r>
            <w:fldChar w:fldCharType="begin"/>
          </w:r>
          <w:r>
            <w:instrText xml:space="preserve"> MACROBUTTON  SnrToggleCheckbox </w:instrText>
          </w:r>
          <w:r>
            <w:instrText>□</w:instrText>
          </w:r>
          <w:r>
            <w:instrText xml:space="preserve">适用 </w:instrText>
          </w:r>
          <w:r>
            <w:fldChar w:fldCharType="end"/>
          </w:r>
          <w:r>
            <w:fldChar w:fldCharType="begin"/>
          </w:r>
          <w:r>
            <w:instrText xml:space="preserve"> MACROBUTTON  SnrToggleCheckbox </w:instrText>
          </w:r>
          <w:r>
            <w:instrText>√</w:instrText>
          </w:r>
          <w:r>
            <w:instrText xml:space="preserve">不适用 </w:instrText>
          </w:r>
          <w:r>
            <w:fldChar w:fldCharType="end"/>
          </w:r>
        </w:p>
      </w:sdtContent>
    </w:sdt>
    <w:p w:rsidR="004A3868" w:rsidRDefault="004A3868">
      <w:pPr>
        <w:sectPr w:rsidR="004A3868">
          <w:pgSz w:w="16838" w:h="11906" w:orient="landscape"/>
          <w:pgMar w:top="1797" w:right="1525" w:bottom="1276" w:left="1440" w:header="855" w:footer="992" w:gutter="0"/>
          <w:cols w:space="425"/>
          <w:docGrid w:linePitch="312"/>
        </w:sectPr>
      </w:pPr>
      <w:bookmarkStart w:id="43" w:name="_Hlk155617745"/>
    </w:p>
    <w:p w:rsidR="004A3868" w:rsidRDefault="003F1AB5">
      <w:pPr>
        <w:pStyle w:val="Style829"/>
        <w:numPr>
          <w:ilvl w:val="0"/>
          <w:numId w:val="20"/>
        </w:numPr>
      </w:pPr>
      <w:r>
        <w:rPr>
          <w:rFonts w:hint="eastAsia"/>
        </w:rPr>
        <w:lastRenderedPageBreak/>
        <w:t>报告期内重大资产重组整合的具体进展情况</w:t>
      </w:r>
    </w:p>
    <w:bookmarkEnd w:id="43" w:displacedByCustomXml="next"/>
    <w:sdt>
      <w:sdtPr>
        <w:alias w:val="是否适用：报告期内重大资产重组整合的具体进展情况[双击切换]"/>
        <w:tag w:val="_GBC_c52695d1957b4fa89b0b7326da1f5a10"/>
        <w:id w:val="-1368899564"/>
        <w:lock w:val="sdtLocked"/>
        <w:placeholder>
          <w:docPart w:val="GBC22222222222222222222222222222"/>
        </w:placeholder>
      </w:sdtPr>
      <w:sdtEndPr>
        <w:rPr>
          <w:rStyle w:val="af2"/>
          <w:rFonts w:hAnsi="Courier New"/>
          <w:kern w:val="2"/>
          <w:sz w:val="21"/>
        </w:rPr>
      </w:sdtEndPr>
      <w:sdtContent>
        <w:p w:rsidR="004A3868" w:rsidRDefault="003F1AB5">
          <w:pPr>
            <w:pStyle w:val="Style580"/>
            <w:rPr>
              <w:rStyle w:val="af2"/>
            </w:rPr>
          </w:pPr>
          <w:r>
            <w:rPr>
              <w:rStyle w:val="af2"/>
            </w:rPr>
            <w:fldChar w:fldCharType="begin"/>
          </w:r>
          <w:r>
            <w:rPr>
              <w:rStyle w:val="af2"/>
            </w:rPr>
            <w:instrText xml:space="preserve"> 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p w:rsidR="004A3868" w:rsidRDefault="003F1AB5">
      <w:pPr>
        <w:pStyle w:val="Style810"/>
        <w:numPr>
          <w:ilvl w:val="0"/>
          <w:numId w:val="16"/>
        </w:numPr>
        <w:ind w:leftChars="0" w:firstLineChars="0"/>
      </w:pPr>
      <w:r>
        <w:rPr>
          <w:rFonts w:hint="eastAsia"/>
        </w:rPr>
        <w:t>重大资产和股权出售</w:t>
      </w:r>
    </w:p>
    <w:sdt>
      <w:sdtPr>
        <w:rPr>
          <w:rFonts w:hint="eastAsia"/>
          <w:highlight w:val="yellow"/>
        </w:rPr>
        <w:alias w:val="是否适用：重大资产和股权出售[双击切换]"/>
        <w:tag w:val="_GBC_949dc5a581604be69ba935fceadc4b1d"/>
        <w:id w:val="1662807599"/>
        <w:lock w:val="sdtLocked"/>
        <w:placeholder>
          <w:docPart w:val="GBC22222222222222222222222222222"/>
        </w:placeholder>
      </w:sdtPr>
      <w:sdtEndPr>
        <w:rPr>
          <w:rStyle w:val="af2"/>
          <w:rFonts w:hAnsi="Courier New"/>
          <w:kern w:val="2"/>
          <w:sz w:val="21"/>
        </w:rPr>
      </w:sdtEndPr>
      <w:sdtContent>
        <w:p w:rsidR="004A3868" w:rsidRDefault="003F1AB5">
          <w:pPr>
            <w:rPr>
              <w:rStyle w:val="af2"/>
              <w:highlight w:val="yellow"/>
            </w:rPr>
          </w:pPr>
          <w:r>
            <w:rPr>
              <w:rStyle w:val="af2"/>
            </w:rPr>
            <w:fldChar w:fldCharType="begin"/>
          </w:r>
          <w:r>
            <w:rPr>
              <w:rStyle w:val="af2"/>
            </w:rPr>
            <w:instrText xml:space="preserve"> 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p w:rsidR="004A3868" w:rsidRDefault="003F1AB5">
      <w:pPr>
        <w:pStyle w:val="Style810"/>
        <w:numPr>
          <w:ilvl w:val="0"/>
          <w:numId w:val="16"/>
        </w:numPr>
        <w:ind w:leftChars="0" w:firstLineChars="0"/>
      </w:pPr>
      <w:r>
        <w:rPr>
          <w:rFonts w:hint="eastAsia"/>
        </w:rPr>
        <w:t>主要控股参股公司分析</w:t>
      </w:r>
    </w:p>
    <w:sdt>
      <w:sdtPr>
        <w:rPr>
          <w:rFonts w:hint="eastAsia"/>
        </w:rPr>
        <w:alias w:val="是否适用：主要控股参股公司分析[双击切换]"/>
        <w:tag w:val="_GBC_aec86f2481734c53a2a2b022c83d4449"/>
        <w:id w:val="1367182157"/>
        <w:lock w:val="sdtLocked"/>
        <w:placeholder>
          <w:docPart w:val="GBC22222222222222222222222222222"/>
        </w:placeholder>
      </w:sdtPr>
      <w:sdtEndPr>
        <w:rPr>
          <w:rStyle w:val="af2"/>
          <w:rFonts w:hAnsi="Courier New"/>
          <w:kern w:val="2"/>
          <w:sz w:val="21"/>
        </w:rPr>
      </w:sdtEndPr>
      <w:sdtContent>
        <w:p w:rsidR="004A3868" w:rsidRDefault="003F1AB5">
          <w:pPr>
            <w:pStyle w:val="Style842"/>
            <w:rPr>
              <w:rStyle w:val="af2"/>
            </w:rPr>
          </w:pPr>
          <w:r>
            <w:rPr>
              <w:rStyle w:val="af2"/>
            </w:rPr>
            <w:fldChar w:fldCharType="begin"/>
          </w:r>
          <w:r>
            <w:rPr>
              <w:rStyle w:val="af2"/>
            </w:rPr>
            <w:instrText xml:space="preserve"> 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sdt>
      <w:sdtPr>
        <w:rPr>
          <w:rFonts w:hint="eastAsia"/>
        </w:rPr>
        <w:alias w:val="主要子公司、参股公司分析"/>
        <w:tag w:val="_GBC_7bf13fe6d2e94f23a67acf0193f14a86"/>
        <w:id w:val="1963078960"/>
        <w:lock w:val="sdtLocked"/>
      </w:sdtPr>
      <w:sdtEndPr/>
      <w:sdtContent>
        <w:p w:rsidR="004A3868" w:rsidRDefault="004A3868">
          <w:pPr>
            <w:pStyle w:val="Style842"/>
          </w:pPr>
        </w:p>
        <w:tbl>
          <w:tblPr>
            <w:tblStyle w:val="g25"/>
            <w:tblW w:w="5000" w:type="pct"/>
            <w:jc w:val="center"/>
            <w:tblInd w:w="0" w:type="dxa"/>
            <w:tblLayout w:type="fixed"/>
            <w:tblCellMar>
              <w:right w:w="28" w:type="dxa"/>
            </w:tblCellMar>
            <w:tblLook w:val="04A0" w:firstRow="1" w:lastRow="0" w:firstColumn="1" w:lastColumn="0" w:noHBand="0" w:noVBand="1"/>
          </w:tblPr>
          <w:tblGrid>
            <w:gridCol w:w="1260"/>
            <w:gridCol w:w="1260"/>
            <w:gridCol w:w="1260"/>
            <w:gridCol w:w="1260"/>
            <w:gridCol w:w="1261"/>
            <w:gridCol w:w="1261"/>
            <w:gridCol w:w="1261"/>
          </w:tblGrid>
          <w:tr w:rsidR="004A3868">
            <w:trPr>
              <w:trHeight w:val="397"/>
              <w:jc w:val="center"/>
            </w:trPr>
            <w:tc>
              <w:tcPr>
                <w:tcW w:w="1260" w:type="dxa"/>
                <w:vAlign w:val="center"/>
              </w:tcPr>
              <w:p w:rsidR="004A3868" w:rsidRDefault="003F1AB5">
                <w:pPr>
                  <w:pStyle w:val="afffb"/>
                </w:pPr>
                <w:r>
                  <w:t>公司名称</w:t>
                </w:r>
              </w:p>
            </w:tc>
            <w:tc>
              <w:tcPr>
                <w:tcW w:w="1260" w:type="dxa"/>
                <w:vAlign w:val="center"/>
              </w:tcPr>
              <w:p w:rsidR="004A3868" w:rsidRDefault="003F1AB5">
                <w:pPr>
                  <w:pStyle w:val="afffb"/>
                </w:pPr>
                <w:r>
                  <w:t>所属行业</w:t>
                </w:r>
              </w:p>
            </w:tc>
            <w:tc>
              <w:tcPr>
                <w:tcW w:w="1260" w:type="dxa"/>
                <w:vAlign w:val="center"/>
              </w:tcPr>
              <w:p w:rsidR="004A3868" w:rsidRDefault="003F1AB5">
                <w:pPr>
                  <w:pStyle w:val="afffb"/>
                </w:pPr>
                <w:r>
                  <w:t>注册资本（万元）</w:t>
                </w:r>
              </w:p>
            </w:tc>
            <w:tc>
              <w:tcPr>
                <w:tcW w:w="1260" w:type="dxa"/>
                <w:vAlign w:val="center"/>
              </w:tcPr>
              <w:p w:rsidR="004A3868" w:rsidRDefault="003F1AB5">
                <w:pPr>
                  <w:pStyle w:val="afffb"/>
                </w:pPr>
                <w:r>
                  <w:t>总资产（万元）</w:t>
                </w:r>
              </w:p>
            </w:tc>
            <w:tc>
              <w:tcPr>
                <w:tcW w:w="1261" w:type="dxa"/>
                <w:vAlign w:val="center"/>
              </w:tcPr>
              <w:p w:rsidR="004A3868" w:rsidRDefault="003F1AB5">
                <w:pPr>
                  <w:pStyle w:val="afffb"/>
                </w:pPr>
                <w:r>
                  <w:t>净资产（万元）</w:t>
                </w:r>
              </w:p>
            </w:tc>
            <w:tc>
              <w:tcPr>
                <w:tcW w:w="1261" w:type="dxa"/>
                <w:vAlign w:val="center"/>
              </w:tcPr>
              <w:p w:rsidR="004A3868" w:rsidRDefault="003F1AB5">
                <w:pPr>
                  <w:pStyle w:val="afffb"/>
                </w:pPr>
                <w:r>
                  <w:t>营业收入（万元）</w:t>
                </w:r>
              </w:p>
            </w:tc>
            <w:tc>
              <w:tcPr>
                <w:tcW w:w="1261" w:type="dxa"/>
                <w:vAlign w:val="center"/>
              </w:tcPr>
              <w:p w:rsidR="004A3868" w:rsidRDefault="003F1AB5">
                <w:pPr>
                  <w:pStyle w:val="afffb"/>
                </w:pPr>
                <w:r>
                  <w:t>净利润（万元）</w:t>
                </w:r>
              </w:p>
            </w:tc>
          </w:tr>
          <w:tr w:rsidR="004A3868">
            <w:trPr>
              <w:trHeight w:val="397"/>
              <w:jc w:val="center"/>
            </w:trPr>
            <w:tc>
              <w:tcPr>
                <w:tcW w:w="1260" w:type="dxa"/>
                <w:vAlign w:val="center"/>
              </w:tcPr>
              <w:p w:rsidR="004A3868" w:rsidRDefault="003F1AB5">
                <w:pPr>
                  <w:pStyle w:val="afff9"/>
                </w:pPr>
                <w:r>
                  <w:t>能投售电</w:t>
                </w:r>
              </w:p>
            </w:tc>
            <w:tc>
              <w:tcPr>
                <w:tcW w:w="1260" w:type="dxa"/>
                <w:vAlign w:val="center"/>
              </w:tcPr>
              <w:p w:rsidR="004A3868" w:rsidRDefault="003F1AB5">
                <w:pPr>
                  <w:pStyle w:val="afff9"/>
                </w:pPr>
                <w:r>
                  <w:t>服务业</w:t>
                </w:r>
              </w:p>
            </w:tc>
            <w:tc>
              <w:tcPr>
                <w:tcW w:w="1260" w:type="dxa"/>
                <w:vAlign w:val="center"/>
              </w:tcPr>
              <w:p w:rsidR="004A3868" w:rsidRDefault="003F1AB5">
                <w:pPr>
                  <w:pStyle w:val="afff7"/>
                </w:pPr>
                <w:r>
                  <w:t>5,000.00</w:t>
                </w:r>
              </w:p>
            </w:tc>
            <w:tc>
              <w:tcPr>
                <w:tcW w:w="1260" w:type="dxa"/>
                <w:vAlign w:val="center"/>
              </w:tcPr>
              <w:p w:rsidR="004A3868" w:rsidRDefault="003F1AB5">
                <w:pPr>
                  <w:pStyle w:val="afff7"/>
                </w:pPr>
                <w:r>
                  <w:t>5,778.19</w:t>
                </w:r>
              </w:p>
            </w:tc>
            <w:tc>
              <w:tcPr>
                <w:tcW w:w="1261" w:type="dxa"/>
                <w:vAlign w:val="center"/>
              </w:tcPr>
              <w:p w:rsidR="004A3868" w:rsidRDefault="003F1AB5">
                <w:pPr>
                  <w:pStyle w:val="afff7"/>
                </w:pPr>
                <w:r>
                  <w:t>5,178.22</w:t>
                </w:r>
              </w:p>
            </w:tc>
            <w:tc>
              <w:tcPr>
                <w:tcW w:w="1261" w:type="dxa"/>
                <w:vAlign w:val="center"/>
              </w:tcPr>
              <w:p w:rsidR="004A3868" w:rsidRDefault="003F1AB5">
                <w:pPr>
                  <w:pStyle w:val="afff7"/>
                </w:pPr>
                <w:r>
                  <w:t>2,780.44</w:t>
                </w:r>
              </w:p>
            </w:tc>
            <w:tc>
              <w:tcPr>
                <w:tcW w:w="1261" w:type="dxa"/>
                <w:vAlign w:val="center"/>
              </w:tcPr>
              <w:p w:rsidR="004A3868" w:rsidRDefault="003F1AB5">
                <w:pPr>
                  <w:pStyle w:val="afff7"/>
                </w:pPr>
                <w:r>
                  <w:t>107.90</w:t>
                </w:r>
              </w:p>
            </w:tc>
          </w:tr>
        </w:tbl>
        <w:p w:rsidR="004A3868" w:rsidRDefault="00B34370">
          <w:pPr>
            <w:pStyle w:val="Style580"/>
          </w:pPr>
        </w:p>
      </w:sdtContent>
    </w:sdt>
    <w:p w:rsidR="004A3868" w:rsidRDefault="003F1AB5">
      <w:pPr>
        <w:pStyle w:val="Style810"/>
        <w:numPr>
          <w:ilvl w:val="0"/>
          <w:numId w:val="16"/>
        </w:numPr>
        <w:ind w:leftChars="0" w:firstLineChars="0"/>
      </w:pPr>
      <w:r>
        <w:t>公司控制的</w:t>
      </w:r>
      <w:r>
        <w:rPr>
          <w:rFonts w:hint="eastAsia"/>
        </w:rPr>
        <w:t>结构化</w:t>
      </w:r>
      <w:r>
        <w:t>主体情况</w:t>
      </w:r>
    </w:p>
    <w:sdt>
      <w:sdtPr>
        <w:rPr>
          <w:rFonts w:hint="eastAsia"/>
          <w:highlight w:val="yellow"/>
        </w:rPr>
        <w:alias w:val="是否适用：公司控制的结构化主体情况[双击切换]"/>
        <w:tag w:val="_GBC_844e5a5ece8c488e933f7fbfd0650339"/>
        <w:id w:val="-703092336"/>
        <w:lock w:val="sdtLocked"/>
        <w:placeholder>
          <w:docPart w:val="GBC22222222222222222222222222222"/>
        </w:placeholder>
      </w:sdtPr>
      <w:sdtEndPr>
        <w:rPr>
          <w:rStyle w:val="af2"/>
          <w:rFonts w:hAnsi="Courier New"/>
          <w:kern w:val="2"/>
          <w:sz w:val="21"/>
        </w:rPr>
      </w:sdtEndPr>
      <w:sdtContent>
        <w:p w:rsidR="004A3868" w:rsidRDefault="003F1AB5">
          <w:pPr>
            <w:pStyle w:val="Style811"/>
            <w:rPr>
              <w:rStyle w:val="af2"/>
            </w:rPr>
          </w:pPr>
          <w:r>
            <w:rPr>
              <w:rStyle w:val="af2"/>
            </w:rPr>
            <w:fldChar w:fldCharType="begin"/>
          </w:r>
          <w:r>
            <w:rPr>
              <w:rStyle w:val="af2"/>
            </w:rPr>
            <w:instrText xml:space="preserve"> MACROBUTTON  SnrToggleCheckbox </w:instrText>
          </w:r>
          <w:r>
            <w:rPr>
              <w:rStyle w:val="af2"/>
            </w:rPr>
            <w:instrText>□</w:instrText>
          </w:r>
          <w:r>
            <w:rPr>
              <w:rStyle w:val="af2"/>
            </w:rPr>
            <w:instrText xml:space="preserve">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p w:rsidR="004A3868" w:rsidRDefault="003F1AB5">
      <w:pPr>
        <w:pStyle w:val="2"/>
      </w:pPr>
      <w:r>
        <w:rPr>
          <w:rFonts w:hint="eastAsia"/>
        </w:rPr>
        <w:t>公司</w:t>
      </w:r>
      <w:r>
        <w:t>关于公司未来发展的讨论与分析</w:t>
      </w:r>
    </w:p>
    <w:p w:rsidR="004A3868" w:rsidRDefault="003F1AB5">
      <w:pPr>
        <w:pStyle w:val="Style127"/>
      </w:pPr>
      <w:r>
        <w:t>行业格局和趋势</w:t>
      </w:r>
    </w:p>
    <w:sdt>
      <w:sdtPr>
        <w:rPr>
          <w:rFonts w:hint="eastAsia"/>
        </w:rPr>
        <w:alias w:val="是否适用：行业格局和趋势[双击切换]"/>
        <w:tag w:val="_GBC_da53e2a4423f4116b5d03ba76b630af9"/>
        <w:id w:val="1358700633"/>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行业竞争格局和发展趋势"/>
        <w:tag w:val="_GBC_c38788dc300c4c4592543c5db64e9308"/>
        <w:id w:val="1389459456"/>
        <w:placeholder>
          <w:docPart w:val="GBC22222222222222222222222222222"/>
        </w:placeholder>
      </w:sdtPr>
      <w:sdtEndPr/>
      <w:sdtContent>
        <w:p w:rsidR="004A3868" w:rsidRDefault="003F1AB5">
          <w:pPr>
            <w:pStyle w:val="afff1"/>
            <w:ind w:firstLine="420"/>
            <w:rPr>
              <w:szCs w:val="21"/>
            </w:rPr>
          </w:pPr>
          <w:r>
            <w:rPr>
              <w:rFonts w:hint="eastAsia"/>
              <w:szCs w:val="21"/>
            </w:rPr>
            <w:t>2023年我国硅钢市场整体在产量增长中伴随着价格震荡下行，在结构优化中增强国际市场潜能。这一年，中国硅钢继续肩负国家电力建设、绿色产业链及低碳社会构建的产业使命，为我国经济建设做出了应有的贡献，为我国经济结构转型高质量发展强化着产业支点。这一年，中国硅钢深度融入国内国外双循环经济格局，积极出海，在海外市场展示着高端硅钢的竞争力与中国制造的效能。</w:t>
          </w:r>
        </w:p>
        <w:p w:rsidR="004A3868" w:rsidRDefault="003F1AB5">
          <w:pPr>
            <w:pStyle w:val="afff1"/>
            <w:ind w:firstLine="420"/>
            <w:outlineLvl w:val="3"/>
            <w:rPr>
              <w:szCs w:val="21"/>
            </w:rPr>
          </w:pPr>
          <w:r>
            <w:rPr>
              <w:szCs w:val="21"/>
            </w:rPr>
            <w:t>1</w:t>
          </w:r>
          <w:r>
            <w:rPr>
              <w:rFonts w:hint="eastAsia"/>
              <w:szCs w:val="21"/>
            </w:rPr>
            <w:t>、电力行业的各项政策的出台，直接拉动取向硅钢及输配电力及控制设备的需求</w:t>
          </w:r>
        </w:p>
        <w:p w:rsidR="004A3868" w:rsidRDefault="003F1AB5">
          <w:pPr>
            <w:pStyle w:val="afff1"/>
            <w:ind w:firstLine="420"/>
            <w:rPr>
              <w:szCs w:val="21"/>
            </w:rPr>
          </w:pPr>
          <w:r>
            <w:rPr>
              <w:rFonts w:hint="eastAsia"/>
              <w:szCs w:val="21"/>
            </w:rPr>
            <w:t>（1）公司输配电及控制设备行业的发展与国家宏观经济、电工电器行业的发展息息相关。近年来随着国家“双碳”政策和《变压器能效提升计划（</w:t>
          </w:r>
          <w:r>
            <w:rPr>
              <w:szCs w:val="21"/>
            </w:rPr>
            <w:t>2021—2023年）》的政策发布，输配电及控制设备行业相关产品，特别是节能变压器的需求增长明显。</w:t>
          </w:r>
        </w:p>
        <w:p w:rsidR="004A3868" w:rsidRDefault="003F1AB5">
          <w:pPr>
            <w:pStyle w:val="afff1"/>
            <w:ind w:firstLine="420"/>
            <w:rPr>
              <w:szCs w:val="21"/>
            </w:rPr>
          </w:pPr>
          <w:r>
            <w:rPr>
              <w:rFonts w:hint="eastAsia"/>
              <w:szCs w:val="21"/>
            </w:rPr>
            <w:t>（2）</w:t>
          </w:r>
          <w:r>
            <w:rPr>
              <w:szCs w:val="21"/>
            </w:rPr>
            <w:t>2023年6月，国家电网有限公司印发《绿色采购指南》（以下简称“指南”），发挥供应链“链主”作用，大力推广环境保护、资源节约、安全健康、循环低碳、回收促进，推动实施绿色采购，以高度的政治责任感和历史使命感积极履行社会责任。指南提出，要加强绿色采购顶层设计、深化绿色采购需求牵引、推进绿色采购全面落地、强化供应链全环节应用驱动，促进了电力设备行业的绿色发展，给绿色电力设备供应商提供了更多的发展空间。</w:t>
          </w:r>
        </w:p>
        <w:p w:rsidR="004A3868" w:rsidRDefault="003F1AB5">
          <w:pPr>
            <w:pStyle w:val="afff1"/>
            <w:ind w:firstLine="420"/>
            <w:rPr>
              <w:szCs w:val="21"/>
            </w:rPr>
          </w:pPr>
          <w:r>
            <w:rPr>
              <w:rFonts w:hint="eastAsia"/>
              <w:szCs w:val="21"/>
            </w:rPr>
            <w:t>（3）</w:t>
          </w:r>
          <w:r>
            <w:rPr>
              <w:szCs w:val="21"/>
            </w:rPr>
            <w:t>2023年7月，中央深改委会议审议通过《关于深化电力体制改革加快构建新型电力系统的指导意见》，强调要深化电力体制改革，加快构建清洁低碳、安全充裕、经济高效、供需协同、灵活智能的新型电力系统，更好推动能源生产和消费革命，保障国家能源安全，进一步加强</w:t>
          </w:r>
          <w:r>
            <w:rPr>
              <w:szCs w:val="21"/>
            </w:rPr>
            <w:lastRenderedPageBreak/>
            <w:t>了节能电力设备的市场需求。</w:t>
          </w:r>
        </w:p>
        <w:p w:rsidR="004A3868" w:rsidRDefault="003F1AB5">
          <w:pPr>
            <w:pStyle w:val="afff1"/>
            <w:ind w:firstLine="420"/>
            <w:rPr>
              <w:szCs w:val="21"/>
            </w:rPr>
          </w:pPr>
          <w:r>
            <w:rPr>
              <w:rFonts w:hint="eastAsia"/>
              <w:szCs w:val="21"/>
            </w:rPr>
            <w:t>（4）</w:t>
          </w:r>
          <w:r>
            <w:rPr>
              <w:szCs w:val="21"/>
            </w:rPr>
            <w:t>2023年7月，国家发改委、国家能源局、国家乡村振兴局发布《关于实施农村电网巩固提升工程的指导意见》（以下简称《意见》）指出，到2025年农村电网网架结构更加坚强，装备水平不断提升，数字化、智能化发展初见成效；到2035年基本建成安全可靠、智能开放的现代化农村电网，农村地区电力供应保障能力全面提升，城乡电力服务基本实现均等化，全面承载分布式可再生能源开发利用和就地消纳，将刺激输配电设备的需求。</w:t>
          </w:r>
        </w:p>
        <w:p w:rsidR="004A3868" w:rsidRDefault="003F1AB5">
          <w:pPr>
            <w:pStyle w:val="afff1"/>
            <w:ind w:firstLine="420"/>
            <w:rPr>
              <w:szCs w:val="21"/>
            </w:rPr>
          </w:pPr>
          <w:r>
            <w:rPr>
              <w:rFonts w:hint="eastAsia"/>
              <w:szCs w:val="21"/>
            </w:rPr>
            <w:t>（5）</w:t>
          </w:r>
          <w:r>
            <w:rPr>
              <w:szCs w:val="21"/>
            </w:rPr>
            <w:t>2023年8月，工业和信息化部关于印发电力装备行业稳增长工作方案（2023-2024年）的通知（工信部重装〔2023〕119号）（以下简称“工作方案”）。根据工作方案，为发挥电力装备行业带动作用，同时考虑目标可实现性，通过实施一系列工作举措，稳定电力装备行业增长，力争2023-2024年电力装备行业主营业务收入年均增速达9%以上，工业增加值年均增速9%左右。</w:t>
          </w:r>
        </w:p>
        <w:p w:rsidR="004A3868" w:rsidRDefault="003F1AB5">
          <w:pPr>
            <w:pStyle w:val="afff1"/>
            <w:ind w:firstLine="420"/>
            <w:rPr>
              <w:szCs w:val="21"/>
            </w:rPr>
          </w:pPr>
          <w:r>
            <w:rPr>
              <w:rFonts w:hint="eastAsia"/>
              <w:szCs w:val="21"/>
            </w:rPr>
            <w:t>（6）</w:t>
          </w:r>
          <w:r>
            <w:rPr>
              <w:szCs w:val="21"/>
            </w:rPr>
            <w:t>2023年，国家发改委、能源局等部门先后发布了《关于统筹节能降碳和回收利用加快重点领域产品设备更新改造的指导意见》《电力变压器更新改造和回收利用实施指南》《关于加快推进能源数字化智能化发展的若干意见》《新型电力系统发展蓝皮书》等系列政策措施，提出要持续提升高效节能电力变压器供给能力，有序实施在运电力变压器节能降碳改造，逐步淘汰低效落后电力变压器，到 2025 年，在运能效达到节能水平（能效 2 级）及以上的高效节能电力变压器占比较 2021 年提高超过 10 个百分点，当年新增高效节能电力变压器占比达到80%以上。</w:t>
          </w:r>
        </w:p>
        <w:p w:rsidR="004A3868" w:rsidRDefault="003F1AB5">
          <w:pPr>
            <w:pStyle w:val="afff1"/>
            <w:ind w:firstLine="420"/>
            <w:rPr>
              <w:szCs w:val="21"/>
            </w:rPr>
          </w:pPr>
          <w:r>
            <w:rPr>
              <w:rFonts w:hint="eastAsia"/>
              <w:szCs w:val="21"/>
            </w:rPr>
            <w:t>（7）</w:t>
          </w:r>
          <w:r>
            <w:rPr>
              <w:szCs w:val="21"/>
            </w:rPr>
            <w:t>2024年2月6日，国家发展改革委、国家能源局发布《关于新形势下配电网高质量发展的指导意见》中明确配电网的发展目标是围绕建设新型能源体系和新型电力系统的总目标，打造安全高效、清洁低碳、柔性灵活、智慧融合的新型配电系统，在增强保供能力的基础上，推动配电网在形态上从传统的“无源”单向辐射网络向“有源”双向交互系统转变，在功能上从单一供配电服务主体向源网荷储资源高效配置平台转变。</w:t>
          </w:r>
        </w:p>
        <w:p w:rsidR="004A3868" w:rsidRDefault="003F1AB5">
          <w:pPr>
            <w:pStyle w:val="afff1"/>
            <w:ind w:firstLine="420"/>
            <w:rPr>
              <w:szCs w:val="21"/>
            </w:rPr>
          </w:pPr>
          <w:r>
            <w:rPr>
              <w:rFonts w:hint="eastAsia"/>
              <w:szCs w:val="21"/>
            </w:rPr>
            <w:t>到</w:t>
          </w:r>
          <w:r>
            <w:rPr>
              <w:szCs w:val="21"/>
            </w:rPr>
            <w:t>2025年，配电网网架结构更加坚强清晰，供配电能力合理充裕；配电网承载力和灵活性显著提升，具备5亿千瓦左右分布式新能源、1200万台左右充电桩接入能力；有源配电网与大电网兼容并蓄，配电网数字化转型全面推进，开放共享系统逐步形成，支撑多元创新发展；智慧调控运行体系加快升级，在具备条件地区推广车网协调互动和构网型新能源、构网型储能等新技术；电网企业全面淘汰 S7(含 S8)型和运行年限超 25 年且能效达不到准入水平的配电变压器，全社会在运能效节能水平及以上电力变压器占比较 2021 年提高超过 10 个百分点。</w:t>
          </w:r>
        </w:p>
        <w:p w:rsidR="004A3868" w:rsidRDefault="003F1AB5">
          <w:pPr>
            <w:pStyle w:val="afff1"/>
            <w:ind w:firstLine="420"/>
            <w:rPr>
              <w:szCs w:val="21"/>
            </w:rPr>
          </w:pPr>
          <w:r>
            <w:rPr>
              <w:rFonts w:hint="eastAsia"/>
              <w:szCs w:val="21"/>
            </w:rPr>
            <w:t>到</w:t>
          </w:r>
          <w:r>
            <w:rPr>
              <w:szCs w:val="21"/>
            </w:rPr>
            <w:t>2030年，基本完成配电网柔性化、智能化、数字化转型，实现主配微网多级协同、海量资源聚合互动、多元用户即插即用，有效促进分布式智能电网与大电网融合发展，较好满足分布式电源、新型储能及各类新业态发展需求，为建成覆盖广泛、规模适度、结构合理、功能完善的高质量充电基础设施体系提供有力支撑，以高水平电气化推动实现非化石能源消费目标。</w:t>
          </w:r>
        </w:p>
        <w:p w:rsidR="004A3868" w:rsidRDefault="003F1AB5">
          <w:pPr>
            <w:pStyle w:val="afff1"/>
            <w:ind w:firstLine="420"/>
            <w:rPr>
              <w:szCs w:val="21"/>
            </w:rPr>
          </w:pPr>
          <w:r>
            <w:rPr>
              <w:rFonts w:hint="eastAsia"/>
              <w:szCs w:val="21"/>
            </w:rPr>
            <w:lastRenderedPageBreak/>
            <w:t>（8）根据国家能源局、统计局数据，</w:t>
          </w:r>
          <w:r>
            <w:rPr>
              <w:szCs w:val="21"/>
            </w:rPr>
            <w:t>2023 年，全国主要发电企业电源工程完成投资 9,675 亿元，同比增长 30.1%；电网工程完成投资 5,275 亿元，同比增长 5.4%。中国电力企业联合会发布的《2023-2024 年度全国电力供需形势分析预测报告》指出，2023 年我国新增 220 千伏及以上输电线路长度 3.81 万千米；新增 220 千伏及以上变电设备容量（交流）2.57 亿千伏安；截至 2023 年底，全国全口径发电装机容量约 29.2 亿千瓦，同比增长 13.9%。</w:t>
          </w:r>
        </w:p>
        <w:p w:rsidR="004A3868" w:rsidRDefault="003F1AB5">
          <w:pPr>
            <w:pStyle w:val="afff1"/>
            <w:ind w:firstLine="420"/>
            <w:rPr>
              <w:szCs w:val="21"/>
            </w:rPr>
          </w:pPr>
          <w:r>
            <w:rPr>
              <w:rFonts w:hint="eastAsia"/>
              <w:szCs w:val="21"/>
            </w:rPr>
            <w:t>随着各项政策逐步落地，新型电网体系建设的加速推进，为智能配网自动化系统、智能变电自动化系统、用电信息采集系统及终端、高低压费控系统、智能电能表、高低压开关及成套设备等产品提供了广阔的市场空间，成为输配电设备行业发展的主要动力。</w:t>
          </w:r>
        </w:p>
        <w:p w:rsidR="004A3868" w:rsidRDefault="003F1AB5">
          <w:pPr>
            <w:pStyle w:val="afff1"/>
            <w:ind w:firstLine="420"/>
            <w:outlineLvl w:val="3"/>
            <w:rPr>
              <w:szCs w:val="21"/>
            </w:rPr>
          </w:pPr>
          <w:r>
            <w:rPr>
              <w:szCs w:val="21"/>
            </w:rPr>
            <w:t>2</w:t>
          </w:r>
          <w:r>
            <w:rPr>
              <w:rFonts w:hint="eastAsia"/>
              <w:szCs w:val="21"/>
            </w:rPr>
            <w:t>、输配电及控制设备主要应用于国家电网及各省市电网公司、发电企业、汽车制造、冶金化工、轨道交通等领域，下游行业的发展直接决定输配电及控制设备制造业的发展</w:t>
          </w:r>
        </w:p>
        <w:p w:rsidR="004A3868" w:rsidRDefault="003F1AB5">
          <w:pPr>
            <w:pStyle w:val="afff1"/>
            <w:ind w:firstLine="420"/>
            <w:rPr>
              <w:szCs w:val="21"/>
            </w:rPr>
          </w:pPr>
          <w:r>
            <w:rPr>
              <w:rFonts w:hint="eastAsia"/>
              <w:szCs w:val="21"/>
            </w:rPr>
            <w:t>随着“双碳”政策的进一步开展，以及光伏、储能等的迅猛发展，推动了输配电及控制设备行业技术的改造升级，电力市场绿色低碳、安全可控、智慧灵活、数字赋能、经济高效趋势显著。输配电及控制设备行业科技的发展也将向国际上现代化输配电及控制设备技术发展前沿进一步靠拢。伴随智能电网建设、电力设施升级换代及新能源为主体的新型电力系统建设，对高安全性、可靠性及智能化、信息化、模块化的输配电及控制设备行业市场需求将大幅提升。</w:t>
          </w:r>
        </w:p>
        <w:p w:rsidR="004A3868" w:rsidRDefault="003F1AB5">
          <w:pPr>
            <w:pStyle w:val="afff1"/>
            <w:ind w:firstLine="420"/>
            <w:outlineLvl w:val="3"/>
            <w:rPr>
              <w:szCs w:val="21"/>
            </w:rPr>
          </w:pPr>
          <w:r>
            <w:rPr>
              <w:szCs w:val="21"/>
            </w:rPr>
            <w:t>3</w:t>
          </w:r>
          <w:r>
            <w:rPr>
              <w:rFonts w:hint="eastAsia"/>
              <w:szCs w:val="21"/>
            </w:rPr>
            <w:t>、取向硅钢，作为重要的电磁功能材料，在发电、输电及用电环节有着举足轻重的作用</w:t>
          </w:r>
        </w:p>
        <w:p w:rsidR="004A3868" w:rsidRDefault="003F1AB5">
          <w:pPr>
            <w:pStyle w:val="afff1"/>
            <w:ind w:firstLine="420"/>
            <w:rPr>
              <w:szCs w:val="21"/>
            </w:rPr>
          </w:pPr>
          <w:r>
            <w:rPr>
              <w:rFonts w:hint="eastAsia"/>
              <w:szCs w:val="21"/>
            </w:rPr>
            <w:t>正如中国金属学会电工钢分会主任委员刘宝军在第十五</w:t>
          </w:r>
          <w:r>
            <w:rPr>
              <w:szCs w:val="21"/>
            </w:rPr>
            <w:t>届中国电工钢学术年会的交流发</w:t>
          </w:r>
          <w:r>
            <w:rPr>
              <w:rFonts w:hint="eastAsia"/>
              <w:szCs w:val="21"/>
            </w:rPr>
            <w:t>言中所说：硅钢行业要提高政治站位，勇担使命，珍惜国家能源战略为行业发展带来的机遇；立足长远，牢固树立创新驱动发展的理念，共同维护健康的行业秩序，共同推进中国硅钢高质量发展。</w:t>
          </w:r>
        </w:p>
        <w:p w:rsidR="004A3868" w:rsidRDefault="003F1AB5">
          <w:pPr>
            <w:pStyle w:val="afff1"/>
            <w:ind w:firstLine="420"/>
            <w:outlineLvl w:val="3"/>
            <w:rPr>
              <w:szCs w:val="21"/>
            </w:rPr>
          </w:pPr>
          <w:r>
            <w:rPr>
              <w:szCs w:val="21"/>
            </w:rPr>
            <w:t>4</w:t>
          </w:r>
          <w:r>
            <w:rPr>
              <w:rFonts w:hint="eastAsia"/>
              <w:szCs w:val="21"/>
            </w:rPr>
            <w:t>、</w:t>
          </w:r>
          <w:r>
            <w:rPr>
              <w:szCs w:val="21"/>
            </w:rPr>
            <w:t>国内取向硅钢供给较为集中，</w:t>
          </w:r>
          <w:r>
            <w:rPr>
              <w:rFonts w:hint="eastAsia"/>
              <w:szCs w:val="21"/>
            </w:rPr>
            <w:t>民营企业占比逐年提升</w:t>
          </w:r>
        </w:p>
        <w:p w:rsidR="004A3868" w:rsidRDefault="003F1AB5">
          <w:pPr>
            <w:pStyle w:val="afff1"/>
            <w:ind w:firstLine="420"/>
            <w:rPr>
              <w:szCs w:val="21"/>
            </w:rPr>
          </w:pPr>
          <w:r>
            <w:rPr>
              <w:rFonts w:hint="eastAsia"/>
              <w:szCs w:val="21"/>
            </w:rPr>
            <w:t>根据《</w:t>
          </w:r>
          <w:r>
            <w:rPr>
              <w:szCs w:val="21"/>
            </w:rPr>
            <w:t>2023年中国电工钢产业发展报告》，2023年取向在产企业数量27家（按生产法人口径），环比增加3家，其中18家产量上升</w:t>
          </w:r>
          <w:r>
            <w:rPr>
              <w:rFonts w:hint="eastAsia"/>
              <w:szCs w:val="21"/>
            </w:rPr>
            <w:t>，其中国有取向硅钢厂企业4家，产量占比5</w:t>
          </w:r>
          <w:r>
            <w:rPr>
              <w:szCs w:val="21"/>
            </w:rPr>
            <w:t>6%</w:t>
          </w:r>
          <w:r>
            <w:rPr>
              <w:rFonts w:hint="eastAsia"/>
              <w:szCs w:val="21"/>
            </w:rPr>
            <w:t>；</w:t>
          </w:r>
          <w:r>
            <w:rPr>
              <w:szCs w:val="21"/>
            </w:rPr>
            <w:t>民营取向硅钢厂</w:t>
          </w:r>
          <w:r>
            <w:rPr>
              <w:rFonts w:hint="eastAsia"/>
              <w:szCs w:val="21"/>
            </w:rPr>
            <w:t>2</w:t>
          </w:r>
          <w:r>
            <w:rPr>
              <w:szCs w:val="21"/>
            </w:rPr>
            <w:t>3</w:t>
          </w:r>
          <w:r>
            <w:rPr>
              <w:rFonts w:hint="eastAsia"/>
              <w:szCs w:val="21"/>
            </w:rPr>
            <w:t>家，</w:t>
          </w:r>
          <w:r>
            <w:rPr>
              <w:szCs w:val="21"/>
            </w:rPr>
            <w:t>产量占比44%，同比提升3</w:t>
          </w:r>
          <w:r>
            <w:rPr>
              <w:rFonts w:hint="eastAsia"/>
              <w:szCs w:val="21"/>
            </w:rPr>
            <w:t>个</w:t>
          </w:r>
          <w:r>
            <w:rPr>
              <w:szCs w:val="21"/>
            </w:rPr>
            <w:t>百分点</w:t>
          </w:r>
          <w:r>
            <w:rPr>
              <w:rFonts w:hint="eastAsia"/>
              <w:szCs w:val="21"/>
            </w:rPr>
            <w:t>。公司取向硅钢产量排名全国第三，民营企业第一，随着民营企业的占比提升，公司的竞争优势进一步凸显。</w:t>
          </w:r>
        </w:p>
        <w:p w:rsidR="004A3868" w:rsidRDefault="003F1AB5">
          <w:pPr>
            <w:pStyle w:val="afff1"/>
            <w:ind w:firstLine="420"/>
            <w:outlineLvl w:val="3"/>
            <w:rPr>
              <w:szCs w:val="21"/>
            </w:rPr>
          </w:pPr>
          <w:r>
            <w:rPr>
              <w:szCs w:val="21"/>
            </w:rPr>
            <w:t>5</w:t>
          </w:r>
          <w:r>
            <w:rPr>
              <w:rFonts w:hint="eastAsia"/>
              <w:szCs w:val="21"/>
            </w:rPr>
            <w:t>、根据光大证券的预测</w:t>
          </w:r>
          <w:r>
            <w:rPr>
              <w:szCs w:val="21"/>
            </w:rPr>
            <w:t>风电、光伏有望在2025年占新增电力变压器取向硅钢消费量的78%</w:t>
          </w:r>
        </w:p>
        <w:p w:rsidR="004A3868" w:rsidRDefault="003F1AB5">
          <w:pPr>
            <w:pStyle w:val="afff1"/>
            <w:ind w:firstLine="420"/>
            <w:rPr>
              <w:szCs w:val="21"/>
            </w:rPr>
          </w:pPr>
          <w:r>
            <w:rPr>
              <w:szCs w:val="21"/>
            </w:rPr>
            <w:t>市场普遍知悉取向硅钢的需求主要在电力变压器领域，</w:t>
          </w:r>
          <w:r>
            <w:rPr>
              <w:rFonts w:hint="eastAsia"/>
              <w:szCs w:val="21"/>
            </w:rPr>
            <w:t>但</w:t>
          </w:r>
          <w:r>
            <w:rPr>
              <w:szCs w:val="21"/>
            </w:rPr>
            <w:t>忽视了其作为光伏、风电新材料的价值。根据中电联对于2022-2025年电力结构相关预测以及《“双碳”战略下取向硅钢的价值与市场机遇》的测算方式测算出2022-2025年新增装机容量对应变压器用取向硅钢量分别为164、176、187、201万吨，其中光伏、风电新增装机容量对需求拉动作用逐步提升，占当年电力行业新增变压器对取向硅钢需求量的比例从2021年的59%提升到2025年的78%。</w:t>
          </w:r>
        </w:p>
        <w:p w:rsidR="004A3868" w:rsidRDefault="003F1AB5">
          <w:pPr>
            <w:pStyle w:val="afff1"/>
            <w:ind w:firstLine="420"/>
            <w:outlineLvl w:val="3"/>
            <w:rPr>
              <w:szCs w:val="21"/>
            </w:rPr>
          </w:pPr>
          <w:r>
            <w:rPr>
              <w:szCs w:val="21"/>
            </w:rPr>
            <w:t>6</w:t>
          </w:r>
          <w:r>
            <w:rPr>
              <w:rFonts w:hint="eastAsia"/>
              <w:szCs w:val="21"/>
            </w:rPr>
            <w:t>、节能领域的发展带动硅钢发展，供给热促进硅钢高质量发展</w:t>
          </w:r>
        </w:p>
        <w:p w:rsidR="004A3868" w:rsidRDefault="003F1AB5">
          <w:pPr>
            <w:pStyle w:val="afff1"/>
            <w:ind w:firstLine="420"/>
            <w:rPr>
              <w:szCs w:val="21"/>
            </w:rPr>
          </w:pPr>
          <w:r>
            <w:rPr>
              <w:rFonts w:hint="eastAsia"/>
              <w:szCs w:val="21"/>
            </w:rPr>
            <w:lastRenderedPageBreak/>
            <w:t>随着新能源汽车、高能效变压器及工业电机、抽水蓄能大型发电机等市场处于增量通道，硅钢整体表观需求呈现增长态势，其中也存在高等级的结构性机会。然而，随着资本市场及行业投资人的关注增加，高于需求增速的产能增速正在形成，这一方面导致整个行业供需态势正在向结构性过剩演变，一方面也是为进入新赛道的中国硅钢高质量发展注入新的潜能和动能。</w:t>
          </w:r>
        </w:p>
        <w:p w:rsidR="004A3868" w:rsidRDefault="003F1AB5">
          <w:pPr>
            <w:pStyle w:val="afff1"/>
            <w:ind w:firstLine="420"/>
            <w:outlineLvl w:val="3"/>
            <w:rPr>
              <w:szCs w:val="21"/>
            </w:rPr>
          </w:pPr>
          <w:r>
            <w:rPr>
              <w:szCs w:val="21"/>
            </w:rPr>
            <w:t>7</w:t>
          </w:r>
          <w:r>
            <w:rPr>
              <w:rFonts w:hint="eastAsia"/>
              <w:szCs w:val="21"/>
            </w:rPr>
            <w:t>、</w:t>
          </w:r>
          <w:r>
            <w:rPr>
              <w:szCs w:val="21"/>
            </w:rPr>
            <w:t>取向硅钢对无取向硅钢替代效应提升，有望成为电车增长潜在受益者</w:t>
          </w:r>
        </w:p>
        <w:p w:rsidR="004A3868" w:rsidRDefault="003F1AB5">
          <w:pPr>
            <w:pStyle w:val="afff1"/>
            <w:ind w:firstLine="420"/>
            <w:rPr>
              <w:szCs w:val="21"/>
            </w:rPr>
          </w:pPr>
          <w:r>
            <w:rPr>
              <w:szCs w:val="21"/>
            </w:rPr>
            <w:t>根据中国冶金报报道，目前国内外企业或研究机构已研发出用取向硅钢片替代无取向硅钢做驱动电机定子，效率更高且成本相当。</w:t>
          </w:r>
          <w:r>
            <w:rPr>
              <w:rFonts w:hint="eastAsia"/>
              <w:szCs w:val="21"/>
            </w:rPr>
            <w:t>有部分机构</w:t>
          </w:r>
          <w:r>
            <w:rPr>
              <w:szCs w:val="21"/>
            </w:rPr>
            <w:t>预计2022-2025年新能源汽车对于无取向硅钢总需求量为51.9、68.5、85.9、103.6万吨，如若未来取向硅钢对于无取向硅钢替代率可以达到10%，2025年新能源汽车对取向硅钢需求量为10.4万吨，相当于</w:t>
          </w:r>
          <w:r>
            <w:rPr>
              <w:rFonts w:hint="eastAsia"/>
              <w:szCs w:val="21"/>
            </w:rPr>
            <w:t>部分市场预测</w:t>
          </w:r>
          <w:r>
            <w:rPr>
              <w:szCs w:val="21"/>
            </w:rPr>
            <w:t>的取向硅钢2025年需求量（未考虑驱动电机）的4.23%。</w:t>
          </w:r>
        </w:p>
      </w:sdtContent>
    </w:sdt>
    <w:p w:rsidR="004A3868" w:rsidRDefault="004A3868">
      <w:pPr>
        <w:pStyle w:val="Style124"/>
      </w:pPr>
    </w:p>
    <w:p w:rsidR="004A3868" w:rsidRDefault="003F1AB5">
      <w:pPr>
        <w:pStyle w:val="Style127"/>
      </w:pPr>
      <w:r>
        <w:t>公司发展战略</w:t>
      </w:r>
    </w:p>
    <w:sdt>
      <w:sdtPr>
        <w:rPr>
          <w:rFonts w:hint="eastAsia"/>
        </w:rPr>
        <w:alias w:val="是否适用：公司发展战略[双击切换]"/>
        <w:tag w:val="_GBC_5cdf4718a6044c1fbf76e22df729f9b7"/>
        <w:id w:val="55670649"/>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发展战略"/>
        <w:tag w:val="_GBC_afe9ed534944441fae5223f90c2521f1"/>
        <w:id w:val="-1390793349"/>
        <w:placeholder>
          <w:docPart w:val="GBC22222222222222222222222222222"/>
        </w:placeholder>
      </w:sdtPr>
      <w:sdtEndPr>
        <w:rPr>
          <w:highlight w:val="yellow"/>
        </w:rPr>
      </w:sdtEndPr>
      <w:sdtContent>
        <w:p w:rsidR="004A3868" w:rsidRDefault="003F1AB5">
          <w:pPr>
            <w:pStyle w:val="afff1"/>
            <w:ind w:firstLine="420"/>
            <w:rPr>
              <w:szCs w:val="21"/>
            </w:rPr>
          </w:pPr>
          <w:r>
            <w:rPr>
              <w:rFonts w:hint="eastAsia"/>
              <w:szCs w:val="21"/>
            </w:rPr>
            <w:t>公司依托现有取向硅钢和输配电及控制设备产业基础，聚焦新能源高端磁性原材料、电力装备制造和智能电网解决方案服务，对标国际一流领军企业标准，打造高端磁性材料—电力装备制造—智能电网解决方案服务一体化产业链。</w:t>
          </w:r>
        </w:p>
        <w:p w:rsidR="004A3868" w:rsidRDefault="003F1AB5">
          <w:pPr>
            <w:pStyle w:val="afff1"/>
            <w:ind w:firstLine="420"/>
            <w:rPr>
              <w:szCs w:val="21"/>
            </w:rPr>
          </w:pPr>
          <w:r>
            <w:rPr>
              <w:rFonts w:hint="eastAsia"/>
              <w:szCs w:val="21"/>
            </w:rPr>
            <w:t>公司将继续以“立足北京、面向全国、走向世界”战略为引领，努力实现“打造百亿企业、跻身百强行列、建设百年望变”的奋斗目标。</w:t>
          </w:r>
        </w:p>
      </w:sdtContent>
    </w:sdt>
    <w:p w:rsidR="004A3868" w:rsidRDefault="003F1AB5">
      <w:pPr>
        <w:pStyle w:val="Style127"/>
      </w:pPr>
      <w:r>
        <w:t>经营计划</w:t>
      </w:r>
    </w:p>
    <w:sdt>
      <w:sdtPr>
        <w:rPr>
          <w:rFonts w:hint="eastAsia"/>
        </w:rPr>
        <w:alias w:val="是否适用：经营计划[双击切换]"/>
        <w:tag w:val="_GBC_871dbf3fc5a0422cadcc3452003278de"/>
        <w:id w:val="63407096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经营计划"/>
        <w:tag w:val="_GBC_3f9bf7d7a36444cab37005d22ebc798c"/>
        <w:id w:val="864644894"/>
        <w:lock w:val="sdtLocked"/>
        <w:placeholder>
          <w:docPart w:val="C67414EA563A4790B1030EC9E9C6521A"/>
        </w:placeholder>
      </w:sdtPr>
      <w:sdtEndPr/>
      <w:sdtContent>
        <w:p w:rsidR="004A3868" w:rsidRDefault="003F1AB5">
          <w:pPr>
            <w:pStyle w:val="afff1"/>
            <w:ind w:firstLine="420"/>
            <w:rPr>
              <w:szCs w:val="21"/>
            </w:rPr>
          </w:pPr>
          <w:r>
            <w:rPr>
              <w:rFonts w:hint="eastAsia"/>
              <w:szCs w:val="21"/>
            </w:rPr>
            <w:t>新的一年公司以成功收购“云变电气”契机，积极拓展输配电及控制设备在中高压电压等级的运用领域市场，坚持强化现生产装置“安、稳、长、满、优”的持续稳定运行，确保在建项目按计划全面完成建设任务，我们将把“目标”刻在心上，把“执行”视为铁律、把“担当”作为自觉，铁肩担责、奋发竞进，拿出逢山开路的拼劲和闯劲，聚焦聚神聚力把各项工作抓实、抓好，奋斗新征程、抢抓新机遇、展现新作为，以更加优异的成绩回报股东。主要从以下几方面开展工作：</w:t>
          </w:r>
        </w:p>
        <w:p w:rsidR="004A3868" w:rsidRDefault="003F1AB5">
          <w:pPr>
            <w:pStyle w:val="afff1"/>
            <w:ind w:firstLine="420"/>
            <w:outlineLvl w:val="3"/>
            <w:rPr>
              <w:szCs w:val="21"/>
            </w:rPr>
          </w:pPr>
          <w:r>
            <w:rPr>
              <w:rFonts w:hint="eastAsia"/>
              <w:szCs w:val="21"/>
            </w:rPr>
            <w:t>1、公司将抓市场开拓，打造发展引擎</w:t>
          </w:r>
        </w:p>
        <w:p w:rsidR="004A3868" w:rsidRDefault="003F1AB5">
          <w:pPr>
            <w:pStyle w:val="afff1"/>
            <w:ind w:firstLine="420"/>
            <w:rPr>
              <w:szCs w:val="21"/>
            </w:rPr>
          </w:pPr>
          <w:r>
            <w:rPr>
              <w:rFonts w:hint="eastAsia"/>
              <w:szCs w:val="21"/>
            </w:rPr>
            <w:t>公司将抓市场开拓，打造发展引擎，围绕公司发展战略，优存量抓增量，持续优化业务结构，抓好存量市场挖潜接单，确保全年完成订单4</w:t>
          </w:r>
          <w:r>
            <w:rPr>
              <w:szCs w:val="21"/>
            </w:rPr>
            <w:t>5</w:t>
          </w:r>
          <w:r>
            <w:rPr>
              <w:rFonts w:hint="eastAsia"/>
              <w:szCs w:val="21"/>
            </w:rPr>
            <w:t>亿元，营业收入3</w:t>
          </w:r>
          <w:r>
            <w:rPr>
              <w:szCs w:val="21"/>
            </w:rPr>
            <w:t>5</w:t>
          </w:r>
          <w:r>
            <w:rPr>
              <w:rFonts w:hint="eastAsia"/>
              <w:szCs w:val="21"/>
            </w:rPr>
            <w:t>亿元。</w:t>
          </w:r>
        </w:p>
        <w:p w:rsidR="004A3868" w:rsidRDefault="003F1AB5">
          <w:pPr>
            <w:pStyle w:val="afff1"/>
            <w:ind w:firstLine="420"/>
            <w:outlineLvl w:val="3"/>
            <w:rPr>
              <w:szCs w:val="21"/>
            </w:rPr>
          </w:pPr>
          <w:r>
            <w:rPr>
              <w:rFonts w:hint="eastAsia"/>
              <w:szCs w:val="21"/>
            </w:rPr>
            <w:t>2、公司将全力抓在建项目建设，确保在建项目按期投产，为公司持续发展提供强有力保障</w:t>
          </w:r>
        </w:p>
        <w:p w:rsidR="004A3868" w:rsidRDefault="003F1AB5">
          <w:pPr>
            <w:pStyle w:val="afff1"/>
            <w:ind w:firstLine="420"/>
            <w:outlineLvl w:val="3"/>
            <w:rPr>
              <w:szCs w:val="21"/>
            </w:rPr>
          </w:pPr>
          <w:r>
            <w:rPr>
              <w:szCs w:val="21"/>
            </w:rPr>
            <w:t>3</w:t>
          </w:r>
          <w:r>
            <w:rPr>
              <w:rFonts w:hint="eastAsia"/>
              <w:szCs w:val="21"/>
            </w:rPr>
            <w:t>、公司将抓好“云变电气”和“望变电气”融合</w:t>
          </w:r>
        </w:p>
        <w:p w:rsidR="004A3868" w:rsidRDefault="003F1AB5">
          <w:pPr>
            <w:pStyle w:val="afff1"/>
            <w:ind w:firstLine="420"/>
            <w:rPr>
              <w:szCs w:val="21"/>
            </w:rPr>
          </w:pPr>
          <w:r>
            <w:rPr>
              <w:rFonts w:hint="eastAsia"/>
              <w:szCs w:val="21"/>
            </w:rPr>
            <w:t>公司将抓好“云变电气”和“望变电气”融合，特别是积极发挥云变电气在5</w:t>
          </w:r>
          <w:r>
            <w:rPr>
              <w:szCs w:val="21"/>
            </w:rPr>
            <w:t>00kV</w:t>
          </w:r>
          <w:r>
            <w:rPr>
              <w:rFonts w:hint="eastAsia"/>
              <w:szCs w:val="21"/>
            </w:rPr>
            <w:t>以下电压</w:t>
          </w:r>
          <w:r>
            <w:rPr>
              <w:rFonts w:hint="eastAsia"/>
              <w:szCs w:val="21"/>
            </w:rPr>
            <w:lastRenderedPageBreak/>
            <w:t>等级的技术优势、在铁路牵引变的市占率优势、在铁路用户领域的品牌优势结合望变电气的销售优势和奋斗者文化，确保收购云变电气协同效应实现1</w:t>
          </w:r>
          <w:r>
            <w:rPr>
              <w:szCs w:val="21"/>
            </w:rPr>
            <w:t>+1</w:t>
          </w:r>
          <w:r>
            <w:rPr>
              <w:rFonts w:hint="eastAsia"/>
              <w:szCs w:val="21"/>
            </w:rPr>
            <w:t>大于2的战略目标。</w:t>
          </w:r>
          <w:r>
            <w:rPr>
              <w:szCs w:val="21"/>
            </w:rPr>
            <w:t xml:space="preserve"> </w:t>
          </w:r>
        </w:p>
        <w:p w:rsidR="004A3868" w:rsidRDefault="003F1AB5">
          <w:pPr>
            <w:pStyle w:val="afff1"/>
            <w:ind w:firstLine="420"/>
            <w:outlineLvl w:val="3"/>
            <w:rPr>
              <w:szCs w:val="21"/>
            </w:rPr>
          </w:pPr>
          <w:r>
            <w:rPr>
              <w:szCs w:val="21"/>
            </w:rPr>
            <w:t>4</w:t>
          </w:r>
          <w:r>
            <w:rPr>
              <w:rFonts w:hint="eastAsia"/>
              <w:szCs w:val="21"/>
            </w:rPr>
            <w:t>、公司将持续抓研发创新，增强内生动力</w:t>
          </w:r>
        </w:p>
        <w:p w:rsidR="004A3868" w:rsidRDefault="003F1AB5">
          <w:pPr>
            <w:pStyle w:val="afff1"/>
            <w:ind w:firstLine="420"/>
            <w:rPr>
              <w:szCs w:val="21"/>
            </w:rPr>
          </w:pPr>
          <w:r>
            <w:rPr>
              <w:rFonts w:hint="eastAsia"/>
              <w:szCs w:val="21"/>
            </w:rPr>
            <w:t>公司将持续抓研发创新，增强内生动力，持续推进</w:t>
          </w:r>
          <w:r>
            <w:rPr>
              <w:szCs w:val="21"/>
            </w:rPr>
            <w:t>薄规格CGO、HiB钢</w:t>
          </w:r>
          <w:r>
            <w:rPr>
              <w:rFonts w:hint="eastAsia"/>
              <w:szCs w:val="21"/>
            </w:rPr>
            <w:t>、</w:t>
          </w:r>
          <w:r>
            <w:rPr>
              <w:szCs w:val="21"/>
            </w:rPr>
            <w:t>高电压等级电力变压器、新能源电力变压器、</w:t>
          </w:r>
          <w:r>
            <w:rPr>
              <w:rFonts w:hint="eastAsia"/>
              <w:szCs w:val="21"/>
            </w:rPr>
            <w:t>大容量干式变压器、</w:t>
          </w:r>
          <w:r>
            <w:rPr>
              <w:szCs w:val="21"/>
            </w:rPr>
            <w:t>新能源箱变、预制舱、充气柜</w:t>
          </w:r>
          <w:r>
            <w:rPr>
              <w:rFonts w:hint="eastAsia"/>
              <w:szCs w:val="21"/>
            </w:rPr>
            <w:t>等产品的研发，为公司持续稳定发展提供源源不断的产品储备和技术储备</w:t>
          </w:r>
          <w:r>
            <w:rPr>
              <w:szCs w:val="21"/>
            </w:rPr>
            <w:t>。</w:t>
          </w:r>
        </w:p>
        <w:p w:rsidR="004A3868" w:rsidRDefault="003F1AB5">
          <w:pPr>
            <w:pStyle w:val="afff1"/>
            <w:ind w:firstLine="420"/>
            <w:outlineLvl w:val="3"/>
            <w:rPr>
              <w:szCs w:val="21"/>
            </w:rPr>
          </w:pPr>
          <w:r>
            <w:rPr>
              <w:rFonts w:hint="eastAsia"/>
              <w:szCs w:val="21"/>
            </w:rPr>
            <w:t>5、公司将持续加大各项能力建设，确保公司发展需要</w:t>
          </w:r>
        </w:p>
        <w:p w:rsidR="004A3868" w:rsidRDefault="003F1AB5">
          <w:pPr>
            <w:pStyle w:val="afff1"/>
            <w:ind w:firstLine="420"/>
            <w:rPr>
              <w:szCs w:val="21"/>
              <w:highlight w:val="yellow"/>
            </w:rPr>
          </w:pPr>
          <w:r>
            <w:rPr>
              <w:rFonts w:hint="eastAsia"/>
              <w:szCs w:val="21"/>
            </w:rPr>
            <w:t>公司将持续加大各项能力建设，确保公司发展需要，坚定不移推进员工持股计划，通过共建共享激励机制，确保公司发展所需人力保障。</w:t>
          </w:r>
        </w:p>
        <w:p w:rsidR="004A3868" w:rsidRDefault="003F1AB5">
          <w:pPr>
            <w:pStyle w:val="afff1"/>
            <w:ind w:firstLine="420"/>
            <w:outlineLvl w:val="3"/>
            <w:rPr>
              <w:szCs w:val="21"/>
            </w:rPr>
          </w:pPr>
          <w:r>
            <w:rPr>
              <w:rFonts w:hint="eastAsia"/>
              <w:szCs w:val="21"/>
            </w:rPr>
            <w:t>6、公司将持续推进公司全球化战略，确保各项目标按期实现</w:t>
          </w:r>
        </w:p>
      </w:sdtContent>
    </w:sdt>
    <w:p w:rsidR="004A3868" w:rsidRDefault="003F1AB5">
      <w:pPr>
        <w:pStyle w:val="Style127"/>
      </w:pPr>
      <w:r>
        <w:t>可能面对的风险</w:t>
      </w:r>
    </w:p>
    <w:sdt>
      <w:sdtPr>
        <w:rPr>
          <w:rFonts w:hint="eastAsia"/>
        </w:rPr>
        <w:alias w:val="是否适用：可能面对的风险[双击切换]"/>
        <w:tag w:val="_GBC_1b74f2e1039c4fe9acc819e860071020"/>
        <w:id w:val="766574086"/>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可能面对的风险"/>
        <w:tag w:val="_GBC_c62723d12603412ba692148cd4961de5"/>
        <w:id w:val="335425920"/>
        <w:placeholder>
          <w:docPart w:val="GBC22222222222222222222222222222"/>
        </w:placeholder>
      </w:sdtPr>
      <w:sdtEndPr>
        <w:rPr>
          <w:szCs w:val="24"/>
        </w:rPr>
      </w:sdtEndPr>
      <w:sdtContent>
        <w:sdt>
          <w:sdtPr>
            <w:rPr>
              <w:rFonts w:hint="eastAsia"/>
              <w:szCs w:val="21"/>
            </w:rPr>
            <w:alias w:val="公司可能面对的风险"/>
            <w:tag w:val="_GBC_6e03b01ba4f1453dbc563404b41bfdbc"/>
            <w:id w:val="-1424183598"/>
            <w:lock w:val="sdtLocked"/>
          </w:sdtPr>
          <w:sdtEndPr/>
          <w:sdtContent>
            <w:p w:rsidR="004A3868" w:rsidRDefault="003F1AB5">
              <w:pPr>
                <w:pStyle w:val="afff1"/>
                <w:ind w:firstLine="420"/>
                <w:outlineLvl w:val="3"/>
                <w:rPr>
                  <w:szCs w:val="21"/>
                </w:rPr>
              </w:pPr>
              <w:r>
                <w:rPr>
                  <w:szCs w:val="21"/>
                </w:rPr>
                <w:t>1</w:t>
              </w:r>
              <w:r>
                <w:rPr>
                  <w:rFonts w:hint="eastAsia"/>
                  <w:szCs w:val="21"/>
                </w:rPr>
                <w:t>、宏观经济风险和行业风险</w:t>
              </w:r>
            </w:p>
            <w:p w:rsidR="004A3868" w:rsidRDefault="003F1AB5">
              <w:pPr>
                <w:pStyle w:val="afff1"/>
                <w:ind w:firstLine="420"/>
                <w:rPr>
                  <w:szCs w:val="21"/>
                </w:rPr>
              </w:pPr>
              <w:r>
                <w:rPr>
                  <w:rFonts w:hint="eastAsia"/>
                  <w:szCs w:val="21"/>
                </w:rPr>
                <w:t>公司所从事的取向硅钢和输配电及控制设备产业均与电力行业投资及需求紧密相关，电力行业是关系国民经济持续稳定发展的主要环节之一，行业整体需求与宏观经济情况以及社会用电需求密切相关；如果国际经济环境进一步恶化影响国内实体企业发展或者国家宏观政策变化、宏观经济风险加剧，电力能源发展战略、产业结构、市场结构调整、行业资源整合、市场供需变动等因素都有可能对公司的盈利能力造成冲击。</w:t>
              </w:r>
            </w:p>
            <w:p w:rsidR="004A3868" w:rsidRDefault="003F1AB5">
              <w:pPr>
                <w:pStyle w:val="afff1"/>
                <w:ind w:firstLine="420"/>
                <w:rPr>
                  <w:szCs w:val="21"/>
                </w:rPr>
              </w:pPr>
              <w:r>
                <w:rPr>
                  <w:rFonts w:hint="eastAsia"/>
                  <w:szCs w:val="21"/>
                </w:rPr>
                <w:t>应对措施：公司将加强对国际形势和国内宏观经济的研判，及时掌握国家、行业、区域相关政策，结合公司发展实际情况，保障公司生产经营、战略发展决策的科学、有效。</w:t>
              </w:r>
            </w:p>
            <w:p w:rsidR="004A3868" w:rsidRDefault="003F1AB5">
              <w:pPr>
                <w:pStyle w:val="afff1"/>
                <w:ind w:firstLine="420"/>
                <w:outlineLvl w:val="3"/>
                <w:rPr>
                  <w:szCs w:val="21"/>
                </w:rPr>
              </w:pPr>
              <w:r>
                <w:rPr>
                  <w:rFonts w:hint="eastAsia"/>
                  <w:szCs w:val="21"/>
                </w:rPr>
                <w:t>2、市场竞争风险</w:t>
              </w:r>
            </w:p>
            <w:p w:rsidR="004A3868" w:rsidRDefault="003F1AB5">
              <w:pPr>
                <w:pStyle w:val="afff1"/>
                <w:ind w:firstLine="420"/>
                <w:rPr>
                  <w:szCs w:val="21"/>
                </w:rPr>
              </w:pPr>
              <w:r>
                <w:rPr>
                  <w:rFonts w:hint="eastAsia"/>
                  <w:szCs w:val="21"/>
                </w:rPr>
                <w:t>取向硅钢行业因为需求拉动带来同业大量扩产，新投产装置产能将逐步释放，同时进口取向硅钢也对市场带来冲击，未来取向硅钢市场竞争会持续增加；输配电及控制设备行业受宏观经济影响，普遍存在成本增加、毛利率下降、竞争日趋激烈的问题，给公司生产经营带来更多的市场风险。</w:t>
              </w:r>
            </w:p>
            <w:p w:rsidR="004A3868" w:rsidRDefault="003F1AB5">
              <w:pPr>
                <w:pStyle w:val="afff1"/>
                <w:ind w:firstLine="420"/>
                <w:rPr>
                  <w:szCs w:val="21"/>
                </w:rPr>
              </w:pPr>
              <w:r>
                <w:rPr>
                  <w:rFonts w:hint="eastAsia"/>
                  <w:szCs w:val="21"/>
                </w:rPr>
                <w:t>应对措施：公司将整合优势资源加大取向硅钢高牌号研发力度，进一步提升优化产品牌号结构，以此提升公司产品市场竞争力；输配电及控制设备将通过加大科技创新投入、设备技改投入等多种方式降低制造成本、提升产品质量、增强客户定制化和一体化服务能力等手段不断增强公司市场竞争力，逐步巩固和提升行业品牌影响力和市场占有率。</w:t>
              </w:r>
            </w:p>
            <w:p w:rsidR="004A3868" w:rsidRDefault="003F1AB5">
              <w:pPr>
                <w:pStyle w:val="afff1"/>
                <w:ind w:firstLine="420"/>
                <w:outlineLvl w:val="3"/>
                <w:rPr>
                  <w:szCs w:val="21"/>
                </w:rPr>
              </w:pPr>
              <w:r>
                <w:rPr>
                  <w:szCs w:val="21"/>
                </w:rPr>
                <w:t>3</w:t>
              </w:r>
              <w:r>
                <w:rPr>
                  <w:rFonts w:hint="eastAsia"/>
                  <w:szCs w:val="21"/>
                </w:rPr>
                <w:t>、客户信用风险</w:t>
              </w:r>
            </w:p>
            <w:p w:rsidR="004A3868" w:rsidRDefault="003F1AB5">
              <w:pPr>
                <w:pStyle w:val="afff1"/>
                <w:ind w:firstLine="420"/>
                <w:rPr>
                  <w:szCs w:val="21"/>
                </w:rPr>
              </w:pPr>
              <w:r>
                <w:rPr>
                  <w:rFonts w:hint="eastAsia"/>
                  <w:szCs w:val="21"/>
                </w:rPr>
                <w:lastRenderedPageBreak/>
                <w:t>当前国内需求不足，重点领域风险隐患较多，国际大宗商品价格剧烈波动，国内外经济压力进一步加大，外部环境复杂严峻，公司部分客户可能存在信用风险增加，给公司持续稳定健康发展带来一定影响和冲击。</w:t>
              </w:r>
            </w:p>
            <w:p w:rsidR="004A3868" w:rsidRDefault="003F1AB5">
              <w:pPr>
                <w:pStyle w:val="afff1"/>
                <w:ind w:firstLine="420"/>
                <w:rPr>
                  <w:szCs w:val="21"/>
                </w:rPr>
              </w:pPr>
              <w:r>
                <w:rPr>
                  <w:rFonts w:hint="eastAsia"/>
                  <w:szCs w:val="21"/>
                </w:rPr>
                <w:t>应对措施：公司对客户进行事前、事中、事后全过程调研和跟踪，按公司相关流程和权限审批授信额度；成立客户信用管理专项小组，及时跟踪账期较长的客户基本面，若发现客户资信出现方向性变化，立即调整收款策略。</w:t>
              </w:r>
            </w:p>
            <w:p w:rsidR="004A3868" w:rsidRDefault="003F1AB5">
              <w:pPr>
                <w:pStyle w:val="afff1"/>
                <w:ind w:firstLine="420"/>
                <w:outlineLvl w:val="3"/>
                <w:rPr>
                  <w:szCs w:val="21"/>
                </w:rPr>
              </w:pPr>
              <w:r>
                <w:rPr>
                  <w:szCs w:val="21"/>
                </w:rPr>
                <w:t>4</w:t>
              </w:r>
              <w:r>
                <w:rPr>
                  <w:rFonts w:hint="eastAsia"/>
                  <w:szCs w:val="21"/>
                </w:rPr>
                <w:t>、大宗商品价格波动的风险</w:t>
              </w:r>
            </w:p>
            <w:p w:rsidR="004A3868" w:rsidRDefault="003F1AB5">
              <w:pPr>
                <w:pStyle w:val="afff1"/>
                <w:ind w:firstLine="420"/>
                <w:rPr>
                  <w:szCs w:val="21"/>
                </w:rPr>
              </w:pPr>
              <w:r>
                <w:rPr>
                  <w:rFonts w:hint="eastAsia"/>
                  <w:szCs w:val="21"/>
                </w:rPr>
                <w:t>公司产品的主要原材料包括铜、硅钢原料卷、电力变压器油</w:t>
              </w:r>
              <w:r>
                <w:rPr>
                  <w:szCs w:val="21"/>
                </w:rPr>
                <w:t>等大宗材料价格上涨，</w:t>
              </w:r>
              <w:r>
                <w:rPr>
                  <w:rFonts w:hint="eastAsia"/>
                  <w:szCs w:val="21"/>
                </w:rPr>
                <w:t>直接影响公司的生产成本，进而影响公司的盈利水平。同时，受经济周期波动、市场供求以及投机炒作的影响，大宗材料价格存在剧烈波动风险，将对公司的盈利能力产生较大不利影响。</w:t>
              </w:r>
            </w:p>
            <w:p w:rsidR="004A3868" w:rsidRDefault="003F1AB5">
              <w:pPr>
                <w:pStyle w:val="afff1"/>
                <w:ind w:firstLine="420"/>
                <w:rPr>
                  <w:szCs w:val="21"/>
                </w:rPr>
              </w:pPr>
              <w:r>
                <w:rPr>
                  <w:rFonts w:hint="eastAsia"/>
                  <w:szCs w:val="21"/>
                </w:rPr>
                <w:t>应对措施：公司将加强科技研发、自主创新能力建设，不断降低生产成本；加强大宗材料价格趋势研究、强化与大宗材料及设备供应商的战略合作关系，通过加大储备、集团科学采购、套期保值等多种方式有效降低大宗材料价格波动影响。</w:t>
              </w:r>
            </w:p>
            <w:p w:rsidR="004A3868" w:rsidRDefault="003F1AB5">
              <w:pPr>
                <w:pStyle w:val="afff1"/>
                <w:ind w:firstLine="420"/>
                <w:outlineLvl w:val="3"/>
                <w:rPr>
                  <w:szCs w:val="21"/>
                </w:rPr>
              </w:pPr>
              <w:r>
                <w:rPr>
                  <w:szCs w:val="21"/>
                </w:rPr>
                <w:t>5</w:t>
              </w:r>
              <w:r>
                <w:rPr>
                  <w:rFonts w:hint="eastAsia"/>
                  <w:szCs w:val="21"/>
                </w:rPr>
                <w:t>、汇率波动风险</w:t>
              </w:r>
            </w:p>
            <w:p w:rsidR="004A3868" w:rsidRDefault="003F1AB5">
              <w:pPr>
                <w:pStyle w:val="afff1"/>
                <w:ind w:firstLine="420"/>
                <w:rPr>
                  <w:szCs w:val="21"/>
                </w:rPr>
              </w:pPr>
              <w:r>
                <w:rPr>
                  <w:rFonts w:hint="eastAsia"/>
                  <w:szCs w:val="21"/>
                </w:rPr>
                <w:t>公司取向硅钢产品出口占比较高，且主要以美元作为结算货币，受外币汇率波动影响，汇率波动将直接影响公司的经营业绩。未来若公司主要结算外币的汇率出现大幅不利变动，导致公司汇兑损益持续上升，将对公司经营业绩产生不利影响。</w:t>
              </w:r>
            </w:p>
            <w:p w:rsidR="004A3868" w:rsidRDefault="003F1AB5">
              <w:pPr>
                <w:pStyle w:val="afff1"/>
                <w:ind w:firstLine="420"/>
                <w:rPr>
                  <w:szCs w:val="21"/>
                </w:rPr>
              </w:pPr>
              <w:r>
                <w:rPr>
                  <w:rFonts w:hint="eastAsia"/>
                  <w:szCs w:val="21"/>
                </w:rPr>
                <w:t>应对措施：公司将充分利用国家支持优势企业加快走出去的政策环境，通过外汇套期保值工具，通过选择合理币种结算、对人民币跨境结算试点地区业务尽量以人民币作为结算币种、利用国际信贷等多种方式降低汇率波动带来的风险。</w:t>
              </w:r>
            </w:p>
          </w:sdtContent>
        </w:sdt>
      </w:sdtContent>
    </w:sdt>
    <w:p w:rsidR="004A3868" w:rsidRDefault="003F1AB5">
      <w:pPr>
        <w:pStyle w:val="Style127"/>
      </w:pPr>
      <w:r>
        <w:t>其他</w:t>
      </w:r>
    </w:p>
    <w:sdt>
      <w:sdtPr>
        <w:rPr>
          <w:rFonts w:hint="eastAsia"/>
        </w:rPr>
        <w:alias w:val="是否适用：公司其他未来发展的讨论和分析[双击切换]"/>
        <w:tag w:val="_GBC_aad5c59ba9344d37bc5cc7a8eba5f048"/>
        <w:id w:val="1032462811"/>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2"/>
        <w:rPr>
          <w:rFonts w:ascii="宋体" w:hAnsi="宋体" w:cs="宋体"/>
          <w:b w:val="0"/>
          <w:bCs w:val="0"/>
          <w:kern w:val="0"/>
        </w:rPr>
      </w:pPr>
      <w:r>
        <w:rPr>
          <w:rFonts w:ascii="宋体" w:hAnsi="宋体" w:cs="宋体" w:hint="eastAsia"/>
          <w:b w:val="0"/>
          <w:bCs w:val="0"/>
          <w:kern w:val="0"/>
        </w:rPr>
        <w:t>公司因不适用准则规定或国家秘密、商业秘密等特殊原因，未按准则披露的情况和原因说明</w:t>
      </w:r>
    </w:p>
    <w:sdt>
      <w:sdtPr>
        <w:rPr>
          <w:rFonts w:hint="eastAsia"/>
          <w:sz w:val="21"/>
          <w:szCs w:val="21"/>
        </w:rPr>
        <w:alias w:val="是否适用：公司因不适用准则规定或国家秘密、商业秘密等特殊原因，未按准则披露的情况和原因说明[双击切换]"/>
        <w:tag w:val="_GBC_6605deed04a2449fa3161699caf92e3e"/>
        <w:id w:val="339667661"/>
        <w:placeholder>
          <w:docPart w:val="GBC22222222222222222222222222222"/>
        </w:placeholder>
      </w:sdtPr>
      <w:sdtEndPr/>
      <w:sdtContent>
        <w:p w:rsidR="004A3868" w:rsidRDefault="003F1AB5">
          <w:pPr>
            <w:pStyle w:val="Style58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1"/>
      </w:pPr>
      <w:bookmarkStart w:id="44" w:name="_Toc409437610"/>
      <w:bookmarkStart w:id="45" w:name="_Toc164947203"/>
      <w:bookmarkStart w:id="46" w:name="_Toc437440716"/>
      <w:r>
        <w:t>公司治理</w:t>
      </w:r>
      <w:bookmarkEnd w:id="44"/>
      <w:bookmarkEnd w:id="45"/>
      <w:bookmarkEnd w:id="46"/>
    </w:p>
    <w:p w:rsidR="004A3868" w:rsidRDefault="003F1AB5">
      <w:pPr>
        <w:pStyle w:val="2"/>
        <w:numPr>
          <w:ilvl w:val="0"/>
          <w:numId w:val="21"/>
        </w:numPr>
      </w:pPr>
      <w:r>
        <w:t>公司治理相关情况说明</w:t>
      </w:r>
    </w:p>
    <w:sdt>
      <w:sdtPr>
        <w:rPr>
          <w:rFonts w:hint="eastAsia"/>
        </w:rPr>
        <w:alias w:val="是否适用：公司治理相关情况说明[双击切换]"/>
        <w:tag w:val="_GBC_fcded3e74c5842408b5da723b3a757fa"/>
        <w:id w:val="875660872"/>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sz w:val="21"/>
          <w:szCs w:val="21"/>
        </w:rPr>
        <w:alias w:val="公司治理相关情况说明"/>
        <w:tag w:val="_GBC_b4d29a30dc2b4ea6b942196a3b52c2d0"/>
        <w:id w:val="-676428619"/>
        <w:placeholder>
          <w:docPart w:val="GBC22222222222222222222222222222"/>
        </w:placeholder>
      </w:sdtPr>
      <w:sdtEndPr>
        <w:rPr>
          <w:rStyle w:val="afff2"/>
        </w:rPr>
      </w:sdtEndPr>
      <w:sdtContent>
        <w:p w:rsidR="004A3868" w:rsidRDefault="003F1AB5">
          <w:pPr>
            <w:spacing w:beforeLines="50" w:before="120" w:line="360" w:lineRule="auto"/>
            <w:ind w:firstLineChars="200" w:firstLine="420"/>
            <w:rPr>
              <w:rStyle w:val="afff2"/>
              <w:szCs w:val="21"/>
            </w:rPr>
          </w:pPr>
          <w:r>
            <w:rPr>
              <w:rStyle w:val="afff2"/>
              <w:szCs w:val="21"/>
            </w:rPr>
            <w:t>公司严格按照《公司法》《证券法》《上市公司治理准则》等法律法规和中国证监会、上海证券交易所要求，结合公司实际情况，持续完善公司法人治理，建立健全公司内部控制体系，规范决策流程，不断提升公司规范运作水平。</w:t>
          </w:r>
          <w:r>
            <w:rPr>
              <w:rStyle w:val="afff2"/>
              <w:szCs w:val="21"/>
            </w:rPr>
            <w:br/>
          </w:r>
          <w:r>
            <w:rPr>
              <w:rStyle w:val="afff2"/>
              <w:rFonts w:hint="eastAsia"/>
              <w:szCs w:val="21"/>
            </w:rPr>
            <w:t xml:space="preserve"> </w:t>
          </w:r>
          <w:r>
            <w:rPr>
              <w:rStyle w:val="afff2"/>
              <w:szCs w:val="21"/>
            </w:rPr>
            <w:t xml:space="preserve">   </w:t>
          </w:r>
          <w:r>
            <w:rPr>
              <w:rStyle w:val="afff2"/>
              <w:rFonts w:hint="eastAsia"/>
              <w:szCs w:val="21"/>
            </w:rPr>
            <w:t>（一）控股股东及实际控制人</w:t>
          </w:r>
          <w:r>
            <w:rPr>
              <w:rStyle w:val="afff2"/>
              <w:szCs w:val="21"/>
            </w:rPr>
            <w:br/>
          </w:r>
          <w:r>
            <w:rPr>
              <w:rStyle w:val="afff2"/>
              <w:rFonts w:hint="eastAsia"/>
              <w:szCs w:val="21"/>
            </w:rPr>
            <w:lastRenderedPageBreak/>
            <w:t xml:space="preserve"> </w:t>
          </w:r>
          <w:r>
            <w:rPr>
              <w:rStyle w:val="afff2"/>
              <w:szCs w:val="21"/>
            </w:rPr>
            <w:t xml:space="preserve">   公司</w:t>
          </w:r>
          <w:r>
            <w:rPr>
              <w:rStyle w:val="afff2"/>
              <w:rFonts w:hint="eastAsia"/>
              <w:szCs w:val="21"/>
            </w:rPr>
            <w:t>控股股东</w:t>
          </w:r>
          <w:r>
            <w:rPr>
              <w:rStyle w:val="afff2"/>
              <w:szCs w:val="21"/>
            </w:rPr>
            <w:t>、实际控制人行为规范，依法行使股东权利，履行股东义务，没有超越股东大会直接或间接干预公司的决策和经营活动；不存在违规占用公司资金、违规要求公司为其提供担保等情形；公司与</w:t>
          </w:r>
          <w:r>
            <w:rPr>
              <w:rStyle w:val="afff2"/>
              <w:rFonts w:hint="eastAsia"/>
              <w:szCs w:val="21"/>
            </w:rPr>
            <w:t>控股股东</w:t>
          </w:r>
          <w:r>
            <w:rPr>
              <w:rStyle w:val="afff2"/>
              <w:szCs w:val="21"/>
            </w:rPr>
            <w:t>、实际控制人在业务、人员、财务、机构和资产等方面严格分开，各自独立核算，独立承担责任和风险，公司不存在不能保证独立性、不能保持自主经营能力的情况。</w:t>
          </w:r>
          <w:r>
            <w:rPr>
              <w:rStyle w:val="afff2"/>
              <w:szCs w:val="21"/>
            </w:rPr>
            <w:br/>
            <w:t>（二）股东及股东大会</w:t>
          </w:r>
          <w:r>
            <w:rPr>
              <w:rStyle w:val="afff2"/>
              <w:szCs w:val="21"/>
            </w:rPr>
            <w:br/>
          </w:r>
          <w:r>
            <w:rPr>
              <w:rStyle w:val="afff2"/>
              <w:rFonts w:hint="eastAsia"/>
              <w:szCs w:val="21"/>
            </w:rPr>
            <w:t xml:space="preserve"> </w:t>
          </w:r>
          <w:r>
            <w:rPr>
              <w:rStyle w:val="afff2"/>
              <w:szCs w:val="21"/>
            </w:rPr>
            <w:t xml:space="preserve">   报告期内，公司严格按照《公司法》《上市公司股东大会规则》《公司章程》《重庆望变电气（集团）股份有限公司股东大会议事规则》等有关规定，规范股东大会的召集、召开和表决程序，充分保障股东的合法权利，特别是中小股东的权益。公司股东大会均由律师出席见证，律师对股东大会召集、召开和表决程序出具法律意见书。</w:t>
          </w:r>
          <w:r>
            <w:rPr>
              <w:rStyle w:val="afff2"/>
              <w:szCs w:val="21"/>
            </w:rPr>
            <w:br/>
            <w:t>（三）董事及董事会</w:t>
          </w:r>
          <w:r>
            <w:rPr>
              <w:rStyle w:val="afff2"/>
              <w:szCs w:val="21"/>
            </w:rPr>
            <w:br/>
          </w:r>
          <w:r>
            <w:rPr>
              <w:rStyle w:val="afff2"/>
              <w:rFonts w:hint="eastAsia"/>
              <w:szCs w:val="21"/>
            </w:rPr>
            <w:t xml:space="preserve"> </w:t>
          </w:r>
          <w:r>
            <w:rPr>
              <w:rStyle w:val="afff2"/>
              <w:szCs w:val="21"/>
            </w:rPr>
            <w:t xml:space="preserve">   公司董事会现有董事9名，其中独立董事3名，公司董事会成员知识结构和专业领域契合公司战略发展，董事会的人数及人员构成符合法律、法规和《公司章程》的规定。公司董事会下设了战略、审计、提名、薪酬与考核委员会，独立董事在下设的战略、审计、提名、薪酬与考核委员会中</w:t>
          </w:r>
          <w:r>
            <w:rPr>
              <w:rStyle w:val="afff2"/>
              <w:rFonts w:hint="eastAsia"/>
              <w:szCs w:val="21"/>
            </w:rPr>
            <w:t>的</w:t>
          </w:r>
          <w:r>
            <w:rPr>
              <w:rStyle w:val="afff2"/>
              <w:szCs w:val="21"/>
            </w:rPr>
            <w:t>占比</w:t>
          </w:r>
          <w:r>
            <w:rPr>
              <w:rStyle w:val="afff2"/>
              <w:rFonts w:hint="eastAsia"/>
              <w:szCs w:val="21"/>
            </w:rPr>
            <w:t>均满足法律法规要求</w:t>
          </w:r>
          <w:r>
            <w:rPr>
              <w:rStyle w:val="afff2"/>
              <w:szCs w:val="21"/>
            </w:rPr>
            <w:t>。公司与独立董事建立了密切、畅通的沟通机制，公司持续强化独立董事参与决策、监督制衡、专业咨询作用，在董事会审议重大事项时，充分听取独立董事关于行业发展、风险防控的有益建议，有效提高了董事会决策的科学性。</w:t>
          </w:r>
          <w:r>
            <w:rPr>
              <w:rStyle w:val="afff2"/>
              <w:szCs w:val="21"/>
            </w:rPr>
            <w:br/>
            <w:t>（四）监事及监事会</w:t>
          </w:r>
          <w:r>
            <w:rPr>
              <w:rStyle w:val="afff2"/>
              <w:szCs w:val="21"/>
            </w:rPr>
            <w:br/>
          </w:r>
          <w:r>
            <w:rPr>
              <w:rStyle w:val="afff2"/>
              <w:rFonts w:hint="eastAsia"/>
              <w:szCs w:val="21"/>
            </w:rPr>
            <w:t xml:space="preserve"> </w:t>
          </w:r>
          <w:r>
            <w:rPr>
              <w:rStyle w:val="afff2"/>
              <w:szCs w:val="21"/>
            </w:rPr>
            <w:t xml:space="preserve">   公司监事会现有3名监事，其中职工监事1名，公司监事会人数及人员构成符合法律、法规和《公司章程》的规定。报告期内，公司监事会本着对股东负责的态度，认真履行监督职责，对公司规范运作、关联交易、股权激励、公司财务以及董事、其他高级管理人员履职等事项进行了合规监督，维护了公司及股东的合法权益。</w:t>
          </w:r>
          <w:r>
            <w:rPr>
              <w:rStyle w:val="afff2"/>
              <w:szCs w:val="21"/>
            </w:rPr>
            <w:br/>
            <w:t>（五）内幕信息知情人管理</w:t>
          </w:r>
          <w:r>
            <w:rPr>
              <w:rStyle w:val="afff2"/>
              <w:szCs w:val="21"/>
            </w:rPr>
            <w:br/>
          </w:r>
          <w:r>
            <w:rPr>
              <w:rStyle w:val="afff2"/>
              <w:rFonts w:hint="eastAsia"/>
              <w:szCs w:val="21"/>
            </w:rPr>
            <w:t xml:space="preserve"> </w:t>
          </w:r>
          <w:r>
            <w:rPr>
              <w:rStyle w:val="afff2"/>
              <w:szCs w:val="21"/>
            </w:rPr>
            <w:t xml:space="preserve">   报告期内，公司严格按照《上市公司监管指引第5号—上市公司内幕信息知情人登记管理制</w:t>
          </w:r>
          <w:r>
            <w:rPr>
              <w:rStyle w:val="afff2"/>
              <w:rFonts w:hint="eastAsia"/>
              <w:szCs w:val="21"/>
            </w:rPr>
            <w:t>度</w:t>
          </w:r>
          <w:r>
            <w:rPr>
              <w:rStyle w:val="afff2"/>
              <w:szCs w:val="21"/>
            </w:rPr>
            <w:t>》及《重庆望变</w:t>
          </w:r>
          <w:r>
            <w:rPr>
              <w:rStyle w:val="afff2"/>
              <w:rFonts w:hint="eastAsia"/>
              <w:szCs w:val="21"/>
            </w:rPr>
            <w:t>制度</w:t>
          </w:r>
          <w:r>
            <w:rPr>
              <w:rStyle w:val="afff2"/>
              <w:szCs w:val="21"/>
            </w:rPr>
            <w:t>气（集团）股份有限公司内幕信息知情人登记管理制度》的规定，对定期报告等对公司股票价格有重大影响等信息的内幕信息知情人进行登记备案，督促相关知情人员签署《内幕信息知情人登记表》，切实维护了公司信息披露的公平原则，强化了公司内幕信息的保密管理。</w:t>
          </w:r>
        </w:p>
      </w:sdtContent>
    </w:sdt>
    <w:p w:rsidR="004A3868" w:rsidRDefault="004A3868">
      <w:pPr>
        <w:pStyle w:val="Style124"/>
      </w:pPr>
    </w:p>
    <w:p w:rsidR="004A3868" w:rsidRDefault="003F1AB5">
      <w:pPr>
        <w:pStyle w:val="Style124"/>
      </w:pPr>
      <w:r>
        <w:t>公司治理</w:t>
      </w:r>
      <w:r>
        <w:rPr>
          <w:rFonts w:hint="eastAsia"/>
        </w:rPr>
        <w:t>与法律、行政法规和中国证监会关于上市公司治理的规定</w:t>
      </w:r>
      <w:r>
        <w:t>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1601992536"/>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4A3868">
      <w:pPr>
        <w:pStyle w:val="Style124"/>
      </w:pPr>
    </w:p>
    <w:p w:rsidR="004A3868" w:rsidRDefault="003F1AB5">
      <w:pPr>
        <w:pStyle w:val="2"/>
        <w:numPr>
          <w:ilvl w:val="0"/>
          <w:numId w:val="21"/>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925806520"/>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1"/>
        <w:ind w:firstLine="420"/>
        <w:rPr>
          <w:szCs w:val="21"/>
        </w:rPr>
      </w:pPr>
      <w:r>
        <w:rPr>
          <w:szCs w:val="21"/>
        </w:rPr>
        <w:lastRenderedPageBreak/>
        <w:t>控</w:t>
      </w:r>
      <w:r>
        <w:rPr>
          <w:rFonts w:hint="eastAsia"/>
          <w:szCs w:val="21"/>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rPr>
        <w:alias w:val="是否适用：存在同业竞争的，公司相应的解决措施、工作进度及后续工作计划[双击切换]"/>
        <w:tag w:val="_GBC_1883b6583caa4429822c73ae5e75f9f4"/>
        <w:id w:val="769744344"/>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4A3868">
      <w:pPr>
        <w:pStyle w:val="Style124"/>
      </w:pPr>
    </w:p>
    <w:p w:rsidR="004A3868" w:rsidRDefault="003F1AB5">
      <w:pPr>
        <w:pStyle w:val="2"/>
        <w:numPr>
          <w:ilvl w:val="0"/>
          <w:numId w:val="21"/>
        </w:numPr>
      </w:pPr>
      <w:r>
        <w:t>股东大会情况简介</w:t>
      </w:r>
    </w:p>
    <w:tbl>
      <w:tblPr>
        <w:tblStyle w:val="aff5"/>
        <w:tblW w:w="5000" w:type="pct"/>
        <w:jc w:val="center"/>
        <w:tblLayout w:type="fixed"/>
        <w:tblCellMar>
          <w:left w:w="0" w:type="dxa"/>
          <w:right w:w="28" w:type="dxa"/>
        </w:tblCellMar>
        <w:tblLook w:val="04A0" w:firstRow="1" w:lastRow="0" w:firstColumn="1" w:lastColumn="0" w:noHBand="0" w:noVBand="1"/>
      </w:tblPr>
      <w:tblGrid>
        <w:gridCol w:w="1817"/>
        <w:gridCol w:w="1705"/>
        <w:gridCol w:w="1893"/>
        <w:gridCol w:w="1705"/>
        <w:gridCol w:w="1703"/>
      </w:tblGrid>
      <w:tr w:rsidR="004A3868">
        <w:trPr>
          <w:trHeight w:val="397"/>
          <w:jc w:val="center"/>
        </w:trPr>
        <w:sdt>
          <w:sdtPr>
            <w:tag w:val="_PLD_ca305564151a412a8452996542c336c8"/>
            <w:id w:val="1871186041"/>
          </w:sdtPr>
          <w:sdtEndPr/>
          <w:sdtContent>
            <w:tc>
              <w:tcPr>
                <w:tcW w:w="1030" w:type="pct"/>
                <w:vAlign w:val="center"/>
              </w:tcPr>
              <w:p w:rsidR="004A3868" w:rsidRDefault="003F1AB5">
                <w:pPr>
                  <w:pStyle w:val="33"/>
                </w:pPr>
                <w:r>
                  <w:t>会议届次</w:t>
                </w:r>
              </w:p>
            </w:tc>
          </w:sdtContent>
        </w:sdt>
        <w:sdt>
          <w:sdtPr>
            <w:tag w:val="_PLD_339c8451b8064684a85c81b08813156b"/>
            <w:id w:val="1558056902"/>
          </w:sdtPr>
          <w:sdtEndPr/>
          <w:sdtContent>
            <w:tc>
              <w:tcPr>
                <w:tcW w:w="966" w:type="pct"/>
                <w:vAlign w:val="center"/>
              </w:tcPr>
              <w:p w:rsidR="004A3868" w:rsidRDefault="003F1AB5">
                <w:pPr>
                  <w:pStyle w:val="33"/>
                </w:pPr>
                <w:r>
                  <w:t>召开日期</w:t>
                </w:r>
              </w:p>
            </w:tc>
          </w:sdtContent>
        </w:sdt>
        <w:sdt>
          <w:sdtPr>
            <w:tag w:val="_PLD_7b97e84dc8f648a0b4bd3bbd757797d1"/>
            <w:id w:val="1854230815"/>
          </w:sdtPr>
          <w:sdtEndPr/>
          <w:sdtContent>
            <w:tc>
              <w:tcPr>
                <w:tcW w:w="1073" w:type="pct"/>
                <w:vAlign w:val="center"/>
              </w:tcPr>
              <w:p w:rsidR="004A3868" w:rsidRDefault="003F1AB5">
                <w:pPr>
                  <w:pStyle w:val="33"/>
                </w:pPr>
                <w:r>
                  <w:t>决议刊登的指定网站的查询索引</w:t>
                </w:r>
              </w:p>
            </w:tc>
          </w:sdtContent>
        </w:sdt>
        <w:sdt>
          <w:sdtPr>
            <w:tag w:val="_PLD_e175ad3c6edc4dc8a87f046a04fe2d07"/>
            <w:id w:val="1629272414"/>
          </w:sdtPr>
          <w:sdtEndPr/>
          <w:sdtContent>
            <w:tc>
              <w:tcPr>
                <w:tcW w:w="966" w:type="pct"/>
                <w:vAlign w:val="center"/>
              </w:tcPr>
              <w:p w:rsidR="004A3868" w:rsidRDefault="003F1AB5">
                <w:pPr>
                  <w:pStyle w:val="33"/>
                </w:pPr>
                <w:r>
                  <w:t>决议刊登的披露日期</w:t>
                </w:r>
              </w:p>
            </w:tc>
          </w:sdtContent>
        </w:sdt>
        <w:sdt>
          <w:sdtPr>
            <w:rPr>
              <w:rFonts w:hint="eastAsia"/>
            </w:rPr>
            <w:tag w:val="_PLD_23fd9aa41f9444b4a6b91c96589bb344"/>
            <w:id w:val="-1070268605"/>
          </w:sdtPr>
          <w:sdtEndPr/>
          <w:sdtContent>
            <w:tc>
              <w:tcPr>
                <w:tcW w:w="965" w:type="pct"/>
                <w:vAlign w:val="center"/>
              </w:tcPr>
              <w:p w:rsidR="004A3868" w:rsidRDefault="003F1AB5">
                <w:pPr>
                  <w:pStyle w:val="33"/>
                </w:pPr>
                <w:r>
                  <w:rPr>
                    <w:rFonts w:hint="eastAsia"/>
                  </w:rPr>
                  <w:t>会议决议</w:t>
                </w:r>
              </w:p>
            </w:tc>
          </w:sdtContent>
        </w:sdt>
      </w:tr>
      <w:tr w:rsidR="004A3868">
        <w:trPr>
          <w:trHeight w:val="397"/>
          <w:jc w:val="center"/>
        </w:trPr>
        <w:tc>
          <w:tcPr>
            <w:tcW w:w="1030" w:type="pct"/>
            <w:vAlign w:val="center"/>
          </w:tcPr>
          <w:p w:rsidR="004A3868" w:rsidRDefault="003F1AB5">
            <w:pPr>
              <w:pStyle w:val="33"/>
            </w:pPr>
            <w:r>
              <w:t>2022</w:t>
            </w:r>
            <w:r>
              <w:t>年年度股东大会</w:t>
            </w:r>
          </w:p>
        </w:tc>
        <w:tc>
          <w:tcPr>
            <w:tcW w:w="966" w:type="pct"/>
            <w:vAlign w:val="center"/>
          </w:tcPr>
          <w:p w:rsidR="004A3868" w:rsidRDefault="003F1AB5">
            <w:pPr>
              <w:pStyle w:val="33"/>
            </w:pPr>
            <w:r>
              <w:t>2023.04.18</w:t>
            </w:r>
          </w:p>
        </w:tc>
        <w:tc>
          <w:tcPr>
            <w:tcW w:w="1073" w:type="pct"/>
            <w:vAlign w:val="center"/>
          </w:tcPr>
          <w:p w:rsidR="004A3868" w:rsidRDefault="003F1AB5">
            <w:pPr>
              <w:pStyle w:val="33"/>
            </w:pPr>
            <w:r>
              <w:t>www.sse.com.cn</w:t>
            </w:r>
          </w:p>
        </w:tc>
        <w:tc>
          <w:tcPr>
            <w:tcW w:w="966" w:type="pct"/>
            <w:vAlign w:val="center"/>
          </w:tcPr>
          <w:p w:rsidR="004A3868" w:rsidRDefault="003F1AB5">
            <w:pPr>
              <w:pStyle w:val="33"/>
            </w:pPr>
            <w:r>
              <w:rPr>
                <w:rFonts w:hint="eastAsia"/>
              </w:rPr>
              <w:t>2</w:t>
            </w:r>
            <w:r>
              <w:t>023.04.19</w:t>
            </w:r>
          </w:p>
        </w:tc>
        <w:tc>
          <w:tcPr>
            <w:tcW w:w="965" w:type="pct"/>
            <w:vAlign w:val="center"/>
          </w:tcPr>
          <w:p w:rsidR="004A3868" w:rsidRDefault="003F1AB5">
            <w:pPr>
              <w:pStyle w:val="33"/>
            </w:pPr>
            <w:r>
              <w:rPr>
                <w:rFonts w:hint="eastAsia"/>
              </w:rPr>
              <w:t>详见《</w:t>
            </w:r>
            <w:r>
              <w:t>2022</w:t>
            </w:r>
            <w:r>
              <w:t>年年度股东大会决议公告</w:t>
            </w:r>
            <w:r>
              <w:rPr>
                <w:rFonts w:hint="eastAsia"/>
              </w:rPr>
              <w:t>》（公告编号：</w:t>
            </w:r>
            <w:r>
              <w:rPr>
                <w:rFonts w:hint="eastAsia"/>
              </w:rPr>
              <w:t>2</w:t>
            </w:r>
            <w:r>
              <w:t>023-014</w:t>
            </w:r>
            <w:r>
              <w:rPr>
                <w:rFonts w:hint="eastAsia"/>
              </w:rPr>
              <w:t>）</w:t>
            </w:r>
          </w:p>
        </w:tc>
      </w:tr>
      <w:tr w:rsidR="004A3868">
        <w:trPr>
          <w:trHeight w:val="397"/>
          <w:jc w:val="center"/>
        </w:trPr>
        <w:tc>
          <w:tcPr>
            <w:tcW w:w="1030" w:type="pct"/>
            <w:vAlign w:val="center"/>
          </w:tcPr>
          <w:p w:rsidR="004A3868" w:rsidRDefault="003F1AB5">
            <w:pPr>
              <w:pStyle w:val="33"/>
            </w:pPr>
            <w:r>
              <w:t>2023</w:t>
            </w:r>
            <w:r>
              <w:rPr>
                <w:rFonts w:hint="eastAsia"/>
              </w:rPr>
              <w:t>年第一次临时股东大会</w:t>
            </w:r>
          </w:p>
        </w:tc>
        <w:tc>
          <w:tcPr>
            <w:tcW w:w="966" w:type="pct"/>
            <w:vAlign w:val="center"/>
          </w:tcPr>
          <w:p w:rsidR="004A3868" w:rsidRDefault="003F1AB5">
            <w:pPr>
              <w:pStyle w:val="33"/>
            </w:pPr>
            <w:r>
              <w:t>2023.05.17</w:t>
            </w:r>
          </w:p>
        </w:tc>
        <w:tc>
          <w:tcPr>
            <w:tcW w:w="1073" w:type="pct"/>
            <w:vAlign w:val="center"/>
          </w:tcPr>
          <w:p w:rsidR="004A3868" w:rsidRDefault="003F1AB5">
            <w:pPr>
              <w:pStyle w:val="33"/>
            </w:pPr>
            <w:r>
              <w:t>www.sse.com.cn</w:t>
            </w:r>
          </w:p>
        </w:tc>
        <w:tc>
          <w:tcPr>
            <w:tcW w:w="966" w:type="pct"/>
            <w:vAlign w:val="center"/>
          </w:tcPr>
          <w:p w:rsidR="004A3868" w:rsidRDefault="003F1AB5">
            <w:pPr>
              <w:pStyle w:val="33"/>
            </w:pPr>
            <w:r>
              <w:rPr>
                <w:rFonts w:hint="eastAsia"/>
              </w:rPr>
              <w:t>2</w:t>
            </w:r>
            <w:r>
              <w:t>023.05.18</w:t>
            </w:r>
          </w:p>
        </w:tc>
        <w:tc>
          <w:tcPr>
            <w:tcW w:w="965" w:type="pct"/>
            <w:vAlign w:val="center"/>
          </w:tcPr>
          <w:p w:rsidR="004A3868" w:rsidRDefault="003F1AB5">
            <w:pPr>
              <w:pStyle w:val="33"/>
            </w:pPr>
            <w:r>
              <w:rPr>
                <w:rFonts w:hint="eastAsia"/>
              </w:rPr>
              <w:t>详见《</w:t>
            </w:r>
            <w:r>
              <w:t>2023</w:t>
            </w:r>
            <w:r>
              <w:t>年</w:t>
            </w:r>
            <w:r>
              <w:rPr>
                <w:rFonts w:hint="eastAsia"/>
              </w:rPr>
              <w:t>第一次临时</w:t>
            </w:r>
            <w:r>
              <w:t>股东大会决议公告</w:t>
            </w:r>
            <w:r>
              <w:rPr>
                <w:rFonts w:hint="eastAsia"/>
              </w:rPr>
              <w:t>》（公告编号：</w:t>
            </w:r>
            <w:r>
              <w:rPr>
                <w:rFonts w:hint="eastAsia"/>
              </w:rPr>
              <w:t>2</w:t>
            </w:r>
            <w:r>
              <w:t>023-026</w:t>
            </w:r>
            <w:r>
              <w:rPr>
                <w:rFonts w:hint="eastAsia"/>
              </w:rPr>
              <w:t>）</w:t>
            </w:r>
          </w:p>
        </w:tc>
      </w:tr>
      <w:tr w:rsidR="004A3868">
        <w:trPr>
          <w:trHeight w:val="397"/>
          <w:jc w:val="center"/>
        </w:trPr>
        <w:tc>
          <w:tcPr>
            <w:tcW w:w="1030" w:type="pct"/>
            <w:vAlign w:val="center"/>
          </w:tcPr>
          <w:p w:rsidR="004A3868" w:rsidRDefault="003F1AB5">
            <w:pPr>
              <w:pStyle w:val="33"/>
            </w:pPr>
            <w:r>
              <w:rPr>
                <w:rFonts w:hint="eastAsia"/>
              </w:rPr>
              <w:t>2</w:t>
            </w:r>
            <w:r>
              <w:t>023</w:t>
            </w:r>
            <w:r>
              <w:rPr>
                <w:rFonts w:hint="eastAsia"/>
              </w:rPr>
              <w:t>年第二次临时股东大会</w:t>
            </w:r>
          </w:p>
        </w:tc>
        <w:tc>
          <w:tcPr>
            <w:tcW w:w="966" w:type="pct"/>
            <w:vAlign w:val="center"/>
          </w:tcPr>
          <w:p w:rsidR="004A3868" w:rsidRDefault="003F1AB5">
            <w:pPr>
              <w:pStyle w:val="33"/>
            </w:pPr>
            <w:r>
              <w:t>2023.11.13</w:t>
            </w:r>
          </w:p>
        </w:tc>
        <w:tc>
          <w:tcPr>
            <w:tcW w:w="1073" w:type="pct"/>
            <w:vAlign w:val="center"/>
          </w:tcPr>
          <w:p w:rsidR="004A3868" w:rsidRDefault="003F1AB5">
            <w:pPr>
              <w:pStyle w:val="33"/>
            </w:pPr>
            <w:r>
              <w:t>www.sse.com.cn</w:t>
            </w:r>
          </w:p>
        </w:tc>
        <w:tc>
          <w:tcPr>
            <w:tcW w:w="966" w:type="pct"/>
            <w:vAlign w:val="center"/>
          </w:tcPr>
          <w:p w:rsidR="004A3868" w:rsidRDefault="003F1AB5">
            <w:pPr>
              <w:pStyle w:val="33"/>
            </w:pPr>
            <w:r>
              <w:rPr>
                <w:rFonts w:hint="eastAsia"/>
              </w:rPr>
              <w:t>2</w:t>
            </w:r>
            <w:r>
              <w:t>023.11.14</w:t>
            </w:r>
          </w:p>
        </w:tc>
        <w:tc>
          <w:tcPr>
            <w:tcW w:w="965" w:type="pct"/>
            <w:vAlign w:val="center"/>
          </w:tcPr>
          <w:p w:rsidR="004A3868" w:rsidRDefault="003F1AB5">
            <w:pPr>
              <w:pStyle w:val="33"/>
            </w:pPr>
            <w:r>
              <w:rPr>
                <w:rFonts w:hint="eastAsia"/>
              </w:rPr>
              <w:t>详见《</w:t>
            </w:r>
            <w:r>
              <w:t>2023</w:t>
            </w:r>
            <w:r>
              <w:t>年</w:t>
            </w:r>
            <w:r>
              <w:rPr>
                <w:rFonts w:hint="eastAsia"/>
              </w:rPr>
              <w:t>第二次临时</w:t>
            </w:r>
            <w:r>
              <w:t>股东大会决议公告</w:t>
            </w:r>
            <w:r>
              <w:rPr>
                <w:rFonts w:hint="eastAsia"/>
              </w:rPr>
              <w:t>》（公告编号：</w:t>
            </w:r>
            <w:r>
              <w:rPr>
                <w:rFonts w:hint="eastAsia"/>
              </w:rPr>
              <w:t>2</w:t>
            </w:r>
            <w:r>
              <w:t>023-054</w:t>
            </w:r>
            <w:r>
              <w:rPr>
                <w:rFonts w:hint="eastAsia"/>
              </w:rPr>
              <w:t>）</w:t>
            </w:r>
          </w:p>
        </w:tc>
      </w:tr>
    </w:tbl>
    <w:p w:rsidR="004A3868" w:rsidRDefault="004A3868">
      <w:pPr>
        <w:pStyle w:val="Style124"/>
      </w:pPr>
    </w:p>
    <w:p w:rsidR="004A3868" w:rsidRDefault="003F1AB5">
      <w:pPr>
        <w:rPr>
          <w:sz w:val="21"/>
          <w:szCs w:val="21"/>
        </w:rPr>
      </w:pPr>
      <w:r>
        <w:rPr>
          <w:rFonts w:hint="eastAsia"/>
          <w:sz w:val="21"/>
          <w:szCs w:val="21"/>
        </w:rPr>
        <w:t>表决权恢复的优先股股东请求召开临时股东大会</w:t>
      </w:r>
    </w:p>
    <w:bookmarkStart w:id="47" w:name="_Hlk41294309" w:displacedByCustomXml="next"/>
    <w:bookmarkStart w:id="48" w:name="_Hlk89178901" w:displacedByCustomXml="next"/>
    <w:sdt>
      <w:sdtPr>
        <w:rPr>
          <w:sz w:val="21"/>
          <w:szCs w:val="21"/>
        </w:rPr>
        <w:alias w:val="是否适用：表决权恢复的优先股股东请求召开临时股东大会[双击切换]"/>
        <w:tag w:val="_GBC_daa6d818841c4c078ecf082b84efd616"/>
        <w:id w:val="346985420"/>
        <w:placeholder>
          <w:docPart w:val="GBC22222222222222222222222222222"/>
        </w:placeholder>
      </w:sdtPr>
      <w:sdtEndPr/>
      <w:sdtContent>
        <w:p w:rsidR="004A3868" w:rsidRDefault="003F1AB5">
          <w:pPr>
            <w:rPr>
              <w:color w:val="333399"/>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48"/>
    <w:bookmarkEnd w:id="47"/>
    <w:p w:rsidR="004A3868" w:rsidRDefault="003F1AB5">
      <w:pPr>
        <w:pStyle w:val="Style124"/>
      </w:pPr>
      <w:r>
        <w:t>股东大会情况说明</w:t>
      </w:r>
    </w:p>
    <w:sdt>
      <w:sdtPr>
        <w:alias w:val="是否适用：股东大会情况说明[双击切换]"/>
        <w:tag w:val="_GBC_417d33555ab14709b5640c8830ff5a67"/>
        <w:id w:val="1605294945"/>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4A3868">
      <w:pPr>
        <w:pStyle w:val="Style124"/>
      </w:pPr>
    </w:p>
    <w:p w:rsidR="004A3868" w:rsidRDefault="004A3868">
      <w:pPr>
        <w:sectPr w:rsidR="004A3868">
          <w:pgSz w:w="11906" w:h="16838"/>
          <w:pgMar w:top="1525" w:right="1276" w:bottom="1440" w:left="1797" w:header="855" w:footer="992" w:gutter="0"/>
          <w:cols w:space="425"/>
          <w:docGrid w:linePitch="312"/>
        </w:sectPr>
      </w:pPr>
    </w:p>
    <w:p w:rsidR="004A3868" w:rsidRDefault="003F1AB5">
      <w:pPr>
        <w:pStyle w:val="2"/>
        <w:numPr>
          <w:ilvl w:val="0"/>
          <w:numId w:val="21"/>
        </w:numPr>
      </w:pPr>
      <w:r>
        <w:lastRenderedPageBreak/>
        <w:t>董事、监事和高级管理人员的情况</w:t>
      </w:r>
    </w:p>
    <w:p w:rsidR="004A3868" w:rsidRDefault="003F1AB5">
      <w:pPr>
        <w:pStyle w:val="Style127"/>
        <w:numPr>
          <w:ilvl w:val="0"/>
          <w:numId w:val="22"/>
        </w:numPr>
      </w:pPr>
      <w:r>
        <w:t>现任及报告期内离任董事</w:t>
      </w:r>
      <w:r>
        <w:rPr>
          <w:rFonts w:hint="eastAsia"/>
        </w:rPr>
        <w:t>、监事和</w:t>
      </w:r>
      <w:r>
        <w:t>高级管理人员持股变动及报酬情况</w:t>
      </w:r>
    </w:p>
    <w:bookmarkStart w:id="49" w:name="_Hlk89179934" w:displacedByCustomXml="next"/>
    <w:sdt>
      <w:sdtPr>
        <w:alias w:val="是否适用：董事、监事和高级管理人员持股变动[双击切换]"/>
        <w:tag w:val="_GBC_336639f5f1254c87a3d81a366e432afd"/>
        <w:id w:val="2053107217"/>
        <w:lock w:val="conten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董事、监事、高级管理人员基本情况"/>
          <w:tag w:val="_GBC_3851936d51d842bf9f2c82131d0787cc"/>
          <w:id w:val="171168896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ff5"/>
        <w:tblW w:w="5000" w:type="pct"/>
        <w:jc w:val="center"/>
        <w:tblLayout w:type="fixed"/>
        <w:tblCellMar>
          <w:left w:w="0" w:type="dxa"/>
          <w:right w:w="28" w:type="dxa"/>
        </w:tblCellMar>
        <w:tblLook w:val="04A0" w:firstRow="1" w:lastRow="0" w:firstColumn="1" w:lastColumn="0" w:noHBand="0" w:noVBand="1"/>
      </w:tblPr>
      <w:tblGrid>
        <w:gridCol w:w="997"/>
        <w:gridCol w:w="1081"/>
        <w:gridCol w:w="829"/>
        <w:gridCol w:w="829"/>
        <w:gridCol w:w="1417"/>
        <w:gridCol w:w="1417"/>
        <w:gridCol w:w="1417"/>
        <w:gridCol w:w="1417"/>
        <w:gridCol w:w="1201"/>
        <w:gridCol w:w="1098"/>
        <w:gridCol w:w="1090"/>
        <w:gridCol w:w="1070"/>
      </w:tblGrid>
      <w:tr w:rsidR="004A3868">
        <w:trPr>
          <w:trHeight w:val="397"/>
          <w:jc w:val="center"/>
        </w:trPr>
        <w:sdt>
          <w:sdtPr>
            <w:tag w:val="_PLD_3e935958e5b542f38f53ca8a2618690d"/>
            <w:id w:val="1938161315"/>
          </w:sdtPr>
          <w:sdtEndPr/>
          <w:sdtContent>
            <w:tc>
              <w:tcPr>
                <w:tcW w:w="360" w:type="pct"/>
                <w:vAlign w:val="center"/>
              </w:tcPr>
              <w:p w:rsidR="004A3868" w:rsidRDefault="003F1AB5">
                <w:pPr>
                  <w:pStyle w:val="33"/>
                </w:pPr>
                <w:r>
                  <w:t>姓名</w:t>
                </w:r>
              </w:p>
            </w:tc>
          </w:sdtContent>
        </w:sdt>
        <w:sdt>
          <w:sdtPr>
            <w:tag w:val="_PLD_5ecaa59058dd4312acb6ebb4d88eb6c8"/>
            <w:id w:val="779767790"/>
          </w:sdtPr>
          <w:sdtEndPr/>
          <w:sdtContent>
            <w:tc>
              <w:tcPr>
                <w:tcW w:w="390" w:type="pct"/>
                <w:vAlign w:val="center"/>
              </w:tcPr>
              <w:p w:rsidR="004A3868" w:rsidRDefault="003F1AB5">
                <w:pPr>
                  <w:pStyle w:val="33"/>
                </w:pPr>
                <w:r>
                  <w:t>职务</w:t>
                </w:r>
              </w:p>
            </w:tc>
          </w:sdtContent>
        </w:sdt>
        <w:sdt>
          <w:sdtPr>
            <w:tag w:val="_PLD_f907f9c5cdf94b2ba9e217c0aaaf2c60"/>
            <w:id w:val="-1181508857"/>
          </w:sdtPr>
          <w:sdtEndPr/>
          <w:sdtContent>
            <w:tc>
              <w:tcPr>
                <w:tcW w:w="299" w:type="pct"/>
                <w:vAlign w:val="center"/>
              </w:tcPr>
              <w:p w:rsidR="004A3868" w:rsidRDefault="003F1AB5">
                <w:pPr>
                  <w:pStyle w:val="33"/>
                </w:pPr>
                <w:r>
                  <w:t>性别</w:t>
                </w:r>
              </w:p>
            </w:tc>
          </w:sdtContent>
        </w:sdt>
        <w:sdt>
          <w:sdtPr>
            <w:tag w:val="_PLD_9b2689bca35f4a3ebc7adf135b295bd6"/>
            <w:id w:val="-1213032251"/>
          </w:sdtPr>
          <w:sdtEndPr/>
          <w:sdtContent>
            <w:tc>
              <w:tcPr>
                <w:tcW w:w="299" w:type="pct"/>
                <w:vAlign w:val="center"/>
              </w:tcPr>
              <w:p w:rsidR="004A3868" w:rsidRDefault="003F1AB5">
                <w:pPr>
                  <w:pStyle w:val="33"/>
                </w:pPr>
                <w:r>
                  <w:t>年龄</w:t>
                </w:r>
              </w:p>
            </w:tc>
          </w:sdtContent>
        </w:sdt>
        <w:sdt>
          <w:sdtPr>
            <w:tag w:val="_PLD_3844eb481c79444fba199a9d3c3b8bf7"/>
            <w:id w:val="694507186"/>
          </w:sdtPr>
          <w:sdtEndPr/>
          <w:sdtContent>
            <w:tc>
              <w:tcPr>
                <w:tcW w:w="511" w:type="pct"/>
                <w:vAlign w:val="center"/>
              </w:tcPr>
              <w:p w:rsidR="004A3868" w:rsidRDefault="003F1AB5">
                <w:pPr>
                  <w:pStyle w:val="33"/>
                </w:pPr>
                <w:r>
                  <w:t>任期起始日期</w:t>
                </w:r>
              </w:p>
            </w:tc>
          </w:sdtContent>
        </w:sdt>
        <w:sdt>
          <w:sdtPr>
            <w:tag w:val="_PLD_94806df607544b4b97b389da94daaf66"/>
            <w:id w:val="1203436938"/>
          </w:sdtPr>
          <w:sdtEndPr/>
          <w:sdtContent>
            <w:tc>
              <w:tcPr>
                <w:tcW w:w="511" w:type="pct"/>
                <w:vAlign w:val="center"/>
              </w:tcPr>
              <w:p w:rsidR="004A3868" w:rsidRDefault="003F1AB5">
                <w:pPr>
                  <w:pStyle w:val="33"/>
                </w:pPr>
                <w:r>
                  <w:t>任期终止日期</w:t>
                </w:r>
              </w:p>
            </w:tc>
          </w:sdtContent>
        </w:sdt>
        <w:sdt>
          <w:sdtPr>
            <w:tag w:val="_PLD_5e35d588fd7f4cb3af49fcbd9e313ac2"/>
            <w:id w:val="177777950"/>
          </w:sdtPr>
          <w:sdtEndPr/>
          <w:sdtContent>
            <w:tc>
              <w:tcPr>
                <w:tcW w:w="511" w:type="pct"/>
                <w:vAlign w:val="center"/>
              </w:tcPr>
              <w:p w:rsidR="004A3868" w:rsidRDefault="003F1AB5">
                <w:pPr>
                  <w:pStyle w:val="33"/>
                </w:pPr>
                <w:r>
                  <w:t>年初持股数</w:t>
                </w:r>
              </w:p>
            </w:tc>
          </w:sdtContent>
        </w:sdt>
        <w:sdt>
          <w:sdtPr>
            <w:tag w:val="_PLD_af0cabd7e3f44b95b26464bc652333c2"/>
            <w:id w:val="-1319487935"/>
          </w:sdtPr>
          <w:sdtEndPr/>
          <w:sdtContent>
            <w:tc>
              <w:tcPr>
                <w:tcW w:w="511" w:type="pct"/>
                <w:vAlign w:val="center"/>
              </w:tcPr>
              <w:p w:rsidR="004A3868" w:rsidRDefault="003F1AB5">
                <w:pPr>
                  <w:pStyle w:val="33"/>
                </w:pPr>
                <w:r>
                  <w:t>年末持股数</w:t>
                </w:r>
              </w:p>
            </w:tc>
          </w:sdtContent>
        </w:sdt>
        <w:sdt>
          <w:sdtPr>
            <w:tag w:val="_PLD_0b9453da77b34ba68718efe69463399a"/>
            <w:id w:val="-1356033296"/>
          </w:sdtPr>
          <w:sdtEndPr/>
          <w:sdtContent>
            <w:tc>
              <w:tcPr>
                <w:tcW w:w="433" w:type="pct"/>
                <w:vAlign w:val="center"/>
              </w:tcPr>
              <w:p w:rsidR="004A3868" w:rsidRDefault="003F1AB5">
                <w:pPr>
                  <w:pStyle w:val="33"/>
                </w:pPr>
                <w:r>
                  <w:t>年度内股份增减变动量</w:t>
                </w:r>
              </w:p>
            </w:tc>
          </w:sdtContent>
        </w:sdt>
        <w:sdt>
          <w:sdtPr>
            <w:tag w:val="_PLD_32c045d1529e42b7999b1f0c6b6e43a6"/>
            <w:id w:val="1572475451"/>
          </w:sdtPr>
          <w:sdtEndPr/>
          <w:sdtContent>
            <w:tc>
              <w:tcPr>
                <w:tcW w:w="396" w:type="pct"/>
                <w:vAlign w:val="center"/>
              </w:tcPr>
              <w:p w:rsidR="004A3868" w:rsidRDefault="003F1AB5">
                <w:pPr>
                  <w:pStyle w:val="33"/>
                </w:pPr>
                <w:r>
                  <w:t>增减变动原因</w:t>
                </w:r>
              </w:p>
            </w:tc>
          </w:sdtContent>
        </w:sdt>
        <w:sdt>
          <w:sdtPr>
            <w:rPr>
              <w:rFonts w:hint="eastAsia"/>
            </w:rPr>
            <w:tag w:val="_PLD_47ee572944fa4c8098ef9eeca67d2eb2"/>
            <w:id w:val="1867555959"/>
            <w:placeholder>
              <w:docPart w:val="GBC11111111111111111111111111111"/>
            </w:placeholder>
          </w:sdtPr>
          <w:sdtEndPr/>
          <w:sdtContent>
            <w:tc>
              <w:tcPr>
                <w:tcW w:w="393" w:type="pct"/>
                <w:vAlign w:val="center"/>
              </w:tcPr>
              <w:p w:rsidR="004A3868" w:rsidRDefault="003F1AB5">
                <w:pPr>
                  <w:pStyle w:val="33"/>
                </w:pPr>
                <w:r>
                  <w:rPr>
                    <w:rFonts w:hint="eastAsia"/>
                  </w:rPr>
                  <w:t>报告期内从公司获得的税前报酬总额（</w:t>
                </w:r>
                <w:sdt>
                  <w:sdtPr>
                    <w:rPr>
                      <w:rFonts w:hint="eastAsia"/>
                    </w:rPr>
                    <w:alias w:val="单位：报告期内从公司获得的税前报酬总额"/>
                    <w:tag w:val="_GBC_84bf98b6209e4e62813239bd0860e78d"/>
                    <w:id w:val="-1519544548"/>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sdtContent>
        </w:sdt>
        <w:sdt>
          <w:sdtPr>
            <w:rPr>
              <w:rFonts w:hint="eastAsia"/>
            </w:rPr>
            <w:tag w:val="_PLD_efdfb631398b46bfa3656e39fd8c5fca"/>
            <w:id w:val="-823045768"/>
          </w:sdtPr>
          <w:sdtEndPr/>
          <w:sdtContent>
            <w:tc>
              <w:tcPr>
                <w:tcW w:w="389" w:type="pct"/>
                <w:vAlign w:val="center"/>
              </w:tcPr>
              <w:p w:rsidR="004A3868" w:rsidRDefault="003F1AB5">
                <w:pPr>
                  <w:pStyle w:val="33"/>
                </w:pPr>
                <w:r>
                  <w:rPr>
                    <w:rFonts w:hint="eastAsia"/>
                  </w:rPr>
                  <w:t>是否在公司关联方获取报酬</w:t>
                </w:r>
              </w:p>
            </w:tc>
          </w:sdtContent>
        </w:sdt>
      </w:tr>
      <w:tr w:rsidR="004A3868">
        <w:trPr>
          <w:trHeight w:val="397"/>
          <w:jc w:val="center"/>
        </w:trPr>
        <w:tc>
          <w:tcPr>
            <w:tcW w:w="360" w:type="pct"/>
            <w:vAlign w:val="center"/>
          </w:tcPr>
          <w:p w:rsidR="004A3868" w:rsidRDefault="003F1AB5">
            <w:pPr>
              <w:pStyle w:val="33"/>
            </w:pPr>
            <w:r>
              <w:rPr>
                <w:rFonts w:hint="eastAsia"/>
              </w:rPr>
              <w:t>杨泽民</w:t>
            </w:r>
          </w:p>
        </w:tc>
        <w:tc>
          <w:tcPr>
            <w:tcW w:w="390" w:type="pct"/>
            <w:vAlign w:val="center"/>
          </w:tcPr>
          <w:p w:rsidR="004A3868" w:rsidRDefault="003F1AB5">
            <w:pPr>
              <w:pStyle w:val="33"/>
            </w:pPr>
            <w:r>
              <w:rPr>
                <w:rFonts w:hint="eastAsia"/>
              </w:rPr>
              <w:t>董事长、总经理</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5</w:t>
            </w:r>
            <w:r>
              <w:t>7</w:t>
            </w:r>
          </w:p>
        </w:tc>
        <w:tc>
          <w:tcPr>
            <w:tcW w:w="511" w:type="pct"/>
            <w:vAlign w:val="bottom"/>
          </w:tcPr>
          <w:p w:rsidR="004A3868" w:rsidRDefault="003F1AB5">
            <w:pPr>
              <w:pStyle w:val="afff7"/>
            </w:pPr>
            <w:r>
              <w:rPr>
                <w:rFonts w:hint="eastAsia"/>
              </w:rPr>
              <w:t>2</w:t>
            </w:r>
            <w:r>
              <w:t>014.12.15</w:t>
            </w:r>
          </w:p>
        </w:tc>
        <w:tc>
          <w:tcPr>
            <w:tcW w:w="511" w:type="pct"/>
            <w:vAlign w:val="bottom"/>
          </w:tcPr>
          <w:p w:rsidR="004A3868" w:rsidRDefault="003F1AB5">
            <w:pPr>
              <w:pStyle w:val="afff7"/>
            </w:pPr>
            <w:r>
              <w:rPr>
                <w:rFonts w:hint="eastAsia"/>
              </w:rPr>
              <w:t>2</w:t>
            </w:r>
            <w:r>
              <w:t>026.11.12</w:t>
            </w:r>
          </w:p>
        </w:tc>
        <w:tc>
          <w:tcPr>
            <w:tcW w:w="511" w:type="pct"/>
            <w:vAlign w:val="bottom"/>
          </w:tcPr>
          <w:p w:rsidR="004A3868" w:rsidRDefault="003F1AB5">
            <w:pPr>
              <w:pStyle w:val="afff7"/>
            </w:pPr>
            <w:r>
              <w:t>52,618,391</w:t>
            </w:r>
          </w:p>
        </w:tc>
        <w:tc>
          <w:tcPr>
            <w:tcW w:w="511" w:type="pct"/>
            <w:vAlign w:val="bottom"/>
          </w:tcPr>
          <w:p w:rsidR="004A3868" w:rsidRDefault="003F1AB5">
            <w:pPr>
              <w:pStyle w:val="afff7"/>
            </w:pPr>
            <w:r>
              <w:t>52,618,391</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62.93</w:t>
            </w:r>
          </w:p>
        </w:tc>
        <w:sdt>
          <w:sdtPr>
            <w:alias w:val="董事、监事、高级管理人员是否在公司关联方获取报酬"/>
            <w:tag w:val="_GBC_ca79c4e139754ecd84ca3e60eb23b31d"/>
            <w:id w:val="-1147663071"/>
            <w:comboBox>
              <w:listItem w:displayText="是" w:value="是"/>
              <w:listItem w:displayText="否" w:value="否"/>
            </w:comboBox>
          </w:sdtPr>
          <w:sdtEndPr/>
          <w:sdtContent>
            <w:tc>
              <w:tcPr>
                <w:tcW w:w="389" w:type="pct"/>
                <w:vAlign w:val="bottom"/>
              </w:tcPr>
              <w:p w:rsidR="004A3868" w:rsidRDefault="003F1AB5">
                <w:pPr>
                  <w:pStyle w:val="33"/>
                </w:pPr>
                <w:r>
                  <w:t>否</w:t>
                </w:r>
              </w:p>
            </w:tc>
          </w:sdtContent>
        </w:sdt>
      </w:tr>
      <w:tr w:rsidR="004A3868">
        <w:trPr>
          <w:trHeight w:val="397"/>
          <w:jc w:val="center"/>
        </w:trPr>
        <w:tc>
          <w:tcPr>
            <w:tcW w:w="360" w:type="pct"/>
            <w:vAlign w:val="center"/>
          </w:tcPr>
          <w:p w:rsidR="004A3868" w:rsidRDefault="003F1AB5">
            <w:pPr>
              <w:pStyle w:val="33"/>
            </w:pPr>
            <w:r>
              <w:rPr>
                <w:rFonts w:hint="eastAsia"/>
              </w:rPr>
              <w:t>杨林</w:t>
            </w:r>
          </w:p>
        </w:tc>
        <w:tc>
          <w:tcPr>
            <w:tcW w:w="390" w:type="pct"/>
            <w:vAlign w:val="center"/>
          </w:tcPr>
          <w:p w:rsidR="004A3868" w:rsidRDefault="003F1AB5">
            <w:pPr>
              <w:pStyle w:val="33"/>
            </w:pPr>
            <w:r>
              <w:rPr>
                <w:rFonts w:hint="eastAsia"/>
              </w:rPr>
              <w:t>董事、副总经理</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4</w:t>
            </w:r>
            <w:r>
              <w:t>4</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2.55</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胡守天</w:t>
            </w:r>
          </w:p>
        </w:tc>
        <w:tc>
          <w:tcPr>
            <w:tcW w:w="390" w:type="pct"/>
            <w:vAlign w:val="center"/>
          </w:tcPr>
          <w:p w:rsidR="004A3868" w:rsidRDefault="003F1AB5">
            <w:pPr>
              <w:pStyle w:val="33"/>
            </w:pPr>
            <w:r>
              <w:rPr>
                <w:rFonts w:hint="eastAsia"/>
              </w:rPr>
              <w:t>董事、副总经理</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5</w:t>
            </w:r>
            <w:r>
              <w:t>1</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6.88</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付康</w:t>
            </w:r>
          </w:p>
        </w:tc>
        <w:tc>
          <w:tcPr>
            <w:tcW w:w="390" w:type="pct"/>
            <w:vAlign w:val="center"/>
          </w:tcPr>
          <w:p w:rsidR="004A3868" w:rsidRDefault="003F1AB5">
            <w:pPr>
              <w:pStyle w:val="33"/>
            </w:pPr>
            <w:r>
              <w:rPr>
                <w:rFonts w:hint="eastAsia"/>
              </w:rPr>
              <w:t>董事</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4</w:t>
            </w:r>
            <w:r>
              <w:t>1</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3.55</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Merge w:val="restart"/>
            <w:vAlign w:val="center"/>
          </w:tcPr>
          <w:p w:rsidR="004A3868" w:rsidRDefault="003F1AB5">
            <w:pPr>
              <w:pStyle w:val="33"/>
            </w:pPr>
            <w:r>
              <w:rPr>
                <w:rFonts w:hint="eastAsia"/>
              </w:rPr>
              <w:t>王海波</w:t>
            </w:r>
          </w:p>
        </w:tc>
        <w:tc>
          <w:tcPr>
            <w:tcW w:w="390" w:type="pct"/>
            <w:vAlign w:val="center"/>
          </w:tcPr>
          <w:p w:rsidR="004A3868" w:rsidRDefault="003F1AB5">
            <w:pPr>
              <w:pStyle w:val="33"/>
            </w:pPr>
            <w:r>
              <w:rPr>
                <w:rFonts w:hint="eastAsia"/>
              </w:rPr>
              <w:t>副总经理</w:t>
            </w:r>
          </w:p>
        </w:tc>
        <w:tc>
          <w:tcPr>
            <w:tcW w:w="299" w:type="pct"/>
            <w:vMerge w:val="restart"/>
            <w:vAlign w:val="bottom"/>
          </w:tcPr>
          <w:p w:rsidR="004A3868" w:rsidRDefault="003F1AB5">
            <w:pPr>
              <w:pStyle w:val="33"/>
            </w:pPr>
            <w:r>
              <w:rPr>
                <w:rFonts w:hint="eastAsia"/>
              </w:rPr>
              <w:t>男</w:t>
            </w:r>
          </w:p>
        </w:tc>
        <w:tc>
          <w:tcPr>
            <w:tcW w:w="299" w:type="pct"/>
            <w:vMerge w:val="restart"/>
            <w:vAlign w:val="bottom"/>
          </w:tcPr>
          <w:p w:rsidR="004A3868" w:rsidRDefault="003F1AB5">
            <w:pPr>
              <w:pStyle w:val="33"/>
            </w:pPr>
            <w:r>
              <w:rPr>
                <w:rFonts w:hint="eastAsia"/>
              </w:rPr>
              <w:t>4</w:t>
            </w:r>
            <w:r>
              <w:t>6</w:t>
            </w:r>
          </w:p>
        </w:tc>
        <w:tc>
          <w:tcPr>
            <w:tcW w:w="511" w:type="pct"/>
            <w:vAlign w:val="bottom"/>
          </w:tcPr>
          <w:p w:rsidR="004A3868" w:rsidRDefault="003F1AB5">
            <w:pPr>
              <w:pStyle w:val="afff7"/>
            </w:pPr>
            <w:r>
              <w:rPr>
                <w:rFonts w:hint="eastAsia"/>
              </w:rPr>
              <w:t>2</w:t>
            </w:r>
            <w:r>
              <w:t>019.04.18</w:t>
            </w:r>
          </w:p>
        </w:tc>
        <w:tc>
          <w:tcPr>
            <w:tcW w:w="511" w:type="pct"/>
            <w:vAlign w:val="bottom"/>
          </w:tcPr>
          <w:p w:rsidR="004A3868" w:rsidRDefault="003F1AB5">
            <w:pPr>
              <w:pStyle w:val="afff7"/>
            </w:pPr>
            <w:r>
              <w:rPr>
                <w:rFonts w:hint="eastAsia"/>
              </w:rPr>
              <w:t>2</w:t>
            </w:r>
            <w:r>
              <w:t>026.11.12</w:t>
            </w:r>
          </w:p>
        </w:tc>
        <w:tc>
          <w:tcPr>
            <w:tcW w:w="511" w:type="pct"/>
            <w:vMerge w:val="restart"/>
            <w:vAlign w:val="bottom"/>
          </w:tcPr>
          <w:p w:rsidR="004A3868" w:rsidRDefault="003F1AB5">
            <w:pPr>
              <w:pStyle w:val="afff7"/>
            </w:pPr>
            <w:r>
              <w:t>100,000</w:t>
            </w:r>
          </w:p>
        </w:tc>
        <w:tc>
          <w:tcPr>
            <w:tcW w:w="511" w:type="pct"/>
            <w:vMerge w:val="restart"/>
            <w:vAlign w:val="bottom"/>
          </w:tcPr>
          <w:p w:rsidR="004A3868" w:rsidRDefault="003F1AB5">
            <w:pPr>
              <w:pStyle w:val="afff7"/>
            </w:pPr>
            <w:r>
              <w:t>75,000</w:t>
            </w:r>
          </w:p>
        </w:tc>
        <w:tc>
          <w:tcPr>
            <w:tcW w:w="433" w:type="pct"/>
            <w:vMerge w:val="restart"/>
            <w:vAlign w:val="bottom"/>
          </w:tcPr>
          <w:p w:rsidR="004A3868" w:rsidRDefault="003F1AB5">
            <w:pPr>
              <w:pStyle w:val="afff7"/>
            </w:pPr>
            <w:r>
              <w:t>-25,000</w:t>
            </w:r>
          </w:p>
        </w:tc>
        <w:tc>
          <w:tcPr>
            <w:tcW w:w="396" w:type="pct"/>
            <w:vMerge w:val="restart"/>
            <w:vAlign w:val="bottom"/>
          </w:tcPr>
          <w:p w:rsidR="004A3868" w:rsidRDefault="003F1AB5">
            <w:pPr>
              <w:pStyle w:val="afff7"/>
            </w:pPr>
            <w:r>
              <w:rPr>
                <w:rFonts w:hint="eastAsia"/>
              </w:rPr>
              <w:t>个人原因减持</w:t>
            </w:r>
          </w:p>
        </w:tc>
        <w:tc>
          <w:tcPr>
            <w:tcW w:w="393" w:type="pct"/>
            <w:vMerge w:val="restart"/>
            <w:vAlign w:val="bottom"/>
          </w:tcPr>
          <w:p w:rsidR="004A3868" w:rsidRDefault="003F1AB5">
            <w:pPr>
              <w:pStyle w:val="afff7"/>
            </w:pPr>
            <w:r>
              <w:t xml:space="preserve">29.33 </w:t>
            </w:r>
          </w:p>
        </w:tc>
        <w:tc>
          <w:tcPr>
            <w:tcW w:w="389" w:type="pct"/>
            <w:vMerge w:val="restart"/>
            <w:vAlign w:val="bottom"/>
          </w:tcPr>
          <w:p w:rsidR="004A3868" w:rsidRDefault="003F1AB5">
            <w:pPr>
              <w:pStyle w:val="33"/>
            </w:pPr>
            <w:r>
              <w:rPr>
                <w:rFonts w:hint="eastAsia"/>
              </w:rPr>
              <w:t>否</w:t>
            </w:r>
          </w:p>
        </w:tc>
      </w:tr>
      <w:tr w:rsidR="004A3868">
        <w:trPr>
          <w:trHeight w:val="397"/>
          <w:jc w:val="center"/>
        </w:trPr>
        <w:tc>
          <w:tcPr>
            <w:tcW w:w="360" w:type="pct"/>
            <w:vMerge/>
            <w:vAlign w:val="center"/>
          </w:tcPr>
          <w:p w:rsidR="004A3868" w:rsidRDefault="004A3868">
            <w:pPr>
              <w:pStyle w:val="33"/>
            </w:pPr>
          </w:p>
        </w:tc>
        <w:tc>
          <w:tcPr>
            <w:tcW w:w="390" w:type="pct"/>
            <w:vAlign w:val="center"/>
          </w:tcPr>
          <w:p w:rsidR="004A3868" w:rsidRDefault="003F1AB5">
            <w:pPr>
              <w:pStyle w:val="33"/>
            </w:pPr>
            <w:r>
              <w:rPr>
                <w:rFonts w:hint="eastAsia"/>
              </w:rPr>
              <w:t>董事</w:t>
            </w:r>
          </w:p>
        </w:tc>
        <w:tc>
          <w:tcPr>
            <w:tcW w:w="299" w:type="pct"/>
            <w:vMerge/>
            <w:vAlign w:val="bottom"/>
          </w:tcPr>
          <w:p w:rsidR="004A3868" w:rsidRDefault="004A3868">
            <w:pPr>
              <w:pStyle w:val="33"/>
            </w:pPr>
          </w:p>
        </w:tc>
        <w:tc>
          <w:tcPr>
            <w:tcW w:w="299" w:type="pct"/>
            <w:vMerge/>
            <w:vAlign w:val="bottom"/>
          </w:tcPr>
          <w:p w:rsidR="004A3868" w:rsidRDefault="004A3868">
            <w:pPr>
              <w:pStyle w:val="33"/>
            </w:pP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Merge/>
            <w:vAlign w:val="bottom"/>
          </w:tcPr>
          <w:p w:rsidR="004A3868" w:rsidRDefault="004A3868">
            <w:pPr>
              <w:pStyle w:val="afff7"/>
            </w:pPr>
          </w:p>
        </w:tc>
        <w:tc>
          <w:tcPr>
            <w:tcW w:w="511" w:type="pct"/>
            <w:vMerge/>
            <w:vAlign w:val="bottom"/>
          </w:tcPr>
          <w:p w:rsidR="004A3868" w:rsidRDefault="004A3868">
            <w:pPr>
              <w:pStyle w:val="afff7"/>
            </w:pPr>
          </w:p>
        </w:tc>
        <w:tc>
          <w:tcPr>
            <w:tcW w:w="433" w:type="pct"/>
            <w:vMerge/>
            <w:vAlign w:val="bottom"/>
          </w:tcPr>
          <w:p w:rsidR="004A3868" w:rsidRDefault="004A3868">
            <w:pPr>
              <w:pStyle w:val="afff7"/>
            </w:pPr>
          </w:p>
        </w:tc>
        <w:tc>
          <w:tcPr>
            <w:tcW w:w="396" w:type="pct"/>
            <w:vMerge/>
            <w:vAlign w:val="bottom"/>
          </w:tcPr>
          <w:p w:rsidR="004A3868" w:rsidRDefault="004A3868">
            <w:pPr>
              <w:pStyle w:val="afff7"/>
            </w:pPr>
          </w:p>
        </w:tc>
        <w:tc>
          <w:tcPr>
            <w:tcW w:w="393" w:type="pct"/>
            <w:vMerge/>
            <w:vAlign w:val="bottom"/>
          </w:tcPr>
          <w:p w:rsidR="004A3868" w:rsidRDefault="004A3868">
            <w:pPr>
              <w:pStyle w:val="afff7"/>
            </w:pPr>
          </w:p>
        </w:tc>
        <w:tc>
          <w:tcPr>
            <w:tcW w:w="389" w:type="pct"/>
            <w:vMerge/>
            <w:vAlign w:val="bottom"/>
          </w:tcPr>
          <w:p w:rsidR="004A3868" w:rsidRDefault="004A3868">
            <w:pPr>
              <w:pStyle w:val="33"/>
            </w:pPr>
          </w:p>
        </w:tc>
      </w:tr>
      <w:tr w:rsidR="004A3868">
        <w:trPr>
          <w:trHeight w:val="397"/>
          <w:jc w:val="center"/>
        </w:trPr>
        <w:tc>
          <w:tcPr>
            <w:tcW w:w="360" w:type="pct"/>
            <w:vAlign w:val="center"/>
          </w:tcPr>
          <w:p w:rsidR="004A3868" w:rsidRDefault="003F1AB5">
            <w:pPr>
              <w:pStyle w:val="33"/>
            </w:pPr>
            <w:r>
              <w:rPr>
                <w:rFonts w:hint="eastAsia"/>
              </w:rPr>
              <w:t>皮统政</w:t>
            </w:r>
          </w:p>
        </w:tc>
        <w:tc>
          <w:tcPr>
            <w:tcW w:w="390" w:type="pct"/>
            <w:vAlign w:val="center"/>
          </w:tcPr>
          <w:p w:rsidR="004A3868" w:rsidRDefault="003F1AB5">
            <w:pPr>
              <w:pStyle w:val="33"/>
            </w:pPr>
            <w:r>
              <w:rPr>
                <w:rFonts w:hint="eastAsia"/>
              </w:rPr>
              <w:t>董事</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3</w:t>
            </w:r>
            <w:r>
              <w:t>1</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2.11</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赵宇</w:t>
            </w:r>
          </w:p>
        </w:tc>
        <w:tc>
          <w:tcPr>
            <w:tcW w:w="390" w:type="pct"/>
            <w:vAlign w:val="center"/>
          </w:tcPr>
          <w:p w:rsidR="004A3868" w:rsidRDefault="003F1AB5">
            <w:pPr>
              <w:pStyle w:val="33"/>
            </w:pPr>
            <w:r>
              <w:rPr>
                <w:rFonts w:hint="eastAsia"/>
              </w:rPr>
              <w:t>独立董事</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6</w:t>
            </w:r>
            <w:r>
              <w:t>3</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2</w:t>
            </w:r>
            <w:r>
              <w:rPr>
                <w:rFonts w:hint="eastAsia"/>
              </w:rPr>
              <w:t>.00</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沈江</w:t>
            </w:r>
          </w:p>
        </w:tc>
        <w:tc>
          <w:tcPr>
            <w:tcW w:w="390" w:type="pct"/>
            <w:vAlign w:val="center"/>
          </w:tcPr>
          <w:p w:rsidR="004A3868" w:rsidRDefault="003F1AB5">
            <w:pPr>
              <w:pStyle w:val="33"/>
            </w:pPr>
            <w:r>
              <w:rPr>
                <w:rFonts w:hint="eastAsia"/>
              </w:rPr>
              <w:t>独立董事</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6</w:t>
            </w:r>
            <w:r>
              <w:t>4</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2</w:t>
            </w:r>
            <w:r>
              <w:rPr>
                <w:rFonts w:hint="eastAsia"/>
              </w:rPr>
              <w:t>.00</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王勇</w:t>
            </w:r>
          </w:p>
        </w:tc>
        <w:tc>
          <w:tcPr>
            <w:tcW w:w="390" w:type="pct"/>
            <w:vAlign w:val="center"/>
          </w:tcPr>
          <w:p w:rsidR="004A3868" w:rsidRDefault="003F1AB5">
            <w:pPr>
              <w:pStyle w:val="33"/>
            </w:pPr>
            <w:r>
              <w:rPr>
                <w:rFonts w:hint="eastAsia"/>
              </w:rPr>
              <w:t>独立董事</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5</w:t>
            </w:r>
            <w:r>
              <w:t>1</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2</w:t>
            </w:r>
            <w:r>
              <w:rPr>
                <w:rFonts w:hint="eastAsia"/>
              </w:rPr>
              <w:t>.00</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Merge w:val="restart"/>
            <w:vAlign w:val="center"/>
          </w:tcPr>
          <w:p w:rsidR="004A3868" w:rsidRDefault="003F1AB5">
            <w:pPr>
              <w:pStyle w:val="33"/>
            </w:pPr>
            <w:r>
              <w:rPr>
                <w:rFonts w:hint="eastAsia"/>
              </w:rPr>
              <w:t>李长平</w:t>
            </w:r>
          </w:p>
        </w:tc>
        <w:tc>
          <w:tcPr>
            <w:tcW w:w="390" w:type="pct"/>
            <w:vAlign w:val="center"/>
          </w:tcPr>
          <w:p w:rsidR="004A3868" w:rsidRDefault="003F1AB5">
            <w:pPr>
              <w:pStyle w:val="33"/>
            </w:pPr>
            <w:r>
              <w:rPr>
                <w:rFonts w:hint="eastAsia"/>
              </w:rPr>
              <w:t>监事</w:t>
            </w:r>
          </w:p>
        </w:tc>
        <w:tc>
          <w:tcPr>
            <w:tcW w:w="299" w:type="pct"/>
            <w:vMerge w:val="restart"/>
            <w:vAlign w:val="bottom"/>
          </w:tcPr>
          <w:p w:rsidR="004A3868" w:rsidRDefault="003F1AB5">
            <w:pPr>
              <w:pStyle w:val="33"/>
            </w:pPr>
            <w:r>
              <w:rPr>
                <w:rFonts w:hint="eastAsia"/>
              </w:rPr>
              <w:t>男</w:t>
            </w:r>
          </w:p>
        </w:tc>
        <w:tc>
          <w:tcPr>
            <w:tcW w:w="299" w:type="pct"/>
            <w:vMerge w:val="restart"/>
            <w:vAlign w:val="bottom"/>
          </w:tcPr>
          <w:p w:rsidR="004A3868" w:rsidRDefault="003F1AB5">
            <w:pPr>
              <w:pStyle w:val="33"/>
            </w:pPr>
            <w:r>
              <w:rPr>
                <w:rFonts w:hint="eastAsia"/>
              </w:rPr>
              <w:t>4</w:t>
            </w:r>
            <w:r>
              <w:t>1</w:t>
            </w:r>
          </w:p>
        </w:tc>
        <w:tc>
          <w:tcPr>
            <w:tcW w:w="511" w:type="pct"/>
            <w:vAlign w:val="bottom"/>
          </w:tcPr>
          <w:p w:rsidR="004A3868" w:rsidRDefault="003F1AB5">
            <w:pPr>
              <w:pStyle w:val="afff7"/>
            </w:pPr>
            <w:r>
              <w:rPr>
                <w:rFonts w:hint="eastAsia"/>
              </w:rPr>
              <w:t>2</w:t>
            </w:r>
            <w:r>
              <w:t>020.08.18</w:t>
            </w:r>
          </w:p>
        </w:tc>
        <w:tc>
          <w:tcPr>
            <w:tcW w:w="511" w:type="pct"/>
            <w:vAlign w:val="bottom"/>
          </w:tcPr>
          <w:p w:rsidR="004A3868" w:rsidRDefault="003F1AB5">
            <w:pPr>
              <w:pStyle w:val="afff7"/>
            </w:pPr>
            <w:r>
              <w:rPr>
                <w:rFonts w:hint="eastAsia"/>
              </w:rPr>
              <w:t>2</w:t>
            </w:r>
            <w:r>
              <w:t>026.11.12</w:t>
            </w:r>
          </w:p>
        </w:tc>
        <w:tc>
          <w:tcPr>
            <w:tcW w:w="511" w:type="pct"/>
            <w:vMerge w:val="restart"/>
            <w:vAlign w:val="bottom"/>
          </w:tcPr>
          <w:p w:rsidR="004A3868" w:rsidRDefault="003F1AB5">
            <w:pPr>
              <w:pStyle w:val="afff7"/>
            </w:pPr>
            <w:r>
              <w:t>100,000</w:t>
            </w:r>
          </w:p>
        </w:tc>
        <w:tc>
          <w:tcPr>
            <w:tcW w:w="511" w:type="pct"/>
            <w:vMerge w:val="restart"/>
            <w:vAlign w:val="bottom"/>
          </w:tcPr>
          <w:p w:rsidR="004A3868" w:rsidRDefault="003F1AB5">
            <w:pPr>
              <w:pStyle w:val="afff7"/>
            </w:pPr>
            <w:r>
              <w:t>100,000</w:t>
            </w:r>
          </w:p>
        </w:tc>
        <w:tc>
          <w:tcPr>
            <w:tcW w:w="433" w:type="pct"/>
            <w:vMerge w:val="restart"/>
            <w:vAlign w:val="bottom"/>
          </w:tcPr>
          <w:p w:rsidR="004A3868" w:rsidRDefault="003F1AB5">
            <w:pPr>
              <w:pStyle w:val="afff7"/>
            </w:pPr>
            <w:r>
              <w:rPr>
                <w:rFonts w:hint="eastAsia"/>
              </w:rPr>
              <w:t>0</w:t>
            </w:r>
          </w:p>
        </w:tc>
        <w:tc>
          <w:tcPr>
            <w:tcW w:w="396" w:type="pct"/>
            <w:vMerge w:val="restart"/>
            <w:vAlign w:val="bottom"/>
          </w:tcPr>
          <w:p w:rsidR="004A3868" w:rsidRDefault="003F1AB5">
            <w:pPr>
              <w:pStyle w:val="afff7"/>
            </w:pPr>
            <w:r>
              <w:rPr>
                <w:rFonts w:hint="eastAsia"/>
              </w:rPr>
              <w:t>-</w:t>
            </w:r>
          </w:p>
        </w:tc>
        <w:tc>
          <w:tcPr>
            <w:tcW w:w="393" w:type="pct"/>
            <w:vMerge w:val="restart"/>
            <w:vAlign w:val="bottom"/>
          </w:tcPr>
          <w:p w:rsidR="004A3868" w:rsidRDefault="003F1AB5">
            <w:pPr>
              <w:pStyle w:val="afff7"/>
            </w:pPr>
            <w:r>
              <w:t>33.66</w:t>
            </w:r>
          </w:p>
        </w:tc>
        <w:tc>
          <w:tcPr>
            <w:tcW w:w="389" w:type="pct"/>
            <w:vMerge w:val="restart"/>
            <w:vAlign w:val="bottom"/>
          </w:tcPr>
          <w:p w:rsidR="004A3868" w:rsidRDefault="003F1AB5">
            <w:pPr>
              <w:pStyle w:val="33"/>
            </w:pPr>
            <w:r>
              <w:rPr>
                <w:rFonts w:hint="eastAsia"/>
              </w:rPr>
              <w:t>否</w:t>
            </w:r>
          </w:p>
        </w:tc>
      </w:tr>
      <w:tr w:rsidR="004A3868">
        <w:trPr>
          <w:trHeight w:val="397"/>
          <w:jc w:val="center"/>
        </w:trPr>
        <w:tc>
          <w:tcPr>
            <w:tcW w:w="360" w:type="pct"/>
            <w:vMerge/>
            <w:vAlign w:val="center"/>
          </w:tcPr>
          <w:p w:rsidR="004A3868" w:rsidRDefault="004A3868">
            <w:pPr>
              <w:pStyle w:val="33"/>
            </w:pPr>
          </w:p>
        </w:tc>
        <w:tc>
          <w:tcPr>
            <w:tcW w:w="390" w:type="pct"/>
            <w:vAlign w:val="center"/>
          </w:tcPr>
          <w:p w:rsidR="004A3868" w:rsidRDefault="003F1AB5">
            <w:pPr>
              <w:pStyle w:val="33"/>
            </w:pPr>
            <w:r>
              <w:rPr>
                <w:rFonts w:hint="eastAsia"/>
              </w:rPr>
              <w:t>监事会主席</w:t>
            </w:r>
          </w:p>
        </w:tc>
        <w:tc>
          <w:tcPr>
            <w:tcW w:w="299" w:type="pct"/>
            <w:vMerge/>
            <w:vAlign w:val="bottom"/>
          </w:tcPr>
          <w:p w:rsidR="004A3868" w:rsidRDefault="004A3868">
            <w:pPr>
              <w:pStyle w:val="33"/>
            </w:pPr>
          </w:p>
        </w:tc>
        <w:tc>
          <w:tcPr>
            <w:tcW w:w="299" w:type="pct"/>
            <w:vMerge/>
            <w:vAlign w:val="bottom"/>
          </w:tcPr>
          <w:p w:rsidR="004A3868" w:rsidRDefault="004A3868">
            <w:pPr>
              <w:pStyle w:val="33"/>
            </w:pP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Merge/>
            <w:vAlign w:val="bottom"/>
          </w:tcPr>
          <w:p w:rsidR="004A3868" w:rsidRDefault="004A3868">
            <w:pPr>
              <w:pStyle w:val="afff7"/>
            </w:pPr>
          </w:p>
        </w:tc>
        <w:tc>
          <w:tcPr>
            <w:tcW w:w="511" w:type="pct"/>
            <w:vMerge/>
            <w:vAlign w:val="bottom"/>
          </w:tcPr>
          <w:p w:rsidR="004A3868" w:rsidRDefault="004A3868">
            <w:pPr>
              <w:pStyle w:val="afff7"/>
            </w:pPr>
          </w:p>
        </w:tc>
        <w:tc>
          <w:tcPr>
            <w:tcW w:w="433" w:type="pct"/>
            <w:vMerge/>
            <w:vAlign w:val="bottom"/>
          </w:tcPr>
          <w:p w:rsidR="004A3868" w:rsidRDefault="004A3868">
            <w:pPr>
              <w:pStyle w:val="afff7"/>
            </w:pPr>
          </w:p>
        </w:tc>
        <w:tc>
          <w:tcPr>
            <w:tcW w:w="396" w:type="pct"/>
            <w:vMerge/>
            <w:vAlign w:val="bottom"/>
          </w:tcPr>
          <w:p w:rsidR="004A3868" w:rsidRDefault="004A3868">
            <w:pPr>
              <w:pStyle w:val="afff7"/>
            </w:pPr>
          </w:p>
        </w:tc>
        <w:tc>
          <w:tcPr>
            <w:tcW w:w="393" w:type="pct"/>
            <w:vMerge/>
            <w:vAlign w:val="bottom"/>
          </w:tcPr>
          <w:p w:rsidR="004A3868" w:rsidRDefault="004A3868">
            <w:pPr>
              <w:pStyle w:val="afff7"/>
            </w:pPr>
          </w:p>
        </w:tc>
        <w:tc>
          <w:tcPr>
            <w:tcW w:w="389" w:type="pct"/>
            <w:vMerge/>
            <w:vAlign w:val="bottom"/>
          </w:tcPr>
          <w:p w:rsidR="004A3868" w:rsidRDefault="004A3868">
            <w:pPr>
              <w:pStyle w:val="33"/>
            </w:pPr>
          </w:p>
        </w:tc>
      </w:tr>
      <w:tr w:rsidR="004A3868">
        <w:trPr>
          <w:trHeight w:val="397"/>
          <w:jc w:val="center"/>
        </w:trPr>
        <w:tc>
          <w:tcPr>
            <w:tcW w:w="360" w:type="pct"/>
            <w:vAlign w:val="center"/>
          </w:tcPr>
          <w:p w:rsidR="004A3868" w:rsidRDefault="003F1AB5">
            <w:pPr>
              <w:pStyle w:val="33"/>
            </w:pPr>
            <w:r>
              <w:rPr>
                <w:rFonts w:hint="eastAsia"/>
              </w:rPr>
              <w:t>张玲</w:t>
            </w:r>
          </w:p>
        </w:tc>
        <w:tc>
          <w:tcPr>
            <w:tcW w:w="390" w:type="pct"/>
            <w:vAlign w:val="center"/>
          </w:tcPr>
          <w:p w:rsidR="004A3868" w:rsidRDefault="003F1AB5">
            <w:pPr>
              <w:pStyle w:val="33"/>
            </w:pPr>
            <w:r>
              <w:rPr>
                <w:rFonts w:hint="eastAsia"/>
              </w:rPr>
              <w:t>监事</w:t>
            </w:r>
          </w:p>
        </w:tc>
        <w:tc>
          <w:tcPr>
            <w:tcW w:w="299" w:type="pct"/>
            <w:vAlign w:val="bottom"/>
          </w:tcPr>
          <w:p w:rsidR="004A3868" w:rsidRDefault="003F1AB5">
            <w:pPr>
              <w:pStyle w:val="33"/>
            </w:pPr>
            <w:r>
              <w:rPr>
                <w:rFonts w:hint="eastAsia"/>
              </w:rPr>
              <w:t>女</w:t>
            </w:r>
          </w:p>
        </w:tc>
        <w:tc>
          <w:tcPr>
            <w:tcW w:w="299" w:type="pct"/>
            <w:vAlign w:val="bottom"/>
          </w:tcPr>
          <w:p w:rsidR="004A3868" w:rsidRDefault="003F1AB5">
            <w:pPr>
              <w:pStyle w:val="33"/>
            </w:pPr>
            <w:r>
              <w:rPr>
                <w:rFonts w:hint="eastAsia"/>
              </w:rPr>
              <w:t>3</w:t>
            </w:r>
            <w:r>
              <w:t>6</w:t>
            </w:r>
          </w:p>
        </w:tc>
        <w:tc>
          <w:tcPr>
            <w:tcW w:w="511" w:type="pct"/>
            <w:vAlign w:val="bottom"/>
          </w:tcPr>
          <w:p w:rsidR="004A3868" w:rsidRDefault="003F1AB5">
            <w:pPr>
              <w:pStyle w:val="afff7"/>
            </w:pPr>
            <w:r>
              <w:t>2023.11.13</w:t>
            </w:r>
          </w:p>
        </w:tc>
        <w:tc>
          <w:tcPr>
            <w:tcW w:w="511" w:type="pct"/>
            <w:vAlign w:val="bottom"/>
          </w:tcPr>
          <w:p w:rsidR="004A3868" w:rsidRDefault="003F1AB5">
            <w:pPr>
              <w:pStyle w:val="afff7"/>
            </w:pPr>
            <w:r>
              <w:t>2026.11.12</w:t>
            </w:r>
          </w:p>
        </w:tc>
        <w:tc>
          <w:tcPr>
            <w:tcW w:w="511" w:type="pct"/>
            <w:vAlign w:val="bottom"/>
          </w:tcPr>
          <w:p w:rsidR="004A3868" w:rsidRDefault="003F1AB5">
            <w:pPr>
              <w:pStyle w:val="afff7"/>
            </w:pPr>
            <w:r>
              <w:t>0</w:t>
            </w:r>
          </w:p>
        </w:tc>
        <w:tc>
          <w:tcPr>
            <w:tcW w:w="511" w:type="pct"/>
            <w:vAlign w:val="bottom"/>
          </w:tcPr>
          <w:p w:rsidR="004A3868" w:rsidRDefault="003F1AB5">
            <w:pPr>
              <w:pStyle w:val="afff7"/>
            </w:pPr>
            <w:r>
              <w:t>0</w:t>
            </w:r>
          </w:p>
        </w:tc>
        <w:tc>
          <w:tcPr>
            <w:tcW w:w="433" w:type="pct"/>
            <w:vAlign w:val="bottom"/>
          </w:tcPr>
          <w:p w:rsidR="004A3868" w:rsidRDefault="003F1AB5">
            <w:pPr>
              <w:pStyle w:val="afff7"/>
            </w:pPr>
            <w:r>
              <w:t>0</w:t>
            </w:r>
          </w:p>
        </w:tc>
        <w:tc>
          <w:tcPr>
            <w:tcW w:w="396" w:type="pct"/>
            <w:vAlign w:val="bottom"/>
          </w:tcPr>
          <w:p w:rsidR="004A3868" w:rsidRDefault="003F1AB5">
            <w:pPr>
              <w:pStyle w:val="afff7"/>
            </w:pPr>
            <w:r>
              <w:t>-</w:t>
            </w:r>
          </w:p>
        </w:tc>
        <w:tc>
          <w:tcPr>
            <w:tcW w:w="393" w:type="pct"/>
            <w:vAlign w:val="bottom"/>
          </w:tcPr>
          <w:p w:rsidR="004A3868" w:rsidRDefault="003F1AB5">
            <w:pPr>
              <w:pStyle w:val="afff7"/>
            </w:pPr>
            <w:r>
              <w:t>1.25</w:t>
            </w:r>
          </w:p>
        </w:tc>
        <w:tc>
          <w:tcPr>
            <w:tcW w:w="389" w:type="pct"/>
            <w:vAlign w:val="bottom"/>
          </w:tcPr>
          <w:p w:rsidR="004A3868" w:rsidRDefault="003F1AB5">
            <w:pPr>
              <w:pStyle w:val="33"/>
              <w:rPr>
                <w:rFonts w:cstheme="minorBidi"/>
                <w14:ligatures w14:val="standardContextual"/>
              </w:rPr>
            </w:pPr>
            <w:r>
              <w:t>否</w:t>
            </w:r>
          </w:p>
        </w:tc>
      </w:tr>
      <w:tr w:rsidR="004A3868">
        <w:trPr>
          <w:trHeight w:val="397"/>
          <w:jc w:val="center"/>
        </w:trPr>
        <w:tc>
          <w:tcPr>
            <w:tcW w:w="360" w:type="pct"/>
            <w:vAlign w:val="center"/>
          </w:tcPr>
          <w:p w:rsidR="004A3868" w:rsidRDefault="003F1AB5">
            <w:pPr>
              <w:pStyle w:val="33"/>
            </w:pPr>
            <w:r>
              <w:rPr>
                <w:rFonts w:hint="eastAsia"/>
              </w:rPr>
              <w:t>朱林</w:t>
            </w:r>
          </w:p>
        </w:tc>
        <w:tc>
          <w:tcPr>
            <w:tcW w:w="390" w:type="pct"/>
            <w:vAlign w:val="center"/>
          </w:tcPr>
          <w:p w:rsidR="004A3868" w:rsidRDefault="003F1AB5">
            <w:pPr>
              <w:pStyle w:val="33"/>
            </w:pPr>
            <w:r>
              <w:rPr>
                <w:rFonts w:hint="eastAsia"/>
              </w:rPr>
              <w:t>职工监事</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4</w:t>
            </w:r>
            <w:r>
              <w:t>3</w:t>
            </w:r>
          </w:p>
        </w:tc>
        <w:tc>
          <w:tcPr>
            <w:tcW w:w="511" w:type="pct"/>
            <w:vAlign w:val="bottom"/>
          </w:tcPr>
          <w:p w:rsidR="004A3868" w:rsidRDefault="003F1AB5">
            <w:pPr>
              <w:pStyle w:val="afff7"/>
            </w:pPr>
            <w:r>
              <w:t>2023.11.13</w:t>
            </w:r>
          </w:p>
        </w:tc>
        <w:tc>
          <w:tcPr>
            <w:tcW w:w="511" w:type="pct"/>
            <w:vAlign w:val="bottom"/>
          </w:tcPr>
          <w:p w:rsidR="004A3868" w:rsidRDefault="003F1AB5">
            <w:pPr>
              <w:pStyle w:val="afff7"/>
            </w:pPr>
            <w:r>
              <w:t>2026.11.12</w:t>
            </w:r>
          </w:p>
        </w:tc>
        <w:tc>
          <w:tcPr>
            <w:tcW w:w="511" w:type="pct"/>
            <w:vAlign w:val="bottom"/>
          </w:tcPr>
          <w:p w:rsidR="004A3868" w:rsidRDefault="003F1AB5">
            <w:pPr>
              <w:pStyle w:val="afff7"/>
            </w:pPr>
            <w:r>
              <w:t>0</w:t>
            </w:r>
          </w:p>
        </w:tc>
        <w:tc>
          <w:tcPr>
            <w:tcW w:w="511" w:type="pct"/>
            <w:vAlign w:val="bottom"/>
          </w:tcPr>
          <w:p w:rsidR="004A3868" w:rsidRDefault="003F1AB5">
            <w:pPr>
              <w:pStyle w:val="afff7"/>
            </w:pPr>
            <w:r>
              <w:t>0</w:t>
            </w:r>
          </w:p>
        </w:tc>
        <w:tc>
          <w:tcPr>
            <w:tcW w:w="433" w:type="pct"/>
            <w:vAlign w:val="bottom"/>
          </w:tcPr>
          <w:p w:rsidR="004A3868" w:rsidRDefault="003F1AB5">
            <w:pPr>
              <w:pStyle w:val="afff7"/>
            </w:pPr>
            <w:r>
              <w:t>0</w:t>
            </w:r>
          </w:p>
        </w:tc>
        <w:tc>
          <w:tcPr>
            <w:tcW w:w="396" w:type="pct"/>
            <w:vAlign w:val="bottom"/>
          </w:tcPr>
          <w:p w:rsidR="004A3868" w:rsidRDefault="003F1AB5">
            <w:pPr>
              <w:pStyle w:val="afff7"/>
            </w:pPr>
            <w:r>
              <w:t>-</w:t>
            </w:r>
          </w:p>
        </w:tc>
        <w:tc>
          <w:tcPr>
            <w:tcW w:w="393" w:type="pct"/>
            <w:vAlign w:val="bottom"/>
          </w:tcPr>
          <w:p w:rsidR="004A3868" w:rsidRDefault="003F1AB5">
            <w:pPr>
              <w:pStyle w:val="afff7"/>
            </w:pPr>
            <w:r>
              <w:t>2.12</w:t>
            </w:r>
          </w:p>
        </w:tc>
        <w:tc>
          <w:tcPr>
            <w:tcW w:w="389" w:type="pct"/>
            <w:vAlign w:val="bottom"/>
          </w:tcPr>
          <w:p w:rsidR="004A3868" w:rsidRDefault="003F1AB5">
            <w:pPr>
              <w:pStyle w:val="33"/>
              <w:rPr>
                <w:rFonts w:cstheme="minorBidi"/>
                <w14:ligatures w14:val="standardContextual"/>
              </w:rPr>
            </w:pPr>
            <w:r>
              <w:t>否</w:t>
            </w:r>
          </w:p>
        </w:tc>
      </w:tr>
      <w:tr w:rsidR="004A3868">
        <w:trPr>
          <w:trHeight w:val="397"/>
          <w:jc w:val="center"/>
        </w:trPr>
        <w:tc>
          <w:tcPr>
            <w:tcW w:w="360" w:type="pct"/>
            <w:vMerge w:val="restart"/>
            <w:vAlign w:val="center"/>
          </w:tcPr>
          <w:p w:rsidR="004A3868" w:rsidRDefault="003F1AB5">
            <w:pPr>
              <w:pStyle w:val="33"/>
            </w:pPr>
            <w:r>
              <w:rPr>
                <w:rFonts w:hint="eastAsia"/>
              </w:rPr>
              <w:t>李代萍</w:t>
            </w:r>
          </w:p>
        </w:tc>
        <w:tc>
          <w:tcPr>
            <w:tcW w:w="390" w:type="pct"/>
            <w:vAlign w:val="center"/>
          </w:tcPr>
          <w:p w:rsidR="004A3868" w:rsidRDefault="003F1AB5">
            <w:pPr>
              <w:pStyle w:val="33"/>
            </w:pPr>
            <w:r>
              <w:rPr>
                <w:rFonts w:hint="eastAsia"/>
              </w:rPr>
              <w:t>财务总监（离任）</w:t>
            </w:r>
          </w:p>
        </w:tc>
        <w:tc>
          <w:tcPr>
            <w:tcW w:w="299" w:type="pct"/>
            <w:vMerge w:val="restart"/>
            <w:vAlign w:val="bottom"/>
          </w:tcPr>
          <w:p w:rsidR="004A3868" w:rsidRDefault="003F1AB5">
            <w:pPr>
              <w:pStyle w:val="33"/>
            </w:pPr>
            <w:r>
              <w:rPr>
                <w:rFonts w:hint="eastAsia"/>
              </w:rPr>
              <w:t>女</w:t>
            </w:r>
          </w:p>
        </w:tc>
        <w:tc>
          <w:tcPr>
            <w:tcW w:w="299" w:type="pct"/>
            <w:vMerge w:val="restart"/>
            <w:vAlign w:val="bottom"/>
          </w:tcPr>
          <w:p w:rsidR="004A3868" w:rsidRDefault="003F1AB5">
            <w:pPr>
              <w:pStyle w:val="33"/>
            </w:pPr>
            <w:r>
              <w:rPr>
                <w:rFonts w:hint="eastAsia"/>
              </w:rPr>
              <w:t>5</w:t>
            </w:r>
            <w:r>
              <w:t>3</w:t>
            </w:r>
          </w:p>
        </w:tc>
        <w:tc>
          <w:tcPr>
            <w:tcW w:w="511" w:type="pct"/>
            <w:vAlign w:val="bottom"/>
          </w:tcPr>
          <w:p w:rsidR="004A3868" w:rsidRDefault="003F1AB5">
            <w:pPr>
              <w:pStyle w:val="afff7"/>
            </w:pPr>
            <w:r>
              <w:rPr>
                <w:rFonts w:hint="eastAsia"/>
              </w:rPr>
              <w:t>2</w:t>
            </w:r>
            <w:r>
              <w:t>019.04.18</w:t>
            </w:r>
          </w:p>
        </w:tc>
        <w:tc>
          <w:tcPr>
            <w:tcW w:w="511" w:type="pct"/>
            <w:vAlign w:val="bottom"/>
          </w:tcPr>
          <w:p w:rsidR="004A3868" w:rsidRDefault="003F1AB5">
            <w:pPr>
              <w:pStyle w:val="afff7"/>
            </w:pPr>
            <w:r>
              <w:rPr>
                <w:rFonts w:hint="eastAsia"/>
              </w:rPr>
              <w:t>2</w:t>
            </w:r>
            <w:r>
              <w:t>023.11.13</w:t>
            </w:r>
          </w:p>
        </w:tc>
        <w:tc>
          <w:tcPr>
            <w:tcW w:w="511" w:type="pct"/>
            <w:vMerge w:val="restart"/>
            <w:vAlign w:val="bottom"/>
          </w:tcPr>
          <w:p w:rsidR="004A3868" w:rsidRDefault="003F1AB5">
            <w:pPr>
              <w:pStyle w:val="afff7"/>
            </w:pPr>
            <w:r>
              <w:t>500,000</w:t>
            </w:r>
          </w:p>
        </w:tc>
        <w:tc>
          <w:tcPr>
            <w:tcW w:w="511" w:type="pct"/>
            <w:vMerge w:val="restart"/>
            <w:vAlign w:val="bottom"/>
          </w:tcPr>
          <w:p w:rsidR="004A3868" w:rsidRDefault="003F1AB5">
            <w:pPr>
              <w:pStyle w:val="afff7"/>
            </w:pPr>
            <w:r>
              <w:t>375,000</w:t>
            </w:r>
          </w:p>
        </w:tc>
        <w:tc>
          <w:tcPr>
            <w:tcW w:w="433" w:type="pct"/>
            <w:vMerge w:val="restart"/>
            <w:vAlign w:val="bottom"/>
          </w:tcPr>
          <w:p w:rsidR="004A3868" w:rsidRDefault="003F1AB5">
            <w:pPr>
              <w:pStyle w:val="afff7"/>
            </w:pPr>
            <w:r>
              <w:t>-125,000</w:t>
            </w:r>
          </w:p>
        </w:tc>
        <w:tc>
          <w:tcPr>
            <w:tcW w:w="396" w:type="pct"/>
            <w:vMerge w:val="restart"/>
            <w:vAlign w:val="bottom"/>
          </w:tcPr>
          <w:p w:rsidR="004A3868" w:rsidRDefault="003F1AB5">
            <w:pPr>
              <w:pStyle w:val="afff7"/>
            </w:pPr>
            <w:r>
              <w:rPr>
                <w:rFonts w:hint="eastAsia"/>
              </w:rPr>
              <w:t>个人原因减持</w:t>
            </w:r>
          </w:p>
        </w:tc>
        <w:tc>
          <w:tcPr>
            <w:tcW w:w="393" w:type="pct"/>
            <w:vMerge w:val="restart"/>
            <w:vAlign w:val="bottom"/>
          </w:tcPr>
          <w:p w:rsidR="004A3868" w:rsidRDefault="003F1AB5">
            <w:pPr>
              <w:pStyle w:val="afff7"/>
            </w:pPr>
            <w:r>
              <w:t>54.95</w:t>
            </w:r>
          </w:p>
        </w:tc>
        <w:sdt>
          <w:sdtPr>
            <w:alias w:val="董事、监事、高级管理人员是否在公司关联方获取报酬"/>
            <w:tag w:val="_GBC_ca79c4e139754ecd84ca3e60eb23b31d"/>
            <w:id w:val="-463046837"/>
            <w:comboBox>
              <w:listItem w:displayText="是" w:value="是"/>
              <w:listItem w:displayText="否" w:value="否"/>
            </w:comboBox>
          </w:sdtPr>
          <w:sdtEndPr/>
          <w:sdtContent>
            <w:tc>
              <w:tcPr>
                <w:tcW w:w="389" w:type="pct"/>
                <w:vMerge w:val="restart"/>
                <w:vAlign w:val="bottom"/>
              </w:tcPr>
              <w:p w:rsidR="004A3868" w:rsidRDefault="003F1AB5">
                <w:pPr>
                  <w:pStyle w:val="33"/>
                </w:pPr>
                <w:r>
                  <w:t>否</w:t>
                </w:r>
              </w:p>
            </w:tc>
          </w:sdtContent>
        </w:sdt>
      </w:tr>
      <w:tr w:rsidR="004A3868">
        <w:trPr>
          <w:trHeight w:val="397"/>
          <w:jc w:val="center"/>
        </w:trPr>
        <w:tc>
          <w:tcPr>
            <w:tcW w:w="360" w:type="pct"/>
            <w:vMerge/>
            <w:vAlign w:val="center"/>
          </w:tcPr>
          <w:p w:rsidR="004A3868" w:rsidRDefault="004A3868">
            <w:pPr>
              <w:pStyle w:val="33"/>
            </w:pPr>
          </w:p>
        </w:tc>
        <w:tc>
          <w:tcPr>
            <w:tcW w:w="390" w:type="pct"/>
            <w:vAlign w:val="center"/>
          </w:tcPr>
          <w:p w:rsidR="004A3868" w:rsidRDefault="003F1AB5">
            <w:pPr>
              <w:pStyle w:val="33"/>
            </w:pPr>
            <w:r>
              <w:rPr>
                <w:rFonts w:hint="eastAsia"/>
              </w:rPr>
              <w:t>董事（离任）</w:t>
            </w:r>
          </w:p>
        </w:tc>
        <w:tc>
          <w:tcPr>
            <w:tcW w:w="299" w:type="pct"/>
            <w:vMerge/>
            <w:vAlign w:val="bottom"/>
          </w:tcPr>
          <w:p w:rsidR="004A3868" w:rsidRDefault="004A3868">
            <w:pPr>
              <w:pStyle w:val="33"/>
            </w:pPr>
          </w:p>
        </w:tc>
        <w:tc>
          <w:tcPr>
            <w:tcW w:w="299" w:type="pct"/>
            <w:vMerge/>
            <w:vAlign w:val="bottom"/>
          </w:tcPr>
          <w:p w:rsidR="004A3868" w:rsidRDefault="004A3868">
            <w:pPr>
              <w:pStyle w:val="33"/>
            </w:pPr>
          </w:p>
        </w:tc>
        <w:tc>
          <w:tcPr>
            <w:tcW w:w="511" w:type="pct"/>
            <w:vAlign w:val="bottom"/>
          </w:tcPr>
          <w:p w:rsidR="004A3868" w:rsidRDefault="003F1AB5">
            <w:pPr>
              <w:pStyle w:val="afff7"/>
            </w:pPr>
            <w:r>
              <w:rPr>
                <w:rFonts w:hint="eastAsia"/>
              </w:rPr>
              <w:t>2</w:t>
            </w:r>
            <w:r>
              <w:t>022.07.04</w:t>
            </w:r>
          </w:p>
        </w:tc>
        <w:tc>
          <w:tcPr>
            <w:tcW w:w="511" w:type="pct"/>
            <w:vAlign w:val="bottom"/>
          </w:tcPr>
          <w:p w:rsidR="004A3868" w:rsidRDefault="003F1AB5">
            <w:pPr>
              <w:pStyle w:val="afff7"/>
            </w:pPr>
            <w:r>
              <w:rPr>
                <w:rFonts w:hint="eastAsia"/>
              </w:rPr>
              <w:t>2</w:t>
            </w:r>
            <w:r>
              <w:t>023.11.13</w:t>
            </w:r>
          </w:p>
        </w:tc>
        <w:tc>
          <w:tcPr>
            <w:tcW w:w="511" w:type="pct"/>
            <w:vMerge/>
            <w:vAlign w:val="bottom"/>
          </w:tcPr>
          <w:p w:rsidR="004A3868" w:rsidRDefault="004A3868">
            <w:pPr>
              <w:pStyle w:val="afff7"/>
            </w:pPr>
          </w:p>
        </w:tc>
        <w:tc>
          <w:tcPr>
            <w:tcW w:w="511" w:type="pct"/>
            <w:vMerge/>
            <w:vAlign w:val="bottom"/>
          </w:tcPr>
          <w:p w:rsidR="004A3868" w:rsidRDefault="004A3868">
            <w:pPr>
              <w:pStyle w:val="afff7"/>
            </w:pPr>
          </w:p>
        </w:tc>
        <w:tc>
          <w:tcPr>
            <w:tcW w:w="433" w:type="pct"/>
            <w:vMerge/>
            <w:vAlign w:val="bottom"/>
          </w:tcPr>
          <w:p w:rsidR="004A3868" w:rsidRDefault="004A3868">
            <w:pPr>
              <w:pStyle w:val="afff7"/>
            </w:pPr>
          </w:p>
        </w:tc>
        <w:tc>
          <w:tcPr>
            <w:tcW w:w="396" w:type="pct"/>
            <w:vMerge/>
            <w:vAlign w:val="bottom"/>
          </w:tcPr>
          <w:p w:rsidR="004A3868" w:rsidRDefault="004A3868">
            <w:pPr>
              <w:pStyle w:val="afff7"/>
            </w:pPr>
          </w:p>
        </w:tc>
        <w:tc>
          <w:tcPr>
            <w:tcW w:w="393" w:type="pct"/>
            <w:vMerge/>
            <w:vAlign w:val="bottom"/>
          </w:tcPr>
          <w:p w:rsidR="004A3868" w:rsidRDefault="004A3868">
            <w:pPr>
              <w:pStyle w:val="afff7"/>
            </w:pPr>
          </w:p>
        </w:tc>
        <w:tc>
          <w:tcPr>
            <w:tcW w:w="389" w:type="pct"/>
            <w:vMerge/>
            <w:vAlign w:val="bottom"/>
          </w:tcPr>
          <w:p w:rsidR="004A3868" w:rsidRDefault="004A3868">
            <w:pPr>
              <w:pStyle w:val="33"/>
            </w:pPr>
          </w:p>
        </w:tc>
      </w:tr>
      <w:tr w:rsidR="004A3868">
        <w:trPr>
          <w:trHeight w:val="397"/>
          <w:jc w:val="center"/>
        </w:trPr>
        <w:tc>
          <w:tcPr>
            <w:tcW w:w="360" w:type="pct"/>
            <w:vMerge/>
            <w:vAlign w:val="center"/>
          </w:tcPr>
          <w:p w:rsidR="004A3868" w:rsidRDefault="004A3868">
            <w:pPr>
              <w:pStyle w:val="33"/>
            </w:pPr>
          </w:p>
        </w:tc>
        <w:tc>
          <w:tcPr>
            <w:tcW w:w="390" w:type="pct"/>
            <w:vAlign w:val="center"/>
          </w:tcPr>
          <w:p w:rsidR="004A3868" w:rsidRDefault="003F1AB5">
            <w:pPr>
              <w:pStyle w:val="33"/>
            </w:pPr>
            <w:r>
              <w:rPr>
                <w:rFonts w:hint="eastAsia"/>
              </w:rPr>
              <w:t>董事会秘书</w:t>
            </w:r>
          </w:p>
        </w:tc>
        <w:tc>
          <w:tcPr>
            <w:tcW w:w="299" w:type="pct"/>
            <w:vMerge/>
            <w:vAlign w:val="bottom"/>
          </w:tcPr>
          <w:p w:rsidR="004A3868" w:rsidRDefault="004A3868">
            <w:pPr>
              <w:pStyle w:val="33"/>
            </w:pPr>
          </w:p>
        </w:tc>
        <w:tc>
          <w:tcPr>
            <w:tcW w:w="299" w:type="pct"/>
            <w:vMerge/>
            <w:vAlign w:val="bottom"/>
          </w:tcPr>
          <w:p w:rsidR="004A3868" w:rsidRDefault="004A3868">
            <w:pPr>
              <w:pStyle w:val="33"/>
            </w:pPr>
          </w:p>
        </w:tc>
        <w:tc>
          <w:tcPr>
            <w:tcW w:w="511" w:type="pct"/>
            <w:vAlign w:val="bottom"/>
          </w:tcPr>
          <w:p w:rsidR="004A3868" w:rsidRDefault="003F1AB5">
            <w:pPr>
              <w:pStyle w:val="afff7"/>
            </w:pPr>
            <w:r>
              <w:rPr>
                <w:rFonts w:hint="eastAsia"/>
              </w:rPr>
              <w:t>2</w:t>
            </w:r>
            <w:r>
              <w:t>021.04.19</w:t>
            </w:r>
          </w:p>
        </w:tc>
        <w:tc>
          <w:tcPr>
            <w:tcW w:w="511" w:type="pct"/>
            <w:vAlign w:val="bottom"/>
          </w:tcPr>
          <w:p w:rsidR="004A3868" w:rsidRDefault="003F1AB5">
            <w:pPr>
              <w:pStyle w:val="afff7"/>
            </w:pPr>
            <w:r>
              <w:rPr>
                <w:rFonts w:hint="eastAsia"/>
              </w:rPr>
              <w:t>2</w:t>
            </w:r>
            <w:r>
              <w:t>026.11.12</w:t>
            </w:r>
          </w:p>
        </w:tc>
        <w:tc>
          <w:tcPr>
            <w:tcW w:w="511" w:type="pct"/>
            <w:vMerge/>
            <w:vAlign w:val="bottom"/>
          </w:tcPr>
          <w:p w:rsidR="004A3868" w:rsidRDefault="004A3868">
            <w:pPr>
              <w:pStyle w:val="afff7"/>
            </w:pPr>
          </w:p>
        </w:tc>
        <w:tc>
          <w:tcPr>
            <w:tcW w:w="511" w:type="pct"/>
            <w:vMerge/>
            <w:vAlign w:val="bottom"/>
          </w:tcPr>
          <w:p w:rsidR="004A3868" w:rsidRDefault="004A3868">
            <w:pPr>
              <w:pStyle w:val="afff7"/>
            </w:pPr>
          </w:p>
        </w:tc>
        <w:tc>
          <w:tcPr>
            <w:tcW w:w="433" w:type="pct"/>
            <w:vMerge/>
            <w:vAlign w:val="bottom"/>
          </w:tcPr>
          <w:p w:rsidR="004A3868" w:rsidRDefault="004A3868">
            <w:pPr>
              <w:pStyle w:val="afff7"/>
            </w:pPr>
          </w:p>
        </w:tc>
        <w:tc>
          <w:tcPr>
            <w:tcW w:w="396" w:type="pct"/>
            <w:vMerge/>
            <w:vAlign w:val="bottom"/>
          </w:tcPr>
          <w:p w:rsidR="004A3868" w:rsidRDefault="004A3868">
            <w:pPr>
              <w:pStyle w:val="afff7"/>
            </w:pPr>
          </w:p>
        </w:tc>
        <w:tc>
          <w:tcPr>
            <w:tcW w:w="393" w:type="pct"/>
            <w:vMerge/>
            <w:vAlign w:val="bottom"/>
          </w:tcPr>
          <w:p w:rsidR="004A3868" w:rsidRDefault="004A3868">
            <w:pPr>
              <w:pStyle w:val="afff7"/>
            </w:pPr>
          </w:p>
        </w:tc>
        <w:tc>
          <w:tcPr>
            <w:tcW w:w="389" w:type="pct"/>
            <w:vMerge/>
            <w:vAlign w:val="bottom"/>
          </w:tcPr>
          <w:p w:rsidR="004A3868" w:rsidRDefault="004A3868">
            <w:pPr>
              <w:pStyle w:val="33"/>
            </w:pPr>
          </w:p>
        </w:tc>
      </w:tr>
      <w:tr w:rsidR="004A3868">
        <w:trPr>
          <w:trHeight w:val="397"/>
          <w:jc w:val="center"/>
        </w:trPr>
        <w:tc>
          <w:tcPr>
            <w:tcW w:w="360" w:type="pct"/>
            <w:vMerge/>
            <w:vAlign w:val="center"/>
          </w:tcPr>
          <w:p w:rsidR="004A3868" w:rsidRDefault="004A3868">
            <w:pPr>
              <w:pStyle w:val="33"/>
            </w:pPr>
          </w:p>
        </w:tc>
        <w:tc>
          <w:tcPr>
            <w:tcW w:w="390" w:type="pct"/>
            <w:vAlign w:val="center"/>
          </w:tcPr>
          <w:p w:rsidR="004A3868" w:rsidRDefault="003F1AB5">
            <w:pPr>
              <w:pStyle w:val="33"/>
            </w:pPr>
            <w:r>
              <w:rPr>
                <w:rFonts w:hint="eastAsia"/>
              </w:rPr>
              <w:t>副总经理</w:t>
            </w:r>
          </w:p>
        </w:tc>
        <w:tc>
          <w:tcPr>
            <w:tcW w:w="299" w:type="pct"/>
            <w:vMerge/>
            <w:vAlign w:val="bottom"/>
          </w:tcPr>
          <w:p w:rsidR="004A3868" w:rsidRDefault="004A3868">
            <w:pPr>
              <w:pStyle w:val="33"/>
            </w:pPr>
          </w:p>
        </w:tc>
        <w:tc>
          <w:tcPr>
            <w:tcW w:w="299" w:type="pct"/>
            <w:vMerge/>
            <w:vAlign w:val="bottom"/>
          </w:tcPr>
          <w:p w:rsidR="004A3868" w:rsidRDefault="004A3868">
            <w:pPr>
              <w:pStyle w:val="33"/>
            </w:pP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2</w:t>
            </w:r>
            <w:r>
              <w:t>026.11.12</w:t>
            </w:r>
          </w:p>
        </w:tc>
        <w:tc>
          <w:tcPr>
            <w:tcW w:w="511" w:type="pct"/>
            <w:vMerge/>
            <w:vAlign w:val="bottom"/>
          </w:tcPr>
          <w:p w:rsidR="004A3868" w:rsidRDefault="004A3868">
            <w:pPr>
              <w:pStyle w:val="afff7"/>
            </w:pPr>
          </w:p>
        </w:tc>
        <w:tc>
          <w:tcPr>
            <w:tcW w:w="511" w:type="pct"/>
            <w:vMerge/>
            <w:vAlign w:val="bottom"/>
          </w:tcPr>
          <w:p w:rsidR="004A3868" w:rsidRDefault="004A3868">
            <w:pPr>
              <w:pStyle w:val="afff7"/>
            </w:pPr>
          </w:p>
        </w:tc>
        <w:tc>
          <w:tcPr>
            <w:tcW w:w="433" w:type="pct"/>
            <w:vMerge/>
            <w:vAlign w:val="bottom"/>
          </w:tcPr>
          <w:p w:rsidR="004A3868" w:rsidRDefault="004A3868">
            <w:pPr>
              <w:pStyle w:val="afff7"/>
            </w:pPr>
          </w:p>
        </w:tc>
        <w:tc>
          <w:tcPr>
            <w:tcW w:w="396" w:type="pct"/>
            <w:vMerge/>
            <w:vAlign w:val="bottom"/>
          </w:tcPr>
          <w:p w:rsidR="004A3868" w:rsidRDefault="004A3868">
            <w:pPr>
              <w:pStyle w:val="afff7"/>
            </w:pPr>
          </w:p>
        </w:tc>
        <w:tc>
          <w:tcPr>
            <w:tcW w:w="393" w:type="pct"/>
            <w:vMerge/>
            <w:vAlign w:val="bottom"/>
          </w:tcPr>
          <w:p w:rsidR="004A3868" w:rsidRDefault="004A3868">
            <w:pPr>
              <w:pStyle w:val="afff7"/>
            </w:pPr>
          </w:p>
        </w:tc>
        <w:tc>
          <w:tcPr>
            <w:tcW w:w="389" w:type="pct"/>
            <w:vMerge/>
            <w:vAlign w:val="bottom"/>
          </w:tcPr>
          <w:p w:rsidR="004A3868" w:rsidRDefault="004A3868">
            <w:pPr>
              <w:pStyle w:val="33"/>
            </w:pPr>
          </w:p>
        </w:tc>
      </w:tr>
      <w:tr w:rsidR="004A3868">
        <w:trPr>
          <w:trHeight w:val="397"/>
          <w:jc w:val="center"/>
        </w:trPr>
        <w:tc>
          <w:tcPr>
            <w:tcW w:w="360" w:type="pct"/>
            <w:vMerge w:val="restart"/>
            <w:vAlign w:val="center"/>
          </w:tcPr>
          <w:p w:rsidR="004A3868" w:rsidRDefault="003F1AB5">
            <w:pPr>
              <w:pStyle w:val="33"/>
            </w:pPr>
            <w:r>
              <w:rPr>
                <w:rFonts w:hint="eastAsia"/>
              </w:rPr>
              <w:t>刘柏林</w:t>
            </w:r>
          </w:p>
        </w:tc>
        <w:tc>
          <w:tcPr>
            <w:tcW w:w="390" w:type="pct"/>
            <w:vAlign w:val="center"/>
          </w:tcPr>
          <w:p w:rsidR="004A3868" w:rsidRDefault="003F1AB5">
            <w:pPr>
              <w:pStyle w:val="33"/>
            </w:pPr>
            <w:r>
              <w:rPr>
                <w:rFonts w:hint="eastAsia"/>
              </w:rPr>
              <w:t>监事（离任）</w:t>
            </w:r>
          </w:p>
        </w:tc>
        <w:tc>
          <w:tcPr>
            <w:tcW w:w="299" w:type="pct"/>
            <w:vMerge w:val="restart"/>
            <w:vAlign w:val="bottom"/>
          </w:tcPr>
          <w:p w:rsidR="004A3868" w:rsidRDefault="003F1AB5">
            <w:pPr>
              <w:pStyle w:val="33"/>
            </w:pPr>
            <w:r>
              <w:rPr>
                <w:rFonts w:hint="eastAsia"/>
              </w:rPr>
              <w:t>男</w:t>
            </w:r>
          </w:p>
        </w:tc>
        <w:tc>
          <w:tcPr>
            <w:tcW w:w="299" w:type="pct"/>
            <w:vMerge w:val="restart"/>
            <w:vAlign w:val="bottom"/>
          </w:tcPr>
          <w:p w:rsidR="004A3868" w:rsidRDefault="003F1AB5">
            <w:pPr>
              <w:pStyle w:val="33"/>
            </w:pPr>
            <w:r>
              <w:rPr>
                <w:rFonts w:hint="eastAsia"/>
              </w:rPr>
              <w:t>3</w:t>
            </w:r>
            <w:r>
              <w:t>7</w:t>
            </w:r>
          </w:p>
        </w:tc>
        <w:tc>
          <w:tcPr>
            <w:tcW w:w="511" w:type="pct"/>
            <w:vAlign w:val="bottom"/>
          </w:tcPr>
          <w:p w:rsidR="004A3868" w:rsidRDefault="003F1AB5">
            <w:pPr>
              <w:pStyle w:val="afff7"/>
            </w:pPr>
            <w:r>
              <w:rPr>
                <w:rFonts w:hint="eastAsia"/>
              </w:rPr>
              <w:t>2</w:t>
            </w:r>
            <w:r>
              <w:t>022.07.04</w:t>
            </w:r>
          </w:p>
        </w:tc>
        <w:tc>
          <w:tcPr>
            <w:tcW w:w="511" w:type="pct"/>
            <w:vAlign w:val="bottom"/>
          </w:tcPr>
          <w:p w:rsidR="004A3868" w:rsidRDefault="003F1AB5">
            <w:pPr>
              <w:pStyle w:val="afff7"/>
            </w:pPr>
            <w:r>
              <w:rPr>
                <w:rFonts w:hint="eastAsia"/>
              </w:rPr>
              <w:t>2</w:t>
            </w:r>
            <w:r>
              <w:t>023.11.13</w:t>
            </w:r>
          </w:p>
        </w:tc>
        <w:tc>
          <w:tcPr>
            <w:tcW w:w="511" w:type="pct"/>
            <w:vMerge w:val="restart"/>
            <w:vAlign w:val="bottom"/>
          </w:tcPr>
          <w:p w:rsidR="004A3868" w:rsidRDefault="003F1AB5">
            <w:pPr>
              <w:pStyle w:val="afff7"/>
            </w:pPr>
            <w:r>
              <w:t>0</w:t>
            </w:r>
          </w:p>
        </w:tc>
        <w:tc>
          <w:tcPr>
            <w:tcW w:w="511" w:type="pct"/>
            <w:vMerge w:val="restart"/>
            <w:vAlign w:val="bottom"/>
          </w:tcPr>
          <w:p w:rsidR="004A3868" w:rsidRDefault="003F1AB5">
            <w:pPr>
              <w:pStyle w:val="afff7"/>
            </w:pPr>
            <w:r>
              <w:t>0</w:t>
            </w:r>
          </w:p>
        </w:tc>
        <w:tc>
          <w:tcPr>
            <w:tcW w:w="433" w:type="pct"/>
            <w:vMerge w:val="restart"/>
            <w:vAlign w:val="bottom"/>
          </w:tcPr>
          <w:p w:rsidR="004A3868" w:rsidRDefault="003F1AB5">
            <w:pPr>
              <w:pStyle w:val="afff7"/>
            </w:pPr>
            <w:r>
              <w:t>0</w:t>
            </w:r>
          </w:p>
        </w:tc>
        <w:tc>
          <w:tcPr>
            <w:tcW w:w="396" w:type="pct"/>
            <w:vMerge w:val="restart"/>
            <w:vAlign w:val="bottom"/>
          </w:tcPr>
          <w:p w:rsidR="004A3868" w:rsidRDefault="003F1AB5">
            <w:pPr>
              <w:pStyle w:val="afff7"/>
            </w:pPr>
            <w:r>
              <w:t>-</w:t>
            </w:r>
          </w:p>
        </w:tc>
        <w:tc>
          <w:tcPr>
            <w:tcW w:w="393" w:type="pct"/>
            <w:vMerge w:val="restart"/>
            <w:vAlign w:val="bottom"/>
          </w:tcPr>
          <w:p w:rsidR="004A3868" w:rsidRDefault="003F1AB5">
            <w:pPr>
              <w:pStyle w:val="afff7"/>
            </w:pPr>
            <w:r>
              <w:t>43.13</w:t>
            </w:r>
          </w:p>
        </w:tc>
        <w:tc>
          <w:tcPr>
            <w:tcW w:w="389" w:type="pct"/>
            <w:vMerge w:val="restart"/>
            <w:vAlign w:val="bottom"/>
          </w:tcPr>
          <w:p w:rsidR="004A3868" w:rsidRDefault="003F1AB5">
            <w:pPr>
              <w:pStyle w:val="33"/>
              <w:rPr>
                <w:rFonts w:cstheme="minorBidi"/>
                <w14:ligatures w14:val="standardContextual"/>
              </w:rPr>
            </w:pPr>
            <w:r>
              <w:t>否</w:t>
            </w:r>
          </w:p>
        </w:tc>
      </w:tr>
      <w:tr w:rsidR="004A3868">
        <w:trPr>
          <w:trHeight w:val="397"/>
          <w:jc w:val="center"/>
        </w:trPr>
        <w:tc>
          <w:tcPr>
            <w:tcW w:w="360" w:type="pct"/>
            <w:vMerge/>
            <w:vAlign w:val="center"/>
          </w:tcPr>
          <w:p w:rsidR="004A3868" w:rsidRDefault="004A3868">
            <w:pPr>
              <w:pStyle w:val="33"/>
            </w:pPr>
          </w:p>
        </w:tc>
        <w:tc>
          <w:tcPr>
            <w:tcW w:w="390" w:type="pct"/>
            <w:vAlign w:val="center"/>
          </w:tcPr>
          <w:p w:rsidR="004A3868" w:rsidRDefault="003F1AB5">
            <w:pPr>
              <w:pStyle w:val="33"/>
            </w:pPr>
            <w:r>
              <w:rPr>
                <w:rFonts w:hint="eastAsia"/>
              </w:rPr>
              <w:t>副总经理</w:t>
            </w:r>
          </w:p>
        </w:tc>
        <w:tc>
          <w:tcPr>
            <w:tcW w:w="299" w:type="pct"/>
            <w:vMerge/>
            <w:vAlign w:val="bottom"/>
          </w:tcPr>
          <w:p w:rsidR="004A3868" w:rsidRDefault="004A3868">
            <w:pPr>
              <w:pStyle w:val="33"/>
            </w:pPr>
          </w:p>
        </w:tc>
        <w:tc>
          <w:tcPr>
            <w:tcW w:w="299" w:type="pct"/>
            <w:vMerge/>
            <w:vAlign w:val="bottom"/>
          </w:tcPr>
          <w:p w:rsidR="004A3868" w:rsidRDefault="004A3868">
            <w:pPr>
              <w:pStyle w:val="33"/>
            </w:pPr>
          </w:p>
        </w:tc>
        <w:tc>
          <w:tcPr>
            <w:tcW w:w="511" w:type="pct"/>
            <w:vAlign w:val="bottom"/>
          </w:tcPr>
          <w:p w:rsidR="004A3868" w:rsidRDefault="003F1AB5">
            <w:pPr>
              <w:pStyle w:val="afff7"/>
            </w:pPr>
            <w:r>
              <w:t>2023.11.13</w:t>
            </w:r>
          </w:p>
        </w:tc>
        <w:tc>
          <w:tcPr>
            <w:tcW w:w="511" w:type="pct"/>
            <w:vAlign w:val="bottom"/>
          </w:tcPr>
          <w:p w:rsidR="004A3868" w:rsidRDefault="003F1AB5">
            <w:pPr>
              <w:pStyle w:val="afff7"/>
            </w:pPr>
            <w:r>
              <w:t>2026.11.12</w:t>
            </w:r>
          </w:p>
        </w:tc>
        <w:tc>
          <w:tcPr>
            <w:tcW w:w="511" w:type="pct"/>
            <w:vMerge/>
            <w:vAlign w:val="bottom"/>
          </w:tcPr>
          <w:p w:rsidR="004A3868" w:rsidRDefault="004A3868">
            <w:pPr>
              <w:pStyle w:val="afff7"/>
            </w:pPr>
          </w:p>
        </w:tc>
        <w:tc>
          <w:tcPr>
            <w:tcW w:w="511" w:type="pct"/>
            <w:vMerge/>
            <w:vAlign w:val="bottom"/>
          </w:tcPr>
          <w:p w:rsidR="004A3868" w:rsidRDefault="004A3868">
            <w:pPr>
              <w:pStyle w:val="afff7"/>
            </w:pPr>
          </w:p>
        </w:tc>
        <w:tc>
          <w:tcPr>
            <w:tcW w:w="433" w:type="pct"/>
            <w:vMerge/>
            <w:vAlign w:val="bottom"/>
          </w:tcPr>
          <w:p w:rsidR="004A3868" w:rsidRDefault="004A3868">
            <w:pPr>
              <w:pStyle w:val="afff7"/>
            </w:pPr>
          </w:p>
        </w:tc>
        <w:tc>
          <w:tcPr>
            <w:tcW w:w="396" w:type="pct"/>
            <w:vMerge/>
            <w:vAlign w:val="bottom"/>
          </w:tcPr>
          <w:p w:rsidR="004A3868" w:rsidRDefault="004A3868">
            <w:pPr>
              <w:pStyle w:val="afff7"/>
            </w:pPr>
          </w:p>
        </w:tc>
        <w:tc>
          <w:tcPr>
            <w:tcW w:w="393" w:type="pct"/>
            <w:vMerge/>
            <w:vAlign w:val="bottom"/>
          </w:tcPr>
          <w:p w:rsidR="004A3868" w:rsidRDefault="004A3868">
            <w:pPr>
              <w:pStyle w:val="afff7"/>
            </w:pPr>
          </w:p>
        </w:tc>
        <w:tc>
          <w:tcPr>
            <w:tcW w:w="389" w:type="pct"/>
            <w:vMerge/>
            <w:vAlign w:val="bottom"/>
          </w:tcPr>
          <w:p w:rsidR="004A3868" w:rsidRDefault="004A3868">
            <w:pPr>
              <w:pStyle w:val="33"/>
            </w:pPr>
          </w:p>
        </w:tc>
      </w:tr>
      <w:tr w:rsidR="004A3868">
        <w:trPr>
          <w:trHeight w:val="397"/>
          <w:jc w:val="center"/>
        </w:trPr>
        <w:tc>
          <w:tcPr>
            <w:tcW w:w="360" w:type="pct"/>
            <w:vAlign w:val="center"/>
          </w:tcPr>
          <w:p w:rsidR="004A3868" w:rsidRDefault="003F1AB5">
            <w:pPr>
              <w:pStyle w:val="33"/>
            </w:pPr>
            <w:r>
              <w:rPr>
                <w:rFonts w:hint="eastAsia"/>
              </w:rPr>
              <w:t>肖永号</w:t>
            </w:r>
          </w:p>
        </w:tc>
        <w:tc>
          <w:tcPr>
            <w:tcW w:w="390" w:type="pct"/>
            <w:vAlign w:val="center"/>
          </w:tcPr>
          <w:p w:rsidR="004A3868" w:rsidRDefault="003F1AB5">
            <w:pPr>
              <w:pStyle w:val="33"/>
            </w:pPr>
            <w:r>
              <w:rPr>
                <w:rFonts w:hint="eastAsia"/>
              </w:rPr>
              <w:t>副总经理</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5</w:t>
            </w:r>
            <w:r>
              <w:t>3</w:t>
            </w:r>
          </w:p>
        </w:tc>
        <w:tc>
          <w:tcPr>
            <w:tcW w:w="511" w:type="pct"/>
            <w:vAlign w:val="bottom"/>
          </w:tcPr>
          <w:p w:rsidR="004A3868" w:rsidRDefault="003F1AB5">
            <w:pPr>
              <w:pStyle w:val="afff7"/>
            </w:pPr>
            <w:r>
              <w:t>2023.11.13</w:t>
            </w:r>
          </w:p>
        </w:tc>
        <w:tc>
          <w:tcPr>
            <w:tcW w:w="511" w:type="pct"/>
            <w:vAlign w:val="bottom"/>
          </w:tcPr>
          <w:p w:rsidR="004A3868" w:rsidRDefault="003F1AB5">
            <w:pPr>
              <w:pStyle w:val="afff7"/>
            </w:pPr>
            <w:r>
              <w:t>2026.11.12</w:t>
            </w:r>
          </w:p>
        </w:tc>
        <w:tc>
          <w:tcPr>
            <w:tcW w:w="511" w:type="pct"/>
            <w:vAlign w:val="bottom"/>
          </w:tcPr>
          <w:p w:rsidR="004A3868" w:rsidRDefault="003F1AB5">
            <w:pPr>
              <w:pStyle w:val="afff7"/>
            </w:pPr>
            <w:r>
              <w:t>0</w:t>
            </w:r>
          </w:p>
        </w:tc>
        <w:tc>
          <w:tcPr>
            <w:tcW w:w="511" w:type="pct"/>
            <w:vAlign w:val="bottom"/>
          </w:tcPr>
          <w:p w:rsidR="004A3868" w:rsidRDefault="003F1AB5">
            <w:pPr>
              <w:pStyle w:val="afff7"/>
            </w:pPr>
            <w:r>
              <w:t>0</w:t>
            </w:r>
          </w:p>
        </w:tc>
        <w:tc>
          <w:tcPr>
            <w:tcW w:w="433" w:type="pct"/>
            <w:vAlign w:val="bottom"/>
          </w:tcPr>
          <w:p w:rsidR="004A3868" w:rsidRDefault="003F1AB5">
            <w:pPr>
              <w:pStyle w:val="afff7"/>
            </w:pPr>
            <w:r>
              <w:t>0</w:t>
            </w:r>
          </w:p>
        </w:tc>
        <w:tc>
          <w:tcPr>
            <w:tcW w:w="396" w:type="pct"/>
            <w:vAlign w:val="bottom"/>
          </w:tcPr>
          <w:p w:rsidR="004A3868" w:rsidRDefault="003F1AB5">
            <w:pPr>
              <w:pStyle w:val="afff7"/>
            </w:pPr>
            <w:r>
              <w:t>-</w:t>
            </w:r>
          </w:p>
        </w:tc>
        <w:tc>
          <w:tcPr>
            <w:tcW w:w="393" w:type="pct"/>
            <w:vAlign w:val="bottom"/>
          </w:tcPr>
          <w:p w:rsidR="004A3868" w:rsidRDefault="003F1AB5">
            <w:pPr>
              <w:pStyle w:val="afff7"/>
            </w:pPr>
            <w:r>
              <w:t>3.09</w:t>
            </w:r>
          </w:p>
        </w:tc>
        <w:tc>
          <w:tcPr>
            <w:tcW w:w="389" w:type="pct"/>
            <w:vAlign w:val="bottom"/>
          </w:tcPr>
          <w:p w:rsidR="004A3868" w:rsidRDefault="003F1AB5">
            <w:pPr>
              <w:pStyle w:val="33"/>
              <w:rPr>
                <w:rFonts w:cstheme="minorBidi"/>
                <w14:ligatures w14:val="standardContextual"/>
              </w:rPr>
            </w:pPr>
            <w:r>
              <w:t>否</w:t>
            </w:r>
          </w:p>
        </w:tc>
      </w:tr>
      <w:tr w:rsidR="004A3868">
        <w:trPr>
          <w:trHeight w:val="397"/>
          <w:jc w:val="center"/>
        </w:trPr>
        <w:tc>
          <w:tcPr>
            <w:tcW w:w="360" w:type="pct"/>
            <w:vAlign w:val="center"/>
          </w:tcPr>
          <w:p w:rsidR="004A3868" w:rsidRDefault="003F1AB5">
            <w:pPr>
              <w:pStyle w:val="33"/>
            </w:pPr>
            <w:r>
              <w:rPr>
                <w:rFonts w:hint="eastAsia"/>
              </w:rPr>
              <w:t>杨万华</w:t>
            </w:r>
          </w:p>
        </w:tc>
        <w:tc>
          <w:tcPr>
            <w:tcW w:w="390" w:type="pct"/>
            <w:vAlign w:val="center"/>
          </w:tcPr>
          <w:p w:rsidR="004A3868" w:rsidRDefault="003F1AB5">
            <w:pPr>
              <w:pStyle w:val="33"/>
            </w:pPr>
            <w:r>
              <w:rPr>
                <w:rFonts w:hint="eastAsia"/>
              </w:rPr>
              <w:t>财务总监</w:t>
            </w:r>
          </w:p>
        </w:tc>
        <w:tc>
          <w:tcPr>
            <w:tcW w:w="299" w:type="pct"/>
            <w:vAlign w:val="bottom"/>
          </w:tcPr>
          <w:p w:rsidR="004A3868" w:rsidRDefault="003F1AB5">
            <w:pPr>
              <w:pStyle w:val="33"/>
            </w:pPr>
            <w:r>
              <w:rPr>
                <w:rFonts w:hint="eastAsia"/>
              </w:rPr>
              <w:t>女</w:t>
            </w:r>
          </w:p>
        </w:tc>
        <w:tc>
          <w:tcPr>
            <w:tcW w:w="299" w:type="pct"/>
            <w:vAlign w:val="bottom"/>
          </w:tcPr>
          <w:p w:rsidR="004A3868" w:rsidRDefault="003F1AB5">
            <w:pPr>
              <w:pStyle w:val="33"/>
            </w:pPr>
            <w:r>
              <w:rPr>
                <w:rFonts w:hint="eastAsia"/>
              </w:rPr>
              <w:t>3</w:t>
            </w:r>
            <w:r>
              <w:t>7</w:t>
            </w:r>
          </w:p>
        </w:tc>
        <w:tc>
          <w:tcPr>
            <w:tcW w:w="511" w:type="pct"/>
            <w:vAlign w:val="bottom"/>
          </w:tcPr>
          <w:p w:rsidR="004A3868" w:rsidRDefault="003F1AB5">
            <w:pPr>
              <w:pStyle w:val="afff7"/>
            </w:pPr>
            <w:r>
              <w:t>2023.11.13</w:t>
            </w:r>
          </w:p>
        </w:tc>
        <w:tc>
          <w:tcPr>
            <w:tcW w:w="511" w:type="pct"/>
            <w:vAlign w:val="bottom"/>
          </w:tcPr>
          <w:p w:rsidR="004A3868" w:rsidRDefault="003F1AB5">
            <w:pPr>
              <w:pStyle w:val="afff7"/>
            </w:pPr>
            <w:r>
              <w:t>2026.11.12</w:t>
            </w:r>
          </w:p>
        </w:tc>
        <w:tc>
          <w:tcPr>
            <w:tcW w:w="511" w:type="pct"/>
            <w:vAlign w:val="bottom"/>
          </w:tcPr>
          <w:p w:rsidR="004A3868" w:rsidRDefault="003F1AB5">
            <w:pPr>
              <w:pStyle w:val="afff7"/>
            </w:pPr>
            <w:r>
              <w:t>0</w:t>
            </w:r>
          </w:p>
        </w:tc>
        <w:tc>
          <w:tcPr>
            <w:tcW w:w="511" w:type="pct"/>
            <w:vAlign w:val="bottom"/>
          </w:tcPr>
          <w:p w:rsidR="004A3868" w:rsidRDefault="003F1AB5">
            <w:pPr>
              <w:pStyle w:val="afff7"/>
            </w:pPr>
            <w:r>
              <w:t>0</w:t>
            </w:r>
          </w:p>
        </w:tc>
        <w:tc>
          <w:tcPr>
            <w:tcW w:w="433" w:type="pct"/>
            <w:vAlign w:val="bottom"/>
          </w:tcPr>
          <w:p w:rsidR="004A3868" w:rsidRDefault="003F1AB5">
            <w:pPr>
              <w:pStyle w:val="afff7"/>
            </w:pPr>
            <w:r>
              <w:t>0</w:t>
            </w:r>
          </w:p>
        </w:tc>
        <w:tc>
          <w:tcPr>
            <w:tcW w:w="396" w:type="pct"/>
            <w:vAlign w:val="bottom"/>
          </w:tcPr>
          <w:p w:rsidR="004A3868" w:rsidRDefault="003F1AB5">
            <w:pPr>
              <w:pStyle w:val="afff7"/>
            </w:pPr>
            <w:r>
              <w:t>-</w:t>
            </w:r>
          </w:p>
        </w:tc>
        <w:tc>
          <w:tcPr>
            <w:tcW w:w="393" w:type="pct"/>
            <w:vAlign w:val="bottom"/>
          </w:tcPr>
          <w:p w:rsidR="004A3868" w:rsidRDefault="003F1AB5">
            <w:pPr>
              <w:pStyle w:val="afff7"/>
            </w:pPr>
            <w:r>
              <w:t>2.82</w:t>
            </w:r>
          </w:p>
        </w:tc>
        <w:tc>
          <w:tcPr>
            <w:tcW w:w="389" w:type="pct"/>
            <w:vAlign w:val="bottom"/>
          </w:tcPr>
          <w:p w:rsidR="004A3868" w:rsidRDefault="003F1AB5">
            <w:pPr>
              <w:pStyle w:val="33"/>
              <w:rPr>
                <w:rFonts w:cstheme="minorBidi"/>
                <w14:ligatures w14:val="standardContextual"/>
              </w:rPr>
            </w:pPr>
            <w:r>
              <w:t>否</w:t>
            </w:r>
          </w:p>
        </w:tc>
      </w:tr>
      <w:tr w:rsidR="004A3868">
        <w:trPr>
          <w:trHeight w:val="397"/>
          <w:jc w:val="center"/>
        </w:trPr>
        <w:tc>
          <w:tcPr>
            <w:tcW w:w="360" w:type="pct"/>
            <w:vAlign w:val="center"/>
          </w:tcPr>
          <w:p w:rsidR="004A3868" w:rsidRDefault="003F1AB5">
            <w:pPr>
              <w:pStyle w:val="33"/>
            </w:pPr>
            <w:r>
              <w:rPr>
                <w:rFonts w:hint="eastAsia"/>
              </w:rPr>
              <w:t>李奎</w:t>
            </w:r>
          </w:p>
        </w:tc>
        <w:tc>
          <w:tcPr>
            <w:tcW w:w="390" w:type="pct"/>
            <w:vAlign w:val="center"/>
          </w:tcPr>
          <w:p w:rsidR="004A3868" w:rsidRDefault="003F1AB5">
            <w:pPr>
              <w:pStyle w:val="33"/>
            </w:pPr>
            <w:r>
              <w:rPr>
                <w:rFonts w:hint="eastAsia"/>
              </w:rPr>
              <w:t>董事、副总经理（离任）</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6</w:t>
            </w:r>
            <w:r>
              <w:t>1</w:t>
            </w:r>
          </w:p>
        </w:tc>
        <w:tc>
          <w:tcPr>
            <w:tcW w:w="511" w:type="pct"/>
            <w:vAlign w:val="bottom"/>
          </w:tcPr>
          <w:p w:rsidR="004A3868" w:rsidRDefault="003F1AB5">
            <w:pPr>
              <w:pStyle w:val="afff7"/>
            </w:pPr>
            <w:r>
              <w:rPr>
                <w:rFonts w:hint="eastAsia"/>
              </w:rPr>
              <w:t>2</w:t>
            </w:r>
            <w:r>
              <w:t>014.12.15</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t>600,000</w:t>
            </w:r>
          </w:p>
        </w:tc>
        <w:tc>
          <w:tcPr>
            <w:tcW w:w="511" w:type="pct"/>
            <w:vAlign w:val="bottom"/>
          </w:tcPr>
          <w:p w:rsidR="004A3868" w:rsidRDefault="003F1AB5">
            <w:pPr>
              <w:pStyle w:val="afff7"/>
            </w:pPr>
            <w:r>
              <w:t>450,000</w:t>
            </w:r>
          </w:p>
        </w:tc>
        <w:tc>
          <w:tcPr>
            <w:tcW w:w="433" w:type="pct"/>
            <w:vAlign w:val="bottom"/>
          </w:tcPr>
          <w:p w:rsidR="004A3868" w:rsidRDefault="003F1AB5">
            <w:pPr>
              <w:pStyle w:val="afff7"/>
            </w:pPr>
            <w:r>
              <w:t>-150,000</w:t>
            </w:r>
          </w:p>
        </w:tc>
        <w:tc>
          <w:tcPr>
            <w:tcW w:w="396" w:type="pct"/>
            <w:vAlign w:val="bottom"/>
          </w:tcPr>
          <w:p w:rsidR="004A3868" w:rsidRDefault="003F1AB5">
            <w:pPr>
              <w:pStyle w:val="afff7"/>
            </w:pPr>
            <w:r>
              <w:rPr>
                <w:rFonts w:hint="eastAsia"/>
              </w:rPr>
              <w:t>个人原因减持</w:t>
            </w:r>
          </w:p>
        </w:tc>
        <w:tc>
          <w:tcPr>
            <w:tcW w:w="393" w:type="pct"/>
            <w:vAlign w:val="bottom"/>
          </w:tcPr>
          <w:p w:rsidR="004A3868" w:rsidRDefault="003F1AB5">
            <w:pPr>
              <w:pStyle w:val="afff7"/>
            </w:pPr>
            <w:r>
              <w:t>39.14</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杨厚群</w:t>
            </w:r>
          </w:p>
        </w:tc>
        <w:tc>
          <w:tcPr>
            <w:tcW w:w="390" w:type="pct"/>
            <w:vAlign w:val="center"/>
          </w:tcPr>
          <w:p w:rsidR="004A3868" w:rsidRDefault="003F1AB5">
            <w:pPr>
              <w:pStyle w:val="33"/>
            </w:pPr>
            <w:r>
              <w:rPr>
                <w:rFonts w:hint="eastAsia"/>
              </w:rPr>
              <w:t>董事（离任）</w:t>
            </w:r>
          </w:p>
        </w:tc>
        <w:tc>
          <w:tcPr>
            <w:tcW w:w="299" w:type="pct"/>
            <w:vAlign w:val="bottom"/>
          </w:tcPr>
          <w:p w:rsidR="004A3868" w:rsidRDefault="003F1AB5">
            <w:pPr>
              <w:pStyle w:val="33"/>
            </w:pPr>
            <w:r>
              <w:rPr>
                <w:rFonts w:hint="eastAsia"/>
              </w:rPr>
              <w:t>女</w:t>
            </w:r>
          </w:p>
        </w:tc>
        <w:tc>
          <w:tcPr>
            <w:tcW w:w="299" w:type="pct"/>
            <w:vAlign w:val="bottom"/>
          </w:tcPr>
          <w:p w:rsidR="004A3868" w:rsidRDefault="003F1AB5">
            <w:pPr>
              <w:pStyle w:val="33"/>
            </w:pPr>
            <w:r>
              <w:rPr>
                <w:rFonts w:hint="eastAsia"/>
              </w:rPr>
              <w:t>5</w:t>
            </w:r>
            <w:r>
              <w:t>0</w:t>
            </w:r>
          </w:p>
        </w:tc>
        <w:tc>
          <w:tcPr>
            <w:tcW w:w="511" w:type="pct"/>
            <w:vAlign w:val="bottom"/>
          </w:tcPr>
          <w:p w:rsidR="004A3868" w:rsidRDefault="003F1AB5">
            <w:pPr>
              <w:pStyle w:val="afff7"/>
            </w:pPr>
            <w:r>
              <w:rPr>
                <w:rFonts w:hint="eastAsia"/>
              </w:rPr>
              <w:t>2</w:t>
            </w:r>
            <w:r>
              <w:t>014.12.15</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t>7,500,000</w:t>
            </w:r>
          </w:p>
        </w:tc>
        <w:tc>
          <w:tcPr>
            <w:tcW w:w="511" w:type="pct"/>
            <w:vAlign w:val="bottom"/>
          </w:tcPr>
          <w:p w:rsidR="004A3868" w:rsidRDefault="003F1AB5">
            <w:pPr>
              <w:pStyle w:val="afff7"/>
            </w:pPr>
            <w:r>
              <w:t>7,500,000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55.44</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熊必润</w:t>
            </w:r>
          </w:p>
        </w:tc>
        <w:tc>
          <w:tcPr>
            <w:tcW w:w="390" w:type="pct"/>
            <w:vAlign w:val="center"/>
          </w:tcPr>
          <w:p w:rsidR="004A3868" w:rsidRDefault="003F1AB5">
            <w:pPr>
              <w:pStyle w:val="33"/>
            </w:pPr>
            <w:r>
              <w:rPr>
                <w:rFonts w:hint="eastAsia"/>
              </w:rPr>
              <w:t>董事、副总经理（离任）</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5</w:t>
            </w:r>
            <w:r>
              <w:t>6</w:t>
            </w:r>
          </w:p>
        </w:tc>
        <w:tc>
          <w:tcPr>
            <w:tcW w:w="511" w:type="pct"/>
            <w:vAlign w:val="bottom"/>
          </w:tcPr>
          <w:p w:rsidR="004A3868" w:rsidRDefault="003F1AB5">
            <w:pPr>
              <w:pStyle w:val="afff7"/>
            </w:pPr>
            <w:r>
              <w:rPr>
                <w:rFonts w:hint="eastAsia"/>
              </w:rPr>
              <w:t>2</w:t>
            </w:r>
            <w:r>
              <w:t>014.12.15</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t>200,000</w:t>
            </w:r>
          </w:p>
        </w:tc>
        <w:tc>
          <w:tcPr>
            <w:tcW w:w="511" w:type="pct"/>
            <w:vAlign w:val="bottom"/>
          </w:tcPr>
          <w:p w:rsidR="004A3868" w:rsidRDefault="003F1AB5">
            <w:pPr>
              <w:pStyle w:val="afff7"/>
            </w:pPr>
            <w:r>
              <w:t>200,000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t>51.17</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冯戟</w:t>
            </w:r>
          </w:p>
        </w:tc>
        <w:tc>
          <w:tcPr>
            <w:tcW w:w="390" w:type="pct"/>
            <w:vAlign w:val="center"/>
          </w:tcPr>
          <w:p w:rsidR="004A3868" w:rsidRDefault="003F1AB5">
            <w:pPr>
              <w:pStyle w:val="33"/>
            </w:pPr>
            <w:r>
              <w:rPr>
                <w:rFonts w:hint="eastAsia"/>
              </w:rPr>
              <w:t>董事（离任）</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4</w:t>
            </w:r>
            <w:r>
              <w:t>7</w:t>
            </w:r>
          </w:p>
        </w:tc>
        <w:tc>
          <w:tcPr>
            <w:tcW w:w="511" w:type="pct"/>
            <w:vAlign w:val="bottom"/>
          </w:tcPr>
          <w:p w:rsidR="004A3868" w:rsidRDefault="003F1AB5">
            <w:pPr>
              <w:pStyle w:val="afff7"/>
            </w:pPr>
            <w:r>
              <w:rPr>
                <w:rFonts w:hint="eastAsia"/>
              </w:rPr>
              <w:t>2</w:t>
            </w:r>
            <w:r>
              <w:t>018.01.03</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rPr>
                <w:rFonts w:hint="eastAsia"/>
              </w:rPr>
              <w:t>0.00</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郭振岩</w:t>
            </w:r>
          </w:p>
        </w:tc>
        <w:tc>
          <w:tcPr>
            <w:tcW w:w="390" w:type="pct"/>
            <w:vAlign w:val="center"/>
          </w:tcPr>
          <w:p w:rsidR="004A3868" w:rsidRDefault="003F1AB5">
            <w:pPr>
              <w:pStyle w:val="33"/>
            </w:pPr>
            <w:r>
              <w:rPr>
                <w:rFonts w:hint="eastAsia"/>
              </w:rPr>
              <w:t>独立董事（离任）</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6</w:t>
            </w:r>
            <w:r>
              <w:t>0</w:t>
            </w:r>
          </w:p>
        </w:tc>
        <w:tc>
          <w:tcPr>
            <w:tcW w:w="511" w:type="pct"/>
            <w:vAlign w:val="bottom"/>
          </w:tcPr>
          <w:p w:rsidR="004A3868" w:rsidRDefault="003F1AB5">
            <w:pPr>
              <w:pStyle w:val="afff7"/>
            </w:pPr>
            <w:r>
              <w:rPr>
                <w:rFonts w:hint="eastAsia"/>
              </w:rPr>
              <w:t>2</w:t>
            </w:r>
            <w:r>
              <w:t>017.09.08</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rPr>
                <w:rFonts w:hint="eastAsia"/>
              </w:rPr>
              <w:t>0.00</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黎明</w:t>
            </w:r>
          </w:p>
        </w:tc>
        <w:tc>
          <w:tcPr>
            <w:tcW w:w="390" w:type="pct"/>
            <w:vAlign w:val="center"/>
          </w:tcPr>
          <w:p w:rsidR="004A3868" w:rsidRDefault="003F1AB5">
            <w:pPr>
              <w:pStyle w:val="33"/>
            </w:pPr>
            <w:r>
              <w:rPr>
                <w:rFonts w:hint="eastAsia"/>
              </w:rPr>
              <w:t>独立董事（离任）</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6</w:t>
            </w:r>
            <w:r>
              <w:t>0</w:t>
            </w:r>
          </w:p>
        </w:tc>
        <w:tc>
          <w:tcPr>
            <w:tcW w:w="511" w:type="pct"/>
            <w:vAlign w:val="bottom"/>
          </w:tcPr>
          <w:p w:rsidR="004A3868" w:rsidRDefault="003F1AB5">
            <w:pPr>
              <w:pStyle w:val="afff7"/>
            </w:pPr>
            <w:r>
              <w:rPr>
                <w:rFonts w:hint="eastAsia"/>
              </w:rPr>
              <w:t>2</w:t>
            </w:r>
            <w:r>
              <w:t>017.09.08</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rPr>
                <w:rFonts w:hint="eastAsia"/>
              </w:rPr>
              <w:t>11.00</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lastRenderedPageBreak/>
              <w:t>陈伟根</w:t>
            </w:r>
          </w:p>
        </w:tc>
        <w:tc>
          <w:tcPr>
            <w:tcW w:w="390" w:type="pct"/>
            <w:vAlign w:val="center"/>
          </w:tcPr>
          <w:p w:rsidR="004A3868" w:rsidRDefault="003F1AB5">
            <w:pPr>
              <w:pStyle w:val="33"/>
            </w:pPr>
            <w:r>
              <w:rPr>
                <w:rFonts w:hint="eastAsia"/>
              </w:rPr>
              <w:t>独立董事（离任）</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5</w:t>
            </w:r>
            <w:r>
              <w:t>7</w:t>
            </w:r>
          </w:p>
        </w:tc>
        <w:tc>
          <w:tcPr>
            <w:tcW w:w="511" w:type="pct"/>
            <w:vAlign w:val="bottom"/>
          </w:tcPr>
          <w:p w:rsidR="004A3868" w:rsidRDefault="003F1AB5">
            <w:pPr>
              <w:pStyle w:val="afff7"/>
            </w:pPr>
            <w:r>
              <w:rPr>
                <w:rFonts w:hint="eastAsia"/>
              </w:rPr>
              <w:t>2</w:t>
            </w:r>
            <w:r>
              <w:t>017.09.08</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rPr>
                <w:rFonts w:hint="eastAsia"/>
              </w:rPr>
              <w:t>0</w:t>
            </w:r>
          </w:p>
        </w:tc>
        <w:tc>
          <w:tcPr>
            <w:tcW w:w="511" w:type="pct"/>
            <w:vAlign w:val="bottom"/>
          </w:tcPr>
          <w:p w:rsidR="004A3868" w:rsidRDefault="003F1AB5">
            <w:pPr>
              <w:pStyle w:val="afff7"/>
            </w:pPr>
            <w:r>
              <w:rPr>
                <w:rFonts w:hint="eastAsia"/>
              </w:rPr>
              <w:t>0</w:t>
            </w:r>
          </w:p>
        </w:tc>
        <w:tc>
          <w:tcPr>
            <w:tcW w:w="433" w:type="pct"/>
            <w:vAlign w:val="bottom"/>
          </w:tcPr>
          <w:p w:rsidR="004A3868" w:rsidRDefault="003F1AB5">
            <w:pPr>
              <w:pStyle w:val="afff7"/>
            </w:pPr>
            <w:r>
              <w:rPr>
                <w:rFonts w:hint="eastAsia"/>
              </w:rPr>
              <w:t>0</w:t>
            </w:r>
          </w:p>
        </w:tc>
        <w:tc>
          <w:tcPr>
            <w:tcW w:w="396" w:type="pct"/>
            <w:vAlign w:val="bottom"/>
          </w:tcPr>
          <w:p w:rsidR="004A3868" w:rsidRDefault="003F1AB5">
            <w:pPr>
              <w:pStyle w:val="afff7"/>
            </w:pPr>
            <w:r>
              <w:rPr>
                <w:rFonts w:hint="eastAsia"/>
              </w:rPr>
              <w:t>-</w:t>
            </w:r>
          </w:p>
        </w:tc>
        <w:tc>
          <w:tcPr>
            <w:tcW w:w="393" w:type="pct"/>
            <w:vAlign w:val="bottom"/>
          </w:tcPr>
          <w:p w:rsidR="004A3868" w:rsidRDefault="003F1AB5">
            <w:pPr>
              <w:pStyle w:val="afff7"/>
            </w:pPr>
            <w:r>
              <w:rPr>
                <w:rFonts w:hint="eastAsia"/>
              </w:rPr>
              <w:t>11.00</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vAlign w:val="center"/>
          </w:tcPr>
          <w:p w:rsidR="004A3868" w:rsidRDefault="003F1AB5">
            <w:pPr>
              <w:pStyle w:val="33"/>
            </w:pPr>
            <w:r>
              <w:rPr>
                <w:rFonts w:hint="eastAsia"/>
              </w:rPr>
              <w:t>袁涛</w:t>
            </w:r>
          </w:p>
        </w:tc>
        <w:tc>
          <w:tcPr>
            <w:tcW w:w="390" w:type="pct"/>
            <w:vAlign w:val="center"/>
          </w:tcPr>
          <w:p w:rsidR="004A3868" w:rsidRDefault="003F1AB5">
            <w:pPr>
              <w:pStyle w:val="33"/>
            </w:pPr>
            <w:r>
              <w:rPr>
                <w:rFonts w:hint="eastAsia"/>
              </w:rPr>
              <w:t>监事会主席（离任）</w:t>
            </w:r>
          </w:p>
        </w:tc>
        <w:tc>
          <w:tcPr>
            <w:tcW w:w="299" w:type="pct"/>
            <w:vAlign w:val="bottom"/>
          </w:tcPr>
          <w:p w:rsidR="004A3868" w:rsidRDefault="003F1AB5">
            <w:pPr>
              <w:pStyle w:val="33"/>
            </w:pPr>
            <w:r>
              <w:rPr>
                <w:rFonts w:hint="eastAsia"/>
              </w:rPr>
              <w:t>男</w:t>
            </w:r>
          </w:p>
        </w:tc>
        <w:tc>
          <w:tcPr>
            <w:tcW w:w="299" w:type="pct"/>
            <w:vAlign w:val="bottom"/>
          </w:tcPr>
          <w:p w:rsidR="004A3868" w:rsidRDefault="003F1AB5">
            <w:pPr>
              <w:pStyle w:val="33"/>
            </w:pPr>
            <w:r>
              <w:rPr>
                <w:rFonts w:hint="eastAsia"/>
              </w:rPr>
              <w:t>5</w:t>
            </w:r>
            <w:r>
              <w:t>0</w:t>
            </w:r>
          </w:p>
        </w:tc>
        <w:tc>
          <w:tcPr>
            <w:tcW w:w="511" w:type="pct"/>
            <w:vAlign w:val="bottom"/>
          </w:tcPr>
          <w:p w:rsidR="004A3868" w:rsidRDefault="003F1AB5">
            <w:pPr>
              <w:pStyle w:val="afff7"/>
            </w:pPr>
            <w:r>
              <w:rPr>
                <w:rFonts w:hint="eastAsia"/>
              </w:rPr>
              <w:t>2</w:t>
            </w:r>
            <w:r>
              <w:t>014.12.25</w:t>
            </w:r>
          </w:p>
        </w:tc>
        <w:tc>
          <w:tcPr>
            <w:tcW w:w="511" w:type="pct"/>
            <w:vAlign w:val="bottom"/>
          </w:tcPr>
          <w:p w:rsidR="004A3868" w:rsidRDefault="003F1AB5">
            <w:pPr>
              <w:pStyle w:val="afff7"/>
            </w:pPr>
            <w:r>
              <w:rPr>
                <w:rFonts w:hint="eastAsia"/>
              </w:rPr>
              <w:t>2</w:t>
            </w:r>
            <w:r>
              <w:t>023.11.13</w:t>
            </w:r>
          </w:p>
        </w:tc>
        <w:tc>
          <w:tcPr>
            <w:tcW w:w="511" w:type="pct"/>
            <w:vAlign w:val="bottom"/>
          </w:tcPr>
          <w:p w:rsidR="004A3868" w:rsidRDefault="003F1AB5">
            <w:pPr>
              <w:pStyle w:val="afff7"/>
            </w:pPr>
            <w:r>
              <w:t>330,000</w:t>
            </w:r>
          </w:p>
        </w:tc>
        <w:tc>
          <w:tcPr>
            <w:tcW w:w="511" w:type="pct"/>
            <w:vAlign w:val="bottom"/>
          </w:tcPr>
          <w:p w:rsidR="004A3868" w:rsidRDefault="003F1AB5">
            <w:pPr>
              <w:pStyle w:val="afff7"/>
            </w:pPr>
            <w:r>
              <w:t>270,000</w:t>
            </w:r>
          </w:p>
        </w:tc>
        <w:tc>
          <w:tcPr>
            <w:tcW w:w="433" w:type="pct"/>
            <w:vAlign w:val="bottom"/>
          </w:tcPr>
          <w:p w:rsidR="004A3868" w:rsidRDefault="003F1AB5">
            <w:pPr>
              <w:pStyle w:val="afff7"/>
            </w:pPr>
            <w:r>
              <w:t>-60,000</w:t>
            </w:r>
          </w:p>
        </w:tc>
        <w:tc>
          <w:tcPr>
            <w:tcW w:w="396" w:type="pct"/>
            <w:vAlign w:val="bottom"/>
          </w:tcPr>
          <w:p w:rsidR="004A3868" w:rsidRDefault="003F1AB5">
            <w:pPr>
              <w:pStyle w:val="afff7"/>
            </w:pPr>
            <w:r>
              <w:rPr>
                <w:rFonts w:hint="eastAsia"/>
              </w:rPr>
              <w:t>个人原因减持</w:t>
            </w:r>
          </w:p>
        </w:tc>
        <w:tc>
          <w:tcPr>
            <w:tcW w:w="393" w:type="pct"/>
            <w:vAlign w:val="bottom"/>
          </w:tcPr>
          <w:p w:rsidR="004A3868" w:rsidRDefault="003F1AB5">
            <w:pPr>
              <w:pStyle w:val="afff7"/>
            </w:pPr>
            <w:r>
              <w:t>22.62</w:t>
            </w:r>
          </w:p>
        </w:tc>
        <w:tc>
          <w:tcPr>
            <w:tcW w:w="389" w:type="pct"/>
            <w:vAlign w:val="bottom"/>
          </w:tcPr>
          <w:p w:rsidR="004A3868" w:rsidRDefault="003F1AB5">
            <w:pPr>
              <w:pStyle w:val="33"/>
            </w:pPr>
            <w:r>
              <w:rPr>
                <w:rFonts w:hint="eastAsia"/>
              </w:rPr>
              <w:t>否</w:t>
            </w:r>
          </w:p>
        </w:tc>
      </w:tr>
      <w:tr w:rsidR="004A3868">
        <w:trPr>
          <w:trHeight w:val="397"/>
          <w:jc w:val="center"/>
        </w:trPr>
        <w:tc>
          <w:tcPr>
            <w:tcW w:w="360" w:type="pct"/>
            <w:tcBorders>
              <w:bottom w:val="single" w:sz="4" w:space="0" w:color="auto"/>
            </w:tcBorders>
            <w:vAlign w:val="center"/>
          </w:tcPr>
          <w:p w:rsidR="004A3868" w:rsidRDefault="003F1AB5">
            <w:pPr>
              <w:pStyle w:val="33"/>
            </w:pPr>
            <w:r>
              <w:rPr>
                <w:rFonts w:hint="eastAsia"/>
              </w:rPr>
              <w:t>合计</w:t>
            </w:r>
          </w:p>
        </w:tc>
        <w:tc>
          <w:tcPr>
            <w:tcW w:w="390" w:type="pct"/>
            <w:tcBorders>
              <w:bottom w:val="single" w:sz="4" w:space="0" w:color="auto"/>
            </w:tcBorders>
            <w:vAlign w:val="center"/>
          </w:tcPr>
          <w:p w:rsidR="004A3868" w:rsidRDefault="003F1AB5">
            <w:pPr>
              <w:pStyle w:val="33"/>
            </w:pPr>
            <w:r>
              <w:rPr>
                <w:rFonts w:hint="eastAsia"/>
              </w:rPr>
              <w:t>/</w:t>
            </w:r>
          </w:p>
        </w:tc>
        <w:tc>
          <w:tcPr>
            <w:tcW w:w="299" w:type="pct"/>
            <w:tcBorders>
              <w:bottom w:val="single" w:sz="4" w:space="0" w:color="auto"/>
            </w:tcBorders>
            <w:vAlign w:val="bottom"/>
          </w:tcPr>
          <w:p w:rsidR="004A3868" w:rsidRDefault="003F1AB5">
            <w:pPr>
              <w:pStyle w:val="33"/>
            </w:pPr>
            <w:r>
              <w:rPr>
                <w:rFonts w:hint="eastAsia"/>
              </w:rPr>
              <w:t>/</w:t>
            </w:r>
          </w:p>
        </w:tc>
        <w:tc>
          <w:tcPr>
            <w:tcW w:w="299" w:type="pct"/>
            <w:tcBorders>
              <w:bottom w:val="single" w:sz="4" w:space="0" w:color="auto"/>
            </w:tcBorders>
            <w:vAlign w:val="bottom"/>
          </w:tcPr>
          <w:p w:rsidR="004A3868" w:rsidRDefault="003F1AB5">
            <w:pPr>
              <w:pStyle w:val="33"/>
            </w:pPr>
            <w:r>
              <w:rPr>
                <w:rFonts w:hint="eastAsia"/>
              </w:rPr>
              <w:t>/</w:t>
            </w:r>
          </w:p>
        </w:tc>
        <w:tc>
          <w:tcPr>
            <w:tcW w:w="511" w:type="pct"/>
            <w:tcBorders>
              <w:bottom w:val="single" w:sz="4" w:space="0" w:color="auto"/>
            </w:tcBorders>
            <w:vAlign w:val="bottom"/>
          </w:tcPr>
          <w:p w:rsidR="004A3868" w:rsidRDefault="003F1AB5">
            <w:pPr>
              <w:pStyle w:val="afff7"/>
            </w:pPr>
            <w:r>
              <w:rPr>
                <w:rFonts w:hint="eastAsia"/>
              </w:rPr>
              <w:t>/</w:t>
            </w:r>
          </w:p>
        </w:tc>
        <w:tc>
          <w:tcPr>
            <w:tcW w:w="511" w:type="pct"/>
            <w:tcBorders>
              <w:bottom w:val="single" w:sz="4" w:space="0" w:color="auto"/>
            </w:tcBorders>
            <w:vAlign w:val="bottom"/>
          </w:tcPr>
          <w:p w:rsidR="004A3868" w:rsidRDefault="003F1AB5">
            <w:pPr>
              <w:pStyle w:val="afff7"/>
            </w:pPr>
            <w:r>
              <w:rPr>
                <w:rFonts w:hint="eastAsia"/>
              </w:rPr>
              <w:t>/</w:t>
            </w:r>
          </w:p>
        </w:tc>
        <w:tc>
          <w:tcPr>
            <w:tcW w:w="511" w:type="pct"/>
            <w:tcBorders>
              <w:bottom w:val="single" w:sz="4" w:space="0" w:color="auto"/>
            </w:tcBorders>
            <w:vAlign w:val="bottom"/>
          </w:tcPr>
          <w:p w:rsidR="004A3868" w:rsidRDefault="003F1AB5">
            <w:pPr>
              <w:pStyle w:val="afff7"/>
            </w:pPr>
            <w:r>
              <w:rPr>
                <w:rFonts w:hint="eastAsia"/>
              </w:rPr>
              <w:t>61,948,391</w:t>
            </w:r>
          </w:p>
        </w:tc>
        <w:tc>
          <w:tcPr>
            <w:tcW w:w="511" w:type="pct"/>
            <w:tcBorders>
              <w:bottom w:val="single" w:sz="4" w:space="0" w:color="auto"/>
            </w:tcBorders>
            <w:vAlign w:val="bottom"/>
          </w:tcPr>
          <w:p w:rsidR="004A3868" w:rsidRDefault="003F1AB5">
            <w:pPr>
              <w:pStyle w:val="afff7"/>
            </w:pPr>
            <w:r>
              <w:rPr>
                <w:rFonts w:hint="eastAsia"/>
              </w:rPr>
              <w:t>61,588,391</w:t>
            </w:r>
          </w:p>
        </w:tc>
        <w:tc>
          <w:tcPr>
            <w:tcW w:w="433" w:type="pct"/>
            <w:tcBorders>
              <w:bottom w:val="single" w:sz="4" w:space="0" w:color="auto"/>
            </w:tcBorders>
            <w:vAlign w:val="bottom"/>
          </w:tcPr>
          <w:p w:rsidR="004A3868" w:rsidRDefault="003F1AB5">
            <w:pPr>
              <w:pStyle w:val="afff7"/>
            </w:pPr>
            <w:r>
              <w:rPr>
                <w:rFonts w:hint="eastAsia"/>
              </w:rPr>
              <w:t>-360,000</w:t>
            </w:r>
          </w:p>
        </w:tc>
        <w:tc>
          <w:tcPr>
            <w:tcW w:w="396" w:type="pct"/>
            <w:tcBorders>
              <w:bottom w:val="single" w:sz="4" w:space="0" w:color="auto"/>
            </w:tcBorders>
            <w:vAlign w:val="bottom"/>
          </w:tcPr>
          <w:p w:rsidR="004A3868" w:rsidRDefault="003F1AB5">
            <w:pPr>
              <w:pStyle w:val="afff7"/>
            </w:pPr>
            <w:r>
              <w:rPr>
                <w:rFonts w:hint="eastAsia"/>
              </w:rPr>
              <w:t>/</w:t>
            </w:r>
          </w:p>
        </w:tc>
        <w:tc>
          <w:tcPr>
            <w:tcW w:w="393" w:type="pct"/>
            <w:tcBorders>
              <w:bottom w:val="single" w:sz="4" w:space="0" w:color="auto"/>
            </w:tcBorders>
            <w:vAlign w:val="bottom"/>
          </w:tcPr>
          <w:p w:rsidR="004A3868" w:rsidRDefault="003F1AB5">
            <w:pPr>
              <w:pStyle w:val="afff7"/>
            </w:pPr>
            <w:r>
              <w:t>444.73</w:t>
            </w:r>
          </w:p>
        </w:tc>
        <w:tc>
          <w:tcPr>
            <w:tcW w:w="389" w:type="pct"/>
            <w:tcBorders>
              <w:bottom w:val="single" w:sz="4" w:space="0" w:color="auto"/>
            </w:tcBorders>
            <w:vAlign w:val="bottom"/>
          </w:tcPr>
          <w:p w:rsidR="004A3868" w:rsidRDefault="003F1AB5">
            <w:pPr>
              <w:pStyle w:val="33"/>
            </w:pPr>
            <w:r>
              <w:t>/</w:t>
            </w:r>
          </w:p>
        </w:tc>
      </w:tr>
    </w:tbl>
    <w:p w:rsidR="004A3868" w:rsidRDefault="004A3868">
      <w:pPr>
        <w:pStyle w:val="Style124"/>
      </w:pPr>
    </w:p>
    <w:p w:rsidR="004A3868" w:rsidRDefault="004A3868">
      <w:pPr>
        <w:pStyle w:val="Style124"/>
      </w:pPr>
    </w:p>
    <w:tbl>
      <w:tblPr>
        <w:tblStyle w:val="aff5"/>
        <w:tblW w:w="5000" w:type="pct"/>
        <w:jc w:val="center"/>
        <w:tblLayout w:type="fixed"/>
        <w:tblCellMar>
          <w:left w:w="0" w:type="dxa"/>
          <w:right w:w="28" w:type="dxa"/>
        </w:tblCellMar>
        <w:tblLook w:val="04A0" w:firstRow="1" w:lastRow="0" w:firstColumn="1" w:lastColumn="0" w:noHBand="0" w:noVBand="1"/>
      </w:tblPr>
      <w:tblGrid>
        <w:gridCol w:w="1368"/>
        <w:gridCol w:w="12495"/>
      </w:tblGrid>
      <w:tr w:rsidR="004A3868">
        <w:trPr>
          <w:trHeight w:val="397"/>
          <w:jc w:val="center"/>
        </w:trPr>
        <w:sdt>
          <w:sdtPr>
            <w:tag w:val="_PLD_1525b90cb0c248978acb54a7f361f6a2"/>
            <w:id w:val="-448474079"/>
          </w:sdtPr>
          <w:sdtEndPr/>
          <w:sdtContent>
            <w:tc>
              <w:tcPr>
                <w:tcW w:w="1368" w:type="dxa"/>
                <w:vAlign w:val="center"/>
              </w:tcPr>
              <w:p w:rsidR="004A3868" w:rsidRDefault="003F1AB5">
                <w:pPr>
                  <w:pStyle w:val="afffb"/>
                </w:pPr>
                <w:r>
                  <w:rPr>
                    <w:rFonts w:hint="eastAsia"/>
                  </w:rPr>
                  <w:t>姓名</w:t>
                </w:r>
              </w:p>
            </w:tc>
          </w:sdtContent>
        </w:sdt>
        <w:sdt>
          <w:sdtPr>
            <w:tag w:val="_PLD_61b466aae87d4dac813a38c2c8e6a492"/>
            <w:id w:val="1861702455"/>
          </w:sdtPr>
          <w:sdtEndPr/>
          <w:sdtContent>
            <w:tc>
              <w:tcPr>
                <w:tcW w:w="12495" w:type="dxa"/>
                <w:vAlign w:val="center"/>
              </w:tcPr>
              <w:p w:rsidR="004A3868" w:rsidRDefault="003F1AB5">
                <w:pPr>
                  <w:pStyle w:val="afffb"/>
                </w:pPr>
                <w:r>
                  <w:t>主要工作经历</w:t>
                </w:r>
              </w:p>
            </w:tc>
          </w:sdtContent>
        </w:sdt>
      </w:tr>
      <w:tr w:rsidR="004A3868">
        <w:trPr>
          <w:trHeight w:val="397"/>
          <w:jc w:val="center"/>
        </w:trPr>
        <w:tc>
          <w:tcPr>
            <w:tcW w:w="1368" w:type="dxa"/>
            <w:vAlign w:val="center"/>
          </w:tcPr>
          <w:p w:rsidR="004A3868" w:rsidRDefault="003F1AB5">
            <w:pPr>
              <w:pStyle w:val="afff9"/>
            </w:pPr>
            <w:r>
              <w:rPr>
                <w:rFonts w:hint="eastAsia"/>
              </w:rPr>
              <w:t>杨泽民</w:t>
            </w:r>
          </w:p>
        </w:tc>
        <w:tc>
          <w:tcPr>
            <w:tcW w:w="12495" w:type="dxa"/>
            <w:vAlign w:val="bottom"/>
          </w:tcPr>
          <w:p w:rsidR="004A3868" w:rsidRDefault="003F1AB5">
            <w:pPr>
              <w:pStyle w:val="afff9"/>
            </w:pPr>
            <w:r>
              <w:t>1967</w:t>
            </w:r>
            <w:r>
              <w:t>年出生，中国国籍，无境外永久居留权，</w:t>
            </w:r>
            <w:r>
              <w:t>EMBA</w:t>
            </w:r>
            <w:r>
              <w:t>学历。</w:t>
            </w:r>
            <w:r>
              <w:t>1983</w:t>
            </w:r>
            <w:r>
              <w:t>年</w:t>
            </w:r>
            <w:r>
              <w:t>3</w:t>
            </w:r>
            <w:r>
              <w:t>月至</w:t>
            </w:r>
            <w:r>
              <w:t>1984</w:t>
            </w:r>
            <w:r>
              <w:t>年</w:t>
            </w:r>
            <w:r>
              <w:t>11</w:t>
            </w:r>
            <w:r>
              <w:t>月，在长寿县制糖厂担任业务员；</w:t>
            </w:r>
            <w:r>
              <w:t>1984</w:t>
            </w:r>
            <w:r>
              <w:t>年</w:t>
            </w:r>
            <w:r>
              <w:t>12</w:t>
            </w:r>
            <w:r>
              <w:t>月至</w:t>
            </w:r>
            <w:r>
              <w:t>1985</w:t>
            </w:r>
            <w:r>
              <w:t>年</w:t>
            </w:r>
            <w:r>
              <w:t>7</w:t>
            </w:r>
            <w:r>
              <w:t>月，在长寿养鸡场担任团支部书记、车间主任；</w:t>
            </w:r>
            <w:r>
              <w:t>1985</w:t>
            </w:r>
            <w:r>
              <w:t>年</w:t>
            </w:r>
            <w:r>
              <w:t>8</w:t>
            </w:r>
            <w:r>
              <w:t>月至</w:t>
            </w:r>
            <w:r>
              <w:t>1993</w:t>
            </w:r>
            <w:r>
              <w:t>年</w:t>
            </w:r>
            <w:r>
              <w:t>12</w:t>
            </w:r>
            <w:r>
              <w:t>月，在重庆市长寿长江变压器厂担任车间主任、销售主管；</w:t>
            </w:r>
            <w:r>
              <w:t>1994</w:t>
            </w:r>
            <w:r>
              <w:t>年</w:t>
            </w:r>
            <w:r>
              <w:t>8</w:t>
            </w:r>
            <w:r>
              <w:t>月至</w:t>
            </w:r>
            <w:r>
              <w:t>2009</w:t>
            </w:r>
            <w:r>
              <w:t>年</w:t>
            </w:r>
            <w:r>
              <w:t>11</w:t>
            </w:r>
            <w:r>
              <w:t>月，在重庆望江变压器厂担任厂长；</w:t>
            </w:r>
            <w:r>
              <w:t>2009</w:t>
            </w:r>
            <w:r>
              <w:t>年</w:t>
            </w:r>
            <w:r>
              <w:t>11</w:t>
            </w:r>
            <w:r>
              <w:t>月至</w:t>
            </w:r>
            <w:r>
              <w:t>2014</w:t>
            </w:r>
            <w:r>
              <w:t>年</w:t>
            </w:r>
            <w:r>
              <w:t>12</w:t>
            </w:r>
            <w:r>
              <w:t>月，在重庆望江变压器厂有限公司担任执行董事、总经理；</w:t>
            </w:r>
            <w:r>
              <w:t>2014</w:t>
            </w:r>
            <w:r>
              <w:t>年</w:t>
            </w:r>
            <w:r>
              <w:t>12</w:t>
            </w:r>
            <w:r>
              <w:t>月至今，在</w:t>
            </w:r>
            <w:r>
              <w:rPr>
                <w:rFonts w:hint="eastAsia"/>
              </w:rPr>
              <w:t>重庆望变电气（集团）股份有限公司</w:t>
            </w:r>
            <w:r>
              <w:t>担任董事长、总经理</w:t>
            </w:r>
            <w:r>
              <w:rPr>
                <w:rFonts w:hint="eastAsia"/>
              </w:rPr>
              <w:t>，全面统筹公司战略及经营管理工作，</w:t>
            </w:r>
            <w:r>
              <w:t>近三年</w:t>
            </w:r>
            <w:r>
              <w:rPr>
                <w:rFonts w:hint="eastAsia"/>
              </w:rPr>
              <w:t>未</w:t>
            </w:r>
            <w:r>
              <w:t>受</w:t>
            </w:r>
            <w:r>
              <w:rPr>
                <w:rFonts w:hint="eastAsia"/>
              </w:rPr>
              <w:t>到</w:t>
            </w:r>
            <w:r>
              <w:t>证券监管机构处罚</w:t>
            </w:r>
            <w:r>
              <w:rPr>
                <w:rFonts w:hint="eastAsia"/>
              </w:rPr>
              <w:t>。</w:t>
            </w:r>
          </w:p>
        </w:tc>
      </w:tr>
      <w:tr w:rsidR="004A3868">
        <w:trPr>
          <w:trHeight w:val="397"/>
          <w:jc w:val="center"/>
        </w:trPr>
        <w:tc>
          <w:tcPr>
            <w:tcW w:w="1368" w:type="dxa"/>
            <w:vAlign w:val="center"/>
          </w:tcPr>
          <w:p w:rsidR="004A3868" w:rsidRDefault="003F1AB5">
            <w:pPr>
              <w:pStyle w:val="afff9"/>
            </w:pPr>
            <w:r>
              <w:rPr>
                <w:rFonts w:hint="eastAsia"/>
              </w:rPr>
              <w:t>杨林</w:t>
            </w:r>
          </w:p>
        </w:tc>
        <w:tc>
          <w:tcPr>
            <w:tcW w:w="12495" w:type="dxa"/>
            <w:vAlign w:val="bottom"/>
          </w:tcPr>
          <w:p w:rsidR="004A3868" w:rsidRDefault="003F1AB5">
            <w:pPr>
              <w:pStyle w:val="afff9"/>
            </w:pPr>
            <w:r>
              <w:rPr>
                <w:rFonts w:hint="eastAsia"/>
              </w:rPr>
              <w:t>1980</w:t>
            </w:r>
            <w:r>
              <w:rPr>
                <w:rFonts w:hint="eastAsia"/>
              </w:rPr>
              <w:t>年出生，中国国籍，无境外永久居留权，本科学历。</w:t>
            </w:r>
            <w:r>
              <w:rPr>
                <w:rFonts w:hint="eastAsia"/>
              </w:rPr>
              <w:t>2005</w:t>
            </w:r>
            <w:r>
              <w:rPr>
                <w:rFonts w:hint="eastAsia"/>
              </w:rPr>
              <w:t>年</w:t>
            </w:r>
            <w:r>
              <w:rPr>
                <w:rFonts w:hint="eastAsia"/>
              </w:rPr>
              <w:t>7</w:t>
            </w:r>
            <w:r>
              <w:rPr>
                <w:rFonts w:hint="eastAsia"/>
              </w:rPr>
              <w:t>月至</w:t>
            </w:r>
            <w:r>
              <w:rPr>
                <w:rFonts w:hint="eastAsia"/>
              </w:rPr>
              <w:t>2011</w:t>
            </w:r>
            <w:r>
              <w:rPr>
                <w:rFonts w:hint="eastAsia"/>
              </w:rPr>
              <w:t>年</w:t>
            </w:r>
            <w:r>
              <w:rPr>
                <w:rFonts w:hint="eastAsia"/>
              </w:rPr>
              <w:t>6</w:t>
            </w:r>
            <w:r>
              <w:rPr>
                <w:rFonts w:hint="eastAsia"/>
              </w:rPr>
              <w:t>月，在重庆</w:t>
            </w:r>
            <w:r>
              <w:rPr>
                <w:rFonts w:hint="eastAsia"/>
              </w:rPr>
              <w:t>ABB</w:t>
            </w:r>
            <w:r>
              <w:rPr>
                <w:rFonts w:hint="eastAsia"/>
              </w:rPr>
              <w:t>变压器有限公司任技术工程师；</w:t>
            </w:r>
            <w:r>
              <w:rPr>
                <w:rFonts w:hint="eastAsia"/>
              </w:rPr>
              <w:t>2011</w:t>
            </w:r>
            <w:r>
              <w:rPr>
                <w:rFonts w:hint="eastAsia"/>
              </w:rPr>
              <w:t>年</w:t>
            </w:r>
            <w:r>
              <w:rPr>
                <w:rFonts w:hint="eastAsia"/>
              </w:rPr>
              <w:t>7</w:t>
            </w:r>
            <w:r>
              <w:rPr>
                <w:rFonts w:hint="eastAsia"/>
              </w:rPr>
              <w:t>月至今，在重庆望变电气（集团）股份有限公司历任工艺技术部、人力资源部、行政中心总经理、新材料事业部总经理、集团总经理助理等职务；</w:t>
            </w:r>
            <w:r>
              <w:rPr>
                <w:rFonts w:hint="eastAsia"/>
              </w:rPr>
              <w:t>2023</w:t>
            </w:r>
            <w:r>
              <w:rPr>
                <w:rFonts w:hint="eastAsia"/>
              </w:rPr>
              <w:t>年</w:t>
            </w:r>
            <w:r>
              <w:rPr>
                <w:rFonts w:hint="eastAsia"/>
              </w:rPr>
              <w:t>11</w:t>
            </w:r>
            <w:r>
              <w:rPr>
                <w:rFonts w:hint="eastAsia"/>
              </w:rPr>
              <w:t>月至今，在重庆望变电气（集团）股份有限公司任董事、常务副总经理，负责公司常务工作，分管硅钢及国际贸易部、供应链管理部、物流部，近三年未受到证券监管机构处罚。</w:t>
            </w:r>
          </w:p>
        </w:tc>
      </w:tr>
      <w:tr w:rsidR="004A3868">
        <w:trPr>
          <w:trHeight w:val="397"/>
          <w:jc w:val="center"/>
        </w:trPr>
        <w:tc>
          <w:tcPr>
            <w:tcW w:w="1368" w:type="dxa"/>
            <w:vAlign w:val="center"/>
          </w:tcPr>
          <w:p w:rsidR="004A3868" w:rsidRDefault="003F1AB5">
            <w:pPr>
              <w:pStyle w:val="afff9"/>
            </w:pPr>
            <w:r>
              <w:rPr>
                <w:rFonts w:hint="eastAsia"/>
              </w:rPr>
              <w:t>胡守天</w:t>
            </w:r>
          </w:p>
        </w:tc>
        <w:tc>
          <w:tcPr>
            <w:tcW w:w="12495" w:type="dxa"/>
            <w:vAlign w:val="bottom"/>
          </w:tcPr>
          <w:p w:rsidR="004A3868" w:rsidRDefault="003F1AB5">
            <w:pPr>
              <w:pStyle w:val="afff9"/>
              <w:rPr>
                <w:rFonts w:cs="Calibri"/>
              </w:rPr>
            </w:pPr>
            <w:r>
              <w:rPr>
                <w:rFonts w:hint="eastAsia"/>
              </w:rPr>
              <w:t>1973</w:t>
            </w:r>
            <w:r>
              <w:rPr>
                <w:rFonts w:hint="eastAsia"/>
              </w:rPr>
              <w:t>年出生，中国国籍，无境外永久居留权，研究生学历、博士学位。</w:t>
            </w:r>
            <w:r>
              <w:rPr>
                <w:rFonts w:hint="eastAsia"/>
              </w:rPr>
              <w:t>1997</w:t>
            </w:r>
            <w:r>
              <w:rPr>
                <w:rFonts w:hint="eastAsia"/>
              </w:rPr>
              <w:t>年</w:t>
            </w:r>
            <w:r>
              <w:rPr>
                <w:rFonts w:hint="eastAsia"/>
              </w:rPr>
              <w:t>7</w:t>
            </w:r>
            <w:r>
              <w:rPr>
                <w:rFonts w:hint="eastAsia"/>
              </w:rPr>
              <w:t>月至</w:t>
            </w:r>
            <w:r>
              <w:rPr>
                <w:rFonts w:hint="eastAsia"/>
              </w:rPr>
              <w:t>2001</w:t>
            </w:r>
            <w:r>
              <w:rPr>
                <w:rFonts w:hint="eastAsia"/>
              </w:rPr>
              <w:t>年</w:t>
            </w:r>
            <w:r>
              <w:rPr>
                <w:rFonts w:hint="eastAsia"/>
              </w:rPr>
              <w:t>8</w:t>
            </w:r>
            <w:r>
              <w:rPr>
                <w:rFonts w:hint="eastAsia"/>
              </w:rPr>
              <w:t>月，在天津水泥工业设计研究院装备所任设计员；</w:t>
            </w:r>
            <w:r>
              <w:rPr>
                <w:rFonts w:hint="eastAsia"/>
              </w:rPr>
              <w:t>2004</w:t>
            </w:r>
            <w:r>
              <w:rPr>
                <w:rFonts w:hint="eastAsia"/>
              </w:rPr>
              <w:t>年</w:t>
            </w:r>
            <w:r>
              <w:rPr>
                <w:rFonts w:hint="eastAsia"/>
              </w:rPr>
              <w:t>4</w:t>
            </w:r>
            <w:r>
              <w:rPr>
                <w:rFonts w:hint="eastAsia"/>
              </w:rPr>
              <w:t>月至</w:t>
            </w:r>
            <w:r>
              <w:rPr>
                <w:rFonts w:hint="eastAsia"/>
              </w:rPr>
              <w:t>2008</w:t>
            </w:r>
            <w:r>
              <w:rPr>
                <w:rFonts w:hint="eastAsia"/>
              </w:rPr>
              <w:t>年</w:t>
            </w:r>
            <w:r>
              <w:rPr>
                <w:rFonts w:hint="eastAsia"/>
              </w:rPr>
              <w:t>8</w:t>
            </w:r>
            <w:r>
              <w:rPr>
                <w:rFonts w:hint="eastAsia"/>
              </w:rPr>
              <w:t>月，在武钢研究院硅钢研究所任科研人员；</w:t>
            </w:r>
            <w:r>
              <w:rPr>
                <w:rFonts w:hint="eastAsia"/>
              </w:rPr>
              <w:t>2008</w:t>
            </w:r>
            <w:r>
              <w:rPr>
                <w:rFonts w:hint="eastAsia"/>
              </w:rPr>
              <w:t>年</w:t>
            </w:r>
            <w:r>
              <w:rPr>
                <w:rFonts w:hint="eastAsia"/>
              </w:rPr>
              <w:t>9</w:t>
            </w:r>
            <w:r>
              <w:rPr>
                <w:rFonts w:hint="eastAsia"/>
              </w:rPr>
              <w:t>月至</w:t>
            </w:r>
            <w:r>
              <w:rPr>
                <w:rFonts w:hint="eastAsia"/>
              </w:rPr>
              <w:t>2012</w:t>
            </w:r>
            <w:r>
              <w:rPr>
                <w:rFonts w:hint="eastAsia"/>
              </w:rPr>
              <w:t>年</w:t>
            </w:r>
            <w:r>
              <w:rPr>
                <w:rFonts w:hint="eastAsia"/>
              </w:rPr>
              <w:t>4</w:t>
            </w:r>
            <w:r>
              <w:rPr>
                <w:rFonts w:hint="eastAsia"/>
              </w:rPr>
              <w:t>月，在国家硅钢技术研究中心任研究室主任；</w:t>
            </w:r>
            <w:r>
              <w:rPr>
                <w:rFonts w:hint="eastAsia"/>
              </w:rPr>
              <w:t>2012</w:t>
            </w:r>
            <w:r>
              <w:rPr>
                <w:rFonts w:hint="eastAsia"/>
              </w:rPr>
              <w:t>年</w:t>
            </w:r>
            <w:r>
              <w:rPr>
                <w:rFonts w:hint="eastAsia"/>
              </w:rPr>
              <w:t>5</w:t>
            </w:r>
            <w:r>
              <w:rPr>
                <w:rFonts w:hint="eastAsia"/>
              </w:rPr>
              <w:t>月至</w:t>
            </w:r>
            <w:r>
              <w:rPr>
                <w:rFonts w:hint="eastAsia"/>
              </w:rPr>
              <w:t>2013</w:t>
            </w:r>
            <w:r>
              <w:rPr>
                <w:rFonts w:hint="eastAsia"/>
              </w:rPr>
              <w:t>年</w:t>
            </w:r>
            <w:r>
              <w:rPr>
                <w:rFonts w:hint="eastAsia"/>
              </w:rPr>
              <w:t>5</w:t>
            </w:r>
            <w:r>
              <w:rPr>
                <w:rFonts w:hint="eastAsia"/>
              </w:rPr>
              <w:t>月，在英国利兹大学材料与工程学院做访问学者；</w:t>
            </w:r>
            <w:r>
              <w:rPr>
                <w:rFonts w:hint="eastAsia"/>
              </w:rPr>
              <w:t>2013</w:t>
            </w:r>
            <w:r>
              <w:rPr>
                <w:rFonts w:hint="eastAsia"/>
              </w:rPr>
              <w:t>年</w:t>
            </w:r>
            <w:r>
              <w:rPr>
                <w:rFonts w:hint="eastAsia"/>
              </w:rPr>
              <w:t>6</w:t>
            </w:r>
            <w:r>
              <w:rPr>
                <w:rFonts w:hint="eastAsia"/>
              </w:rPr>
              <w:t>月至</w:t>
            </w:r>
            <w:r>
              <w:rPr>
                <w:rFonts w:hint="eastAsia"/>
              </w:rPr>
              <w:t>2014</w:t>
            </w:r>
            <w:r>
              <w:rPr>
                <w:rFonts w:hint="eastAsia"/>
              </w:rPr>
              <w:t>年</w:t>
            </w:r>
            <w:r>
              <w:rPr>
                <w:rFonts w:hint="eastAsia"/>
              </w:rPr>
              <w:t>5</w:t>
            </w:r>
            <w:r>
              <w:rPr>
                <w:rFonts w:hint="eastAsia"/>
              </w:rPr>
              <w:t>月，在武钢硅钢一贯管理部挂职锻炼任副部长；</w:t>
            </w:r>
            <w:r>
              <w:rPr>
                <w:rFonts w:hint="eastAsia"/>
              </w:rPr>
              <w:t>2014</w:t>
            </w:r>
            <w:r>
              <w:rPr>
                <w:rFonts w:hint="eastAsia"/>
              </w:rPr>
              <w:t>年</w:t>
            </w:r>
            <w:r>
              <w:rPr>
                <w:rFonts w:hint="eastAsia"/>
              </w:rPr>
              <w:t>6</w:t>
            </w:r>
            <w:r>
              <w:rPr>
                <w:rFonts w:hint="eastAsia"/>
              </w:rPr>
              <w:t>月至</w:t>
            </w:r>
            <w:r>
              <w:rPr>
                <w:rFonts w:hint="eastAsia"/>
              </w:rPr>
              <w:t>2018</w:t>
            </w:r>
            <w:r>
              <w:rPr>
                <w:rFonts w:hint="eastAsia"/>
              </w:rPr>
              <w:t>年</w:t>
            </w:r>
            <w:r>
              <w:rPr>
                <w:rFonts w:hint="eastAsia"/>
              </w:rPr>
              <w:t>10</w:t>
            </w:r>
            <w:r>
              <w:rPr>
                <w:rFonts w:hint="eastAsia"/>
              </w:rPr>
              <w:t>月，在国家硅钢工程技术研究中心技术研究部任副部长；</w:t>
            </w:r>
            <w:r>
              <w:rPr>
                <w:rFonts w:hint="eastAsia"/>
              </w:rPr>
              <w:t>2018</w:t>
            </w:r>
            <w:r>
              <w:rPr>
                <w:rFonts w:hint="eastAsia"/>
              </w:rPr>
              <w:t>年</w:t>
            </w:r>
            <w:r>
              <w:rPr>
                <w:rFonts w:hint="eastAsia"/>
              </w:rPr>
              <w:t>11</w:t>
            </w:r>
            <w:r>
              <w:rPr>
                <w:rFonts w:hint="eastAsia"/>
              </w:rPr>
              <w:t>月至</w:t>
            </w:r>
            <w:r>
              <w:rPr>
                <w:rFonts w:hint="eastAsia"/>
              </w:rPr>
              <w:t>2021</w:t>
            </w:r>
            <w:r>
              <w:rPr>
                <w:rFonts w:hint="eastAsia"/>
              </w:rPr>
              <w:t>年</w:t>
            </w:r>
            <w:r>
              <w:rPr>
                <w:rFonts w:hint="eastAsia"/>
              </w:rPr>
              <w:t>7</w:t>
            </w:r>
            <w:r>
              <w:rPr>
                <w:rFonts w:hint="eastAsia"/>
              </w:rPr>
              <w:t>月，在国家硅钢工程技术研究中心任硅钢产品研发首席工程师；</w:t>
            </w:r>
            <w:r>
              <w:rPr>
                <w:rFonts w:hint="eastAsia"/>
              </w:rPr>
              <w:t>2021</w:t>
            </w:r>
            <w:r>
              <w:rPr>
                <w:rFonts w:hint="eastAsia"/>
              </w:rPr>
              <w:t>年</w:t>
            </w:r>
            <w:r>
              <w:rPr>
                <w:rFonts w:hint="eastAsia"/>
              </w:rPr>
              <w:t>8</w:t>
            </w:r>
            <w:r>
              <w:rPr>
                <w:rFonts w:hint="eastAsia"/>
              </w:rPr>
              <w:t>月至</w:t>
            </w:r>
            <w:r>
              <w:rPr>
                <w:rFonts w:hint="eastAsia"/>
              </w:rPr>
              <w:t>2023</w:t>
            </w:r>
            <w:r>
              <w:rPr>
                <w:rFonts w:hint="eastAsia"/>
              </w:rPr>
              <w:t>年</w:t>
            </w:r>
            <w:r>
              <w:rPr>
                <w:rFonts w:hint="eastAsia"/>
              </w:rPr>
              <w:t>7</w:t>
            </w:r>
            <w:r>
              <w:rPr>
                <w:rFonts w:hint="eastAsia"/>
              </w:rPr>
              <w:t>月自由择业；</w:t>
            </w:r>
            <w:r>
              <w:rPr>
                <w:rFonts w:hint="eastAsia"/>
              </w:rPr>
              <w:t>2023</w:t>
            </w:r>
            <w:r>
              <w:rPr>
                <w:rFonts w:hint="eastAsia"/>
              </w:rPr>
              <w:t>年</w:t>
            </w:r>
            <w:r>
              <w:rPr>
                <w:rFonts w:hint="eastAsia"/>
              </w:rPr>
              <w:t>8</w:t>
            </w:r>
            <w:r>
              <w:rPr>
                <w:rFonts w:hint="eastAsia"/>
              </w:rPr>
              <w:t>月至今，在重庆望变电气（集团）股份有限公司任技术中心总经理、惠泽研究院院长；</w:t>
            </w:r>
            <w:r>
              <w:rPr>
                <w:rFonts w:hint="eastAsia"/>
              </w:rPr>
              <w:t>2023</w:t>
            </w:r>
            <w:r>
              <w:rPr>
                <w:rFonts w:hint="eastAsia"/>
              </w:rPr>
              <w:t>年</w:t>
            </w:r>
            <w:r>
              <w:rPr>
                <w:rFonts w:hint="eastAsia"/>
              </w:rPr>
              <w:t>11</w:t>
            </w:r>
            <w:r>
              <w:rPr>
                <w:rFonts w:hint="eastAsia"/>
              </w:rPr>
              <w:t>月至今，在重庆望变电气（集团）股份有限公司任董事、副总经理、总工程师，</w:t>
            </w:r>
            <w:r>
              <w:t>分管品质管理部、技术中心、新材料事业部</w:t>
            </w:r>
            <w:r>
              <w:rPr>
                <w:rFonts w:hint="eastAsia"/>
              </w:rPr>
              <w:t>，近三年未受到证券监管机构处罚。</w:t>
            </w:r>
          </w:p>
        </w:tc>
      </w:tr>
      <w:tr w:rsidR="004A3868">
        <w:trPr>
          <w:trHeight w:val="397"/>
          <w:jc w:val="center"/>
        </w:trPr>
        <w:tc>
          <w:tcPr>
            <w:tcW w:w="1368" w:type="dxa"/>
            <w:vAlign w:val="center"/>
          </w:tcPr>
          <w:p w:rsidR="004A3868" w:rsidRDefault="003F1AB5">
            <w:pPr>
              <w:pStyle w:val="afff9"/>
            </w:pPr>
            <w:r>
              <w:t>付康</w:t>
            </w:r>
          </w:p>
        </w:tc>
        <w:tc>
          <w:tcPr>
            <w:tcW w:w="12495" w:type="dxa"/>
            <w:vAlign w:val="bottom"/>
          </w:tcPr>
          <w:p w:rsidR="004A3868" w:rsidRDefault="003F1AB5">
            <w:pPr>
              <w:pStyle w:val="afff9"/>
            </w:pPr>
            <w:r>
              <w:rPr>
                <w:rFonts w:hint="eastAsia"/>
              </w:rPr>
              <w:t>1983</w:t>
            </w:r>
            <w:r>
              <w:rPr>
                <w:rFonts w:hint="eastAsia"/>
              </w:rPr>
              <w:t>年出生，中国国籍，无境外永久居留权，本科学历。</w:t>
            </w:r>
            <w:r>
              <w:rPr>
                <w:rFonts w:hint="eastAsia"/>
              </w:rPr>
              <w:t>2005</w:t>
            </w:r>
            <w:r>
              <w:rPr>
                <w:rFonts w:hint="eastAsia"/>
              </w:rPr>
              <w:t>年</w:t>
            </w:r>
            <w:r>
              <w:rPr>
                <w:rFonts w:hint="eastAsia"/>
              </w:rPr>
              <w:t>9</w:t>
            </w:r>
            <w:r>
              <w:rPr>
                <w:rFonts w:hint="eastAsia"/>
              </w:rPr>
              <w:t>月至</w:t>
            </w:r>
            <w:r>
              <w:rPr>
                <w:rFonts w:hint="eastAsia"/>
              </w:rPr>
              <w:t>2017</w:t>
            </w:r>
            <w:r>
              <w:rPr>
                <w:rFonts w:hint="eastAsia"/>
              </w:rPr>
              <w:t>年</w:t>
            </w:r>
            <w:r>
              <w:rPr>
                <w:rFonts w:hint="eastAsia"/>
              </w:rPr>
              <w:t>7</w:t>
            </w:r>
            <w:r>
              <w:rPr>
                <w:rFonts w:hint="eastAsia"/>
              </w:rPr>
              <w:t>月，在武钢有限硅钢厂任车间主任；</w:t>
            </w:r>
            <w:r>
              <w:rPr>
                <w:rFonts w:hint="eastAsia"/>
              </w:rPr>
              <w:t>2017</w:t>
            </w:r>
            <w:r>
              <w:rPr>
                <w:rFonts w:hint="eastAsia"/>
              </w:rPr>
              <w:t>年</w:t>
            </w:r>
            <w:r>
              <w:rPr>
                <w:rFonts w:hint="eastAsia"/>
              </w:rPr>
              <w:t>7</w:t>
            </w:r>
            <w:r>
              <w:rPr>
                <w:rFonts w:hint="eastAsia"/>
              </w:rPr>
              <w:t>月至</w:t>
            </w:r>
            <w:r>
              <w:rPr>
                <w:rFonts w:hint="eastAsia"/>
              </w:rPr>
              <w:t>2018</w:t>
            </w:r>
            <w:r>
              <w:rPr>
                <w:rFonts w:hint="eastAsia"/>
              </w:rPr>
              <w:t>年</w:t>
            </w:r>
            <w:r>
              <w:rPr>
                <w:rFonts w:hint="eastAsia"/>
              </w:rPr>
              <w:t>6</w:t>
            </w:r>
            <w:r>
              <w:rPr>
                <w:rFonts w:hint="eastAsia"/>
              </w:rPr>
              <w:t>月，在无锡华特钢带有限公司任副总经理；</w:t>
            </w:r>
            <w:r>
              <w:rPr>
                <w:rFonts w:hint="eastAsia"/>
              </w:rPr>
              <w:t>2018</w:t>
            </w:r>
            <w:r>
              <w:rPr>
                <w:rFonts w:hint="eastAsia"/>
              </w:rPr>
              <w:t>年</w:t>
            </w:r>
            <w:r>
              <w:rPr>
                <w:rFonts w:hint="eastAsia"/>
              </w:rPr>
              <w:t>7</w:t>
            </w:r>
            <w:r>
              <w:rPr>
                <w:rFonts w:hint="eastAsia"/>
              </w:rPr>
              <w:t>月至</w:t>
            </w:r>
            <w:r>
              <w:rPr>
                <w:rFonts w:hint="eastAsia"/>
              </w:rPr>
              <w:t>2020</w:t>
            </w:r>
            <w:r>
              <w:rPr>
                <w:rFonts w:hint="eastAsia"/>
              </w:rPr>
              <w:t>年</w:t>
            </w:r>
            <w:r>
              <w:rPr>
                <w:rFonts w:hint="eastAsia"/>
              </w:rPr>
              <w:t>9</w:t>
            </w:r>
            <w:r>
              <w:rPr>
                <w:rFonts w:hint="eastAsia"/>
              </w:rPr>
              <w:t>月，在福建晶龙电工有限公司任副总经理；</w:t>
            </w:r>
            <w:r>
              <w:rPr>
                <w:rFonts w:hint="eastAsia"/>
              </w:rPr>
              <w:t>2020</w:t>
            </w:r>
            <w:r>
              <w:rPr>
                <w:rFonts w:hint="eastAsia"/>
              </w:rPr>
              <w:t>年</w:t>
            </w:r>
            <w:r>
              <w:rPr>
                <w:rFonts w:hint="eastAsia"/>
              </w:rPr>
              <w:t>10</w:t>
            </w:r>
            <w:r>
              <w:rPr>
                <w:rFonts w:hint="eastAsia"/>
              </w:rPr>
              <w:t>月至今，在重庆望变电气（集团）股份有限公司新材料事业部任副总经理、总工程师、总经理；</w:t>
            </w:r>
            <w:r>
              <w:rPr>
                <w:rFonts w:hint="eastAsia"/>
              </w:rPr>
              <w:t>2023</w:t>
            </w:r>
            <w:r>
              <w:rPr>
                <w:rFonts w:hint="eastAsia"/>
              </w:rPr>
              <w:t>年</w:t>
            </w:r>
            <w:r>
              <w:rPr>
                <w:rFonts w:hint="eastAsia"/>
              </w:rPr>
              <w:t>11</w:t>
            </w:r>
            <w:r>
              <w:rPr>
                <w:rFonts w:hint="eastAsia"/>
              </w:rPr>
              <w:t>月至今，在重庆望变电气（集团）股份有限公司任董事，分管新材料事业部和工会，近三年未受到证券监管机构处罚。</w:t>
            </w:r>
          </w:p>
        </w:tc>
      </w:tr>
      <w:tr w:rsidR="004A3868">
        <w:trPr>
          <w:trHeight w:val="397"/>
          <w:jc w:val="center"/>
        </w:trPr>
        <w:tc>
          <w:tcPr>
            <w:tcW w:w="1368" w:type="dxa"/>
            <w:vAlign w:val="center"/>
          </w:tcPr>
          <w:p w:rsidR="004A3868" w:rsidRDefault="003F1AB5">
            <w:pPr>
              <w:pStyle w:val="afff9"/>
            </w:pPr>
            <w:r>
              <w:lastRenderedPageBreak/>
              <w:t>王海波</w:t>
            </w:r>
          </w:p>
        </w:tc>
        <w:tc>
          <w:tcPr>
            <w:tcW w:w="12495" w:type="dxa"/>
            <w:vAlign w:val="bottom"/>
          </w:tcPr>
          <w:p w:rsidR="004A3868" w:rsidRDefault="003F1AB5">
            <w:pPr>
              <w:pStyle w:val="afff9"/>
            </w:pPr>
            <w:r>
              <w:rPr>
                <w:rFonts w:hint="eastAsia"/>
              </w:rPr>
              <w:t>1978</w:t>
            </w:r>
            <w:r>
              <w:rPr>
                <w:rFonts w:hint="eastAsia"/>
              </w:rPr>
              <w:t>年出生，中国国籍，无境外永久居留权，</w:t>
            </w:r>
            <w:r>
              <w:rPr>
                <w:rFonts w:hint="eastAsia"/>
              </w:rPr>
              <w:t>EMBA</w:t>
            </w:r>
            <w:r>
              <w:rPr>
                <w:rFonts w:hint="eastAsia"/>
              </w:rPr>
              <w:t>学历。</w:t>
            </w:r>
            <w:r>
              <w:rPr>
                <w:rFonts w:hint="eastAsia"/>
              </w:rPr>
              <w:t>1998</w:t>
            </w:r>
            <w:r>
              <w:rPr>
                <w:rFonts w:hint="eastAsia"/>
              </w:rPr>
              <w:t>年</w:t>
            </w:r>
            <w:r>
              <w:rPr>
                <w:rFonts w:hint="eastAsia"/>
              </w:rPr>
              <w:t>7</w:t>
            </w:r>
            <w:r>
              <w:rPr>
                <w:rFonts w:hint="eastAsia"/>
              </w:rPr>
              <w:t>月至</w:t>
            </w:r>
            <w:r>
              <w:rPr>
                <w:rFonts w:hint="eastAsia"/>
              </w:rPr>
              <w:t>2018</w:t>
            </w:r>
            <w:r>
              <w:rPr>
                <w:rFonts w:hint="eastAsia"/>
              </w:rPr>
              <w:t>年</w:t>
            </w:r>
            <w:r>
              <w:rPr>
                <w:rFonts w:hint="eastAsia"/>
              </w:rPr>
              <w:t>12</w:t>
            </w:r>
            <w:r>
              <w:rPr>
                <w:rFonts w:hint="eastAsia"/>
              </w:rPr>
              <w:t>月，在重庆源通电器设备制造有限责任公司先后任办事处主任、市场部经理、总经理助理；</w:t>
            </w:r>
            <w:r>
              <w:rPr>
                <w:rFonts w:hint="eastAsia"/>
              </w:rPr>
              <w:t>2019</w:t>
            </w:r>
            <w:r>
              <w:rPr>
                <w:rFonts w:hint="eastAsia"/>
              </w:rPr>
              <w:t>年</w:t>
            </w:r>
            <w:r>
              <w:rPr>
                <w:rFonts w:hint="eastAsia"/>
              </w:rPr>
              <w:t>1</w:t>
            </w:r>
            <w:r>
              <w:rPr>
                <w:rFonts w:hint="eastAsia"/>
              </w:rPr>
              <w:t>月至</w:t>
            </w:r>
            <w:r>
              <w:rPr>
                <w:rFonts w:hint="eastAsia"/>
              </w:rPr>
              <w:t>2019</w:t>
            </w:r>
            <w:r>
              <w:rPr>
                <w:rFonts w:hint="eastAsia"/>
              </w:rPr>
              <w:t>年</w:t>
            </w:r>
            <w:r>
              <w:rPr>
                <w:rFonts w:hint="eastAsia"/>
              </w:rPr>
              <w:t>3</w:t>
            </w:r>
            <w:r>
              <w:rPr>
                <w:rFonts w:hint="eastAsia"/>
              </w:rPr>
              <w:t>月，在重庆望变电气（集团）股份有限公司任营销中心总经理；</w:t>
            </w:r>
            <w:r>
              <w:rPr>
                <w:rFonts w:hint="eastAsia"/>
              </w:rPr>
              <w:t>2019</w:t>
            </w:r>
            <w:r>
              <w:rPr>
                <w:rFonts w:hint="eastAsia"/>
              </w:rPr>
              <w:t>年</w:t>
            </w:r>
            <w:r>
              <w:rPr>
                <w:rFonts w:hint="eastAsia"/>
              </w:rPr>
              <w:t>4</w:t>
            </w:r>
            <w:r>
              <w:rPr>
                <w:rFonts w:hint="eastAsia"/>
              </w:rPr>
              <w:t>月至</w:t>
            </w:r>
            <w:r>
              <w:rPr>
                <w:rFonts w:hint="eastAsia"/>
              </w:rPr>
              <w:t>2023</w:t>
            </w:r>
            <w:r>
              <w:rPr>
                <w:rFonts w:hint="eastAsia"/>
              </w:rPr>
              <w:t>年</w:t>
            </w:r>
            <w:r>
              <w:rPr>
                <w:rFonts w:hint="eastAsia"/>
              </w:rPr>
              <w:t>10</w:t>
            </w:r>
            <w:r>
              <w:rPr>
                <w:rFonts w:hint="eastAsia"/>
              </w:rPr>
              <w:t>月，在重庆望变电气（集团）股份有限公司任集团高管；</w:t>
            </w:r>
            <w:r>
              <w:rPr>
                <w:rFonts w:hint="eastAsia"/>
              </w:rPr>
              <w:t>2021</w:t>
            </w:r>
            <w:r>
              <w:rPr>
                <w:rFonts w:hint="eastAsia"/>
              </w:rPr>
              <w:t>年</w:t>
            </w:r>
            <w:r>
              <w:rPr>
                <w:rFonts w:hint="eastAsia"/>
              </w:rPr>
              <w:t>1</w:t>
            </w:r>
            <w:r>
              <w:rPr>
                <w:rFonts w:hint="eastAsia"/>
              </w:rPr>
              <w:t>月至</w:t>
            </w:r>
            <w:r>
              <w:rPr>
                <w:rFonts w:hint="eastAsia"/>
              </w:rPr>
              <w:t>2023</w:t>
            </w:r>
            <w:r>
              <w:rPr>
                <w:rFonts w:hint="eastAsia"/>
              </w:rPr>
              <w:t>年</w:t>
            </w:r>
            <w:r>
              <w:rPr>
                <w:rFonts w:hint="eastAsia"/>
              </w:rPr>
              <w:t>12</w:t>
            </w:r>
            <w:r>
              <w:rPr>
                <w:rFonts w:hint="eastAsia"/>
              </w:rPr>
              <w:t>月，在重庆望变电气（集团）股份有限公司兼任南网市场部总监；</w:t>
            </w:r>
            <w:r>
              <w:rPr>
                <w:rFonts w:hint="eastAsia"/>
              </w:rPr>
              <w:t>2023</w:t>
            </w:r>
            <w:r>
              <w:rPr>
                <w:rFonts w:hint="eastAsia"/>
              </w:rPr>
              <w:t>年</w:t>
            </w:r>
            <w:r>
              <w:rPr>
                <w:rFonts w:hint="eastAsia"/>
              </w:rPr>
              <w:t>9</w:t>
            </w:r>
            <w:r>
              <w:rPr>
                <w:rFonts w:hint="eastAsia"/>
              </w:rPr>
              <w:t>月至今，任黔南望江变压器有限公司执行董事、总经理；</w:t>
            </w:r>
            <w:r>
              <w:rPr>
                <w:rFonts w:hint="eastAsia"/>
              </w:rPr>
              <w:t>2023</w:t>
            </w:r>
            <w:r>
              <w:rPr>
                <w:rFonts w:hint="eastAsia"/>
              </w:rPr>
              <w:t>年</w:t>
            </w:r>
            <w:r>
              <w:rPr>
                <w:rFonts w:hint="eastAsia"/>
              </w:rPr>
              <w:t>11</w:t>
            </w:r>
            <w:r>
              <w:rPr>
                <w:rFonts w:hint="eastAsia"/>
              </w:rPr>
              <w:t>月至今，在重庆望变电气（集团）股份有限公司任董事、集团副总，分管营销中心，近三年未受到证券监管机构处罚。</w:t>
            </w:r>
          </w:p>
        </w:tc>
      </w:tr>
      <w:tr w:rsidR="004A3868">
        <w:trPr>
          <w:trHeight w:val="397"/>
          <w:jc w:val="center"/>
        </w:trPr>
        <w:tc>
          <w:tcPr>
            <w:tcW w:w="1368" w:type="dxa"/>
            <w:vAlign w:val="center"/>
          </w:tcPr>
          <w:p w:rsidR="004A3868" w:rsidRDefault="003F1AB5">
            <w:pPr>
              <w:pStyle w:val="afff9"/>
            </w:pPr>
            <w:r>
              <w:t>皮统政</w:t>
            </w:r>
          </w:p>
        </w:tc>
        <w:tc>
          <w:tcPr>
            <w:tcW w:w="12495" w:type="dxa"/>
            <w:vAlign w:val="bottom"/>
          </w:tcPr>
          <w:p w:rsidR="004A3868" w:rsidRDefault="003F1AB5">
            <w:pPr>
              <w:pStyle w:val="afff9"/>
            </w:pPr>
            <w:r>
              <w:rPr>
                <w:rFonts w:hint="eastAsia"/>
              </w:rPr>
              <w:t>1993</w:t>
            </w:r>
            <w:r>
              <w:rPr>
                <w:rFonts w:hint="eastAsia"/>
              </w:rPr>
              <w:t>年出生，中国国籍，无境外永久居留权，本科学历。</w:t>
            </w:r>
            <w:r>
              <w:rPr>
                <w:rFonts w:hint="eastAsia"/>
              </w:rPr>
              <w:t>2014</w:t>
            </w:r>
            <w:r>
              <w:rPr>
                <w:rFonts w:hint="eastAsia"/>
              </w:rPr>
              <w:t>年</w:t>
            </w:r>
            <w:r>
              <w:rPr>
                <w:rFonts w:hint="eastAsia"/>
              </w:rPr>
              <w:t>9</w:t>
            </w:r>
            <w:r>
              <w:rPr>
                <w:rFonts w:hint="eastAsia"/>
              </w:rPr>
              <w:t>月至</w:t>
            </w:r>
            <w:r>
              <w:rPr>
                <w:rFonts w:hint="eastAsia"/>
              </w:rPr>
              <w:t>2016</w:t>
            </w:r>
            <w:r>
              <w:rPr>
                <w:rFonts w:hint="eastAsia"/>
              </w:rPr>
              <w:t>年</w:t>
            </w:r>
            <w:r>
              <w:rPr>
                <w:rFonts w:hint="eastAsia"/>
              </w:rPr>
              <w:t>9</w:t>
            </w:r>
            <w:r>
              <w:rPr>
                <w:rFonts w:hint="eastAsia"/>
              </w:rPr>
              <w:t>月，在</w:t>
            </w:r>
            <w:r>
              <w:rPr>
                <w:rFonts w:hint="eastAsia"/>
              </w:rPr>
              <w:t>78029</w:t>
            </w:r>
            <w:r>
              <w:rPr>
                <w:rFonts w:hint="eastAsia"/>
              </w:rPr>
              <w:t>部队服义务兵役；</w:t>
            </w:r>
            <w:r>
              <w:rPr>
                <w:rFonts w:hint="eastAsia"/>
              </w:rPr>
              <w:t>2016</w:t>
            </w:r>
            <w:r>
              <w:rPr>
                <w:rFonts w:hint="eastAsia"/>
              </w:rPr>
              <w:t>年</w:t>
            </w:r>
            <w:r>
              <w:rPr>
                <w:rFonts w:hint="eastAsia"/>
              </w:rPr>
              <w:t>10</w:t>
            </w:r>
            <w:r>
              <w:rPr>
                <w:rFonts w:hint="eastAsia"/>
              </w:rPr>
              <w:t>月至</w:t>
            </w:r>
            <w:r>
              <w:rPr>
                <w:rFonts w:hint="eastAsia"/>
              </w:rPr>
              <w:t>2017</w:t>
            </w:r>
            <w:r>
              <w:rPr>
                <w:rFonts w:hint="eastAsia"/>
              </w:rPr>
              <w:t>年</w:t>
            </w:r>
            <w:r>
              <w:rPr>
                <w:rFonts w:hint="eastAsia"/>
              </w:rPr>
              <w:t>6</w:t>
            </w:r>
            <w:r>
              <w:rPr>
                <w:rFonts w:hint="eastAsia"/>
              </w:rPr>
              <w:t>月，在黔江区人民小学任音乐教师；</w:t>
            </w:r>
            <w:r>
              <w:rPr>
                <w:rFonts w:hint="eastAsia"/>
              </w:rPr>
              <w:t>2017</w:t>
            </w:r>
            <w:r>
              <w:rPr>
                <w:rFonts w:hint="eastAsia"/>
              </w:rPr>
              <w:t>年</w:t>
            </w:r>
            <w:r>
              <w:rPr>
                <w:rFonts w:hint="eastAsia"/>
              </w:rPr>
              <w:t>7</w:t>
            </w:r>
            <w:r>
              <w:rPr>
                <w:rFonts w:hint="eastAsia"/>
              </w:rPr>
              <w:t>月至今，在公司历任成套事业部装配工、人力资源部招聘专员、采购经理、新材料事业部副总经理、人力资源部副经理、总经办副经理、总经理助理等职务。现任重庆望变电气（集团）股份有限公司总经理助理、重庆惠泽电器有限公司执行董事、惠泽销售部、集团销售部销售总监；</w:t>
            </w:r>
            <w:r>
              <w:rPr>
                <w:rFonts w:hint="eastAsia"/>
              </w:rPr>
              <w:t>2023</w:t>
            </w:r>
            <w:r>
              <w:rPr>
                <w:rFonts w:hint="eastAsia"/>
              </w:rPr>
              <w:t>年</w:t>
            </w:r>
            <w:r>
              <w:rPr>
                <w:rFonts w:hint="eastAsia"/>
              </w:rPr>
              <w:t>11</w:t>
            </w:r>
            <w:r>
              <w:rPr>
                <w:rFonts w:hint="eastAsia"/>
              </w:rPr>
              <w:t>月至今，在重庆望变电气（集团）股份有限公司任董事，分管惠泽电器财务部和销售部，近三年未受到证券监管机构处罚。</w:t>
            </w:r>
          </w:p>
        </w:tc>
      </w:tr>
      <w:tr w:rsidR="004A3868">
        <w:trPr>
          <w:trHeight w:val="397"/>
          <w:jc w:val="center"/>
        </w:trPr>
        <w:tc>
          <w:tcPr>
            <w:tcW w:w="1368" w:type="dxa"/>
            <w:vAlign w:val="center"/>
          </w:tcPr>
          <w:p w:rsidR="004A3868" w:rsidRDefault="003F1AB5">
            <w:pPr>
              <w:pStyle w:val="afff9"/>
            </w:pPr>
            <w:r>
              <w:t>赵宇</w:t>
            </w:r>
          </w:p>
        </w:tc>
        <w:tc>
          <w:tcPr>
            <w:tcW w:w="12495" w:type="dxa"/>
            <w:vAlign w:val="bottom"/>
          </w:tcPr>
          <w:p w:rsidR="004A3868" w:rsidRDefault="003F1AB5">
            <w:pPr>
              <w:pStyle w:val="afff9"/>
            </w:pPr>
            <w:r>
              <w:rPr>
                <w:rFonts w:hint="eastAsia"/>
              </w:rPr>
              <w:t>1961</w:t>
            </w:r>
            <w:r>
              <w:rPr>
                <w:rFonts w:hint="eastAsia"/>
              </w:rPr>
              <w:t>年出生，中国国籍，无境外永久居留权，工学博士，教授级高工。</w:t>
            </w:r>
            <w:r>
              <w:rPr>
                <w:rFonts w:hint="eastAsia"/>
              </w:rPr>
              <w:t>1986</w:t>
            </w:r>
            <w:r>
              <w:rPr>
                <w:rFonts w:hint="eastAsia"/>
              </w:rPr>
              <w:t>年</w:t>
            </w:r>
            <w:r>
              <w:rPr>
                <w:rFonts w:hint="eastAsia"/>
              </w:rPr>
              <w:t>4</w:t>
            </w:r>
            <w:r>
              <w:rPr>
                <w:rFonts w:hint="eastAsia"/>
              </w:rPr>
              <w:t>月至</w:t>
            </w:r>
            <w:r>
              <w:rPr>
                <w:rFonts w:hint="eastAsia"/>
              </w:rPr>
              <w:t>1988</w:t>
            </w:r>
            <w:r>
              <w:rPr>
                <w:rFonts w:hint="eastAsia"/>
              </w:rPr>
              <w:t>年</w:t>
            </w:r>
            <w:r>
              <w:rPr>
                <w:rFonts w:hint="eastAsia"/>
              </w:rPr>
              <w:t>10</w:t>
            </w:r>
            <w:r>
              <w:rPr>
                <w:rFonts w:hint="eastAsia"/>
              </w:rPr>
              <w:t>月，在北京航空材料研究所任工程师；</w:t>
            </w:r>
            <w:r>
              <w:rPr>
                <w:rFonts w:hint="eastAsia"/>
              </w:rPr>
              <w:t>1992</w:t>
            </w:r>
            <w:r>
              <w:rPr>
                <w:rFonts w:hint="eastAsia"/>
              </w:rPr>
              <w:t>年</w:t>
            </w:r>
            <w:r>
              <w:rPr>
                <w:rFonts w:hint="eastAsia"/>
              </w:rPr>
              <w:t>6</w:t>
            </w:r>
            <w:r>
              <w:rPr>
                <w:rFonts w:hint="eastAsia"/>
              </w:rPr>
              <w:t>月至</w:t>
            </w:r>
            <w:r>
              <w:rPr>
                <w:rFonts w:hint="eastAsia"/>
              </w:rPr>
              <w:t>1998</w:t>
            </w:r>
            <w:r>
              <w:rPr>
                <w:rFonts w:hint="eastAsia"/>
              </w:rPr>
              <w:t>年</w:t>
            </w:r>
            <w:r>
              <w:rPr>
                <w:rFonts w:hint="eastAsia"/>
              </w:rPr>
              <w:t>12</w:t>
            </w:r>
            <w:r>
              <w:rPr>
                <w:rFonts w:hint="eastAsia"/>
              </w:rPr>
              <w:t>月，在冶金部钢铁研究总院任高级工程师；</w:t>
            </w:r>
            <w:r>
              <w:rPr>
                <w:rFonts w:hint="eastAsia"/>
              </w:rPr>
              <w:t>1998</w:t>
            </w:r>
            <w:r>
              <w:rPr>
                <w:rFonts w:hint="eastAsia"/>
              </w:rPr>
              <w:t>年</w:t>
            </w:r>
            <w:r>
              <w:rPr>
                <w:rFonts w:hint="eastAsia"/>
              </w:rPr>
              <w:t>12</w:t>
            </w:r>
            <w:r>
              <w:rPr>
                <w:rFonts w:hint="eastAsia"/>
              </w:rPr>
              <w:t>月至</w:t>
            </w:r>
            <w:r>
              <w:rPr>
                <w:rFonts w:hint="eastAsia"/>
              </w:rPr>
              <w:t>2021</w:t>
            </w:r>
            <w:r>
              <w:rPr>
                <w:rFonts w:hint="eastAsia"/>
              </w:rPr>
              <w:t>年</w:t>
            </w:r>
            <w:r>
              <w:rPr>
                <w:rFonts w:hint="eastAsia"/>
              </w:rPr>
              <w:t>11</w:t>
            </w:r>
            <w:r>
              <w:rPr>
                <w:rFonts w:hint="eastAsia"/>
              </w:rPr>
              <w:t>月，在安泰科技股份有限公司功能材料事业部任教授级高级工程师，总工程师；</w:t>
            </w:r>
            <w:r>
              <w:rPr>
                <w:rFonts w:hint="eastAsia"/>
              </w:rPr>
              <w:t>2005</w:t>
            </w:r>
            <w:r>
              <w:rPr>
                <w:rFonts w:hint="eastAsia"/>
              </w:rPr>
              <w:t>年</w:t>
            </w:r>
            <w:r>
              <w:rPr>
                <w:rFonts w:hint="eastAsia"/>
              </w:rPr>
              <w:t>9</w:t>
            </w:r>
            <w:r>
              <w:rPr>
                <w:rFonts w:hint="eastAsia"/>
              </w:rPr>
              <w:t>月至</w:t>
            </w:r>
            <w:r>
              <w:rPr>
                <w:rFonts w:hint="eastAsia"/>
              </w:rPr>
              <w:t>2021</w:t>
            </w:r>
            <w:r>
              <w:rPr>
                <w:rFonts w:hint="eastAsia"/>
              </w:rPr>
              <w:t>年</w:t>
            </w:r>
            <w:r>
              <w:rPr>
                <w:rFonts w:hint="eastAsia"/>
              </w:rPr>
              <w:t>11</w:t>
            </w:r>
            <w:r>
              <w:rPr>
                <w:rFonts w:hint="eastAsia"/>
              </w:rPr>
              <w:t>月，在首钢总公司</w:t>
            </w:r>
            <w:r>
              <w:rPr>
                <w:rFonts w:hint="eastAsia"/>
              </w:rPr>
              <w:t>-</w:t>
            </w:r>
            <w:r>
              <w:rPr>
                <w:rFonts w:hint="eastAsia"/>
              </w:rPr>
              <w:t>钢铁研究总院电工钢联合研发中心任常务副主任；</w:t>
            </w:r>
            <w:r>
              <w:rPr>
                <w:rFonts w:hint="eastAsia"/>
              </w:rPr>
              <w:t>2023</w:t>
            </w:r>
            <w:r>
              <w:rPr>
                <w:rFonts w:hint="eastAsia"/>
              </w:rPr>
              <w:t>年</w:t>
            </w:r>
            <w:r>
              <w:rPr>
                <w:rFonts w:hint="eastAsia"/>
              </w:rPr>
              <w:t>11</w:t>
            </w:r>
            <w:r>
              <w:rPr>
                <w:rFonts w:hint="eastAsia"/>
              </w:rPr>
              <w:t>月至今，在重庆望变电气（集团）股份有限公司任独立董事，近三年未受到证券监管机构处罚。</w:t>
            </w:r>
          </w:p>
        </w:tc>
      </w:tr>
      <w:tr w:rsidR="004A3868">
        <w:trPr>
          <w:trHeight w:val="397"/>
          <w:jc w:val="center"/>
        </w:trPr>
        <w:tc>
          <w:tcPr>
            <w:tcW w:w="1368" w:type="dxa"/>
            <w:vAlign w:val="center"/>
          </w:tcPr>
          <w:p w:rsidR="004A3868" w:rsidRDefault="003F1AB5">
            <w:pPr>
              <w:pStyle w:val="afff9"/>
            </w:pPr>
            <w:r>
              <w:t>沈江</w:t>
            </w:r>
          </w:p>
        </w:tc>
        <w:tc>
          <w:tcPr>
            <w:tcW w:w="12495" w:type="dxa"/>
            <w:vAlign w:val="bottom"/>
          </w:tcPr>
          <w:p w:rsidR="004A3868" w:rsidRDefault="003F1AB5">
            <w:pPr>
              <w:pStyle w:val="afff9"/>
            </w:pPr>
            <w:r>
              <w:rPr>
                <w:rFonts w:hint="eastAsia"/>
              </w:rPr>
              <w:t>1960</w:t>
            </w:r>
            <w:r>
              <w:rPr>
                <w:rFonts w:hint="eastAsia"/>
              </w:rPr>
              <w:t>年生，中国国籍，无境外永久居住权，电力系学士学位和继电保护专业硕士学位。</w:t>
            </w:r>
            <w:r>
              <w:rPr>
                <w:rFonts w:hint="eastAsia"/>
              </w:rPr>
              <w:t>1984</w:t>
            </w:r>
            <w:r>
              <w:rPr>
                <w:rFonts w:hint="eastAsia"/>
              </w:rPr>
              <w:t>年</w:t>
            </w:r>
            <w:r>
              <w:rPr>
                <w:rFonts w:hint="eastAsia"/>
              </w:rPr>
              <w:t>9</w:t>
            </w:r>
            <w:r>
              <w:rPr>
                <w:rFonts w:hint="eastAsia"/>
              </w:rPr>
              <w:t>月至</w:t>
            </w:r>
            <w:r>
              <w:rPr>
                <w:rFonts w:hint="eastAsia"/>
              </w:rPr>
              <w:t>1999</w:t>
            </w:r>
            <w:r>
              <w:rPr>
                <w:rFonts w:hint="eastAsia"/>
              </w:rPr>
              <w:t>年</w:t>
            </w:r>
            <w:r>
              <w:rPr>
                <w:rFonts w:hint="eastAsia"/>
              </w:rPr>
              <w:t>10</w:t>
            </w:r>
            <w:r>
              <w:rPr>
                <w:rFonts w:hint="eastAsia"/>
              </w:rPr>
              <w:t>月任华北电力科学研究院员工、副院长；</w:t>
            </w:r>
            <w:r>
              <w:rPr>
                <w:rFonts w:hint="eastAsia"/>
              </w:rPr>
              <w:t>1999</w:t>
            </w:r>
            <w:r>
              <w:rPr>
                <w:rFonts w:hint="eastAsia"/>
              </w:rPr>
              <w:t>年</w:t>
            </w:r>
            <w:r>
              <w:rPr>
                <w:rFonts w:hint="eastAsia"/>
              </w:rPr>
              <w:t>10</w:t>
            </w:r>
            <w:r>
              <w:rPr>
                <w:rFonts w:hint="eastAsia"/>
              </w:rPr>
              <w:t>月至</w:t>
            </w:r>
            <w:r>
              <w:rPr>
                <w:rFonts w:hint="eastAsia"/>
              </w:rPr>
              <w:t>2020</w:t>
            </w:r>
            <w:r>
              <w:rPr>
                <w:rFonts w:hint="eastAsia"/>
              </w:rPr>
              <w:t>年</w:t>
            </w:r>
            <w:r>
              <w:rPr>
                <w:rFonts w:hint="eastAsia"/>
              </w:rPr>
              <w:t>12</w:t>
            </w:r>
            <w:r>
              <w:rPr>
                <w:rFonts w:hint="eastAsia"/>
              </w:rPr>
              <w:t>月任国家电网智能电网部、科技部处长、副主任；</w:t>
            </w:r>
            <w:r>
              <w:rPr>
                <w:rFonts w:hint="eastAsia"/>
              </w:rPr>
              <w:t>2021</w:t>
            </w:r>
            <w:r>
              <w:rPr>
                <w:rFonts w:hint="eastAsia"/>
              </w:rPr>
              <w:t>年</w:t>
            </w:r>
            <w:r>
              <w:rPr>
                <w:rFonts w:hint="eastAsia"/>
              </w:rPr>
              <w:t>2</w:t>
            </w:r>
            <w:r>
              <w:rPr>
                <w:rFonts w:hint="eastAsia"/>
              </w:rPr>
              <w:t>月至今，任中国电器工业协会副会长，</w:t>
            </w:r>
            <w:r>
              <w:rPr>
                <w:rFonts w:hint="eastAsia"/>
              </w:rPr>
              <w:t>2021</w:t>
            </w:r>
            <w:r>
              <w:rPr>
                <w:rFonts w:hint="eastAsia"/>
              </w:rPr>
              <w:t>年</w:t>
            </w:r>
            <w:r>
              <w:rPr>
                <w:rFonts w:hint="eastAsia"/>
              </w:rPr>
              <w:t>12</w:t>
            </w:r>
            <w:r>
              <w:rPr>
                <w:rFonts w:hint="eastAsia"/>
              </w:rPr>
              <w:t>月至今任西安高压电器研究院股份有限公司独立董事；</w:t>
            </w:r>
            <w:r>
              <w:rPr>
                <w:rFonts w:hint="eastAsia"/>
              </w:rPr>
              <w:t>2023</w:t>
            </w:r>
            <w:r>
              <w:rPr>
                <w:rFonts w:hint="eastAsia"/>
              </w:rPr>
              <w:t>年</w:t>
            </w:r>
            <w:r>
              <w:rPr>
                <w:rFonts w:hint="eastAsia"/>
              </w:rPr>
              <w:t>11</w:t>
            </w:r>
            <w:r>
              <w:rPr>
                <w:rFonts w:hint="eastAsia"/>
              </w:rPr>
              <w:t>月至今，在重庆望变电气（集团）股份有限公司任独立董事，近三年未受到证券监管机构处罚。</w:t>
            </w:r>
          </w:p>
        </w:tc>
      </w:tr>
      <w:tr w:rsidR="004A3868">
        <w:trPr>
          <w:trHeight w:val="397"/>
          <w:jc w:val="center"/>
        </w:trPr>
        <w:tc>
          <w:tcPr>
            <w:tcW w:w="1368" w:type="dxa"/>
            <w:vAlign w:val="center"/>
          </w:tcPr>
          <w:p w:rsidR="004A3868" w:rsidRDefault="003F1AB5">
            <w:pPr>
              <w:pStyle w:val="afff9"/>
            </w:pPr>
            <w:r>
              <w:t>王勇</w:t>
            </w:r>
          </w:p>
        </w:tc>
        <w:tc>
          <w:tcPr>
            <w:tcW w:w="12495" w:type="dxa"/>
            <w:vAlign w:val="bottom"/>
          </w:tcPr>
          <w:p w:rsidR="004A3868" w:rsidRDefault="003F1AB5">
            <w:pPr>
              <w:pStyle w:val="afff9"/>
            </w:pPr>
            <w:r>
              <w:t>1973</w:t>
            </w:r>
            <w:r>
              <w:t>年出生，中国国籍，无境外永久居留权，研究生学历，会计硕士、工商管理硕士，中国注册会计师（资深会员）、资产评估师、税务师、法律职业资格，正高级会计师、正高级经济师、正高级审计师职称。</w:t>
            </w:r>
            <w:r>
              <w:t>1995</w:t>
            </w:r>
            <w:r>
              <w:t>年</w:t>
            </w:r>
            <w:r>
              <w:t>7</w:t>
            </w:r>
            <w:r>
              <w:t>月至</w:t>
            </w:r>
            <w:r>
              <w:t>2001</w:t>
            </w:r>
            <w:r>
              <w:t>年</w:t>
            </w:r>
            <w:r>
              <w:t>1</w:t>
            </w:r>
            <w:r>
              <w:t>月，在重庆益弘工程塑料制品有限公司任会计；</w:t>
            </w:r>
            <w:r>
              <w:t>2001</w:t>
            </w:r>
            <w:r>
              <w:t>年</w:t>
            </w:r>
            <w:r>
              <w:t>1</w:t>
            </w:r>
            <w:r>
              <w:t>月至</w:t>
            </w:r>
            <w:r>
              <w:t>2009</w:t>
            </w:r>
            <w:r>
              <w:t>年</w:t>
            </w:r>
            <w:r>
              <w:t>12</w:t>
            </w:r>
            <w:r>
              <w:t>月，先后在重庆金汇会计师事务所有限责任公司审计五部任项目经理、部门副经理；</w:t>
            </w:r>
            <w:r>
              <w:t>2009</w:t>
            </w:r>
            <w:r>
              <w:t>年</w:t>
            </w:r>
            <w:r>
              <w:t>12</w:t>
            </w:r>
            <w:r>
              <w:t>月至</w:t>
            </w:r>
            <w:r>
              <w:t>2011</w:t>
            </w:r>
            <w:r>
              <w:t>年</w:t>
            </w:r>
            <w:r>
              <w:t>12</w:t>
            </w:r>
            <w:r>
              <w:t>月，在中瑞岳华会计师事务所重庆分所任审计四部部门经理；</w:t>
            </w:r>
            <w:r>
              <w:t>2012</w:t>
            </w:r>
            <w:r>
              <w:t>年</w:t>
            </w:r>
            <w:r>
              <w:t>1</w:t>
            </w:r>
            <w:r>
              <w:t>月至今，先后在重庆海平会计师事务所有限公司任副总经理</w:t>
            </w:r>
            <w:r>
              <w:rPr>
                <w:rFonts w:hint="eastAsia"/>
              </w:rPr>
              <w:t>、主任会计师；</w:t>
            </w:r>
            <w:r>
              <w:t>2012</w:t>
            </w:r>
            <w:r>
              <w:t>年</w:t>
            </w:r>
            <w:r>
              <w:t>1</w:t>
            </w:r>
            <w:r>
              <w:t>月至今，在重庆海安税务师事务所有限责任公司担任注册税务师；</w:t>
            </w:r>
            <w:r>
              <w:t>2023</w:t>
            </w:r>
            <w:r>
              <w:t>年</w:t>
            </w:r>
            <w:r>
              <w:t>11</w:t>
            </w:r>
            <w:r>
              <w:t>月至今，在重庆望变电气（集团）股份有限公司任独立董事，近三年未受到证券监管机构处罚。</w:t>
            </w:r>
          </w:p>
        </w:tc>
      </w:tr>
      <w:tr w:rsidR="004A3868">
        <w:trPr>
          <w:trHeight w:val="397"/>
          <w:jc w:val="center"/>
        </w:trPr>
        <w:tc>
          <w:tcPr>
            <w:tcW w:w="1368" w:type="dxa"/>
            <w:vAlign w:val="center"/>
          </w:tcPr>
          <w:p w:rsidR="004A3868" w:rsidRDefault="003F1AB5">
            <w:pPr>
              <w:pStyle w:val="afff9"/>
            </w:pPr>
            <w:r>
              <w:t>李长平</w:t>
            </w:r>
          </w:p>
        </w:tc>
        <w:tc>
          <w:tcPr>
            <w:tcW w:w="12495" w:type="dxa"/>
            <w:vAlign w:val="bottom"/>
          </w:tcPr>
          <w:p w:rsidR="004A3868" w:rsidRDefault="003F1AB5">
            <w:pPr>
              <w:pStyle w:val="afff9"/>
            </w:pPr>
            <w:r>
              <w:rPr>
                <w:rFonts w:hint="eastAsia"/>
              </w:rPr>
              <w:t>1983</w:t>
            </w:r>
            <w:r>
              <w:rPr>
                <w:rFonts w:hint="eastAsia"/>
              </w:rPr>
              <w:t>年出生，中国国籍，无境外永久居留权，本科学历。</w:t>
            </w:r>
            <w:r>
              <w:rPr>
                <w:rFonts w:hint="eastAsia"/>
              </w:rPr>
              <w:t>2007</w:t>
            </w:r>
            <w:r>
              <w:rPr>
                <w:rFonts w:hint="eastAsia"/>
              </w:rPr>
              <w:t>年</w:t>
            </w:r>
            <w:r>
              <w:rPr>
                <w:rFonts w:hint="eastAsia"/>
              </w:rPr>
              <w:t>3</w:t>
            </w:r>
            <w:r>
              <w:rPr>
                <w:rFonts w:hint="eastAsia"/>
              </w:rPr>
              <w:t>月至</w:t>
            </w:r>
            <w:r>
              <w:rPr>
                <w:rFonts w:hint="eastAsia"/>
              </w:rPr>
              <w:t>2007</w:t>
            </w:r>
            <w:r>
              <w:rPr>
                <w:rFonts w:hint="eastAsia"/>
              </w:rPr>
              <w:t>年</w:t>
            </w:r>
            <w:r>
              <w:rPr>
                <w:rFonts w:hint="eastAsia"/>
              </w:rPr>
              <w:t>6</w:t>
            </w:r>
            <w:r>
              <w:rPr>
                <w:rFonts w:hint="eastAsia"/>
              </w:rPr>
              <w:t>月，在盛隆电气集团有限公司任会计专员；</w:t>
            </w:r>
            <w:r>
              <w:rPr>
                <w:rFonts w:hint="eastAsia"/>
              </w:rPr>
              <w:t>2007</w:t>
            </w:r>
            <w:r>
              <w:rPr>
                <w:rFonts w:hint="eastAsia"/>
              </w:rPr>
              <w:t>年</w:t>
            </w:r>
            <w:r>
              <w:rPr>
                <w:rFonts w:hint="eastAsia"/>
              </w:rPr>
              <w:t>6</w:t>
            </w:r>
            <w:r>
              <w:rPr>
                <w:rFonts w:hint="eastAsia"/>
              </w:rPr>
              <w:t>月至</w:t>
            </w:r>
            <w:r>
              <w:rPr>
                <w:rFonts w:hint="eastAsia"/>
              </w:rPr>
              <w:t>2010</w:t>
            </w:r>
            <w:r>
              <w:rPr>
                <w:rFonts w:hint="eastAsia"/>
              </w:rPr>
              <w:t>年</w:t>
            </w:r>
            <w:r>
              <w:rPr>
                <w:rFonts w:hint="eastAsia"/>
              </w:rPr>
              <w:t>7</w:t>
            </w:r>
            <w:r>
              <w:rPr>
                <w:rFonts w:hint="eastAsia"/>
              </w:rPr>
              <w:t>月，在盛隆电气（北京）有限公司任财务部副总经理；</w:t>
            </w:r>
            <w:r>
              <w:rPr>
                <w:rFonts w:hint="eastAsia"/>
              </w:rPr>
              <w:t>2010</w:t>
            </w:r>
            <w:r>
              <w:rPr>
                <w:rFonts w:hint="eastAsia"/>
              </w:rPr>
              <w:t>年</w:t>
            </w:r>
            <w:r>
              <w:rPr>
                <w:rFonts w:hint="eastAsia"/>
              </w:rPr>
              <w:t>7</w:t>
            </w:r>
            <w:r>
              <w:rPr>
                <w:rFonts w:hint="eastAsia"/>
              </w:rPr>
              <w:t>月至</w:t>
            </w:r>
            <w:r>
              <w:rPr>
                <w:rFonts w:hint="eastAsia"/>
              </w:rPr>
              <w:t>2015</w:t>
            </w:r>
            <w:r>
              <w:rPr>
                <w:rFonts w:hint="eastAsia"/>
              </w:rPr>
              <w:t>年</w:t>
            </w:r>
            <w:r>
              <w:rPr>
                <w:rFonts w:hint="eastAsia"/>
              </w:rPr>
              <w:t>8</w:t>
            </w:r>
            <w:r>
              <w:rPr>
                <w:rFonts w:hint="eastAsia"/>
              </w:rPr>
              <w:t>月，在盛隆电气集团重庆有限公司任财务部经理；</w:t>
            </w:r>
            <w:r>
              <w:rPr>
                <w:rFonts w:hint="eastAsia"/>
              </w:rPr>
              <w:t>2015</w:t>
            </w:r>
            <w:r>
              <w:rPr>
                <w:rFonts w:hint="eastAsia"/>
              </w:rPr>
              <w:t>年</w:t>
            </w:r>
            <w:r>
              <w:rPr>
                <w:rFonts w:hint="eastAsia"/>
              </w:rPr>
              <w:t>8</w:t>
            </w:r>
            <w:r>
              <w:rPr>
                <w:rFonts w:hint="eastAsia"/>
              </w:rPr>
              <w:t>月至</w:t>
            </w:r>
            <w:r>
              <w:rPr>
                <w:rFonts w:hint="eastAsia"/>
              </w:rPr>
              <w:t>2015</w:t>
            </w:r>
            <w:r>
              <w:rPr>
                <w:rFonts w:hint="eastAsia"/>
              </w:rPr>
              <w:t>年</w:t>
            </w:r>
            <w:r>
              <w:rPr>
                <w:rFonts w:hint="eastAsia"/>
              </w:rPr>
              <w:t>12</w:t>
            </w:r>
            <w:r>
              <w:rPr>
                <w:rFonts w:hint="eastAsia"/>
              </w:rPr>
              <w:t>月，在望变电气任财务部经理；</w:t>
            </w:r>
            <w:r>
              <w:rPr>
                <w:rFonts w:hint="eastAsia"/>
              </w:rPr>
              <w:t>2016</w:t>
            </w:r>
            <w:r>
              <w:rPr>
                <w:rFonts w:hint="eastAsia"/>
              </w:rPr>
              <w:t>年</w:t>
            </w:r>
            <w:r>
              <w:rPr>
                <w:rFonts w:hint="eastAsia"/>
              </w:rPr>
              <w:t>1</w:t>
            </w:r>
            <w:r>
              <w:rPr>
                <w:rFonts w:hint="eastAsia"/>
              </w:rPr>
              <w:t>月至</w:t>
            </w:r>
            <w:r>
              <w:rPr>
                <w:rFonts w:hint="eastAsia"/>
              </w:rPr>
              <w:t>2019</w:t>
            </w:r>
            <w:r>
              <w:rPr>
                <w:rFonts w:hint="eastAsia"/>
              </w:rPr>
              <w:t>年</w:t>
            </w:r>
            <w:r>
              <w:rPr>
                <w:rFonts w:hint="eastAsia"/>
              </w:rPr>
              <w:t>4</w:t>
            </w:r>
            <w:r>
              <w:rPr>
                <w:rFonts w:hint="eastAsia"/>
              </w:rPr>
              <w:t>月，在重庆望变电气（集团）股份有限公司任财务负责人；</w:t>
            </w:r>
            <w:r>
              <w:rPr>
                <w:rFonts w:hint="eastAsia"/>
              </w:rPr>
              <w:t>2018</w:t>
            </w:r>
            <w:r>
              <w:rPr>
                <w:rFonts w:hint="eastAsia"/>
              </w:rPr>
              <w:t>年</w:t>
            </w:r>
            <w:r>
              <w:rPr>
                <w:rFonts w:hint="eastAsia"/>
              </w:rPr>
              <w:t>1</w:t>
            </w:r>
            <w:r>
              <w:rPr>
                <w:rFonts w:hint="eastAsia"/>
              </w:rPr>
              <w:t>月至</w:t>
            </w:r>
            <w:r>
              <w:rPr>
                <w:rFonts w:hint="eastAsia"/>
              </w:rPr>
              <w:t>2020</w:t>
            </w:r>
            <w:r>
              <w:rPr>
                <w:rFonts w:hint="eastAsia"/>
              </w:rPr>
              <w:t>年</w:t>
            </w:r>
            <w:r>
              <w:rPr>
                <w:rFonts w:hint="eastAsia"/>
              </w:rPr>
              <w:t>12</w:t>
            </w:r>
            <w:r>
              <w:rPr>
                <w:rFonts w:hint="eastAsia"/>
              </w:rPr>
              <w:t>月，在重庆望变电力工程有限公司任财供部经理、总经理；</w:t>
            </w:r>
            <w:r>
              <w:rPr>
                <w:rFonts w:hint="eastAsia"/>
              </w:rPr>
              <w:t>2020</w:t>
            </w:r>
            <w:r>
              <w:rPr>
                <w:rFonts w:hint="eastAsia"/>
              </w:rPr>
              <w:t>年</w:t>
            </w:r>
            <w:r>
              <w:rPr>
                <w:rFonts w:hint="eastAsia"/>
              </w:rPr>
              <w:t>9</w:t>
            </w:r>
            <w:r>
              <w:rPr>
                <w:rFonts w:hint="eastAsia"/>
              </w:rPr>
              <w:t>月至今，在重庆望变电气（集团）股份有限公司任审计部经理；</w:t>
            </w:r>
            <w:r>
              <w:rPr>
                <w:rFonts w:hint="eastAsia"/>
              </w:rPr>
              <w:t>2020</w:t>
            </w:r>
            <w:r>
              <w:rPr>
                <w:rFonts w:hint="eastAsia"/>
              </w:rPr>
              <w:t>年</w:t>
            </w:r>
            <w:r>
              <w:rPr>
                <w:rFonts w:hint="eastAsia"/>
              </w:rPr>
              <w:t>9</w:t>
            </w:r>
            <w:r>
              <w:rPr>
                <w:rFonts w:hint="eastAsia"/>
              </w:rPr>
              <w:t>月至</w:t>
            </w:r>
            <w:r>
              <w:rPr>
                <w:rFonts w:hint="eastAsia"/>
              </w:rPr>
              <w:t>2023</w:t>
            </w:r>
            <w:r>
              <w:rPr>
                <w:rFonts w:hint="eastAsia"/>
              </w:rPr>
              <w:t>年</w:t>
            </w:r>
            <w:r>
              <w:rPr>
                <w:rFonts w:hint="eastAsia"/>
              </w:rPr>
              <w:t>11</w:t>
            </w:r>
            <w:r>
              <w:rPr>
                <w:rFonts w:hint="eastAsia"/>
              </w:rPr>
              <w:t>月，在重庆望变电气（集团）股份有限公司任职工代表监事；</w:t>
            </w:r>
            <w:r>
              <w:rPr>
                <w:rFonts w:hint="eastAsia"/>
              </w:rPr>
              <w:t>2023</w:t>
            </w:r>
            <w:r>
              <w:rPr>
                <w:rFonts w:hint="eastAsia"/>
              </w:rPr>
              <w:t>年</w:t>
            </w:r>
            <w:r>
              <w:rPr>
                <w:rFonts w:hint="eastAsia"/>
              </w:rPr>
              <w:t>11</w:t>
            </w:r>
            <w:r>
              <w:rPr>
                <w:rFonts w:hint="eastAsia"/>
              </w:rPr>
              <w:t>月至今，在重庆望变电气（集团）股份有限公司任监事会主席，负责审计部，近三年未受到证券监管机构处罚。</w:t>
            </w:r>
          </w:p>
        </w:tc>
      </w:tr>
      <w:tr w:rsidR="004A3868">
        <w:trPr>
          <w:trHeight w:val="397"/>
          <w:jc w:val="center"/>
        </w:trPr>
        <w:tc>
          <w:tcPr>
            <w:tcW w:w="1368" w:type="dxa"/>
            <w:vAlign w:val="center"/>
          </w:tcPr>
          <w:p w:rsidR="004A3868" w:rsidRDefault="003F1AB5">
            <w:pPr>
              <w:pStyle w:val="afff9"/>
            </w:pPr>
            <w:r>
              <w:lastRenderedPageBreak/>
              <w:t>张玲</w:t>
            </w:r>
          </w:p>
        </w:tc>
        <w:tc>
          <w:tcPr>
            <w:tcW w:w="12495" w:type="dxa"/>
            <w:vAlign w:val="bottom"/>
          </w:tcPr>
          <w:p w:rsidR="004A3868" w:rsidRDefault="003F1AB5">
            <w:pPr>
              <w:pStyle w:val="afff9"/>
            </w:pPr>
            <w:r>
              <w:rPr>
                <w:rFonts w:hint="eastAsia"/>
              </w:rPr>
              <w:t>1988</w:t>
            </w:r>
            <w:r>
              <w:rPr>
                <w:rFonts w:hint="eastAsia"/>
              </w:rPr>
              <w:t>年出生，中国国籍，无境外永久居留权，大学本科。</w:t>
            </w:r>
            <w:r>
              <w:rPr>
                <w:rFonts w:hint="eastAsia"/>
              </w:rPr>
              <w:t>2011</w:t>
            </w:r>
            <w:r>
              <w:rPr>
                <w:rFonts w:hint="eastAsia"/>
              </w:rPr>
              <w:t>年</w:t>
            </w:r>
            <w:r>
              <w:rPr>
                <w:rFonts w:hint="eastAsia"/>
              </w:rPr>
              <w:t>7</w:t>
            </w:r>
            <w:r>
              <w:rPr>
                <w:rFonts w:hint="eastAsia"/>
              </w:rPr>
              <w:t>月至今，在重庆望变电气（集团）股份有限公司历任行政管理专员、生产部设备内勤、总经办职员、商务投标专员、商务部标书组主管、硅钢及国际贸易部主管、硅钢及国际贸易部副经理、硅钢及国际贸易部经理、新材料事业部总经理助理、新材料事业部副总经理、营销中心副总经理，现任集团公司总经理助理，负责硅钢及国际贸易部、供应链管理部；</w:t>
            </w:r>
            <w:r>
              <w:rPr>
                <w:rFonts w:hint="eastAsia"/>
              </w:rPr>
              <w:t>2023</w:t>
            </w:r>
            <w:r>
              <w:rPr>
                <w:rFonts w:hint="eastAsia"/>
              </w:rPr>
              <w:t>年</w:t>
            </w:r>
            <w:r>
              <w:rPr>
                <w:rFonts w:hint="eastAsia"/>
              </w:rPr>
              <w:t>11</w:t>
            </w:r>
            <w:r>
              <w:rPr>
                <w:rFonts w:hint="eastAsia"/>
              </w:rPr>
              <w:t>月至今，在重庆望变电气（集团）股份有限公司任非职工代表监事，近三年未受到证券监管机构处罚。</w:t>
            </w:r>
          </w:p>
        </w:tc>
      </w:tr>
      <w:tr w:rsidR="004A3868">
        <w:trPr>
          <w:trHeight w:val="397"/>
          <w:jc w:val="center"/>
        </w:trPr>
        <w:tc>
          <w:tcPr>
            <w:tcW w:w="1368" w:type="dxa"/>
            <w:vAlign w:val="center"/>
          </w:tcPr>
          <w:p w:rsidR="004A3868" w:rsidRDefault="003F1AB5">
            <w:pPr>
              <w:pStyle w:val="afff9"/>
            </w:pPr>
            <w:r>
              <w:t>朱林</w:t>
            </w:r>
          </w:p>
        </w:tc>
        <w:tc>
          <w:tcPr>
            <w:tcW w:w="12495" w:type="dxa"/>
            <w:vAlign w:val="bottom"/>
          </w:tcPr>
          <w:p w:rsidR="004A3868" w:rsidRDefault="003F1AB5">
            <w:pPr>
              <w:pStyle w:val="afff9"/>
            </w:pPr>
            <w:r>
              <w:rPr>
                <w:rFonts w:hint="eastAsia"/>
              </w:rPr>
              <w:t>1981</w:t>
            </w:r>
            <w:r>
              <w:rPr>
                <w:rFonts w:hint="eastAsia"/>
              </w:rPr>
              <w:t>年出生，中国国籍，无境外永久居留权，法学本科学历。</w:t>
            </w:r>
            <w:r>
              <w:rPr>
                <w:rFonts w:hint="eastAsia"/>
              </w:rPr>
              <w:t>2007</w:t>
            </w:r>
            <w:r>
              <w:rPr>
                <w:rFonts w:hint="eastAsia"/>
              </w:rPr>
              <w:t>年</w:t>
            </w:r>
            <w:r>
              <w:rPr>
                <w:rFonts w:hint="eastAsia"/>
              </w:rPr>
              <w:t>1</w:t>
            </w:r>
            <w:r>
              <w:rPr>
                <w:rFonts w:hint="eastAsia"/>
              </w:rPr>
              <w:t>月至</w:t>
            </w:r>
            <w:r>
              <w:rPr>
                <w:rFonts w:hint="eastAsia"/>
              </w:rPr>
              <w:t>2012</w:t>
            </w:r>
            <w:r>
              <w:rPr>
                <w:rFonts w:hint="eastAsia"/>
              </w:rPr>
              <w:t>年</w:t>
            </w:r>
            <w:r>
              <w:rPr>
                <w:rFonts w:hint="eastAsia"/>
              </w:rPr>
              <w:t>4</w:t>
            </w:r>
            <w:r>
              <w:rPr>
                <w:rFonts w:hint="eastAsia"/>
              </w:rPr>
              <w:t>月，在中国人民财产保险股份有限公司任法务专员及主管；</w:t>
            </w:r>
            <w:r>
              <w:rPr>
                <w:rFonts w:hint="eastAsia"/>
              </w:rPr>
              <w:t>2012</w:t>
            </w:r>
            <w:r>
              <w:rPr>
                <w:rFonts w:hint="eastAsia"/>
              </w:rPr>
              <w:t>年</w:t>
            </w:r>
            <w:r>
              <w:rPr>
                <w:rFonts w:hint="eastAsia"/>
              </w:rPr>
              <w:t>5</w:t>
            </w:r>
            <w:r>
              <w:rPr>
                <w:rFonts w:hint="eastAsia"/>
              </w:rPr>
              <w:t>月至</w:t>
            </w:r>
            <w:r>
              <w:rPr>
                <w:rFonts w:hint="eastAsia"/>
              </w:rPr>
              <w:t>2017</w:t>
            </w:r>
            <w:r>
              <w:rPr>
                <w:rFonts w:hint="eastAsia"/>
              </w:rPr>
              <w:t>年</w:t>
            </w:r>
            <w:r>
              <w:rPr>
                <w:rFonts w:hint="eastAsia"/>
              </w:rPr>
              <w:t>5</w:t>
            </w:r>
            <w:r>
              <w:rPr>
                <w:rFonts w:hint="eastAsia"/>
              </w:rPr>
              <w:t>月，在四川华楚律师事务所任专职律师；</w:t>
            </w:r>
            <w:r>
              <w:rPr>
                <w:rFonts w:hint="eastAsia"/>
              </w:rPr>
              <w:t>2017</w:t>
            </w:r>
            <w:r>
              <w:rPr>
                <w:rFonts w:hint="eastAsia"/>
              </w:rPr>
              <w:t>年</w:t>
            </w:r>
            <w:r>
              <w:rPr>
                <w:rFonts w:hint="eastAsia"/>
              </w:rPr>
              <w:t>6</w:t>
            </w:r>
            <w:r>
              <w:rPr>
                <w:rFonts w:hint="eastAsia"/>
              </w:rPr>
              <w:t>月，执业关系从四川转入重庆，</w:t>
            </w:r>
            <w:r>
              <w:rPr>
                <w:rFonts w:hint="eastAsia"/>
              </w:rPr>
              <w:t>2017</w:t>
            </w:r>
            <w:r>
              <w:rPr>
                <w:rFonts w:hint="eastAsia"/>
              </w:rPr>
              <w:t>年</w:t>
            </w:r>
            <w:r>
              <w:rPr>
                <w:rFonts w:hint="eastAsia"/>
              </w:rPr>
              <w:t>7</w:t>
            </w:r>
            <w:r>
              <w:rPr>
                <w:rFonts w:hint="eastAsia"/>
              </w:rPr>
              <w:t>月至</w:t>
            </w:r>
            <w:r>
              <w:rPr>
                <w:rFonts w:hint="eastAsia"/>
              </w:rPr>
              <w:t>2021</w:t>
            </w:r>
            <w:r>
              <w:rPr>
                <w:rFonts w:hint="eastAsia"/>
              </w:rPr>
              <w:t>年</w:t>
            </w:r>
            <w:r>
              <w:rPr>
                <w:rFonts w:hint="eastAsia"/>
              </w:rPr>
              <w:t>3</w:t>
            </w:r>
            <w:r>
              <w:rPr>
                <w:rFonts w:hint="eastAsia"/>
              </w:rPr>
              <w:t>月，在重庆金牧锦扬律师事务所任专职律师；</w:t>
            </w:r>
            <w:r>
              <w:rPr>
                <w:rFonts w:hint="eastAsia"/>
              </w:rPr>
              <w:t>2021</w:t>
            </w:r>
            <w:r>
              <w:rPr>
                <w:rFonts w:hint="eastAsia"/>
              </w:rPr>
              <w:t>年</w:t>
            </w:r>
            <w:r>
              <w:rPr>
                <w:rFonts w:hint="eastAsia"/>
              </w:rPr>
              <w:t>4</w:t>
            </w:r>
            <w:r>
              <w:rPr>
                <w:rFonts w:hint="eastAsia"/>
              </w:rPr>
              <w:t>月至</w:t>
            </w:r>
            <w:r>
              <w:rPr>
                <w:rFonts w:hint="eastAsia"/>
              </w:rPr>
              <w:t>2022</w:t>
            </w:r>
            <w:r>
              <w:rPr>
                <w:rFonts w:hint="eastAsia"/>
              </w:rPr>
              <w:t>年</w:t>
            </w:r>
            <w:r>
              <w:rPr>
                <w:rFonts w:hint="eastAsia"/>
              </w:rPr>
              <w:t>8</w:t>
            </w:r>
            <w:r>
              <w:rPr>
                <w:rFonts w:hint="eastAsia"/>
              </w:rPr>
              <w:t>月，在重庆龙华实业（集团）有限公司任法务经理；</w:t>
            </w:r>
            <w:r>
              <w:rPr>
                <w:rFonts w:hint="eastAsia"/>
              </w:rPr>
              <w:t>2022</w:t>
            </w:r>
            <w:r>
              <w:rPr>
                <w:rFonts w:hint="eastAsia"/>
              </w:rPr>
              <w:t>年</w:t>
            </w:r>
            <w:r>
              <w:rPr>
                <w:rFonts w:hint="eastAsia"/>
              </w:rPr>
              <w:t>10</w:t>
            </w:r>
            <w:r>
              <w:rPr>
                <w:rFonts w:hint="eastAsia"/>
              </w:rPr>
              <w:t>月至今，在重庆望变电气（集团）股份有限公司任法务经理；</w:t>
            </w:r>
            <w:r>
              <w:rPr>
                <w:rFonts w:hint="eastAsia"/>
              </w:rPr>
              <w:t>2023</w:t>
            </w:r>
            <w:r>
              <w:rPr>
                <w:rFonts w:hint="eastAsia"/>
              </w:rPr>
              <w:t>年</w:t>
            </w:r>
            <w:r>
              <w:rPr>
                <w:rFonts w:hint="eastAsia"/>
              </w:rPr>
              <w:t>11</w:t>
            </w:r>
            <w:r>
              <w:rPr>
                <w:rFonts w:hint="eastAsia"/>
              </w:rPr>
              <w:t>月至今，在重庆望变电气（集团）股份有限公司任职工代表监事，负责企法部，近三年未受到证券监管机构处罚。</w:t>
            </w:r>
          </w:p>
        </w:tc>
      </w:tr>
      <w:tr w:rsidR="004A3868">
        <w:trPr>
          <w:trHeight w:val="397"/>
          <w:jc w:val="center"/>
        </w:trPr>
        <w:tc>
          <w:tcPr>
            <w:tcW w:w="1368" w:type="dxa"/>
            <w:vAlign w:val="center"/>
          </w:tcPr>
          <w:p w:rsidR="004A3868" w:rsidRDefault="003F1AB5">
            <w:pPr>
              <w:pStyle w:val="afff9"/>
            </w:pPr>
            <w:r>
              <w:t>李代萍</w:t>
            </w:r>
          </w:p>
        </w:tc>
        <w:tc>
          <w:tcPr>
            <w:tcW w:w="12495" w:type="dxa"/>
            <w:vAlign w:val="bottom"/>
          </w:tcPr>
          <w:p w:rsidR="004A3868" w:rsidRDefault="003F1AB5">
            <w:pPr>
              <w:pStyle w:val="afff9"/>
            </w:pPr>
            <w:r>
              <w:rPr>
                <w:rFonts w:hint="eastAsia"/>
              </w:rPr>
              <w:t>1971</w:t>
            </w:r>
            <w:r>
              <w:rPr>
                <w:rFonts w:hint="eastAsia"/>
              </w:rPr>
              <w:t>年出生，中国国籍，无境外永久居留权，本科学历，高级会计师。</w:t>
            </w:r>
            <w:r>
              <w:rPr>
                <w:rFonts w:hint="eastAsia"/>
              </w:rPr>
              <w:t>1989</w:t>
            </w:r>
            <w:r>
              <w:rPr>
                <w:rFonts w:hint="eastAsia"/>
              </w:rPr>
              <w:t>年</w:t>
            </w:r>
            <w:r>
              <w:rPr>
                <w:rFonts w:hint="eastAsia"/>
              </w:rPr>
              <w:t>7</w:t>
            </w:r>
            <w:r>
              <w:rPr>
                <w:rFonts w:hint="eastAsia"/>
              </w:rPr>
              <w:t>月至</w:t>
            </w:r>
            <w:r>
              <w:rPr>
                <w:rFonts w:hint="eastAsia"/>
              </w:rPr>
              <w:t>2010</w:t>
            </w:r>
            <w:r>
              <w:rPr>
                <w:rFonts w:hint="eastAsia"/>
              </w:rPr>
              <w:t>年</w:t>
            </w:r>
            <w:r>
              <w:rPr>
                <w:rFonts w:hint="eastAsia"/>
              </w:rPr>
              <w:t>10</w:t>
            </w:r>
            <w:r>
              <w:rPr>
                <w:rFonts w:hint="eastAsia"/>
              </w:rPr>
              <w:t>月，在重庆建峰工业集团有限公司、重庆建峰股份有限公司先后担任会计、财务经理、集团公司财务部副部长、股份公司财务部长；</w:t>
            </w:r>
            <w:r>
              <w:rPr>
                <w:rFonts w:hint="eastAsia"/>
              </w:rPr>
              <w:t>2010</w:t>
            </w:r>
            <w:r>
              <w:rPr>
                <w:rFonts w:hint="eastAsia"/>
              </w:rPr>
              <w:t>年</w:t>
            </w:r>
            <w:r>
              <w:rPr>
                <w:rFonts w:hint="eastAsia"/>
              </w:rPr>
              <w:t>10</w:t>
            </w:r>
            <w:r>
              <w:rPr>
                <w:rFonts w:hint="eastAsia"/>
              </w:rPr>
              <w:t>月至</w:t>
            </w:r>
            <w:r>
              <w:rPr>
                <w:rFonts w:hint="eastAsia"/>
              </w:rPr>
              <w:t>2011</w:t>
            </w:r>
            <w:r>
              <w:rPr>
                <w:rFonts w:hint="eastAsia"/>
              </w:rPr>
              <w:t>年</w:t>
            </w:r>
            <w:r>
              <w:rPr>
                <w:rFonts w:hint="eastAsia"/>
              </w:rPr>
              <w:t>7</w:t>
            </w:r>
            <w:r>
              <w:rPr>
                <w:rFonts w:hint="eastAsia"/>
              </w:rPr>
              <w:t>月，在重庆众全农机连锁有限公司担任财务总监；</w:t>
            </w:r>
            <w:r>
              <w:rPr>
                <w:rFonts w:hint="eastAsia"/>
              </w:rPr>
              <w:t>2011</w:t>
            </w:r>
            <w:r>
              <w:rPr>
                <w:rFonts w:hint="eastAsia"/>
              </w:rPr>
              <w:t>年</w:t>
            </w:r>
            <w:r>
              <w:rPr>
                <w:rFonts w:hint="eastAsia"/>
              </w:rPr>
              <w:t>7</w:t>
            </w:r>
            <w:r>
              <w:rPr>
                <w:rFonts w:hint="eastAsia"/>
              </w:rPr>
              <w:t>月至</w:t>
            </w:r>
            <w:r>
              <w:rPr>
                <w:rFonts w:hint="eastAsia"/>
              </w:rPr>
              <w:t>2012</w:t>
            </w:r>
            <w:r>
              <w:rPr>
                <w:rFonts w:hint="eastAsia"/>
              </w:rPr>
              <w:t>年</w:t>
            </w:r>
            <w:r>
              <w:rPr>
                <w:rFonts w:hint="eastAsia"/>
              </w:rPr>
              <w:t>7</w:t>
            </w:r>
            <w:r>
              <w:rPr>
                <w:rFonts w:hint="eastAsia"/>
              </w:rPr>
              <w:t>月，在重庆鑫源汽车有限公司任财务总监；</w:t>
            </w:r>
            <w:r>
              <w:rPr>
                <w:rFonts w:hint="eastAsia"/>
              </w:rPr>
              <w:t>2012</w:t>
            </w:r>
            <w:r>
              <w:rPr>
                <w:rFonts w:hint="eastAsia"/>
              </w:rPr>
              <w:t>年</w:t>
            </w:r>
            <w:r>
              <w:rPr>
                <w:rFonts w:hint="eastAsia"/>
              </w:rPr>
              <w:t>11</w:t>
            </w:r>
            <w:r>
              <w:rPr>
                <w:rFonts w:hint="eastAsia"/>
              </w:rPr>
              <w:t>月至</w:t>
            </w:r>
            <w:r>
              <w:rPr>
                <w:rFonts w:hint="eastAsia"/>
              </w:rPr>
              <w:t>2013</w:t>
            </w:r>
            <w:r>
              <w:rPr>
                <w:rFonts w:hint="eastAsia"/>
              </w:rPr>
              <w:t>年</w:t>
            </w:r>
            <w:r>
              <w:rPr>
                <w:rFonts w:hint="eastAsia"/>
              </w:rPr>
              <w:t>11</w:t>
            </w:r>
            <w:r>
              <w:rPr>
                <w:rFonts w:hint="eastAsia"/>
              </w:rPr>
              <w:t>月，在重庆九鑫水泥有限公司任财务总监；</w:t>
            </w:r>
            <w:r>
              <w:rPr>
                <w:rFonts w:hint="eastAsia"/>
              </w:rPr>
              <w:t>2013</w:t>
            </w:r>
            <w:r>
              <w:rPr>
                <w:rFonts w:hint="eastAsia"/>
              </w:rPr>
              <w:t>年</w:t>
            </w:r>
            <w:r>
              <w:rPr>
                <w:rFonts w:hint="eastAsia"/>
              </w:rPr>
              <w:t>11</w:t>
            </w:r>
            <w:r>
              <w:rPr>
                <w:rFonts w:hint="eastAsia"/>
              </w:rPr>
              <w:t>月至</w:t>
            </w:r>
            <w:r>
              <w:rPr>
                <w:rFonts w:hint="eastAsia"/>
              </w:rPr>
              <w:t>2015</w:t>
            </w:r>
            <w:r>
              <w:rPr>
                <w:rFonts w:hint="eastAsia"/>
              </w:rPr>
              <w:t>年</w:t>
            </w:r>
            <w:r>
              <w:rPr>
                <w:rFonts w:hint="eastAsia"/>
              </w:rPr>
              <w:t>5</w:t>
            </w:r>
            <w:r>
              <w:rPr>
                <w:rFonts w:hint="eastAsia"/>
              </w:rPr>
              <w:t>月，在重庆中科建设（集团）有限公司担任财务总监；</w:t>
            </w:r>
            <w:r>
              <w:rPr>
                <w:rFonts w:hint="eastAsia"/>
              </w:rPr>
              <w:t>2015</w:t>
            </w:r>
            <w:r>
              <w:rPr>
                <w:rFonts w:hint="eastAsia"/>
              </w:rPr>
              <w:t>年</w:t>
            </w:r>
            <w:r>
              <w:rPr>
                <w:rFonts w:hint="eastAsia"/>
              </w:rPr>
              <w:t>5</w:t>
            </w:r>
            <w:r>
              <w:rPr>
                <w:rFonts w:hint="eastAsia"/>
              </w:rPr>
              <w:t>月至</w:t>
            </w:r>
            <w:r>
              <w:rPr>
                <w:rFonts w:hint="eastAsia"/>
              </w:rPr>
              <w:t>2016</w:t>
            </w:r>
            <w:r>
              <w:rPr>
                <w:rFonts w:hint="eastAsia"/>
              </w:rPr>
              <w:t>年</w:t>
            </w:r>
            <w:r>
              <w:rPr>
                <w:rFonts w:hint="eastAsia"/>
              </w:rPr>
              <w:t>9</w:t>
            </w:r>
            <w:r>
              <w:rPr>
                <w:rFonts w:hint="eastAsia"/>
              </w:rPr>
              <w:t>月，在四川可士可果业股份有限公司任财务总监；</w:t>
            </w:r>
            <w:r>
              <w:rPr>
                <w:rFonts w:hint="eastAsia"/>
              </w:rPr>
              <w:t>2016</w:t>
            </w:r>
            <w:r>
              <w:rPr>
                <w:rFonts w:hint="eastAsia"/>
              </w:rPr>
              <w:t>年</w:t>
            </w:r>
            <w:r>
              <w:rPr>
                <w:rFonts w:hint="eastAsia"/>
              </w:rPr>
              <w:t>9</w:t>
            </w:r>
            <w:r>
              <w:rPr>
                <w:rFonts w:hint="eastAsia"/>
              </w:rPr>
              <w:t>月至</w:t>
            </w:r>
            <w:r>
              <w:rPr>
                <w:rFonts w:hint="eastAsia"/>
              </w:rPr>
              <w:t>2017</w:t>
            </w:r>
            <w:r>
              <w:rPr>
                <w:rFonts w:hint="eastAsia"/>
              </w:rPr>
              <w:t>年</w:t>
            </w:r>
            <w:r>
              <w:rPr>
                <w:rFonts w:hint="eastAsia"/>
              </w:rPr>
              <w:t>7</w:t>
            </w:r>
            <w:r>
              <w:rPr>
                <w:rFonts w:hint="eastAsia"/>
              </w:rPr>
              <w:t>月，在重庆美心麦森门业有限公司任财务经理；</w:t>
            </w:r>
            <w:r>
              <w:rPr>
                <w:rFonts w:hint="eastAsia"/>
              </w:rPr>
              <w:t>2017</w:t>
            </w:r>
            <w:r>
              <w:rPr>
                <w:rFonts w:hint="eastAsia"/>
              </w:rPr>
              <w:t>年</w:t>
            </w:r>
            <w:r>
              <w:rPr>
                <w:rFonts w:hint="eastAsia"/>
              </w:rPr>
              <w:t>7</w:t>
            </w:r>
            <w:r>
              <w:rPr>
                <w:rFonts w:hint="eastAsia"/>
              </w:rPr>
              <w:t>月至</w:t>
            </w:r>
            <w:r>
              <w:rPr>
                <w:rFonts w:hint="eastAsia"/>
              </w:rPr>
              <w:t>2019</w:t>
            </w:r>
            <w:r>
              <w:rPr>
                <w:rFonts w:hint="eastAsia"/>
              </w:rPr>
              <w:t>年</w:t>
            </w:r>
            <w:r>
              <w:rPr>
                <w:rFonts w:hint="eastAsia"/>
              </w:rPr>
              <w:t>4</w:t>
            </w:r>
            <w:r>
              <w:rPr>
                <w:rFonts w:hint="eastAsia"/>
              </w:rPr>
              <w:t>月，在重庆望变电气（集团）股份有限公司任财务中心总经理；</w:t>
            </w:r>
            <w:r>
              <w:rPr>
                <w:rFonts w:hint="eastAsia"/>
              </w:rPr>
              <w:t>2022</w:t>
            </w:r>
            <w:r>
              <w:rPr>
                <w:rFonts w:hint="eastAsia"/>
              </w:rPr>
              <w:t>年</w:t>
            </w:r>
            <w:r>
              <w:rPr>
                <w:rFonts w:hint="eastAsia"/>
              </w:rPr>
              <w:t>7</w:t>
            </w:r>
            <w:r>
              <w:rPr>
                <w:rFonts w:hint="eastAsia"/>
              </w:rPr>
              <w:t>月至</w:t>
            </w:r>
            <w:r>
              <w:rPr>
                <w:rFonts w:hint="eastAsia"/>
              </w:rPr>
              <w:t>2023</w:t>
            </w:r>
            <w:r>
              <w:rPr>
                <w:rFonts w:hint="eastAsia"/>
              </w:rPr>
              <w:t>年</w:t>
            </w:r>
            <w:r>
              <w:rPr>
                <w:rFonts w:hint="eastAsia"/>
              </w:rPr>
              <w:t>11</w:t>
            </w:r>
            <w:r>
              <w:rPr>
                <w:rFonts w:hint="eastAsia"/>
              </w:rPr>
              <w:t>月在重庆望变电气（集团）股份有限公司任董事；</w:t>
            </w:r>
            <w:r>
              <w:rPr>
                <w:rFonts w:hint="eastAsia"/>
              </w:rPr>
              <w:t>2019</w:t>
            </w:r>
            <w:r>
              <w:rPr>
                <w:rFonts w:hint="eastAsia"/>
              </w:rPr>
              <w:t>年</w:t>
            </w:r>
            <w:r>
              <w:rPr>
                <w:rFonts w:hint="eastAsia"/>
              </w:rPr>
              <w:t>4</w:t>
            </w:r>
            <w:r>
              <w:rPr>
                <w:rFonts w:hint="eastAsia"/>
              </w:rPr>
              <w:t>月</w:t>
            </w:r>
            <w:r>
              <w:rPr>
                <w:rFonts w:hint="eastAsia"/>
              </w:rPr>
              <w:t>2023</w:t>
            </w:r>
            <w:r>
              <w:rPr>
                <w:rFonts w:hint="eastAsia"/>
              </w:rPr>
              <w:t>年</w:t>
            </w:r>
            <w:r>
              <w:rPr>
                <w:rFonts w:hint="eastAsia"/>
              </w:rPr>
              <w:t>11</w:t>
            </w:r>
            <w:r>
              <w:rPr>
                <w:rFonts w:hint="eastAsia"/>
              </w:rPr>
              <w:t>月，在重庆望变电气（集团）股份有限公司任财务总监；</w:t>
            </w:r>
            <w:r>
              <w:rPr>
                <w:rFonts w:hint="eastAsia"/>
              </w:rPr>
              <w:t>2021</w:t>
            </w:r>
            <w:r>
              <w:rPr>
                <w:rFonts w:hint="eastAsia"/>
              </w:rPr>
              <w:t>年</w:t>
            </w:r>
            <w:r>
              <w:rPr>
                <w:rFonts w:hint="eastAsia"/>
              </w:rPr>
              <w:t>4</w:t>
            </w:r>
            <w:r>
              <w:rPr>
                <w:rFonts w:hint="eastAsia"/>
              </w:rPr>
              <w:t>月至今，在重庆望变电气（集团）股份有限公司任董事会秘书；</w:t>
            </w:r>
            <w:r>
              <w:rPr>
                <w:rFonts w:hint="eastAsia"/>
              </w:rPr>
              <w:t>2023</w:t>
            </w:r>
            <w:r>
              <w:rPr>
                <w:rFonts w:hint="eastAsia"/>
              </w:rPr>
              <w:t>年</w:t>
            </w:r>
            <w:r>
              <w:rPr>
                <w:rFonts w:hint="eastAsia"/>
              </w:rPr>
              <w:t>11</w:t>
            </w:r>
            <w:r>
              <w:rPr>
                <w:rFonts w:hint="eastAsia"/>
              </w:rPr>
              <w:t>月至今，在重庆望变电气（集团）股份有限公司任副总经理，分管董办证券部、投资管理部，分管集团公司财务工作，近三年未受到证券监管机构处罚。</w:t>
            </w:r>
          </w:p>
        </w:tc>
      </w:tr>
      <w:tr w:rsidR="004A3868">
        <w:trPr>
          <w:trHeight w:val="397"/>
          <w:jc w:val="center"/>
        </w:trPr>
        <w:tc>
          <w:tcPr>
            <w:tcW w:w="1368" w:type="dxa"/>
            <w:vAlign w:val="center"/>
          </w:tcPr>
          <w:p w:rsidR="004A3868" w:rsidRDefault="003F1AB5">
            <w:pPr>
              <w:pStyle w:val="afff9"/>
            </w:pPr>
            <w:r>
              <w:rPr>
                <w:rFonts w:hint="eastAsia"/>
              </w:rPr>
              <w:t>刘柏林</w:t>
            </w:r>
          </w:p>
        </w:tc>
        <w:tc>
          <w:tcPr>
            <w:tcW w:w="12495" w:type="dxa"/>
            <w:vAlign w:val="bottom"/>
          </w:tcPr>
          <w:p w:rsidR="004A3868" w:rsidRDefault="003F1AB5">
            <w:pPr>
              <w:pStyle w:val="afff9"/>
            </w:pPr>
            <w:r>
              <w:rPr>
                <w:rFonts w:hint="eastAsia"/>
              </w:rPr>
              <w:t>1987</w:t>
            </w:r>
            <w:r>
              <w:rPr>
                <w:rFonts w:hint="eastAsia"/>
              </w:rPr>
              <w:t>年出生，中国国籍，无境外永久居留权，硕士学历，高级工程师。</w:t>
            </w:r>
            <w:r>
              <w:rPr>
                <w:rFonts w:hint="eastAsia"/>
              </w:rPr>
              <w:t>2012</w:t>
            </w:r>
            <w:r>
              <w:rPr>
                <w:rFonts w:hint="eastAsia"/>
              </w:rPr>
              <w:t>年</w:t>
            </w:r>
            <w:r>
              <w:rPr>
                <w:rFonts w:hint="eastAsia"/>
              </w:rPr>
              <w:t>6</w:t>
            </w:r>
            <w:r>
              <w:rPr>
                <w:rFonts w:hint="eastAsia"/>
              </w:rPr>
              <w:t>月至</w:t>
            </w:r>
            <w:r>
              <w:rPr>
                <w:rFonts w:hint="eastAsia"/>
              </w:rPr>
              <w:t>2013</w:t>
            </w:r>
            <w:r>
              <w:rPr>
                <w:rFonts w:hint="eastAsia"/>
              </w:rPr>
              <w:t>年</w:t>
            </w:r>
            <w:r>
              <w:rPr>
                <w:rFonts w:hint="eastAsia"/>
              </w:rPr>
              <w:t>6</w:t>
            </w:r>
            <w:r>
              <w:rPr>
                <w:rFonts w:hint="eastAsia"/>
              </w:rPr>
              <w:t>月，在重庆长寿经济技术开发区开发投资集团有限公司行政人事部任职员；</w:t>
            </w:r>
            <w:r>
              <w:rPr>
                <w:rFonts w:hint="eastAsia"/>
              </w:rPr>
              <w:t>2013</w:t>
            </w:r>
            <w:r>
              <w:rPr>
                <w:rFonts w:hint="eastAsia"/>
              </w:rPr>
              <w:t>年</w:t>
            </w:r>
            <w:r>
              <w:rPr>
                <w:rFonts w:hint="eastAsia"/>
              </w:rPr>
              <w:t>6</w:t>
            </w:r>
            <w:r>
              <w:rPr>
                <w:rFonts w:hint="eastAsia"/>
              </w:rPr>
              <w:t>月至</w:t>
            </w:r>
            <w:r>
              <w:rPr>
                <w:rFonts w:hint="eastAsia"/>
              </w:rPr>
              <w:t>2019</w:t>
            </w:r>
            <w:r>
              <w:rPr>
                <w:rFonts w:hint="eastAsia"/>
              </w:rPr>
              <w:t>年</w:t>
            </w:r>
            <w:r>
              <w:rPr>
                <w:rFonts w:hint="eastAsia"/>
              </w:rPr>
              <w:t>8</w:t>
            </w:r>
            <w:r>
              <w:rPr>
                <w:rFonts w:hint="eastAsia"/>
              </w:rPr>
              <w:t>月，受重庆长寿经济技术开发区开发投资集团有限公司指派，在长寿经济技术开发区管理委员会办公室先后担任科员、副科长职务（非公务员），</w:t>
            </w:r>
            <w:r>
              <w:rPr>
                <w:rFonts w:hint="eastAsia"/>
              </w:rPr>
              <w:t>2019</w:t>
            </w:r>
            <w:r>
              <w:rPr>
                <w:rFonts w:hint="eastAsia"/>
              </w:rPr>
              <w:t>年</w:t>
            </w:r>
            <w:r>
              <w:rPr>
                <w:rFonts w:hint="eastAsia"/>
              </w:rPr>
              <w:t>8</w:t>
            </w:r>
            <w:r>
              <w:rPr>
                <w:rFonts w:hint="eastAsia"/>
              </w:rPr>
              <w:t>月至</w:t>
            </w:r>
            <w:r>
              <w:rPr>
                <w:rFonts w:hint="eastAsia"/>
              </w:rPr>
              <w:t>2023</w:t>
            </w:r>
            <w:r>
              <w:rPr>
                <w:rFonts w:hint="eastAsia"/>
              </w:rPr>
              <w:t>年</w:t>
            </w:r>
            <w:r>
              <w:rPr>
                <w:rFonts w:hint="eastAsia"/>
              </w:rPr>
              <w:t>11</w:t>
            </w:r>
            <w:r>
              <w:rPr>
                <w:rFonts w:hint="eastAsia"/>
              </w:rPr>
              <w:t>月在重庆望变电气（集团）股份有限公司历任集团党委书记、集团总经理助理、集团监事、行政中心负责人、企管中心负责人等职务；</w:t>
            </w:r>
            <w:r>
              <w:rPr>
                <w:rFonts w:hint="eastAsia"/>
              </w:rPr>
              <w:t>2023</w:t>
            </w:r>
            <w:r>
              <w:rPr>
                <w:rFonts w:hint="eastAsia"/>
              </w:rPr>
              <w:t>年</w:t>
            </w:r>
            <w:r>
              <w:rPr>
                <w:rFonts w:hint="eastAsia"/>
              </w:rPr>
              <w:t>11</w:t>
            </w:r>
            <w:r>
              <w:rPr>
                <w:rFonts w:hint="eastAsia"/>
              </w:rPr>
              <w:t>月至今，在重庆望变电气（集团）股份有限公司任党委书记、副总经理，分管总经办、企法部、人力资源部、</w:t>
            </w:r>
            <w:r>
              <w:rPr>
                <w:rFonts w:hint="eastAsia"/>
              </w:rPr>
              <w:t>IT</w:t>
            </w:r>
            <w:r>
              <w:rPr>
                <w:rFonts w:hint="eastAsia"/>
              </w:rPr>
              <w:t>办，近三年未受到证券监管机构处罚。</w:t>
            </w:r>
          </w:p>
        </w:tc>
      </w:tr>
      <w:tr w:rsidR="004A3868">
        <w:trPr>
          <w:trHeight w:val="397"/>
          <w:jc w:val="center"/>
        </w:trPr>
        <w:tc>
          <w:tcPr>
            <w:tcW w:w="1368" w:type="dxa"/>
            <w:vAlign w:val="center"/>
          </w:tcPr>
          <w:p w:rsidR="004A3868" w:rsidRDefault="003F1AB5">
            <w:pPr>
              <w:pStyle w:val="afff9"/>
            </w:pPr>
            <w:r>
              <w:rPr>
                <w:rFonts w:hint="eastAsia"/>
              </w:rPr>
              <w:t>肖永号</w:t>
            </w:r>
          </w:p>
        </w:tc>
        <w:tc>
          <w:tcPr>
            <w:tcW w:w="12495" w:type="dxa"/>
            <w:vAlign w:val="bottom"/>
          </w:tcPr>
          <w:p w:rsidR="004A3868" w:rsidRDefault="003F1AB5">
            <w:pPr>
              <w:pStyle w:val="afff9"/>
            </w:pPr>
            <w:r>
              <w:rPr>
                <w:rFonts w:hint="eastAsia"/>
              </w:rPr>
              <w:t>1971</w:t>
            </w:r>
            <w:r>
              <w:rPr>
                <w:rFonts w:hint="eastAsia"/>
              </w:rPr>
              <w:t>年出生，中国国籍，无境外永久居住权，本科学历。</w:t>
            </w:r>
            <w:r>
              <w:rPr>
                <w:rFonts w:hint="eastAsia"/>
              </w:rPr>
              <w:t>1994</w:t>
            </w:r>
            <w:r>
              <w:rPr>
                <w:rFonts w:hint="eastAsia"/>
              </w:rPr>
              <w:t>年</w:t>
            </w:r>
            <w:r>
              <w:rPr>
                <w:rFonts w:hint="eastAsia"/>
              </w:rPr>
              <w:t>9</w:t>
            </w:r>
            <w:r>
              <w:rPr>
                <w:rFonts w:hint="eastAsia"/>
              </w:rPr>
              <w:t>月至</w:t>
            </w:r>
            <w:r>
              <w:rPr>
                <w:rFonts w:hint="eastAsia"/>
              </w:rPr>
              <w:t>1997</w:t>
            </w:r>
            <w:r>
              <w:rPr>
                <w:rFonts w:hint="eastAsia"/>
              </w:rPr>
              <w:t>年</w:t>
            </w:r>
            <w:r>
              <w:rPr>
                <w:rFonts w:hint="eastAsia"/>
              </w:rPr>
              <w:t>8</w:t>
            </w:r>
            <w:r>
              <w:rPr>
                <w:rFonts w:hint="eastAsia"/>
              </w:rPr>
              <w:t>月，在二○三研究所担任技术员；</w:t>
            </w:r>
            <w:r>
              <w:rPr>
                <w:rFonts w:hint="eastAsia"/>
              </w:rPr>
              <w:t>1997</w:t>
            </w:r>
            <w:r>
              <w:rPr>
                <w:rFonts w:hint="eastAsia"/>
              </w:rPr>
              <w:t>年</w:t>
            </w:r>
            <w:r>
              <w:rPr>
                <w:rFonts w:hint="eastAsia"/>
              </w:rPr>
              <w:t>9</w:t>
            </w:r>
            <w:r>
              <w:rPr>
                <w:rFonts w:hint="eastAsia"/>
              </w:rPr>
              <w:t>月至</w:t>
            </w:r>
            <w:r>
              <w:rPr>
                <w:rFonts w:hint="eastAsia"/>
              </w:rPr>
              <w:t>2003</w:t>
            </w:r>
            <w:r>
              <w:rPr>
                <w:rFonts w:hint="eastAsia"/>
              </w:rPr>
              <w:t>年</w:t>
            </w:r>
            <w:r>
              <w:rPr>
                <w:rFonts w:hint="eastAsia"/>
              </w:rPr>
              <w:t>4</w:t>
            </w:r>
            <w:r>
              <w:rPr>
                <w:rFonts w:hint="eastAsia"/>
              </w:rPr>
              <w:t>月，在重庆富丰水泥集团担任技术员、电气工程师、机修车间主任；</w:t>
            </w:r>
            <w:r>
              <w:rPr>
                <w:rFonts w:hint="eastAsia"/>
              </w:rPr>
              <w:t>2004</w:t>
            </w:r>
            <w:r>
              <w:rPr>
                <w:rFonts w:hint="eastAsia"/>
              </w:rPr>
              <w:t>年</w:t>
            </w:r>
            <w:r>
              <w:rPr>
                <w:rFonts w:hint="eastAsia"/>
              </w:rPr>
              <w:t>5</w:t>
            </w:r>
            <w:r>
              <w:rPr>
                <w:rFonts w:hint="eastAsia"/>
              </w:rPr>
              <w:t>月至</w:t>
            </w:r>
            <w:r>
              <w:rPr>
                <w:rFonts w:hint="eastAsia"/>
              </w:rPr>
              <w:t>2016</w:t>
            </w:r>
            <w:r>
              <w:rPr>
                <w:rFonts w:hint="eastAsia"/>
              </w:rPr>
              <w:t>年</w:t>
            </w:r>
            <w:r>
              <w:rPr>
                <w:rFonts w:hint="eastAsia"/>
              </w:rPr>
              <w:t>7</w:t>
            </w:r>
            <w:r>
              <w:rPr>
                <w:rFonts w:hint="eastAsia"/>
              </w:rPr>
              <w:t>月，在重庆三圣建材集团担任设备部经理；</w:t>
            </w:r>
            <w:r>
              <w:rPr>
                <w:rFonts w:hint="eastAsia"/>
              </w:rPr>
              <w:t>2016</w:t>
            </w:r>
            <w:r>
              <w:rPr>
                <w:rFonts w:hint="eastAsia"/>
              </w:rPr>
              <w:t>年</w:t>
            </w:r>
            <w:r>
              <w:rPr>
                <w:rFonts w:hint="eastAsia"/>
              </w:rPr>
              <w:t>7</w:t>
            </w:r>
            <w:r>
              <w:rPr>
                <w:rFonts w:hint="eastAsia"/>
              </w:rPr>
              <w:t>月至</w:t>
            </w:r>
            <w:r>
              <w:rPr>
                <w:rFonts w:hint="eastAsia"/>
              </w:rPr>
              <w:t>2017</w:t>
            </w:r>
            <w:r>
              <w:rPr>
                <w:rFonts w:hint="eastAsia"/>
              </w:rPr>
              <w:t>年</w:t>
            </w:r>
            <w:r>
              <w:rPr>
                <w:rFonts w:hint="eastAsia"/>
              </w:rPr>
              <w:t>12</w:t>
            </w:r>
            <w:r>
              <w:rPr>
                <w:rFonts w:hint="eastAsia"/>
              </w:rPr>
              <w:t>月，在重庆望变电力工程有限公司担任项目经理；</w:t>
            </w:r>
            <w:r>
              <w:rPr>
                <w:rFonts w:hint="eastAsia"/>
              </w:rPr>
              <w:t>2018</w:t>
            </w:r>
            <w:r>
              <w:rPr>
                <w:rFonts w:hint="eastAsia"/>
              </w:rPr>
              <w:t>年</w:t>
            </w:r>
            <w:r>
              <w:rPr>
                <w:rFonts w:hint="eastAsia"/>
              </w:rPr>
              <w:t>1</w:t>
            </w:r>
            <w:r>
              <w:rPr>
                <w:rFonts w:hint="eastAsia"/>
              </w:rPr>
              <w:t>月至今，在重庆望变电气集团担任总经理助理、技术中心总经理、成套事业部总经理、制造中心总经理；</w:t>
            </w:r>
            <w:r>
              <w:rPr>
                <w:rFonts w:hint="eastAsia"/>
              </w:rPr>
              <w:t>2023</w:t>
            </w:r>
            <w:r>
              <w:rPr>
                <w:rFonts w:hint="eastAsia"/>
              </w:rPr>
              <w:t>年</w:t>
            </w:r>
            <w:r>
              <w:rPr>
                <w:rFonts w:hint="eastAsia"/>
              </w:rPr>
              <w:t>11</w:t>
            </w:r>
            <w:r>
              <w:rPr>
                <w:rFonts w:hint="eastAsia"/>
              </w:rPr>
              <w:t>月至今，在重庆望变电气（集团）股份有限公司任副总经理，分管生产设备部、安全环保部、变压器事业部、成套事业部、钣金事业部，近三年未受到证券监管机构处罚。</w:t>
            </w:r>
          </w:p>
        </w:tc>
      </w:tr>
      <w:tr w:rsidR="004A3868">
        <w:trPr>
          <w:trHeight w:val="397"/>
          <w:jc w:val="center"/>
        </w:trPr>
        <w:tc>
          <w:tcPr>
            <w:tcW w:w="1368" w:type="dxa"/>
            <w:vAlign w:val="center"/>
          </w:tcPr>
          <w:p w:rsidR="004A3868" w:rsidRDefault="003F1AB5">
            <w:pPr>
              <w:pStyle w:val="afff9"/>
            </w:pPr>
            <w:r>
              <w:rPr>
                <w:rFonts w:hint="eastAsia"/>
              </w:rPr>
              <w:t>杨万华</w:t>
            </w:r>
          </w:p>
        </w:tc>
        <w:tc>
          <w:tcPr>
            <w:tcW w:w="12495" w:type="dxa"/>
            <w:vAlign w:val="bottom"/>
          </w:tcPr>
          <w:p w:rsidR="004A3868" w:rsidRDefault="003F1AB5">
            <w:pPr>
              <w:pStyle w:val="afff9"/>
            </w:pPr>
            <w:r>
              <w:rPr>
                <w:rFonts w:hint="eastAsia"/>
              </w:rPr>
              <w:t>1987</w:t>
            </w:r>
            <w:r>
              <w:rPr>
                <w:rFonts w:hint="eastAsia"/>
              </w:rPr>
              <w:t>年出生，中国国籍，无境外永久居留权，本科学历，工商管理学士学位。</w:t>
            </w:r>
            <w:r>
              <w:rPr>
                <w:rFonts w:hint="eastAsia"/>
              </w:rPr>
              <w:t>2013</w:t>
            </w:r>
            <w:r>
              <w:rPr>
                <w:rFonts w:hint="eastAsia"/>
              </w:rPr>
              <w:t>年</w:t>
            </w:r>
            <w:r>
              <w:rPr>
                <w:rFonts w:hint="eastAsia"/>
              </w:rPr>
              <w:t>1</w:t>
            </w:r>
            <w:r>
              <w:rPr>
                <w:rFonts w:hint="eastAsia"/>
              </w:rPr>
              <w:t>月</w:t>
            </w:r>
            <w:r>
              <w:rPr>
                <w:rFonts w:hint="eastAsia"/>
              </w:rPr>
              <w:t>-2015</w:t>
            </w:r>
            <w:r>
              <w:rPr>
                <w:rFonts w:hint="eastAsia"/>
              </w:rPr>
              <w:t>年</w:t>
            </w:r>
            <w:r>
              <w:rPr>
                <w:rFonts w:hint="eastAsia"/>
              </w:rPr>
              <w:t>12</w:t>
            </w:r>
            <w:r>
              <w:rPr>
                <w:rFonts w:hint="eastAsia"/>
              </w:rPr>
              <w:t>月，在重庆望变电气（集团）股份有限公司历任销售内勤、采购专员；</w:t>
            </w:r>
            <w:r>
              <w:rPr>
                <w:rFonts w:hint="eastAsia"/>
              </w:rPr>
              <w:t>2016</w:t>
            </w:r>
            <w:r>
              <w:rPr>
                <w:rFonts w:hint="eastAsia"/>
              </w:rPr>
              <w:t>年</w:t>
            </w:r>
            <w:r>
              <w:rPr>
                <w:rFonts w:hint="eastAsia"/>
              </w:rPr>
              <w:t>1</w:t>
            </w:r>
            <w:r>
              <w:rPr>
                <w:rFonts w:hint="eastAsia"/>
              </w:rPr>
              <w:t>月</w:t>
            </w:r>
            <w:r>
              <w:rPr>
                <w:rFonts w:hint="eastAsia"/>
              </w:rPr>
              <w:t>-2016</w:t>
            </w:r>
            <w:r>
              <w:rPr>
                <w:rFonts w:hint="eastAsia"/>
              </w:rPr>
              <w:t>年</w:t>
            </w:r>
            <w:r>
              <w:rPr>
                <w:rFonts w:hint="eastAsia"/>
              </w:rPr>
              <w:t>5</w:t>
            </w:r>
            <w:r>
              <w:rPr>
                <w:rFonts w:hint="eastAsia"/>
              </w:rPr>
              <w:t>月，脱产参加财务会计知识培训；</w:t>
            </w:r>
            <w:r>
              <w:rPr>
                <w:rFonts w:hint="eastAsia"/>
              </w:rPr>
              <w:t>2016</w:t>
            </w:r>
            <w:r>
              <w:rPr>
                <w:rFonts w:hint="eastAsia"/>
              </w:rPr>
              <w:t>年</w:t>
            </w:r>
            <w:r>
              <w:rPr>
                <w:rFonts w:hint="eastAsia"/>
              </w:rPr>
              <w:t>6</w:t>
            </w:r>
            <w:r>
              <w:rPr>
                <w:rFonts w:hint="eastAsia"/>
              </w:rPr>
              <w:t>月至今，在重庆望变电气（集团）股份有限公司历任财务部成本会计、财务部总账主管、财务管理部副经理、财务管理部经理、财务中心副总经理。</w:t>
            </w:r>
            <w:r>
              <w:rPr>
                <w:rFonts w:hint="eastAsia"/>
              </w:rPr>
              <w:t>2023</w:t>
            </w:r>
            <w:r>
              <w:rPr>
                <w:rFonts w:hint="eastAsia"/>
              </w:rPr>
              <w:t>年</w:t>
            </w:r>
            <w:r>
              <w:rPr>
                <w:rFonts w:hint="eastAsia"/>
              </w:rPr>
              <w:t>11</w:t>
            </w:r>
            <w:r>
              <w:rPr>
                <w:rFonts w:hint="eastAsia"/>
              </w:rPr>
              <w:t>月至今，在</w:t>
            </w:r>
            <w:r>
              <w:rPr>
                <w:rFonts w:hint="eastAsia"/>
              </w:rPr>
              <w:lastRenderedPageBreak/>
              <w:t>重庆望变电气（集团）股份有限公司任财务总监，分管财务部，近三年未受到证券监管机构处罚。</w:t>
            </w:r>
          </w:p>
        </w:tc>
      </w:tr>
    </w:tbl>
    <w:p w:rsidR="004A3868" w:rsidRDefault="004A3868">
      <w:pPr>
        <w:pStyle w:val="Style124"/>
      </w:pPr>
    </w:p>
    <w:p w:rsidR="004A3868" w:rsidRDefault="003F1AB5">
      <w:pPr>
        <w:pStyle w:val="Style124"/>
      </w:pPr>
      <w:r>
        <w:t>其它情况说明</w:t>
      </w:r>
    </w:p>
    <w:sdt>
      <w:sdtPr>
        <w:alias w:val="是否适用：董事、监事 和高级管理人员持股变动及报酬情况其他情况说明[双击切换]"/>
        <w:tag w:val="_GBC_9b04f21816b544bc9606e29c2556c9ba"/>
        <w:id w:val="-1310861692"/>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9"/>
    <w:p w:rsidR="004A3868" w:rsidRDefault="004A3868">
      <w:pPr>
        <w:rPr>
          <w:sz w:val="21"/>
          <w:szCs w:val="21"/>
        </w:rPr>
        <w:sectPr w:rsidR="004A3868">
          <w:pgSz w:w="16838" w:h="11906" w:orient="landscape"/>
          <w:pgMar w:top="1797" w:right="1525" w:bottom="1276" w:left="1440" w:header="855" w:footer="992" w:gutter="0"/>
          <w:cols w:space="425"/>
          <w:docGrid w:linePitch="312"/>
        </w:sectPr>
      </w:pPr>
    </w:p>
    <w:p w:rsidR="004A3868" w:rsidRDefault="003F1AB5">
      <w:pPr>
        <w:pStyle w:val="Style127"/>
        <w:numPr>
          <w:ilvl w:val="0"/>
          <w:numId w:val="22"/>
        </w:numPr>
      </w:pPr>
      <w:r>
        <w:rPr>
          <w:rFonts w:hint="eastAsia"/>
        </w:rPr>
        <w:lastRenderedPageBreak/>
        <w:t>现任及报告期内离任董事、监事和高级管理人员的任职情况</w:t>
      </w:r>
    </w:p>
    <w:p w:rsidR="004A3868" w:rsidRDefault="003F1AB5">
      <w:pPr>
        <w:pStyle w:val="aff7"/>
        <w:numPr>
          <w:ilvl w:val="0"/>
          <w:numId w:val="23"/>
        </w:numPr>
        <w:rPr>
          <w:sz w:val="21"/>
          <w:szCs w:val="21"/>
        </w:rPr>
      </w:pPr>
      <w:r>
        <w:rPr>
          <w:sz w:val="21"/>
          <w:szCs w:val="21"/>
        </w:rPr>
        <w:t>在股东单位任职情况</w:t>
      </w:r>
    </w:p>
    <w:sdt>
      <w:sdtPr>
        <w:alias w:val="是否适用：在股东单位任职情况[双击切换]"/>
        <w:tag w:val="_GBC_c450b54d9ea443cf85cc614c8528526b"/>
        <w:id w:val="-283584467"/>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aff7"/>
        <w:numPr>
          <w:ilvl w:val="0"/>
          <w:numId w:val="23"/>
        </w:numPr>
        <w:rPr>
          <w:sz w:val="21"/>
          <w:szCs w:val="21"/>
        </w:rPr>
      </w:pPr>
      <w:r>
        <w:rPr>
          <w:sz w:val="21"/>
          <w:szCs w:val="21"/>
        </w:rPr>
        <w:t>在其他单位任职情况</w:t>
      </w:r>
    </w:p>
    <w:sdt>
      <w:sdtPr>
        <w:alias w:val="是否适用：在其他单位任职情况[双击切换]"/>
        <w:tag w:val="_GBC_31c17de709bb42fdb7ba137e843fe054"/>
        <w:id w:val="-1879612757"/>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5"/>
        <w:tblW w:w="5000" w:type="pct"/>
        <w:jc w:val="center"/>
        <w:tblLayout w:type="fixed"/>
        <w:tblCellMar>
          <w:left w:w="0" w:type="dxa"/>
          <w:right w:w="28" w:type="dxa"/>
        </w:tblCellMar>
        <w:tblLook w:val="04A0" w:firstRow="1" w:lastRow="0" w:firstColumn="1" w:lastColumn="0" w:noHBand="0" w:noVBand="1"/>
      </w:tblPr>
      <w:tblGrid>
        <w:gridCol w:w="1654"/>
        <w:gridCol w:w="2089"/>
        <w:gridCol w:w="1638"/>
        <w:gridCol w:w="1965"/>
        <w:gridCol w:w="1477"/>
      </w:tblGrid>
      <w:tr w:rsidR="004A3868">
        <w:trPr>
          <w:trHeight w:val="397"/>
          <w:jc w:val="center"/>
        </w:trPr>
        <w:sdt>
          <w:sdtPr>
            <w:tag w:val="_PLD_84cb4ce7fc4643b1be607267619a4b88"/>
            <w:id w:val="-1733386849"/>
          </w:sdtPr>
          <w:sdtEndPr/>
          <w:sdtContent>
            <w:tc>
              <w:tcPr>
                <w:tcW w:w="1654" w:type="dxa"/>
                <w:vAlign w:val="center"/>
              </w:tcPr>
              <w:p w:rsidR="004A3868" w:rsidRDefault="003F1AB5">
                <w:pPr>
                  <w:pStyle w:val="33"/>
                </w:pPr>
                <w:r>
                  <w:t>任职人员姓名</w:t>
                </w:r>
              </w:p>
            </w:tc>
          </w:sdtContent>
        </w:sdt>
        <w:sdt>
          <w:sdtPr>
            <w:tag w:val="_PLD_9c5aac001d5a4c2eb3cc0bf1e1f66afe"/>
            <w:id w:val="1004168976"/>
          </w:sdtPr>
          <w:sdtEndPr/>
          <w:sdtContent>
            <w:tc>
              <w:tcPr>
                <w:tcW w:w="2089" w:type="dxa"/>
                <w:vAlign w:val="center"/>
              </w:tcPr>
              <w:p w:rsidR="004A3868" w:rsidRDefault="003F1AB5">
                <w:pPr>
                  <w:pStyle w:val="33"/>
                </w:pPr>
                <w:r>
                  <w:t>其他单位名称</w:t>
                </w:r>
              </w:p>
            </w:tc>
          </w:sdtContent>
        </w:sdt>
        <w:sdt>
          <w:sdtPr>
            <w:tag w:val="_PLD_a3a2822cc76542afbd1a58b94268af1d"/>
            <w:id w:val="812752639"/>
          </w:sdtPr>
          <w:sdtEndPr/>
          <w:sdtContent>
            <w:tc>
              <w:tcPr>
                <w:tcW w:w="1638" w:type="dxa"/>
                <w:vAlign w:val="center"/>
              </w:tcPr>
              <w:p w:rsidR="004A3868" w:rsidRDefault="003F1AB5">
                <w:pPr>
                  <w:pStyle w:val="33"/>
                </w:pPr>
                <w:r>
                  <w:t>在其他单位担任的职务</w:t>
                </w:r>
              </w:p>
            </w:tc>
          </w:sdtContent>
        </w:sdt>
        <w:sdt>
          <w:sdtPr>
            <w:tag w:val="_PLD_1afbd86b2e47420ca2c5a75f01567f2a"/>
            <w:id w:val="-130939126"/>
          </w:sdtPr>
          <w:sdtEndPr/>
          <w:sdtContent>
            <w:tc>
              <w:tcPr>
                <w:tcW w:w="1965" w:type="dxa"/>
                <w:vAlign w:val="center"/>
              </w:tcPr>
              <w:p w:rsidR="004A3868" w:rsidRDefault="003F1AB5">
                <w:pPr>
                  <w:pStyle w:val="33"/>
                </w:pPr>
                <w:r>
                  <w:t>任期起始日期</w:t>
                </w:r>
              </w:p>
            </w:tc>
          </w:sdtContent>
        </w:sdt>
        <w:sdt>
          <w:sdtPr>
            <w:tag w:val="_PLD_677dde6ffbf24692a6c508831a24eef8"/>
            <w:id w:val="1576701021"/>
          </w:sdtPr>
          <w:sdtEndPr/>
          <w:sdtContent>
            <w:tc>
              <w:tcPr>
                <w:tcW w:w="1477" w:type="dxa"/>
                <w:vAlign w:val="center"/>
              </w:tcPr>
              <w:p w:rsidR="004A3868" w:rsidRDefault="003F1AB5">
                <w:pPr>
                  <w:pStyle w:val="33"/>
                </w:pPr>
                <w:r>
                  <w:t>任期终止日期</w:t>
                </w:r>
              </w:p>
            </w:tc>
          </w:sdtContent>
        </w:sdt>
      </w:tr>
      <w:tr w:rsidR="004A3868">
        <w:trPr>
          <w:trHeight w:val="397"/>
          <w:jc w:val="center"/>
        </w:trPr>
        <w:tc>
          <w:tcPr>
            <w:tcW w:w="1654" w:type="dxa"/>
            <w:vAlign w:val="center"/>
          </w:tcPr>
          <w:p w:rsidR="004A3868" w:rsidRDefault="003F1AB5">
            <w:pPr>
              <w:pStyle w:val="33"/>
            </w:pPr>
            <w:r>
              <w:rPr>
                <w:rFonts w:hint="eastAsia"/>
              </w:rPr>
              <w:t>杨泽民</w:t>
            </w:r>
          </w:p>
        </w:tc>
        <w:tc>
          <w:tcPr>
            <w:tcW w:w="2089" w:type="dxa"/>
            <w:vAlign w:val="center"/>
          </w:tcPr>
          <w:p w:rsidR="004A3868" w:rsidRDefault="003F1AB5">
            <w:pPr>
              <w:pStyle w:val="33"/>
            </w:pPr>
            <w:r>
              <w:rPr>
                <w:rFonts w:hint="eastAsia"/>
              </w:rPr>
              <w:t>重庆能投长寿经开区售电有限公司</w:t>
            </w:r>
          </w:p>
        </w:tc>
        <w:tc>
          <w:tcPr>
            <w:tcW w:w="1638" w:type="dxa"/>
            <w:vAlign w:val="center"/>
          </w:tcPr>
          <w:p w:rsidR="004A3868" w:rsidRDefault="003F1AB5">
            <w:pPr>
              <w:pStyle w:val="33"/>
            </w:pPr>
            <w:r>
              <w:rPr>
                <w:rFonts w:hint="eastAsia"/>
              </w:rPr>
              <w:t>董事</w:t>
            </w:r>
          </w:p>
        </w:tc>
        <w:tc>
          <w:tcPr>
            <w:tcW w:w="1965" w:type="dxa"/>
            <w:vAlign w:val="bottom"/>
          </w:tcPr>
          <w:p w:rsidR="004A3868" w:rsidRDefault="003F1AB5">
            <w:pPr>
              <w:pStyle w:val="afff7"/>
            </w:pPr>
            <w:r>
              <w:t>2016.04</w:t>
            </w:r>
          </w:p>
        </w:tc>
        <w:tc>
          <w:tcPr>
            <w:tcW w:w="1477" w:type="dxa"/>
            <w:vAlign w:val="center"/>
          </w:tcPr>
          <w:p w:rsidR="004A3868" w:rsidRDefault="003F1AB5">
            <w:pPr>
              <w:pStyle w:val="afff7"/>
            </w:pPr>
            <w:r>
              <w:t>-</w:t>
            </w:r>
          </w:p>
        </w:tc>
      </w:tr>
      <w:tr w:rsidR="004A3868">
        <w:trPr>
          <w:trHeight w:val="397"/>
          <w:jc w:val="center"/>
        </w:trPr>
        <w:tc>
          <w:tcPr>
            <w:tcW w:w="1654" w:type="dxa"/>
            <w:vMerge w:val="restart"/>
            <w:vAlign w:val="center"/>
          </w:tcPr>
          <w:p w:rsidR="004A3868" w:rsidRDefault="003F1AB5">
            <w:pPr>
              <w:pStyle w:val="33"/>
            </w:pPr>
            <w:r>
              <w:rPr>
                <w:rFonts w:hint="eastAsia"/>
              </w:rPr>
              <w:t>王勇</w:t>
            </w:r>
          </w:p>
        </w:tc>
        <w:tc>
          <w:tcPr>
            <w:tcW w:w="2089" w:type="dxa"/>
            <w:vAlign w:val="center"/>
          </w:tcPr>
          <w:p w:rsidR="004A3868" w:rsidRDefault="003F1AB5">
            <w:pPr>
              <w:pStyle w:val="33"/>
            </w:pPr>
            <w:r>
              <w:rPr>
                <w:rFonts w:hint="eastAsia"/>
              </w:rPr>
              <w:t>重庆海平会计师事务所有限公司</w:t>
            </w:r>
          </w:p>
        </w:tc>
        <w:tc>
          <w:tcPr>
            <w:tcW w:w="1638" w:type="dxa"/>
            <w:vAlign w:val="center"/>
          </w:tcPr>
          <w:p w:rsidR="004A3868" w:rsidRDefault="003F1AB5">
            <w:pPr>
              <w:pStyle w:val="33"/>
            </w:pPr>
            <w:r>
              <w:rPr>
                <w:rFonts w:hint="eastAsia"/>
              </w:rPr>
              <w:t>主任会计师</w:t>
            </w:r>
          </w:p>
        </w:tc>
        <w:tc>
          <w:tcPr>
            <w:tcW w:w="1965" w:type="dxa"/>
            <w:vAlign w:val="bottom"/>
          </w:tcPr>
          <w:p w:rsidR="004A3868" w:rsidRDefault="003F1AB5">
            <w:pPr>
              <w:pStyle w:val="afff7"/>
            </w:pPr>
            <w:r>
              <w:rPr>
                <w:rFonts w:hint="eastAsia"/>
              </w:rPr>
              <w:t>2</w:t>
            </w:r>
            <w:r>
              <w:t>012.01</w:t>
            </w:r>
          </w:p>
        </w:tc>
        <w:tc>
          <w:tcPr>
            <w:tcW w:w="1477" w:type="dxa"/>
            <w:vAlign w:val="center"/>
          </w:tcPr>
          <w:p w:rsidR="004A3868" w:rsidRDefault="003F1AB5">
            <w:pPr>
              <w:pStyle w:val="afff7"/>
            </w:pPr>
            <w:r>
              <w:rPr>
                <w:rFonts w:hint="eastAsia"/>
              </w:rPr>
              <w:t>-</w:t>
            </w:r>
          </w:p>
        </w:tc>
      </w:tr>
      <w:tr w:rsidR="004A3868">
        <w:trPr>
          <w:trHeight w:val="397"/>
          <w:jc w:val="center"/>
        </w:trPr>
        <w:tc>
          <w:tcPr>
            <w:tcW w:w="1654" w:type="dxa"/>
            <w:vMerge/>
            <w:vAlign w:val="center"/>
          </w:tcPr>
          <w:p w:rsidR="004A3868" w:rsidRDefault="004A3868">
            <w:pPr>
              <w:pStyle w:val="33"/>
            </w:pPr>
          </w:p>
        </w:tc>
        <w:tc>
          <w:tcPr>
            <w:tcW w:w="2089" w:type="dxa"/>
            <w:vAlign w:val="center"/>
          </w:tcPr>
          <w:p w:rsidR="004A3868" w:rsidRDefault="003F1AB5">
            <w:pPr>
              <w:pStyle w:val="33"/>
            </w:pPr>
            <w:r>
              <w:rPr>
                <w:rFonts w:hint="eastAsia"/>
              </w:rPr>
              <w:t>重庆海安税务师事务所有限责任公司</w:t>
            </w:r>
          </w:p>
        </w:tc>
        <w:tc>
          <w:tcPr>
            <w:tcW w:w="1638" w:type="dxa"/>
            <w:vAlign w:val="center"/>
          </w:tcPr>
          <w:p w:rsidR="004A3868" w:rsidRDefault="003F1AB5">
            <w:pPr>
              <w:pStyle w:val="33"/>
            </w:pPr>
            <w:r>
              <w:rPr>
                <w:rFonts w:hint="eastAsia"/>
              </w:rPr>
              <w:t>注册税务师</w:t>
            </w:r>
          </w:p>
        </w:tc>
        <w:tc>
          <w:tcPr>
            <w:tcW w:w="1965" w:type="dxa"/>
            <w:vAlign w:val="bottom"/>
          </w:tcPr>
          <w:p w:rsidR="004A3868" w:rsidRDefault="003F1AB5">
            <w:pPr>
              <w:pStyle w:val="afff7"/>
            </w:pPr>
            <w:r>
              <w:rPr>
                <w:rFonts w:hint="eastAsia"/>
              </w:rPr>
              <w:t>2</w:t>
            </w:r>
            <w:r>
              <w:t>012.01</w:t>
            </w:r>
          </w:p>
        </w:tc>
        <w:tc>
          <w:tcPr>
            <w:tcW w:w="1477" w:type="dxa"/>
            <w:vAlign w:val="center"/>
          </w:tcPr>
          <w:p w:rsidR="004A3868" w:rsidRDefault="003F1AB5">
            <w:pPr>
              <w:pStyle w:val="afff7"/>
            </w:pPr>
            <w:r>
              <w:rPr>
                <w:rFonts w:hint="eastAsia"/>
              </w:rPr>
              <w:t>-</w:t>
            </w:r>
          </w:p>
        </w:tc>
      </w:tr>
      <w:tr w:rsidR="004A3868">
        <w:trPr>
          <w:trHeight w:val="397"/>
          <w:jc w:val="center"/>
        </w:trPr>
        <w:tc>
          <w:tcPr>
            <w:tcW w:w="1654" w:type="dxa"/>
            <w:vAlign w:val="center"/>
          </w:tcPr>
          <w:p w:rsidR="004A3868" w:rsidRDefault="003F1AB5">
            <w:pPr>
              <w:pStyle w:val="33"/>
            </w:pPr>
            <w:r>
              <w:rPr>
                <w:rFonts w:hint="eastAsia"/>
              </w:rPr>
              <w:t>李长平</w:t>
            </w:r>
          </w:p>
        </w:tc>
        <w:tc>
          <w:tcPr>
            <w:tcW w:w="2089" w:type="dxa"/>
            <w:vAlign w:val="center"/>
          </w:tcPr>
          <w:p w:rsidR="004A3868" w:rsidRDefault="003F1AB5">
            <w:pPr>
              <w:pStyle w:val="33"/>
            </w:pPr>
            <w:r>
              <w:rPr>
                <w:rFonts w:hint="eastAsia"/>
              </w:rPr>
              <w:t>重庆能投长寿经开区售电有限公司</w:t>
            </w:r>
          </w:p>
        </w:tc>
        <w:tc>
          <w:tcPr>
            <w:tcW w:w="1638" w:type="dxa"/>
            <w:vAlign w:val="center"/>
          </w:tcPr>
          <w:p w:rsidR="004A3868" w:rsidRDefault="003F1AB5">
            <w:pPr>
              <w:pStyle w:val="33"/>
            </w:pPr>
            <w:r>
              <w:rPr>
                <w:rFonts w:hint="eastAsia"/>
              </w:rPr>
              <w:t>监事</w:t>
            </w:r>
          </w:p>
        </w:tc>
        <w:tc>
          <w:tcPr>
            <w:tcW w:w="1965" w:type="dxa"/>
            <w:vAlign w:val="bottom"/>
          </w:tcPr>
          <w:p w:rsidR="004A3868" w:rsidRDefault="003F1AB5">
            <w:pPr>
              <w:pStyle w:val="afff7"/>
            </w:pPr>
            <w:r>
              <w:rPr>
                <w:rFonts w:hint="eastAsia"/>
              </w:rPr>
              <w:t>2</w:t>
            </w:r>
            <w:r>
              <w:t>016.04</w:t>
            </w:r>
          </w:p>
        </w:tc>
        <w:tc>
          <w:tcPr>
            <w:tcW w:w="1477" w:type="dxa"/>
            <w:vAlign w:val="center"/>
          </w:tcPr>
          <w:p w:rsidR="004A3868" w:rsidRDefault="003F1AB5">
            <w:pPr>
              <w:pStyle w:val="afff7"/>
            </w:pPr>
            <w:r>
              <w:rPr>
                <w:rFonts w:hint="eastAsia"/>
              </w:rPr>
              <w:t>-</w:t>
            </w:r>
          </w:p>
        </w:tc>
      </w:tr>
      <w:tr w:rsidR="004A3868">
        <w:trPr>
          <w:trHeight w:val="397"/>
          <w:jc w:val="center"/>
        </w:trPr>
        <w:tc>
          <w:tcPr>
            <w:tcW w:w="1654" w:type="dxa"/>
            <w:vMerge w:val="restart"/>
            <w:vAlign w:val="center"/>
          </w:tcPr>
          <w:p w:rsidR="004A3868" w:rsidRDefault="003F1AB5">
            <w:pPr>
              <w:pStyle w:val="33"/>
            </w:pPr>
            <w:r>
              <w:rPr>
                <w:rFonts w:hint="eastAsia"/>
              </w:rPr>
              <w:t>沈江</w:t>
            </w:r>
          </w:p>
        </w:tc>
        <w:tc>
          <w:tcPr>
            <w:tcW w:w="2089" w:type="dxa"/>
            <w:vAlign w:val="center"/>
          </w:tcPr>
          <w:p w:rsidR="004A3868" w:rsidRDefault="003F1AB5">
            <w:pPr>
              <w:pStyle w:val="33"/>
            </w:pPr>
            <w:r>
              <w:rPr>
                <w:rFonts w:hint="eastAsia"/>
              </w:rPr>
              <w:t>中国电器工业协会</w:t>
            </w:r>
          </w:p>
        </w:tc>
        <w:tc>
          <w:tcPr>
            <w:tcW w:w="1638" w:type="dxa"/>
            <w:vAlign w:val="center"/>
          </w:tcPr>
          <w:p w:rsidR="004A3868" w:rsidRDefault="003F1AB5">
            <w:pPr>
              <w:pStyle w:val="33"/>
            </w:pPr>
            <w:r>
              <w:rPr>
                <w:rFonts w:hint="eastAsia"/>
              </w:rPr>
              <w:t>副会长</w:t>
            </w:r>
          </w:p>
        </w:tc>
        <w:tc>
          <w:tcPr>
            <w:tcW w:w="1965" w:type="dxa"/>
            <w:vAlign w:val="bottom"/>
          </w:tcPr>
          <w:p w:rsidR="004A3868" w:rsidRDefault="003F1AB5">
            <w:pPr>
              <w:pStyle w:val="afff7"/>
            </w:pPr>
            <w:r>
              <w:rPr>
                <w:rFonts w:hint="eastAsia"/>
              </w:rPr>
              <w:t>2</w:t>
            </w:r>
            <w:r>
              <w:t>021.02</w:t>
            </w:r>
          </w:p>
        </w:tc>
        <w:tc>
          <w:tcPr>
            <w:tcW w:w="1477" w:type="dxa"/>
            <w:vAlign w:val="center"/>
          </w:tcPr>
          <w:p w:rsidR="004A3868" w:rsidRDefault="004A3868">
            <w:pPr>
              <w:pStyle w:val="afff7"/>
            </w:pPr>
          </w:p>
        </w:tc>
      </w:tr>
      <w:tr w:rsidR="004A3868">
        <w:trPr>
          <w:trHeight w:val="397"/>
          <w:jc w:val="center"/>
        </w:trPr>
        <w:tc>
          <w:tcPr>
            <w:tcW w:w="1654" w:type="dxa"/>
            <w:vMerge/>
            <w:vAlign w:val="center"/>
          </w:tcPr>
          <w:p w:rsidR="004A3868" w:rsidRDefault="004A3868">
            <w:pPr>
              <w:pStyle w:val="33"/>
            </w:pPr>
          </w:p>
        </w:tc>
        <w:tc>
          <w:tcPr>
            <w:tcW w:w="2089" w:type="dxa"/>
            <w:vAlign w:val="center"/>
          </w:tcPr>
          <w:p w:rsidR="004A3868" w:rsidRDefault="003F1AB5">
            <w:pPr>
              <w:pStyle w:val="33"/>
            </w:pPr>
            <w:r>
              <w:rPr>
                <w:rFonts w:hint="eastAsia"/>
              </w:rPr>
              <w:t>西安高压电器研究院股份有限公司</w:t>
            </w:r>
          </w:p>
        </w:tc>
        <w:tc>
          <w:tcPr>
            <w:tcW w:w="1638" w:type="dxa"/>
            <w:vAlign w:val="center"/>
          </w:tcPr>
          <w:p w:rsidR="004A3868" w:rsidRDefault="003F1AB5">
            <w:pPr>
              <w:pStyle w:val="33"/>
            </w:pPr>
            <w:r>
              <w:rPr>
                <w:rFonts w:hint="eastAsia"/>
              </w:rPr>
              <w:t>独立董事</w:t>
            </w:r>
          </w:p>
        </w:tc>
        <w:tc>
          <w:tcPr>
            <w:tcW w:w="1965" w:type="dxa"/>
            <w:vAlign w:val="bottom"/>
          </w:tcPr>
          <w:p w:rsidR="004A3868" w:rsidRDefault="003F1AB5">
            <w:pPr>
              <w:pStyle w:val="afff7"/>
            </w:pPr>
            <w:r>
              <w:rPr>
                <w:rFonts w:hint="eastAsia"/>
              </w:rPr>
              <w:t>2</w:t>
            </w:r>
            <w:r>
              <w:t>021.12</w:t>
            </w:r>
          </w:p>
        </w:tc>
        <w:tc>
          <w:tcPr>
            <w:tcW w:w="1477" w:type="dxa"/>
            <w:vAlign w:val="center"/>
          </w:tcPr>
          <w:p w:rsidR="004A3868" w:rsidRDefault="004A3868">
            <w:pPr>
              <w:pStyle w:val="afff7"/>
            </w:pPr>
          </w:p>
        </w:tc>
      </w:tr>
      <w:tr w:rsidR="004A3868">
        <w:trPr>
          <w:trHeight w:val="397"/>
          <w:jc w:val="center"/>
        </w:trPr>
        <w:tc>
          <w:tcPr>
            <w:tcW w:w="1654" w:type="dxa"/>
            <w:vMerge w:val="restart"/>
            <w:tcBorders>
              <w:top w:val="single" w:sz="4" w:space="0" w:color="auto"/>
              <w:left w:val="single" w:sz="4" w:space="0" w:color="auto"/>
              <w:right w:val="single" w:sz="4" w:space="0" w:color="auto"/>
            </w:tcBorders>
            <w:vAlign w:val="center"/>
          </w:tcPr>
          <w:p w:rsidR="004A3868" w:rsidRDefault="003F1AB5">
            <w:pPr>
              <w:pStyle w:val="33"/>
            </w:pPr>
            <w:r>
              <w:rPr>
                <w:rFonts w:hint="eastAsia"/>
              </w:rPr>
              <w:t>黎明（离任）</w:t>
            </w: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重庆理工大学</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教授</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pPr>
            <w:r>
              <w:t>2002.12</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2024.02</w:t>
            </w:r>
          </w:p>
        </w:tc>
      </w:tr>
      <w:tr w:rsidR="004A3868">
        <w:trPr>
          <w:trHeight w:val="397"/>
          <w:jc w:val="center"/>
        </w:trPr>
        <w:tc>
          <w:tcPr>
            <w:tcW w:w="1654" w:type="dxa"/>
            <w:vMerge/>
            <w:tcBorders>
              <w:left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中国汽车工程研究院股份有限公司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独立董事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pPr>
            <w:r>
              <w:t>2016.04</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2023.04</w:t>
            </w:r>
          </w:p>
        </w:tc>
      </w:tr>
      <w:tr w:rsidR="004A3868">
        <w:trPr>
          <w:trHeight w:val="397"/>
          <w:jc w:val="center"/>
        </w:trPr>
        <w:tc>
          <w:tcPr>
            <w:tcW w:w="1654" w:type="dxa"/>
            <w:vMerge/>
            <w:tcBorders>
              <w:left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华邦生命健康股份有限公司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独立董事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pPr>
            <w:r>
              <w:t>2021.08</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r>
      <w:tr w:rsidR="004A3868">
        <w:trPr>
          <w:trHeight w:val="397"/>
          <w:jc w:val="center"/>
        </w:trPr>
        <w:tc>
          <w:tcPr>
            <w:tcW w:w="1654" w:type="dxa"/>
            <w:vMerge/>
            <w:tcBorders>
              <w:left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赛力斯集团股份有限公司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独立董事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pPr>
            <w:r>
              <w:t>2022.02</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r>
      <w:tr w:rsidR="004A3868">
        <w:trPr>
          <w:trHeight w:val="397"/>
          <w:jc w:val="center"/>
        </w:trPr>
        <w:tc>
          <w:tcPr>
            <w:tcW w:w="1654" w:type="dxa"/>
            <w:vMerge/>
            <w:tcBorders>
              <w:left w:val="single" w:sz="4" w:space="0" w:color="auto"/>
              <w:bottom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重庆港股份有限公司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独立董事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pPr>
            <w:r>
              <w:t>2021.11</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r>
      <w:tr w:rsidR="004A3868">
        <w:trPr>
          <w:trHeight w:val="397"/>
          <w:jc w:val="center"/>
        </w:trPr>
        <w:tc>
          <w:tcPr>
            <w:tcW w:w="1654" w:type="dxa"/>
            <w:vMerge w:val="restart"/>
            <w:tcBorders>
              <w:top w:val="single" w:sz="4" w:space="0" w:color="auto"/>
              <w:left w:val="single" w:sz="4" w:space="0" w:color="auto"/>
              <w:right w:val="single" w:sz="4" w:space="0" w:color="auto"/>
            </w:tcBorders>
            <w:vAlign w:val="center"/>
          </w:tcPr>
          <w:p w:rsidR="004A3868" w:rsidRDefault="003F1AB5">
            <w:pPr>
              <w:pStyle w:val="33"/>
            </w:pPr>
            <w:r>
              <w:rPr>
                <w:rFonts w:hint="eastAsia"/>
              </w:rPr>
              <w:t>郭振岩（离任）</w:t>
            </w: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北京博锐高新电气科技发展有限公司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执行董事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rPr>
                <w:rFonts w:hint="eastAsia"/>
              </w:rPr>
              <w:t>2020.12</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2023.12</w:t>
            </w:r>
          </w:p>
        </w:tc>
      </w:tr>
      <w:tr w:rsidR="004A3868">
        <w:trPr>
          <w:trHeight w:val="397"/>
          <w:jc w:val="center"/>
        </w:trPr>
        <w:tc>
          <w:tcPr>
            <w:tcW w:w="1654" w:type="dxa"/>
            <w:vMerge/>
            <w:tcBorders>
              <w:left w:val="single" w:sz="4" w:space="0" w:color="auto"/>
              <w:bottom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京电博锐检测技术（北京）有限公司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执行董事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rPr>
                <w:rFonts w:hint="eastAsia"/>
              </w:rPr>
              <w:t>2022.01</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p w:rsidR="004A3868" w:rsidRDefault="003F1AB5">
            <w:pPr>
              <w:pStyle w:val="afff7"/>
            </w:pPr>
            <w:r>
              <w:rPr>
                <w:rFonts w:hint="eastAsia"/>
              </w:rPr>
              <w:t>2025.01</w:t>
            </w:r>
          </w:p>
        </w:tc>
      </w:tr>
      <w:tr w:rsidR="004A3868">
        <w:trPr>
          <w:trHeight w:val="397"/>
          <w:jc w:val="center"/>
        </w:trPr>
        <w:tc>
          <w:tcPr>
            <w:tcW w:w="1654" w:type="dxa"/>
            <w:vMerge w:val="restart"/>
            <w:tcBorders>
              <w:top w:val="single" w:sz="4" w:space="0" w:color="auto"/>
              <w:left w:val="single" w:sz="4" w:space="0" w:color="auto"/>
              <w:right w:val="single" w:sz="4" w:space="0" w:color="auto"/>
            </w:tcBorders>
            <w:vAlign w:val="center"/>
          </w:tcPr>
          <w:p w:rsidR="004A3868" w:rsidRDefault="003F1AB5">
            <w:pPr>
              <w:pStyle w:val="33"/>
            </w:pPr>
            <w:r>
              <w:rPr>
                <w:rFonts w:hint="eastAsia"/>
              </w:rPr>
              <w:t>陈伟根（离任）</w:t>
            </w: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重庆凡奥科技有限公司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董事长</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rPr>
                <w:rFonts w:hint="eastAsia"/>
              </w:rPr>
              <w:t>2010.08</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w:t>
            </w:r>
          </w:p>
        </w:tc>
      </w:tr>
      <w:tr w:rsidR="004A3868">
        <w:trPr>
          <w:trHeight w:val="397"/>
          <w:jc w:val="center"/>
        </w:trPr>
        <w:tc>
          <w:tcPr>
            <w:tcW w:w="1654" w:type="dxa"/>
            <w:vMerge/>
            <w:tcBorders>
              <w:left w:val="single" w:sz="4" w:space="0" w:color="auto"/>
              <w:bottom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江苏国电南自海吉科技有限公司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rPr>
                <w:rFonts w:hint="eastAsia"/>
              </w:rPr>
              <w:t>2010.05</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w:t>
            </w:r>
          </w:p>
        </w:tc>
      </w:tr>
      <w:tr w:rsidR="004A3868">
        <w:trPr>
          <w:trHeight w:val="397"/>
          <w:jc w:val="center"/>
        </w:trPr>
        <w:tc>
          <w:tcPr>
            <w:tcW w:w="1654" w:type="dxa"/>
            <w:vMerge w:val="restart"/>
            <w:tcBorders>
              <w:top w:val="single" w:sz="4" w:space="0" w:color="auto"/>
              <w:left w:val="single" w:sz="4" w:space="0" w:color="auto"/>
              <w:right w:val="single" w:sz="4" w:space="0" w:color="auto"/>
            </w:tcBorders>
            <w:vAlign w:val="center"/>
          </w:tcPr>
          <w:p w:rsidR="004A3868" w:rsidRDefault="003F1AB5">
            <w:pPr>
              <w:pStyle w:val="33"/>
            </w:pPr>
            <w:r>
              <w:rPr>
                <w:rFonts w:hint="eastAsia"/>
              </w:rPr>
              <w:t>冯戟（离任）</w:t>
            </w: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上海尚颀祺臻投资管理有限公司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执行董事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t>2015.02</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r>
      <w:tr w:rsidR="004A3868">
        <w:trPr>
          <w:trHeight w:val="397"/>
          <w:jc w:val="center"/>
        </w:trPr>
        <w:tc>
          <w:tcPr>
            <w:tcW w:w="1654" w:type="dxa"/>
            <w:vMerge/>
            <w:tcBorders>
              <w:left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上海颀元商务咨询有限公司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执行董事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t>2017.08</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r>
      <w:tr w:rsidR="004A3868">
        <w:trPr>
          <w:trHeight w:val="397"/>
          <w:jc w:val="center"/>
        </w:trPr>
        <w:tc>
          <w:tcPr>
            <w:tcW w:w="1654" w:type="dxa"/>
            <w:vMerge/>
            <w:tcBorders>
              <w:left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湖南长远锂科股份有限公司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t>2019.04</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r>
      <w:tr w:rsidR="004A3868">
        <w:trPr>
          <w:trHeight w:val="397"/>
          <w:jc w:val="center"/>
        </w:trPr>
        <w:tc>
          <w:tcPr>
            <w:tcW w:w="1654" w:type="dxa"/>
            <w:vMerge/>
            <w:tcBorders>
              <w:left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上海融道网金融信息服务有限公司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t>2018.04</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r>
      <w:tr w:rsidR="004A3868">
        <w:trPr>
          <w:trHeight w:val="397"/>
          <w:jc w:val="center"/>
        </w:trPr>
        <w:tc>
          <w:tcPr>
            <w:tcW w:w="1654" w:type="dxa"/>
            <w:vMerge/>
            <w:tcBorders>
              <w:left w:val="single" w:sz="4" w:space="0" w:color="auto"/>
              <w:bottom w:val="single" w:sz="4" w:space="0" w:color="auto"/>
              <w:right w:val="single" w:sz="4" w:space="0" w:color="auto"/>
            </w:tcBorders>
            <w:vAlign w:val="center"/>
          </w:tcPr>
          <w:p w:rsidR="004A3868" w:rsidRDefault="004A3868">
            <w:pPr>
              <w:pStyle w:val="33"/>
            </w:pPr>
          </w:p>
        </w:tc>
        <w:tc>
          <w:tcPr>
            <w:tcW w:w="2089"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rPr>
                <w:rFonts w:hint="eastAsia"/>
              </w:rPr>
              <w:t>上海尚掣智能科技有限公司</w:t>
            </w:r>
          </w:p>
        </w:tc>
        <w:tc>
          <w:tcPr>
            <w:tcW w:w="1638"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33"/>
            </w:pPr>
            <w:r>
              <w:t>董事</w:t>
            </w:r>
          </w:p>
        </w:tc>
        <w:tc>
          <w:tcPr>
            <w:tcW w:w="1965" w:type="dxa"/>
            <w:tcBorders>
              <w:top w:val="single" w:sz="4" w:space="0" w:color="auto"/>
              <w:left w:val="single" w:sz="4" w:space="0" w:color="auto"/>
              <w:bottom w:val="single" w:sz="4" w:space="0" w:color="auto"/>
              <w:right w:val="single" w:sz="4" w:space="0" w:color="auto"/>
            </w:tcBorders>
            <w:vAlign w:val="bottom"/>
          </w:tcPr>
          <w:p w:rsidR="004A3868" w:rsidRDefault="003F1AB5">
            <w:pPr>
              <w:pStyle w:val="afff7"/>
              <w:rPr>
                <w:color w:val="FF0000"/>
              </w:rPr>
            </w:pPr>
            <w:r>
              <w:t>2019.01</w:t>
            </w:r>
          </w:p>
        </w:tc>
        <w:tc>
          <w:tcPr>
            <w:tcW w:w="1477" w:type="dxa"/>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r>
      <w:tr w:rsidR="004A3868">
        <w:trPr>
          <w:trHeight w:val="397"/>
          <w:jc w:val="center"/>
        </w:trPr>
        <w:tc>
          <w:tcPr>
            <w:tcW w:w="1654" w:type="dxa"/>
            <w:vAlign w:val="center"/>
          </w:tcPr>
          <w:p w:rsidR="004A3868" w:rsidRDefault="003F1AB5">
            <w:pPr>
              <w:pStyle w:val="33"/>
            </w:pPr>
            <w:r>
              <w:rPr>
                <w:rFonts w:hint="eastAsia"/>
              </w:rPr>
              <w:t>在其他单位任职情况的说明</w:t>
            </w:r>
          </w:p>
        </w:tc>
        <w:tc>
          <w:tcPr>
            <w:tcW w:w="7169" w:type="dxa"/>
            <w:gridSpan w:val="4"/>
            <w:vAlign w:val="center"/>
          </w:tcPr>
          <w:p w:rsidR="004A3868" w:rsidRDefault="003F1AB5">
            <w:pPr>
              <w:pStyle w:val="33"/>
            </w:pPr>
            <w:r>
              <w:rPr>
                <w:rFonts w:hint="eastAsia"/>
              </w:rPr>
              <w:t>无</w:t>
            </w:r>
          </w:p>
        </w:tc>
      </w:tr>
    </w:tbl>
    <w:p w:rsidR="004A3868" w:rsidRDefault="004A3868">
      <w:pPr>
        <w:pStyle w:val="Style124"/>
      </w:pPr>
    </w:p>
    <w:p w:rsidR="004A3868" w:rsidRDefault="003F1AB5">
      <w:pPr>
        <w:pStyle w:val="Style127"/>
        <w:numPr>
          <w:ilvl w:val="0"/>
          <w:numId w:val="22"/>
        </w:numPr>
      </w:pPr>
      <w:r>
        <w:t>董事、监事、高级管理人员报酬情况</w:t>
      </w:r>
    </w:p>
    <w:sdt>
      <w:sdtPr>
        <w:alias w:val="是否适用：董事、监事、高级管理人员报酬情况[双击切换]"/>
        <w:tag w:val="_GBC_670a12b9c1e34498888f2aafd9509848"/>
        <w:id w:val="942278407"/>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5"/>
        <w:tblW w:w="5000" w:type="pct"/>
        <w:jc w:val="center"/>
        <w:tblLayout w:type="fixed"/>
        <w:tblCellMar>
          <w:left w:w="0" w:type="dxa"/>
          <w:right w:w="28" w:type="dxa"/>
        </w:tblCellMar>
        <w:tblLook w:val="04A0" w:firstRow="1" w:lastRow="0" w:firstColumn="1" w:lastColumn="0" w:noHBand="0" w:noVBand="1"/>
      </w:tblPr>
      <w:tblGrid>
        <w:gridCol w:w="2738"/>
        <w:gridCol w:w="6085"/>
      </w:tblGrid>
      <w:tr w:rsidR="004A3868">
        <w:trPr>
          <w:trHeight w:val="397"/>
          <w:jc w:val="center"/>
        </w:trPr>
        <w:sdt>
          <w:sdtPr>
            <w:tag w:val="_PLD_9e63d19b4bb64b9f8ebbe91d33a629c4"/>
            <w:id w:val="-223136708"/>
          </w:sdtPr>
          <w:sdtEndPr/>
          <w:sdtContent>
            <w:tc>
              <w:tcPr>
                <w:tcW w:w="4361" w:type="dxa"/>
                <w:vAlign w:val="center"/>
              </w:tcPr>
              <w:p w:rsidR="004A3868" w:rsidRDefault="003F1AB5">
                <w:pPr>
                  <w:pStyle w:val="afff9"/>
                </w:pPr>
                <w:r>
                  <w:t>董事、监事、高级管理人员报酬的决策程序</w:t>
                </w:r>
              </w:p>
            </w:tc>
          </w:sdtContent>
        </w:sdt>
        <w:sdt>
          <w:sdtPr>
            <w:rPr>
              <w:rFonts w:ascii="Times New Roman" w:hAnsi="Times New Roman" w:hint="eastAsia"/>
            </w:rPr>
            <w:alias w:val="董事、监事、高级管理人员报酬的决策程序"/>
            <w:tag w:val="_GBC_bf64cad6b5d7435388a8e69e2c05dea2"/>
            <w:id w:val="725957914"/>
          </w:sdtPr>
          <w:sdtEndPr/>
          <w:sdtContent>
            <w:tc>
              <w:tcPr>
                <w:tcW w:w="9728" w:type="dxa"/>
                <w:vAlign w:val="center"/>
              </w:tcPr>
              <w:p w:rsidR="004A3868" w:rsidRDefault="003F1AB5">
                <w:pPr>
                  <w:pStyle w:val="afff9"/>
                </w:pPr>
                <w:r>
                  <w:rPr>
                    <w:rFonts w:hint="eastAsia"/>
                  </w:rPr>
                  <w:t>董事、监事的报酬经股东大会决议通过；高级管理人员的报酬经董事会决议通过。</w:t>
                </w:r>
              </w:p>
            </w:tc>
          </w:sdtContent>
        </w:sdt>
      </w:tr>
      <w:tr w:rsidR="004A3868">
        <w:trPr>
          <w:trHeight w:val="397"/>
          <w:jc w:val="center"/>
        </w:trPr>
        <w:tc>
          <w:tcPr>
            <w:tcW w:w="4361" w:type="dxa"/>
            <w:vAlign w:val="center"/>
          </w:tcPr>
          <w:p w:rsidR="004A3868" w:rsidRDefault="003F1AB5">
            <w:pPr>
              <w:pStyle w:val="afff9"/>
            </w:pPr>
            <w:r>
              <w:rPr>
                <w:rFonts w:hint="eastAsia"/>
              </w:rPr>
              <w:t>董事在董事会讨论本人薪酬事项时是否回避</w:t>
            </w:r>
          </w:p>
        </w:tc>
        <w:sdt>
          <w:sdtPr>
            <w:alias w:val="董事在董事会讨论本人薪酬事项时是否回避"/>
            <w:tag w:val="_GBC_5e64defbd18444939e9dface4daa0619"/>
            <w:id w:val="1312909898"/>
            <w:comboBox>
              <w:listItem w:displayText="是" w:value="是"/>
              <w:listItem w:displayText="否" w:value="否"/>
            </w:comboBox>
          </w:sdtPr>
          <w:sdtEndPr/>
          <w:sdtContent>
            <w:tc>
              <w:tcPr>
                <w:tcW w:w="9728" w:type="dxa"/>
                <w:vAlign w:val="center"/>
              </w:tcPr>
              <w:p w:rsidR="004A3868" w:rsidRDefault="003F1AB5">
                <w:pPr>
                  <w:pStyle w:val="afff9"/>
                </w:pPr>
                <w:r>
                  <w:t>是</w:t>
                </w:r>
              </w:p>
            </w:tc>
          </w:sdtContent>
        </w:sdt>
      </w:tr>
      <w:tr w:rsidR="004A3868">
        <w:trPr>
          <w:trHeight w:val="397"/>
          <w:jc w:val="center"/>
        </w:trPr>
        <w:tc>
          <w:tcPr>
            <w:tcW w:w="4361" w:type="dxa"/>
            <w:vAlign w:val="center"/>
          </w:tcPr>
          <w:p w:rsidR="004A3868" w:rsidRDefault="003F1AB5">
            <w:pPr>
              <w:pStyle w:val="afff9"/>
            </w:pPr>
            <w:r>
              <w:rPr>
                <w:rFonts w:hint="eastAsia"/>
              </w:rPr>
              <w:t>薪酬与考核委员会或独立董事专门会议关于董事、监事、高级管理人员报酬事项发表建议的具体情况</w:t>
            </w:r>
          </w:p>
        </w:tc>
        <w:tc>
          <w:tcPr>
            <w:tcW w:w="9728" w:type="dxa"/>
            <w:vAlign w:val="center"/>
          </w:tcPr>
          <w:p w:rsidR="004A3868" w:rsidRDefault="003F1AB5">
            <w:pPr>
              <w:pStyle w:val="afff9"/>
            </w:pPr>
            <w:r>
              <w:rPr>
                <w:rFonts w:hint="eastAsia"/>
              </w:rPr>
              <w:t>薪酬与考核委员会以</w:t>
            </w:r>
            <w:r>
              <w:rPr>
                <w:rFonts w:hint="eastAsia"/>
              </w:rPr>
              <w:t>3</w:t>
            </w:r>
            <w:r>
              <w:rPr>
                <w:rFonts w:hint="eastAsia"/>
              </w:rPr>
              <w:t>票全票通过公司</w:t>
            </w:r>
            <w:r>
              <w:rPr>
                <w:rFonts w:hint="eastAsia"/>
              </w:rPr>
              <w:t>2</w:t>
            </w:r>
            <w:r>
              <w:t>023</w:t>
            </w:r>
            <w:r>
              <w:rPr>
                <w:rFonts w:hint="eastAsia"/>
              </w:rPr>
              <w:t>年《关于审议高级管理人员薪酬的议案》《关于审议董事薪酬的议案》，认为</w:t>
            </w:r>
            <w:r>
              <w:t>2023</w:t>
            </w:r>
            <w:r>
              <w:t>年度董事、高级管理人员的薪酬严格按照公司薪酬及考核制度的规定发放，不存在损害公司及股东利益的情况。</w:t>
            </w:r>
          </w:p>
        </w:tc>
      </w:tr>
      <w:tr w:rsidR="004A3868">
        <w:trPr>
          <w:trHeight w:val="397"/>
          <w:jc w:val="center"/>
        </w:trPr>
        <w:tc>
          <w:tcPr>
            <w:tcW w:w="4361" w:type="dxa"/>
            <w:vAlign w:val="center"/>
          </w:tcPr>
          <w:p w:rsidR="004A3868" w:rsidRDefault="003F1AB5">
            <w:pPr>
              <w:pStyle w:val="afff9"/>
            </w:pPr>
            <w:r>
              <w:t>董事、监事、高级管理人员报酬确定依据</w:t>
            </w:r>
          </w:p>
        </w:tc>
        <w:tc>
          <w:tcPr>
            <w:tcW w:w="9728" w:type="dxa"/>
            <w:vAlign w:val="center"/>
          </w:tcPr>
          <w:p w:rsidR="004A3868" w:rsidRDefault="003F1AB5">
            <w:pPr>
              <w:pStyle w:val="afff9"/>
            </w:pPr>
            <w:r>
              <w:rPr>
                <w:rFonts w:hint="eastAsia"/>
              </w:rPr>
              <w:t>1</w:t>
            </w:r>
            <w:r>
              <w:rPr>
                <w:rFonts w:hint="eastAsia"/>
              </w:rPr>
              <w:t>、在公司承担具体工作职责的董事、监事、高级管理人员报酬根据《公司章程》的规定及参考岗位工作内容、复杂程度和公司内部的考核制度及方案确定；</w:t>
            </w:r>
          </w:p>
          <w:p w:rsidR="004A3868" w:rsidRDefault="003F1AB5">
            <w:pPr>
              <w:pStyle w:val="afff9"/>
            </w:pPr>
            <w:r>
              <w:rPr>
                <w:rFonts w:hint="eastAsia"/>
              </w:rPr>
              <w:t>2</w:t>
            </w:r>
            <w:r>
              <w:rPr>
                <w:rFonts w:hint="eastAsia"/>
              </w:rPr>
              <w:t>、独立董事津贴表尊按照公司《独立董事制度》的规定决策确定；</w:t>
            </w:r>
          </w:p>
          <w:p w:rsidR="004A3868" w:rsidRDefault="003F1AB5">
            <w:pPr>
              <w:pStyle w:val="afff9"/>
            </w:pPr>
            <w:r>
              <w:rPr>
                <w:rFonts w:hint="eastAsia"/>
              </w:rPr>
              <w:t>3</w:t>
            </w:r>
            <w:r>
              <w:rPr>
                <w:rFonts w:hint="eastAsia"/>
              </w:rPr>
              <w:t>、其他在公司不承担具体工作职责的董事不领取报酬。</w:t>
            </w:r>
          </w:p>
        </w:tc>
      </w:tr>
      <w:tr w:rsidR="004A3868">
        <w:trPr>
          <w:trHeight w:val="397"/>
          <w:jc w:val="center"/>
        </w:trPr>
        <w:tc>
          <w:tcPr>
            <w:tcW w:w="4361" w:type="dxa"/>
            <w:vAlign w:val="center"/>
          </w:tcPr>
          <w:p w:rsidR="004A3868" w:rsidRDefault="003F1AB5">
            <w:pPr>
              <w:pStyle w:val="afff9"/>
            </w:pPr>
            <w:r>
              <w:t>董事、监事和高级管理人员报酬的</w:t>
            </w:r>
            <w:r>
              <w:rPr>
                <w:rFonts w:hint="eastAsia"/>
              </w:rPr>
              <w:t>实际支付</w:t>
            </w:r>
            <w:r>
              <w:t>情况</w:t>
            </w:r>
          </w:p>
        </w:tc>
        <w:tc>
          <w:tcPr>
            <w:tcW w:w="9728" w:type="dxa"/>
            <w:vAlign w:val="center"/>
          </w:tcPr>
          <w:p w:rsidR="004A3868" w:rsidRDefault="003F1AB5">
            <w:pPr>
              <w:pStyle w:val="afff9"/>
            </w:pPr>
            <w:r>
              <w:rPr>
                <w:rFonts w:hint="eastAsia"/>
              </w:rPr>
              <w:t>董事、监事和高级管理人员报告期内应从公司领取的报酬已支付，具体内容详见本章（一）、现任及报告期内离任董事、监事和高级管理人员持股变动及报酬情况”</w:t>
            </w:r>
          </w:p>
        </w:tc>
      </w:tr>
      <w:tr w:rsidR="004A3868">
        <w:trPr>
          <w:trHeight w:val="397"/>
          <w:jc w:val="center"/>
        </w:trPr>
        <w:tc>
          <w:tcPr>
            <w:tcW w:w="4361" w:type="dxa"/>
            <w:vAlign w:val="center"/>
          </w:tcPr>
          <w:p w:rsidR="004A3868" w:rsidRDefault="003F1AB5">
            <w:pPr>
              <w:pStyle w:val="afff9"/>
            </w:pPr>
            <w:r>
              <w:t>报告期末全体董事、监事和高级管理人员实际获得的报酬合计</w:t>
            </w:r>
          </w:p>
        </w:tc>
        <w:tc>
          <w:tcPr>
            <w:tcW w:w="9728" w:type="dxa"/>
            <w:vAlign w:val="center"/>
          </w:tcPr>
          <w:p w:rsidR="004A3868" w:rsidRDefault="003F1AB5">
            <w:pPr>
              <w:pStyle w:val="afff7"/>
            </w:pPr>
            <w:r>
              <w:t>444.73</w:t>
            </w:r>
            <w:r>
              <w:rPr>
                <w:rFonts w:hint="eastAsia"/>
              </w:rPr>
              <w:t>万元</w:t>
            </w:r>
          </w:p>
        </w:tc>
      </w:tr>
    </w:tbl>
    <w:p w:rsidR="004A3868" w:rsidRDefault="004A3868">
      <w:pPr>
        <w:pStyle w:val="Style124"/>
      </w:pPr>
    </w:p>
    <w:p w:rsidR="004A3868" w:rsidRDefault="003F1AB5">
      <w:pPr>
        <w:pStyle w:val="Style127"/>
        <w:numPr>
          <w:ilvl w:val="0"/>
          <w:numId w:val="22"/>
        </w:numPr>
      </w:pPr>
      <w:r>
        <w:t>公司董事、监事、高级管理人员变动情况</w:t>
      </w:r>
    </w:p>
    <w:sdt>
      <w:sdtPr>
        <w:alias w:val="是否适用：公司董事、监事、高级管理人员变动情况[双击切换]"/>
        <w:tag w:val="_GBC_a00df019796e4666a1adff20d55baa46"/>
        <w:id w:val="-7474321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5"/>
        <w:tblW w:w="5000" w:type="pct"/>
        <w:jc w:val="center"/>
        <w:tblLayout w:type="fixed"/>
        <w:tblCellMar>
          <w:left w:w="0" w:type="dxa"/>
          <w:right w:w="28" w:type="dxa"/>
        </w:tblCellMar>
        <w:tblLook w:val="04A0" w:firstRow="1" w:lastRow="0" w:firstColumn="1" w:lastColumn="0" w:noHBand="0" w:noVBand="1"/>
      </w:tblPr>
      <w:tblGrid>
        <w:gridCol w:w="2205"/>
        <w:gridCol w:w="2206"/>
        <w:gridCol w:w="2206"/>
        <w:gridCol w:w="2206"/>
      </w:tblGrid>
      <w:tr w:rsidR="004A3868">
        <w:trPr>
          <w:trHeight w:val="397"/>
          <w:jc w:val="center"/>
        </w:trPr>
        <w:sdt>
          <w:sdtPr>
            <w:tag w:val="_PLD_10c0965136c84bf6abfceaef8557ae99"/>
            <w:id w:val="-194698556"/>
          </w:sdtPr>
          <w:sdtEndPr/>
          <w:sdtContent>
            <w:tc>
              <w:tcPr>
                <w:tcW w:w="2205" w:type="dxa"/>
                <w:vAlign w:val="center"/>
              </w:tcPr>
              <w:p w:rsidR="004A3868" w:rsidRDefault="003F1AB5">
                <w:pPr>
                  <w:pStyle w:val="afffb"/>
                </w:pPr>
                <w:r>
                  <w:t>姓名</w:t>
                </w:r>
              </w:p>
            </w:tc>
          </w:sdtContent>
        </w:sdt>
        <w:sdt>
          <w:sdtPr>
            <w:tag w:val="_PLD_b53cc0c0661e4cffa4f7fa4f6423187d"/>
            <w:id w:val="-96412645"/>
          </w:sdtPr>
          <w:sdtEndPr/>
          <w:sdtContent>
            <w:tc>
              <w:tcPr>
                <w:tcW w:w="2206" w:type="dxa"/>
                <w:vAlign w:val="center"/>
              </w:tcPr>
              <w:p w:rsidR="004A3868" w:rsidRDefault="003F1AB5">
                <w:pPr>
                  <w:pStyle w:val="afffb"/>
                </w:pPr>
                <w:r>
                  <w:t>担任的职务</w:t>
                </w:r>
              </w:p>
            </w:tc>
          </w:sdtContent>
        </w:sdt>
        <w:sdt>
          <w:sdtPr>
            <w:tag w:val="_PLD_012859f523ec430da1dfc6a86c6dde35"/>
            <w:id w:val="1576864734"/>
          </w:sdtPr>
          <w:sdtEndPr/>
          <w:sdtContent>
            <w:tc>
              <w:tcPr>
                <w:tcW w:w="2206" w:type="dxa"/>
                <w:vAlign w:val="center"/>
              </w:tcPr>
              <w:p w:rsidR="004A3868" w:rsidRDefault="003F1AB5">
                <w:pPr>
                  <w:pStyle w:val="afffb"/>
                </w:pPr>
                <w:r>
                  <w:t>变动情形</w:t>
                </w:r>
              </w:p>
            </w:tc>
          </w:sdtContent>
        </w:sdt>
        <w:sdt>
          <w:sdtPr>
            <w:tag w:val="_PLD_bf76757c55de435a9638407bd56b5199"/>
            <w:id w:val="2112004846"/>
          </w:sdtPr>
          <w:sdtEndPr/>
          <w:sdtContent>
            <w:tc>
              <w:tcPr>
                <w:tcW w:w="2206" w:type="dxa"/>
                <w:vAlign w:val="center"/>
              </w:tcPr>
              <w:p w:rsidR="004A3868" w:rsidRDefault="003F1AB5">
                <w:pPr>
                  <w:pStyle w:val="afffb"/>
                </w:pPr>
                <w:r>
                  <w:t>变动原因</w:t>
                </w:r>
              </w:p>
            </w:tc>
          </w:sdtContent>
        </w:sdt>
      </w:tr>
      <w:tr w:rsidR="004A3868">
        <w:trPr>
          <w:trHeight w:val="397"/>
          <w:jc w:val="center"/>
        </w:trPr>
        <w:tc>
          <w:tcPr>
            <w:tcW w:w="2205" w:type="dxa"/>
            <w:vMerge w:val="restart"/>
            <w:vAlign w:val="center"/>
          </w:tcPr>
          <w:p w:rsidR="004A3868" w:rsidRDefault="003F1AB5">
            <w:pPr>
              <w:pStyle w:val="afff9"/>
            </w:pPr>
            <w:r>
              <w:rPr>
                <w:rFonts w:hint="eastAsia"/>
              </w:rPr>
              <w:t>杨林</w:t>
            </w:r>
          </w:p>
        </w:tc>
        <w:tc>
          <w:tcPr>
            <w:tcW w:w="2206" w:type="dxa"/>
            <w:vAlign w:val="center"/>
          </w:tcPr>
          <w:p w:rsidR="004A3868" w:rsidRDefault="003F1AB5">
            <w:pPr>
              <w:pStyle w:val="afff9"/>
            </w:pPr>
            <w:r>
              <w:rPr>
                <w:rFonts w:hint="eastAsia"/>
              </w:rPr>
              <w:t>董事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Merge/>
            <w:vAlign w:val="center"/>
          </w:tcPr>
          <w:p w:rsidR="004A3868" w:rsidRDefault="004A3868">
            <w:pPr>
              <w:pStyle w:val="afff9"/>
            </w:pPr>
          </w:p>
        </w:tc>
        <w:tc>
          <w:tcPr>
            <w:tcW w:w="2206" w:type="dxa"/>
            <w:vAlign w:val="center"/>
          </w:tcPr>
          <w:p w:rsidR="004A3868" w:rsidRDefault="003F1AB5">
            <w:pPr>
              <w:pStyle w:val="afff9"/>
            </w:pPr>
            <w:r>
              <w:rPr>
                <w:rFonts w:hint="eastAsia"/>
              </w:rPr>
              <w:t>副总经理</w:t>
            </w:r>
          </w:p>
        </w:tc>
        <w:tc>
          <w:tcPr>
            <w:tcW w:w="2206" w:type="dxa"/>
            <w:vAlign w:val="center"/>
          </w:tcPr>
          <w:p w:rsidR="004A3868" w:rsidRDefault="003F1AB5">
            <w:pPr>
              <w:pStyle w:val="afff9"/>
            </w:pPr>
            <w:r>
              <w:rPr>
                <w:rFonts w:hint="eastAsia"/>
              </w:rPr>
              <w:t>聘任</w:t>
            </w:r>
          </w:p>
        </w:tc>
        <w:tc>
          <w:tcPr>
            <w:tcW w:w="2206" w:type="dxa"/>
            <w:vAlign w:val="center"/>
          </w:tcPr>
          <w:p w:rsidR="004A3868" w:rsidRDefault="003F1AB5">
            <w:pPr>
              <w:pStyle w:val="afff9"/>
            </w:pPr>
            <w:r>
              <w:rPr>
                <w:rFonts w:hint="eastAsia"/>
              </w:rPr>
              <w:t>新一届董事会聘任</w:t>
            </w:r>
          </w:p>
        </w:tc>
      </w:tr>
      <w:tr w:rsidR="004A3868">
        <w:trPr>
          <w:trHeight w:val="397"/>
          <w:jc w:val="center"/>
        </w:trPr>
        <w:tc>
          <w:tcPr>
            <w:tcW w:w="2205" w:type="dxa"/>
            <w:vMerge w:val="restart"/>
            <w:vAlign w:val="center"/>
          </w:tcPr>
          <w:p w:rsidR="004A3868" w:rsidRDefault="003F1AB5">
            <w:pPr>
              <w:pStyle w:val="afff9"/>
            </w:pPr>
            <w:r>
              <w:rPr>
                <w:rFonts w:hint="eastAsia"/>
              </w:rPr>
              <w:t>胡守天</w:t>
            </w:r>
          </w:p>
        </w:tc>
        <w:tc>
          <w:tcPr>
            <w:tcW w:w="2206" w:type="dxa"/>
            <w:vAlign w:val="center"/>
          </w:tcPr>
          <w:p w:rsidR="004A3868" w:rsidRDefault="003F1AB5">
            <w:pPr>
              <w:pStyle w:val="afff9"/>
            </w:pPr>
            <w:r>
              <w:rPr>
                <w:rFonts w:hint="eastAsia"/>
              </w:rPr>
              <w:t>董事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Merge/>
            <w:vAlign w:val="center"/>
          </w:tcPr>
          <w:p w:rsidR="004A3868" w:rsidRDefault="004A3868">
            <w:pPr>
              <w:pStyle w:val="afff9"/>
            </w:pPr>
          </w:p>
        </w:tc>
        <w:tc>
          <w:tcPr>
            <w:tcW w:w="2206" w:type="dxa"/>
            <w:vAlign w:val="center"/>
          </w:tcPr>
          <w:p w:rsidR="004A3868" w:rsidRDefault="003F1AB5">
            <w:pPr>
              <w:pStyle w:val="afff9"/>
            </w:pPr>
            <w:r>
              <w:rPr>
                <w:rFonts w:hint="eastAsia"/>
              </w:rPr>
              <w:t>副总经理</w:t>
            </w:r>
          </w:p>
        </w:tc>
        <w:tc>
          <w:tcPr>
            <w:tcW w:w="2206" w:type="dxa"/>
            <w:vAlign w:val="center"/>
          </w:tcPr>
          <w:p w:rsidR="004A3868" w:rsidRDefault="003F1AB5">
            <w:pPr>
              <w:pStyle w:val="afff9"/>
            </w:pPr>
            <w:r>
              <w:rPr>
                <w:rFonts w:hint="eastAsia"/>
              </w:rPr>
              <w:t>聘任</w:t>
            </w:r>
          </w:p>
        </w:tc>
        <w:tc>
          <w:tcPr>
            <w:tcW w:w="2206" w:type="dxa"/>
            <w:vAlign w:val="center"/>
          </w:tcPr>
          <w:p w:rsidR="004A3868" w:rsidRDefault="003F1AB5">
            <w:pPr>
              <w:pStyle w:val="afff9"/>
            </w:pPr>
            <w:r>
              <w:rPr>
                <w:rFonts w:hint="eastAsia"/>
              </w:rPr>
              <w:t>新一届董事会聘任</w:t>
            </w:r>
          </w:p>
        </w:tc>
      </w:tr>
      <w:tr w:rsidR="004A3868">
        <w:trPr>
          <w:trHeight w:val="397"/>
          <w:jc w:val="center"/>
        </w:trPr>
        <w:tc>
          <w:tcPr>
            <w:tcW w:w="2205" w:type="dxa"/>
            <w:vAlign w:val="center"/>
          </w:tcPr>
          <w:p w:rsidR="004A3868" w:rsidRDefault="003F1AB5">
            <w:pPr>
              <w:pStyle w:val="afff9"/>
            </w:pPr>
            <w:r>
              <w:rPr>
                <w:rFonts w:hint="eastAsia"/>
              </w:rPr>
              <w:t>付康</w:t>
            </w:r>
          </w:p>
        </w:tc>
        <w:tc>
          <w:tcPr>
            <w:tcW w:w="2206" w:type="dxa"/>
            <w:vAlign w:val="center"/>
          </w:tcPr>
          <w:p w:rsidR="004A3868" w:rsidRDefault="003F1AB5">
            <w:pPr>
              <w:pStyle w:val="afff9"/>
            </w:pPr>
            <w:r>
              <w:rPr>
                <w:rFonts w:hint="eastAsia"/>
              </w:rPr>
              <w:t>董事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Align w:val="center"/>
          </w:tcPr>
          <w:p w:rsidR="004A3868" w:rsidRDefault="003F1AB5">
            <w:pPr>
              <w:pStyle w:val="afff9"/>
            </w:pPr>
            <w:r>
              <w:rPr>
                <w:rFonts w:hint="eastAsia"/>
              </w:rPr>
              <w:t>王海波</w:t>
            </w:r>
          </w:p>
        </w:tc>
        <w:tc>
          <w:tcPr>
            <w:tcW w:w="2206" w:type="dxa"/>
            <w:vAlign w:val="center"/>
          </w:tcPr>
          <w:p w:rsidR="004A3868" w:rsidRDefault="003F1AB5">
            <w:pPr>
              <w:pStyle w:val="afff9"/>
            </w:pPr>
            <w:r>
              <w:rPr>
                <w:rFonts w:hint="eastAsia"/>
              </w:rPr>
              <w:t>董事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Align w:val="center"/>
          </w:tcPr>
          <w:p w:rsidR="004A3868" w:rsidRDefault="003F1AB5">
            <w:pPr>
              <w:pStyle w:val="afff9"/>
            </w:pPr>
            <w:r>
              <w:rPr>
                <w:rFonts w:hint="eastAsia"/>
              </w:rPr>
              <w:t>皮统政</w:t>
            </w:r>
          </w:p>
        </w:tc>
        <w:tc>
          <w:tcPr>
            <w:tcW w:w="2206" w:type="dxa"/>
            <w:vAlign w:val="center"/>
          </w:tcPr>
          <w:p w:rsidR="004A3868" w:rsidRDefault="003F1AB5">
            <w:pPr>
              <w:pStyle w:val="afff9"/>
            </w:pPr>
            <w:r>
              <w:rPr>
                <w:rFonts w:hint="eastAsia"/>
              </w:rPr>
              <w:t>董事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Align w:val="center"/>
          </w:tcPr>
          <w:p w:rsidR="004A3868" w:rsidRDefault="003F1AB5">
            <w:pPr>
              <w:pStyle w:val="afff9"/>
            </w:pPr>
            <w:r>
              <w:rPr>
                <w:rFonts w:hint="eastAsia"/>
              </w:rPr>
              <w:t>赵宇</w:t>
            </w:r>
          </w:p>
        </w:tc>
        <w:tc>
          <w:tcPr>
            <w:tcW w:w="2206" w:type="dxa"/>
            <w:vAlign w:val="center"/>
          </w:tcPr>
          <w:p w:rsidR="004A3868" w:rsidRDefault="003F1AB5">
            <w:pPr>
              <w:pStyle w:val="afff9"/>
            </w:pPr>
            <w:r>
              <w:rPr>
                <w:rFonts w:hint="eastAsia"/>
              </w:rPr>
              <w:t>独立董事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Align w:val="center"/>
          </w:tcPr>
          <w:p w:rsidR="004A3868" w:rsidRDefault="003F1AB5">
            <w:pPr>
              <w:pStyle w:val="afff9"/>
            </w:pPr>
            <w:r>
              <w:rPr>
                <w:rFonts w:hint="eastAsia"/>
              </w:rPr>
              <w:lastRenderedPageBreak/>
              <w:t>沈江</w:t>
            </w:r>
          </w:p>
        </w:tc>
        <w:tc>
          <w:tcPr>
            <w:tcW w:w="2206" w:type="dxa"/>
            <w:vAlign w:val="center"/>
          </w:tcPr>
          <w:p w:rsidR="004A3868" w:rsidRDefault="003F1AB5">
            <w:pPr>
              <w:pStyle w:val="afff9"/>
            </w:pPr>
            <w:r>
              <w:rPr>
                <w:rFonts w:hint="eastAsia"/>
              </w:rPr>
              <w:t>独立董事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Align w:val="center"/>
          </w:tcPr>
          <w:p w:rsidR="004A3868" w:rsidRDefault="003F1AB5">
            <w:pPr>
              <w:pStyle w:val="afff9"/>
            </w:pPr>
            <w:r>
              <w:rPr>
                <w:rFonts w:hint="eastAsia"/>
              </w:rPr>
              <w:t>王勇</w:t>
            </w:r>
          </w:p>
        </w:tc>
        <w:tc>
          <w:tcPr>
            <w:tcW w:w="2206" w:type="dxa"/>
            <w:vAlign w:val="center"/>
          </w:tcPr>
          <w:p w:rsidR="004A3868" w:rsidRDefault="003F1AB5">
            <w:pPr>
              <w:pStyle w:val="afff9"/>
            </w:pPr>
            <w:r>
              <w:rPr>
                <w:rFonts w:hint="eastAsia"/>
              </w:rPr>
              <w:t>独立董事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Align w:val="center"/>
          </w:tcPr>
          <w:p w:rsidR="004A3868" w:rsidRDefault="003F1AB5">
            <w:pPr>
              <w:pStyle w:val="afff9"/>
            </w:pPr>
            <w:r>
              <w:rPr>
                <w:rFonts w:hint="eastAsia"/>
              </w:rPr>
              <w:t>李长平</w:t>
            </w:r>
          </w:p>
        </w:tc>
        <w:tc>
          <w:tcPr>
            <w:tcW w:w="2206" w:type="dxa"/>
            <w:vAlign w:val="center"/>
          </w:tcPr>
          <w:p w:rsidR="004A3868" w:rsidRDefault="003F1AB5">
            <w:pPr>
              <w:pStyle w:val="afff9"/>
            </w:pPr>
            <w:r>
              <w:rPr>
                <w:rFonts w:hint="eastAsia"/>
              </w:rPr>
              <w:t>监事会主席</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新一届监事会选举</w:t>
            </w:r>
          </w:p>
        </w:tc>
      </w:tr>
      <w:tr w:rsidR="004A3868">
        <w:trPr>
          <w:trHeight w:val="397"/>
          <w:jc w:val="center"/>
        </w:trPr>
        <w:tc>
          <w:tcPr>
            <w:tcW w:w="2205" w:type="dxa"/>
            <w:vAlign w:val="center"/>
          </w:tcPr>
          <w:p w:rsidR="004A3868" w:rsidRDefault="003F1AB5">
            <w:pPr>
              <w:pStyle w:val="afff9"/>
            </w:pPr>
            <w:r>
              <w:rPr>
                <w:rFonts w:hint="eastAsia"/>
              </w:rPr>
              <w:t>张玲</w:t>
            </w:r>
          </w:p>
        </w:tc>
        <w:tc>
          <w:tcPr>
            <w:tcW w:w="2206" w:type="dxa"/>
            <w:vAlign w:val="center"/>
          </w:tcPr>
          <w:p w:rsidR="004A3868" w:rsidRDefault="003F1AB5">
            <w:pPr>
              <w:pStyle w:val="afff9"/>
            </w:pPr>
            <w:r>
              <w:rPr>
                <w:rFonts w:hint="eastAsia"/>
              </w:rPr>
              <w:t>监事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换届股东大会选举产生</w:t>
            </w:r>
          </w:p>
        </w:tc>
      </w:tr>
      <w:tr w:rsidR="004A3868">
        <w:trPr>
          <w:trHeight w:val="397"/>
          <w:jc w:val="center"/>
        </w:trPr>
        <w:tc>
          <w:tcPr>
            <w:tcW w:w="2205" w:type="dxa"/>
            <w:vAlign w:val="center"/>
          </w:tcPr>
          <w:p w:rsidR="004A3868" w:rsidRDefault="003F1AB5">
            <w:pPr>
              <w:pStyle w:val="afff9"/>
            </w:pPr>
            <w:r>
              <w:rPr>
                <w:rFonts w:hint="eastAsia"/>
              </w:rPr>
              <w:t>朱林</w:t>
            </w:r>
          </w:p>
        </w:tc>
        <w:tc>
          <w:tcPr>
            <w:tcW w:w="2206" w:type="dxa"/>
            <w:vAlign w:val="center"/>
          </w:tcPr>
          <w:p w:rsidR="004A3868" w:rsidRDefault="003F1AB5">
            <w:pPr>
              <w:pStyle w:val="afff9"/>
            </w:pPr>
            <w:r>
              <w:rPr>
                <w:rFonts w:hint="eastAsia"/>
              </w:rPr>
              <w:t>职工监事</w:t>
            </w:r>
          </w:p>
        </w:tc>
        <w:tc>
          <w:tcPr>
            <w:tcW w:w="2206" w:type="dxa"/>
            <w:vAlign w:val="center"/>
          </w:tcPr>
          <w:p w:rsidR="004A3868" w:rsidRDefault="003F1AB5">
            <w:pPr>
              <w:pStyle w:val="afff9"/>
            </w:pPr>
            <w:r>
              <w:rPr>
                <w:rFonts w:hint="eastAsia"/>
              </w:rPr>
              <w:t>选举</w:t>
            </w:r>
          </w:p>
        </w:tc>
        <w:tc>
          <w:tcPr>
            <w:tcW w:w="2206" w:type="dxa"/>
            <w:vAlign w:val="center"/>
          </w:tcPr>
          <w:p w:rsidR="004A3868" w:rsidRDefault="003F1AB5">
            <w:pPr>
              <w:pStyle w:val="afff9"/>
            </w:pPr>
            <w:r>
              <w:rPr>
                <w:rFonts w:hint="eastAsia"/>
              </w:rPr>
              <w:t>职工代表大会选举</w:t>
            </w:r>
          </w:p>
        </w:tc>
      </w:tr>
      <w:tr w:rsidR="004A3868">
        <w:trPr>
          <w:trHeight w:val="397"/>
          <w:jc w:val="center"/>
        </w:trPr>
        <w:tc>
          <w:tcPr>
            <w:tcW w:w="2205" w:type="dxa"/>
            <w:vMerge w:val="restart"/>
            <w:vAlign w:val="center"/>
          </w:tcPr>
          <w:p w:rsidR="004A3868" w:rsidRDefault="003F1AB5">
            <w:pPr>
              <w:pStyle w:val="afff9"/>
            </w:pPr>
            <w:r>
              <w:rPr>
                <w:rFonts w:hint="eastAsia"/>
              </w:rPr>
              <w:t>李代萍</w:t>
            </w:r>
          </w:p>
        </w:tc>
        <w:tc>
          <w:tcPr>
            <w:tcW w:w="2206" w:type="dxa"/>
            <w:vAlign w:val="center"/>
          </w:tcPr>
          <w:p w:rsidR="004A3868" w:rsidRDefault="003F1AB5">
            <w:pPr>
              <w:pStyle w:val="afff9"/>
            </w:pPr>
            <w:r>
              <w:rPr>
                <w:rFonts w:hint="eastAsia"/>
              </w:rPr>
              <w:t>董事</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Merge/>
            <w:vAlign w:val="center"/>
          </w:tcPr>
          <w:p w:rsidR="004A3868" w:rsidRDefault="004A3868">
            <w:pPr>
              <w:pStyle w:val="afff9"/>
            </w:pPr>
          </w:p>
        </w:tc>
        <w:tc>
          <w:tcPr>
            <w:tcW w:w="2206" w:type="dxa"/>
            <w:vAlign w:val="center"/>
          </w:tcPr>
          <w:p w:rsidR="004A3868" w:rsidRDefault="003F1AB5">
            <w:pPr>
              <w:pStyle w:val="afff9"/>
            </w:pPr>
            <w:r>
              <w:rPr>
                <w:rFonts w:hint="eastAsia"/>
              </w:rPr>
              <w:t>财务总监</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Merge/>
            <w:vAlign w:val="center"/>
          </w:tcPr>
          <w:p w:rsidR="004A3868" w:rsidRDefault="004A3868">
            <w:pPr>
              <w:pStyle w:val="afff9"/>
            </w:pPr>
          </w:p>
        </w:tc>
        <w:tc>
          <w:tcPr>
            <w:tcW w:w="2206" w:type="dxa"/>
            <w:vAlign w:val="center"/>
          </w:tcPr>
          <w:p w:rsidR="004A3868" w:rsidRDefault="003F1AB5">
            <w:pPr>
              <w:pStyle w:val="afff9"/>
            </w:pPr>
            <w:r>
              <w:rPr>
                <w:rFonts w:hint="eastAsia"/>
              </w:rPr>
              <w:t>副总经理</w:t>
            </w:r>
          </w:p>
        </w:tc>
        <w:tc>
          <w:tcPr>
            <w:tcW w:w="2206" w:type="dxa"/>
            <w:vAlign w:val="center"/>
          </w:tcPr>
          <w:p w:rsidR="004A3868" w:rsidRDefault="003F1AB5">
            <w:pPr>
              <w:pStyle w:val="afff9"/>
            </w:pPr>
            <w:r>
              <w:rPr>
                <w:rFonts w:hint="eastAsia"/>
              </w:rPr>
              <w:t>聘任</w:t>
            </w:r>
          </w:p>
        </w:tc>
        <w:tc>
          <w:tcPr>
            <w:tcW w:w="2206" w:type="dxa"/>
            <w:vAlign w:val="center"/>
          </w:tcPr>
          <w:p w:rsidR="004A3868" w:rsidRDefault="003F1AB5">
            <w:pPr>
              <w:pStyle w:val="afff9"/>
            </w:pPr>
            <w:r>
              <w:rPr>
                <w:rFonts w:hint="eastAsia"/>
              </w:rPr>
              <w:t>新一届董事会聘任</w:t>
            </w:r>
          </w:p>
        </w:tc>
      </w:tr>
      <w:tr w:rsidR="004A3868">
        <w:trPr>
          <w:trHeight w:val="397"/>
          <w:jc w:val="center"/>
        </w:trPr>
        <w:tc>
          <w:tcPr>
            <w:tcW w:w="2205" w:type="dxa"/>
            <w:vMerge w:val="restart"/>
            <w:vAlign w:val="center"/>
          </w:tcPr>
          <w:p w:rsidR="004A3868" w:rsidRDefault="003F1AB5">
            <w:pPr>
              <w:pStyle w:val="afff9"/>
            </w:pPr>
            <w:r>
              <w:rPr>
                <w:rFonts w:hint="eastAsia"/>
              </w:rPr>
              <w:t>刘柏林</w:t>
            </w:r>
          </w:p>
        </w:tc>
        <w:tc>
          <w:tcPr>
            <w:tcW w:w="2206" w:type="dxa"/>
            <w:vAlign w:val="center"/>
          </w:tcPr>
          <w:p w:rsidR="004A3868" w:rsidRDefault="003F1AB5">
            <w:pPr>
              <w:pStyle w:val="afff9"/>
            </w:pPr>
            <w:r>
              <w:rPr>
                <w:rFonts w:hint="eastAsia"/>
              </w:rPr>
              <w:t>监事</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Merge/>
            <w:vAlign w:val="center"/>
          </w:tcPr>
          <w:p w:rsidR="004A3868" w:rsidRDefault="004A3868">
            <w:pPr>
              <w:pStyle w:val="afff9"/>
            </w:pPr>
          </w:p>
        </w:tc>
        <w:tc>
          <w:tcPr>
            <w:tcW w:w="2206" w:type="dxa"/>
            <w:vAlign w:val="center"/>
          </w:tcPr>
          <w:p w:rsidR="004A3868" w:rsidRDefault="003F1AB5">
            <w:pPr>
              <w:pStyle w:val="afff9"/>
            </w:pPr>
            <w:r>
              <w:rPr>
                <w:rFonts w:hint="eastAsia"/>
              </w:rPr>
              <w:t>副总经理</w:t>
            </w:r>
          </w:p>
        </w:tc>
        <w:tc>
          <w:tcPr>
            <w:tcW w:w="2206" w:type="dxa"/>
            <w:vAlign w:val="center"/>
          </w:tcPr>
          <w:p w:rsidR="004A3868" w:rsidRDefault="003F1AB5">
            <w:pPr>
              <w:pStyle w:val="afff9"/>
            </w:pPr>
            <w:r>
              <w:rPr>
                <w:rFonts w:hint="eastAsia"/>
              </w:rPr>
              <w:t>聘任</w:t>
            </w:r>
          </w:p>
        </w:tc>
        <w:tc>
          <w:tcPr>
            <w:tcW w:w="2206" w:type="dxa"/>
            <w:vAlign w:val="center"/>
          </w:tcPr>
          <w:p w:rsidR="004A3868" w:rsidRDefault="003F1AB5">
            <w:pPr>
              <w:pStyle w:val="afff9"/>
            </w:pPr>
            <w:r>
              <w:rPr>
                <w:rFonts w:hint="eastAsia"/>
              </w:rPr>
              <w:t>新一届董事会聘任</w:t>
            </w:r>
          </w:p>
        </w:tc>
      </w:tr>
      <w:tr w:rsidR="004A3868">
        <w:trPr>
          <w:trHeight w:val="397"/>
          <w:jc w:val="center"/>
        </w:trPr>
        <w:tc>
          <w:tcPr>
            <w:tcW w:w="2205" w:type="dxa"/>
            <w:vAlign w:val="center"/>
          </w:tcPr>
          <w:p w:rsidR="004A3868" w:rsidRDefault="003F1AB5">
            <w:pPr>
              <w:pStyle w:val="afff9"/>
            </w:pPr>
            <w:r>
              <w:rPr>
                <w:rFonts w:hint="eastAsia"/>
              </w:rPr>
              <w:t>肖永号</w:t>
            </w:r>
          </w:p>
        </w:tc>
        <w:tc>
          <w:tcPr>
            <w:tcW w:w="2206" w:type="dxa"/>
            <w:vAlign w:val="center"/>
          </w:tcPr>
          <w:p w:rsidR="004A3868" w:rsidRDefault="003F1AB5">
            <w:pPr>
              <w:pStyle w:val="afff9"/>
            </w:pPr>
            <w:r>
              <w:rPr>
                <w:rFonts w:hint="eastAsia"/>
              </w:rPr>
              <w:t>副总经理</w:t>
            </w:r>
          </w:p>
        </w:tc>
        <w:tc>
          <w:tcPr>
            <w:tcW w:w="2206" w:type="dxa"/>
            <w:vAlign w:val="center"/>
          </w:tcPr>
          <w:p w:rsidR="004A3868" w:rsidRDefault="003F1AB5">
            <w:pPr>
              <w:pStyle w:val="afff9"/>
            </w:pPr>
            <w:r>
              <w:rPr>
                <w:rFonts w:hint="eastAsia"/>
              </w:rPr>
              <w:t>聘任</w:t>
            </w:r>
          </w:p>
        </w:tc>
        <w:tc>
          <w:tcPr>
            <w:tcW w:w="2206" w:type="dxa"/>
            <w:vAlign w:val="center"/>
          </w:tcPr>
          <w:p w:rsidR="004A3868" w:rsidRDefault="003F1AB5">
            <w:pPr>
              <w:pStyle w:val="afff9"/>
            </w:pPr>
            <w:r>
              <w:rPr>
                <w:rFonts w:hint="eastAsia"/>
              </w:rPr>
              <w:t>新一届董事会聘任</w:t>
            </w:r>
          </w:p>
        </w:tc>
      </w:tr>
      <w:tr w:rsidR="004A3868">
        <w:trPr>
          <w:trHeight w:val="397"/>
          <w:jc w:val="center"/>
        </w:trPr>
        <w:tc>
          <w:tcPr>
            <w:tcW w:w="2205" w:type="dxa"/>
            <w:vAlign w:val="center"/>
          </w:tcPr>
          <w:p w:rsidR="004A3868" w:rsidRDefault="003F1AB5">
            <w:pPr>
              <w:pStyle w:val="afff9"/>
            </w:pPr>
            <w:r>
              <w:rPr>
                <w:rFonts w:hint="eastAsia"/>
              </w:rPr>
              <w:t>杨万华</w:t>
            </w:r>
          </w:p>
        </w:tc>
        <w:tc>
          <w:tcPr>
            <w:tcW w:w="2206" w:type="dxa"/>
            <w:vAlign w:val="center"/>
          </w:tcPr>
          <w:p w:rsidR="004A3868" w:rsidRDefault="003F1AB5">
            <w:pPr>
              <w:pStyle w:val="afff9"/>
            </w:pPr>
            <w:r>
              <w:rPr>
                <w:rFonts w:hint="eastAsia"/>
              </w:rPr>
              <w:t>财务总监</w:t>
            </w:r>
          </w:p>
        </w:tc>
        <w:tc>
          <w:tcPr>
            <w:tcW w:w="2206" w:type="dxa"/>
            <w:vAlign w:val="center"/>
          </w:tcPr>
          <w:p w:rsidR="004A3868" w:rsidRDefault="003F1AB5">
            <w:pPr>
              <w:pStyle w:val="afff9"/>
            </w:pPr>
            <w:r>
              <w:rPr>
                <w:rFonts w:hint="eastAsia"/>
              </w:rPr>
              <w:t>聘任</w:t>
            </w:r>
          </w:p>
        </w:tc>
        <w:tc>
          <w:tcPr>
            <w:tcW w:w="2206" w:type="dxa"/>
            <w:vAlign w:val="center"/>
          </w:tcPr>
          <w:p w:rsidR="004A3868" w:rsidRDefault="003F1AB5">
            <w:pPr>
              <w:pStyle w:val="afff9"/>
            </w:pPr>
            <w:r>
              <w:rPr>
                <w:rFonts w:hint="eastAsia"/>
              </w:rPr>
              <w:t>新一届董事会聘任</w:t>
            </w:r>
          </w:p>
        </w:tc>
      </w:tr>
      <w:tr w:rsidR="004A3868">
        <w:trPr>
          <w:trHeight w:val="397"/>
          <w:jc w:val="center"/>
        </w:trPr>
        <w:tc>
          <w:tcPr>
            <w:tcW w:w="2205" w:type="dxa"/>
            <w:vAlign w:val="center"/>
          </w:tcPr>
          <w:p w:rsidR="004A3868" w:rsidRDefault="003F1AB5">
            <w:pPr>
              <w:pStyle w:val="afff9"/>
            </w:pPr>
            <w:r>
              <w:rPr>
                <w:rFonts w:hint="eastAsia"/>
              </w:rPr>
              <w:t>李奎</w:t>
            </w:r>
          </w:p>
        </w:tc>
        <w:tc>
          <w:tcPr>
            <w:tcW w:w="2206" w:type="dxa"/>
            <w:vAlign w:val="center"/>
          </w:tcPr>
          <w:p w:rsidR="004A3868" w:rsidRDefault="003F1AB5">
            <w:pPr>
              <w:pStyle w:val="afff9"/>
            </w:pPr>
            <w:r>
              <w:rPr>
                <w:rFonts w:hint="eastAsia"/>
              </w:rPr>
              <w:t>董事、副总经理</w:t>
            </w:r>
          </w:p>
        </w:tc>
        <w:sdt>
          <w:sdtPr>
            <w:alias w:val="公司董事、监事、高级管理人员的变动情形"/>
            <w:tag w:val="_GBC_258f9ad482344d5fbc1587e6faf0ed7b"/>
            <w:id w:val="-730385981"/>
            <w:comboBox>
              <w:listItem w:displayText="选举" w:value="选举"/>
              <w:listItem w:displayText="离任" w:value="离任"/>
              <w:listItem w:displayText="聘任" w:value="聘任"/>
              <w:listItem w:displayText="解聘" w:value="解聘"/>
            </w:comboBox>
          </w:sdtPr>
          <w:sdtEndPr/>
          <w:sdtContent>
            <w:tc>
              <w:tcPr>
                <w:tcW w:w="2206" w:type="dxa"/>
                <w:vAlign w:val="center"/>
              </w:tcPr>
              <w:p w:rsidR="004A3868" w:rsidRDefault="003F1AB5">
                <w:pPr>
                  <w:pStyle w:val="afff9"/>
                </w:pPr>
                <w:r>
                  <w:t>离任</w:t>
                </w:r>
              </w:p>
            </w:tc>
          </w:sdtContent>
        </w:sdt>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Align w:val="center"/>
          </w:tcPr>
          <w:p w:rsidR="004A3868" w:rsidRDefault="003F1AB5">
            <w:pPr>
              <w:pStyle w:val="afff9"/>
            </w:pPr>
            <w:r>
              <w:rPr>
                <w:rFonts w:hint="eastAsia"/>
              </w:rPr>
              <w:t>杨厚群</w:t>
            </w:r>
          </w:p>
        </w:tc>
        <w:tc>
          <w:tcPr>
            <w:tcW w:w="2206" w:type="dxa"/>
            <w:vAlign w:val="center"/>
          </w:tcPr>
          <w:p w:rsidR="004A3868" w:rsidRDefault="003F1AB5">
            <w:pPr>
              <w:pStyle w:val="afff9"/>
            </w:pPr>
            <w:r>
              <w:rPr>
                <w:rFonts w:hint="eastAsia"/>
              </w:rPr>
              <w:t>董事</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Align w:val="center"/>
          </w:tcPr>
          <w:p w:rsidR="004A3868" w:rsidRDefault="003F1AB5">
            <w:pPr>
              <w:pStyle w:val="afff9"/>
            </w:pPr>
            <w:r>
              <w:rPr>
                <w:rFonts w:hint="eastAsia"/>
              </w:rPr>
              <w:t>熊必润</w:t>
            </w:r>
          </w:p>
        </w:tc>
        <w:tc>
          <w:tcPr>
            <w:tcW w:w="2206" w:type="dxa"/>
            <w:vAlign w:val="center"/>
          </w:tcPr>
          <w:p w:rsidR="004A3868" w:rsidRDefault="003F1AB5">
            <w:pPr>
              <w:pStyle w:val="afff9"/>
            </w:pPr>
            <w:r>
              <w:rPr>
                <w:rFonts w:hint="eastAsia"/>
              </w:rPr>
              <w:t>董事、副总经理</w:t>
            </w:r>
          </w:p>
        </w:tc>
        <w:sdt>
          <w:sdtPr>
            <w:alias w:val="公司董事、监事、高级管理人员的变动情形"/>
            <w:tag w:val="_GBC_258f9ad482344d5fbc1587e6faf0ed7b"/>
            <w:id w:val="1232042015"/>
            <w:comboBox>
              <w:listItem w:displayText="选举" w:value="选举"/>
              <w:listItem w:displayText="离任" w:value="离任"/>
              <w:listItem w:displayText="聘任" w:value="聘任"/>
              <w:listItem w:displayText="解聘" w:value="解聘"/>
            </w:comboBox>
          </w:sdtPr>
          <w:sdtEndPr/>
          <w:sdtContent>
            <w:tc>
              <w:tcPr>
                <w:tcW w:w="2206" w:type="dxa"/>
                <w:vAlign w:val="center"/>
              </w:tcPr>
              <w:p w:rsidR="004A3868" w:rsidRDefault="003F1AB5">
                <w:pPr>
                  <w:pStyle w:val="afff9"/>
                </w:pPr>
                <w:r>
                  <w:t>离任</w:t>
                </w:r>
              </w:p>
            </w:tc>
          </w:sdtContent>
        </w:sdt>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Align w:val="center"/>
          </w:tcPr>
          <w:p w:rsidR="004A3868" w:rsidRDefault="003F1AB5">
            <w:pPr>
              <w:pStyle w:val="afff9"/>
            </w:pPr>
            <w:r>
              <w:rPr>
                <w:rFonts w:hint="eastAsia"/>
              </w:rPr>
              <w:t>冯戟</w:t>
            </w:r>
          </w:p>
        </w:tc>
        <w:tc>
          <w:tcPr>
            <w:tcW w:w="2206" w:type="dxa"/>
            <w:vAlign w:val="center"/>
          </w:tcPr>
          <w:p w:rsidR="004A3868" w:rsidRDefault="003F1AB5">
            <w:pPr>
              <w:pStyle w:val="afff9"/>
            </w:pPr>
            <w:r>
              <w:rPr>
                <w:rFonts w:hint="eastAsia"/>
              </w:rPr>
              <w:t>董事</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Align w:val="center"/>
          </w:tcPr>
          <w:p w:rsidR="004A3868" w:rsidRDefault="003F1AB5">
            <w:pPr>
              <w:pStyle w:val="afff9"/>
            </w:pPr>
            <w:r>
              <w:rPr>
                <w:rFonts w:hint="eastAsia"/>
              </w:rPr>
              <w:t>郭振岩</w:t>
            </w:r>
          </w:p>
        </w:tc>
        <w:tc>
          <w:tcPr>
            <w:tcW w:w="2206" w:type="dxa"/>
            <w:vAlign w:val="center"/>
          </w:tcPr>
          <w:p w:rsidR="004A3868" w:rsidRDefault="003F1AB5">
            <w:pPr>
              <w:pStyle w:val="afff9"/>
            </w:pPr>
            <w:r>
              <w:rPr>
                <w:rFonts w:hint="eastAsia"/>
              </w:rPr>
              <w:t>独立董事</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Align w:val="center"/>
          </w:tcPr>
          <w:p w:rsidR="004A3868" w:rsidRDefault="003F1AB5">
            <w:pPr>
              <w:pStyle w:val="afff9"/>
            </w:pPr>
            <w:r>
              <w:rPr>
                <w:rFonts w:hint="eastAsia"/>
              </w:rPr>
              <w:t>黎明</w:t>
            </w:r>
          </w:p>
        </w:tc>
        <w:tc>
          <w:tcPr>
            <w:tcW w:w="2206" w:type="dxa"/>
            <w:vAlign w:val="center"/>
          </w:tcPr>
          <w:p w:rsidR="004A3868" w:rsidRDefault="003F1AB5">
            <w:pPr>
              <w:pStyle w:val="afff9"/>
            </w:pPr>
            <w:r>
              <w:rPr>
                <w:rFonts w:hint="eastAsia"/>
              </w:rPr>
              <w:t>独立董事</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Align w:val="center"/>
          </w:tcPr>
          <w:p w:rsidR="004A3868" w:rsidRDefault="003F1AB5">
            <w:pPr>
              <w:pStyle w:val="afff9"/>
            </w:pPr>
            <w:r>
              <w:rPr>
                <w:rFonts w:hint="eastAsia"/>
              </w:rPr>
              <w:t>陈伟根</w:t>
            </w:r>
          </w:p>
        </w:tc>
        <w:tc>
          <w:tcPr>
            <w:tcW w:w="2206" w:type="dxa"/>
            <w:vAlign w:val="center"/>
          </w:tcPr>
          <w:p w:rsidR="004A3868" w:rsidRDefault="003F1AB5">
            <w:pPr>
              <w:pStyle w:val="afff9"/>
            </w:pPr>
            <w:r>
              <w:rPr>
                <w:rFonts w:hint="eastAsia"/>
              </w:rPr>
              <w:t>独立董事</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r w:rsidR="004A3868">
        <w:trPr>
          <w:trHeight w:val="397"/>
          <w:jc w:val="center"/>
        </w:trPr>
        <w:tc>
          <w:tcPr>
            <w:tcW w:w="2205" w:type="dxa"/>
            <w:vAlign w:val="center"/>
          </w:tcPr>
          <w:p w:rsidR="004A3868" w:rsidRDefault="003F1AB5">
            <w:pPr>
              <w:pStyle w:val="afff9"/>
            </w:pPr>
            <w:r>
              <w:rPr>
                <w:rFonts w:hint="eastAsia"/>
              </w:rPr>
              <w:t>袁涛</w:t>
            </w:r>
          </w:p>
        </w:tc>
        <w:tc>
          <w:tcPr>
            <w:tcW w:w="2206" w:type="dxa"/>
            <w:vAlign w:val="center"/>
          </w:tcPr>
          <w:p w:rsidR="004A3868" w:rsidRDefault="003F1AB5">
            <w:pPr>
              <w:pStyle w:val="afff9"/>
            </w:pPr>
            <w:r>
              <w:rPr>
                <w:rFonts w:hint="eastAsia"/>
              </w:rPr>
              <w:t>监事会主席</w:t>
            </w:r>
          </w:p>
        </w:tc>
        <w:tc>
          <w:tcPr>
            <w:tcW w:w="2206" w:type="dxa"/>
            <w:vAlign w:val="center"/>
          </w:tcPr>
          <w:p w:rsidR="004A3868" w:rsidRDefault="003F1AB5">
            <w:pPr>
              <w:pStyle w:val="afff9"/>
            </w:pPr>
            <w:r>
              <w:rPr>
                <w:rFonts w:hint="eastAsia"/>
              </w:rPr>
              <w:t>离任</w:t>
            </w:r>
          </w:p>
        </w:tc>
        <w:tc>
          <w:tcPr>
            <w:tcW w:w="2206" w:type="dxa"/>
            <w:vAlign w:val="center"/>
          </w:tcPr>
          <w:p w:rsidR="004A3868" w:rsidRDefault="003F1AB5">
            <w:pPr>
              <w:pStyle w:val="afff9"/>
            </w:pPr>
            <w:r>
              <w:rPr>
                <w:rFonts w:hint="eastAsia"/>
              </w:rPr>
              <w:t>任期届满</w:t>
            </w:r>
          </w:p>
        </w:tc>
      </w:tr>
    </w:tbl>
    <w:p w:rsidR="004A3868" w:rsidRDefault="004A3868">
      <w:pPr>
        <w:pStyle w:val="Style124"/>
      </w:pPr>
    </w:p>
    <w:p w:rsidR="004A3868" w:rsidRDefault="003F1AB5">
      <w:pPr>
        <w:pStyle w:val="Style127"/>
        <w:numPr>
          <w:ilvl w:val="0"/>
          <w:numId w:val="22"/>
        </w:numPr>
      </w:pPr>
      <w:r>
        <w:rPr>
          <w:rFonts w:hint="eastAsia"/>
        </w:rPr>
        <w:t>近三年受证券监管机构处罚的情况说明</w:t>
      </w:r>
    </w:p>
    <w:sdt>
      <w:sdtPr>
        <w:alias w:val="是否适用：近三年受证券监管机构处罚的情况说明[双击切换]"/>
        <w:tag w:val="_GBC_7955674a80d94ddc9e00915de353286e"/>
        <w:id w:val="-191747056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7"/>
        <w:numPr>
          <w:ilvl w:val="0"/>
          <w:numId w:val="22"/>
        </w:numPr>
      </w:pPr>
      <w:r>
        <w:rPr>
          <w:rFonts w:hint="eastAsia"/>
        </w:rPr>
        <w:t>其他</w:t>
      </w:r>
    </w:p>
    <w:bookmarkStart w:id="50" w:name="_Hlk89182759" w:displacedByCustomXml="next"/>
    <w:sdt>
      <w:sdtPr>
        <w:rPr>
          <w:rFonts w:hint="eastAsia"/>
          <w:sz w:val="21"/>
          <w:szCs w:val="21"/>
        </w:rPr>
        <w:alias w:val="是否适用：其他董事、监事、高级管理人员情况说明[双击切换]"/>
        <w:tag w:val="_GBC_6698e1cba7354d29b0fcdbb38e7287d6"/>
        <w:id w:val="1848674118"/>
        <w:placeholder>
          <w:docPart w:val="GBC22222222222222222222222222222"/>
        </w:placeholder>
      </w:sdtPr>
      <w:sdtEndPr>
        <w:rPr>
          <w:sz w:val="24"/>
          <w:szCs w:val="24"/>
        </w:rPr>
      </w:sdtEndPr>
      <w:sdtContent>
        <w:p w:rsidR="004A3868" w:rsidRDefault="003F1AB5">
          <w:pPr>
            <w:pStyle w:val="Style842"/>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rsidR="004A3868" w:rsidRDefault="003F1AB5">
      <w:pPr>
        <w:pStyle w:val="2"/>
        <w:numPr>
          <w:ilvl w:val="0"/>
          <w:numId w:val="21"/>
        </w:numPr>
      </w:pPr>
      <w:r>
        <w:t>报告期内召开的董事会有关情况</w:t>
      </w:r>
    </w:p>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823"/>
        <w:gridCol w:w="1323"/>
        <w:gridCol w:w="5677"/>
      </w:tblGrid>
      <w:tr w:rsidR="004A3868">
        <w:trPr>
          <w:trHeight w:val="397"/>
          <w:jc w:val="center"/>
        </w:trPr>
        <w:bookmarkEnd w:id="50" w:displacedByCustomXml="next"/>
        <w:bookmarkStart w:id="51" w:name="_Hlk89182953" w:displacedByCustomXml="next"/>
        <w:sdt>
          <w:sdtPr>
            <w:tag w:val="_PLD_419815d8d7794e1c9b7ce587c2f61ac6"/>
            <w:id w:val="-134869979"/>
          </w:sdtPr>
          <w:sdtEndPr/>
          <w:sdtContent>
            <w:tc>
              <w:tcPr>
                <w:tcW w:w="1033" w:type="pct"/>
                <w:vAlign w:val="center"/>
              </w:tcPr>
              <w:p w:rsidR="004A3868" w:rsidRDefault="003F1AB5">
                <w:pPr>
                  <w:pStyle w:val="afffb"/>
                </w:pPr>
                <w:r>
                  <w:t>会议届次</w:t>
                </w:r>
              </w:p>
            </w:tc>
          </w:sdtContent>
        </w:sdt>
        <w:sdt>
          <w:sdtPr>
            <w:tag w:val="_PLD_ab185594a631433a8b0a8263eb8e554f"/>
            <w:id w:val="893234016"/>
          </w:sdtPr>
          <w:sdtEndPr/>
          <w:sdtContent>
            <w:tc>
              <w:tcPr>
                <w:tcW w:w="750" w:type="pct"/>
                <w:vAlign w:val="center"/>
              </w:tcPr>
              <w:p w:rsidR="004A3868" w:rsidRDefault="003F1AB5">
                <w:pPr>
                  <w:pStyle w:val="afffb"/>
                </w:pPr>
                <w:r>
                  <w:t>召开日期</w:t>
                </w:r>
              </w:p>
            </w:tc>
          </w:sdtContent>
        </w:sdt>
        <w:sdt>
          <w:sdtPr>
            <w:rPr>
              <w:rFonts w:hint="eastAsia"/>
            </w:rPr>
            <w:tag w:val="_PLD_12539db1b22e4f4592d7456feb9f22a6"/>
            <w:id w:val="-170260693"/>
          </w:sdtPr>
          <w:sdtEndPr/>
          <w:sdtContent>
            <w:tc>
              <w:tcPr>
                <w:tcW w:w="3217" w:type="pct"/>
                <w:tcBorders>
                  <w:bottom w:val="single" w:sz="4" w:space="0" w:color="auto"/>
                </w:tcBorders>
                <w:vAlign w:val="center"/>
              </w:tcPr>
              <w:p w:rsidR="004A3868" w:rsidRDefault="003F1AB5">
                <w:pPr>
                  <w:pStyle w:val="afffb"/>
                </w:pPr>
                <w:r>
                  <w:rPr>
                    <w:rFonts w:hint="eastAsia"/>
                  </w:rPr>
                  <w:t>会议决议</w:t>
                </w:r>
              </w:p>
            </w:tc>
          </w:sdtContent>
        </w:sdt>
      </w:tr>
      <w:tr w:rsidR="004A3868">
        <w:trPr>
          <w:trHeight w:val="397"/>
          <w:jc w:val="center"/>
        </w:trPr>
        <w:tc>
          <w:tcPr>
            <w:tcW w:w="1033" w:type="pct"/>
            <w:vAlign w:val="center"/>
          </w:tcPr>
          <w:p w:rsidR="004A3868" w:rsidRDefault="003F1AB5">
            <w:pPr>
              <w:pStyle w:val="afff9"/>
            </w:pPr>
            <w:r>
              <w:rPr>
                <w:rFonts w:hint="eastAsia"/>
              </w:rPr>
              <w:t>第三届第十五次会议</w:t>
            </w:r>
          </w:p>
        </w:tc>
        <w:tc>
          <w:tcPr>
            <w:tcW w:w="750" w:type="pct"/>
            <w:vAlign w:val="center"/>
          </w:tcPr>
          <w:p w:rsidR="004A3868" w:rsidRDefault="003F1AB5">
            <w:pPr>
              <w:pStyle w:val="afff9"/>
            </w:pPr>
            <w:r>
              <w:t>2023.03.27</w:t>
            </w:r>
          </w:p>
        </w:tc>
        <w:tc>
          <w:tcPr>
            <w:tcW w:w="3217"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4A3868" w:rsidRDefault="003F1AB5">
            <w:pPr>
              <w:pStyle w:val="afff9"/>
            </w:pPr>
            <w:r>
              <w:rPr>
                <w:rFonts w:hint="eastAsia"/>
              </w:rPr>
              <w:t>审议通过如下议案：</w:t>
            </w:r>
          </w:p>
          <w:p w:rsidR="004A3868" w:rsidRDefault="003F1AB5">
            <w:pPr>
              <w:pStyle w:val="afff9"/>
            </w:pPr>
            <w:r>
              <w:rPr>
                <w:rStyle w:val="font11"/>
                <w:rFonts w:asciiTheme="minorEastAsia" w:eastAsiaTheme="minorEastAsia" w:hAnsiTheme="minorEastAsia"/>
                <w:sz w:val="21"/>
                <w:szCs w:val="21"/>
              </w:rPr>
              <w:t>1.</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年度总经理工作报告的议案》</w:t>
            </w:r>
            <w:r>
              <w:br/>
            </w:r>
            <w:r>
              <w:rPr>
                <w:rStyle w:val="font11"/>
                <w:rFonts w:asciiTheme="minorEastAsia" w:eastAsiaTheme="minorEastAsia" w:hAnsiTheme="minorEastAsia"/>
                <w:sz w:val="21"/>
                <w:szCs w:val="21"/>
              </w:rPr>
              <w:t>2.</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年度董事会工作报告的议案》</w:t>
            </w:r>
            <w:r>
              <w:br/>
            </w:r>
            <w:r>
              <w:rPr>
                <w:rStyle w:val="font11"/>
                <w:rFonts w:asciiTheme="minorEastAsia" w:eastAsiaTheme="minorEastAsia" w:hAnsiTheme="minorEastAsia"/>
                <w:sz w:val="21"/>
                <w:szCs w:val="21"/>
              </w:rPr>
              <w:t>3.</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年度审计委员会履职报告的议案》</w:t>
            </w:r>
            <w:r>
              <w:br/>
            </w:r>
            <w:r>
              <w:rPr>
                <w:rStyle w:val="font11"/>
                <w:rFonts w:asciiTheme="minorEastAsia" w:eastAsiaTheme="minorEastAsia" w:hAnsiTheme="minorEastAsia"/>
                <w:sz w:val="21"/>
                <w:szCs w:val="21"/>
              </w:rPr>
              <w:t>4.</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年度财务决算报告的议案》</w:t>
            </w:r>
            <w:r>
              <w:br/>
            </w:r>
            <w:r>
              <w:rPr>
                <w:rStyle w:val="font11"/>
                <w:rFonts w:asciiTheme="minorEastAsia" w:eastAsiaTheme="minorEastAsia" w:hAnsiTheme="minorEastAsia"/>
                <w:sz w:val="21"/>
                <w:szCs w:val="21"/>
              </w:rPr>
              <w:t>5.</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2023</w:t>
            </w:r>
            <w:r>
              <w:rPr>
                <w:rStyle w:val="font21"/>
                <w:rFonts w:asciiTheme="minorEastAsia" w:eastAsiaTheme="minorEastAsia" w:hAnsiTheme="minorEastAsia" w:hint="default"/>
                <w:sz w:val="21"/>
                <w:szCs w:val="21"/>
              </w:rPr>
              <w:t>年度财务预算报告的议案》</w:t>
            </w:r>
            <w:r>
              <w:br/>
            </w:r>
            <w:r>
              <w:rPr>
                <w:rStyle w:val="font11"/>
                <w:rFonts w:asciiTheme="minorEastAsia" w:eastAsiaTheme="minorEastAsia" w:hAnsiTheme="minorEastAsia"/>
                <w:sz w:val="21"/>
                <w:szCs w:val="21"/>
              </w:rPr>
              <w:t>6.</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年度利润分配方案的议案》</w:t>
            </w:r>
            <w:r>
              <w:br/>
            </w:r>
            <w:r>
              <w:rPr>
                <w:rStyle w:val="font11"/>
                <w:rFonts w:asciiTheme="minorEastAsia" w:eastAsiaTheme="minorEastAsia" w:hAnsiTheme="minorEastAsia"/>
                <w:sz w:val="21"/>
                <w:szCs w:val="21"/>
              </w:rPr>
              <w:t>7.</w:t>
            </w:r>
            <w:r>
              <w:rPr>
                <w:rStyle w:val="font21"/>
                <w:rFonts w:asciiTheme="minorEastAsia" w:eastAsiaTheme="minorEastAsia" w:hAnsiTheme="minorEastAsia" w:hint="default"/>
                <w:sz w:val="21"/>
                <w:szCs w:val="21"/>
              </w:rPr>
              <w:t>《关于续聘会计师事务所的议案》</w:t>
            </w:r>
            <w:r>
              <w:br/>
            </w:r>
            <w:r>
              <w:rPr>
                <w:rStyle w:val="font11"/>
                <w:rFonts w:asciiTheme="minorEastAsia" w:eastAsiaTheme="minorEastAsia" w:hAnsiTheme="minorEastAsia"/>
                <w:sz w:val="21"/>
                <w:szCs w:val="21"/>
              </w:rPr>
              <w:t>8.</w:t>
            </w:r>
            <w:r>
              <w:rPr>
                <w:rStyle w:val="font21"/>
                <w:rFonts w:asciiTheme="minorEastAsia" w:eastAsiaTheme="minorEastAsia" w:hAnsiTheme="minorEastAsia" w:hint="default"/>
                <w:sz w:val="21"/>
                <w:szCs w:val="21"/>
              </w:rPr>
              <w:t>《关于审议高级管理人员薪酬的议案》</w:t>
            </w:r>
            <w:r>
              <w:br/>
            </w:r>
            <w:r>
              <w:rPr>
                <w:rStyle w:val="font11"/>
                <w:rFonts w:asciiTheme="minorEastAsia" w:eastAsiaTheme="minorEastAsia" w:hAnsiTheme="minorEastAsia"/>
                <w:sz w:val="21"/>
                <w:szCs w:val="21"/>
              </w:rPr>
              <w:t>9.</w:t>
            </w:r>
            <w:r>
              <w:rPr>
                <w:rStyle w:val="font21"/>
                <w:rFonts w:asciiTheme="minorEastAsia" w:eastAsiaTheme="minorEastAsia" w:hAnsiTheme="minorEastAsia" w:hint="default"/>
                <w:sz w:val="21"/>
                <w:szCs w:val="21"/>
              </w:rPr>
              <w:t>《关于审议董事薪酬的议案》</w:t>
            </w:r>
            <w:r>
              <w:br/>
            </w:r>
            <w:r>
              <w:rPr>
                <w:rStyle w:val="font11"/>
                <w:rFonts w:asciiTheme="minorEastAsia" w:eastAsiaTheme="minorEastAsia" w:hAnsiTheme="minorEastAsia"/>
                <w:sz w:val="21"/>
                <w:szCs w:val="21"/>
              </w:rPr>
              <w:t>10.</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年年度报告全文及其摘要的议案》</w:t>
            </w:r>
            <w:r>
              <w:br/>
            </w:r>
            <w:r>
              <w:rPr>
                <w:rStyle w:val="font11"/>
                <w:rFonts w:asciiTheme="minorEastAsia" w:eastAsiaTheme="minorEastAsia" w:hAnsiTheme="minorEastAsia"/>
                <w:sz w:val="21"/>
                <w:szCs w:val="21"/>
              </w:rPr>
              <w:lastRenderedPageBreak/>
              <w:t>11.</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年度内部控制自我评价报告的议案》</w:t>
            </w:r>
            <w:r>
              <w:br/>
            </w:r>
            <w:r>
              <w:rPr>
                <w:rStyle w:val="font11"/>
                <w:rFonts w:asciiTheme="minorEastAsia" w:eastAsiaTheme="minorEastAsia" w:hAnsiTheme="minorEastAsia"/>
                <w:sz w:val="21"/>
                <w:szCs w:val="21"/>
              </w:rPr>
              <w:t>12.</w:t>
            </w:r>
            <w:r>
              <w:rPr>
                <w:rStyle w:val="font21"/>
                <w:rFonts w:asciiTheme="minorEastAsia" w:eastAsiaTheme="minorEastAsia" w:hAnsiTheme="minorEastAsia" w:hint="default"/>
                <w:sz w:val="21"/>
                <w:szCs w:val="21"/>
              </w:rPr>
              <w:t>《关于预计公司</w:t>
            </w:r>
            <w:r>
              <w:rPr>
                <w:rStyle w:val="font11"/>
                <w:rFonts w:asciiTheme="minorEastAsia" w:eastAsiaTheme="minorEastAsia" w:hAnsiTheme="minorEastAsia"/>
                <w:sz w:val="21"/>
                <w:szCs w:val="21"/>
              </w:rPr>
              <w:t>2023</w:t>
            </w:r>
            <w:r>
              <w:rPr>
                <w:rStyle w:val="font21"/>
                <w:rFonts w:asciiTheme="minorEastAsia" w:eastAsiaTheme="minorEastAsia" w:hAnsiTheme="minorEastAsia" w:hint="default"/>
                <w:sz w:val="21"/>
                <w:szCs w:val="21"/>
              </w:rPr>
              <w:t>年度日常关联交易的议案》</w:t>
            </w:r>
            <w:r>
              <w:br/>
            </w:r>
            <w:r>
              <w:rPr>
                <w:rStyle w:val="font11"/>
                <w:rFonts w:asciiTheme="minorEastAsia" w:eastAsiaTheme="minorEastAsia" w:hAnsiTheme="minorEastAsia"/>
                <w:sz w:val="21"/>
                <w:szCs w:val="21"/>
              </w:rPr>
              <w:t>13.</w:t>
            </w:r>
            <w:r>
              <w:rPr>
                <w:rStyle w:val="font21"/>
                <w:rFonts w:asciiTheme="minorEastAsia" w:eastAsiaTheme="minorEastAsia" w:hAnsiTheme="minorEastAsia" w:hint="default"/>
                <w:sz w:val="21"/>
                <w:szCs w:val="21"/>
              </w:rPr>
              <w:t>《关于</w:t>
            </w:r>
            <w:r>
              <w:rPr>
                <w:rStyle w:val="font11"/>
                <w:rFonts w:asciiTheme="minorEastAsia" w:eastAsiaTheme="minorEastAsia" w:hAnsiTheme="minorEastAsia"/>
                <w:sz w:val="21"/>
                <w:szCs w:val="21"/>
              </w:rPr>
              <w:t>2023</w:t>
            </w:r>
            <w:r>
              <w:rPr>
                <w:rStyle w:val="font21"/>
                <w:rFonts w:asciiTheme="minorEastAsia" w:eastAsiaTheme="minorEastAsia" w:hAnsiTheme="minorEastAsia" w:hint="default"/>
                <w:sz w:val="21"/>
                <w:szCs w:val="21"/>
              </w:rPr>
              <w:t>年度向银行等金融机构申请综合授信额度及为子公司提供融资担保额度的议案》</w:t>
            </w:r>
            <w:r>
              <w:br/>
            </w:r>
            <w:r>
              <w:rPr>
                <w:rStyle w:val="font11"/>
                <w:rFonts w:asciiTheme="minorEastAsia" w:eastAsiaTheme="minorEastAsia" w:hAnsiTheme="minorEastAsia"/>
                <w:sz w:val="21"/>
                <w:szCs w:val="21"/>
              </w:rPr>
              <w:t>14.</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年度独立董事述职报告的议案》</w:t>
            </w:r>
            <w:r>
              <w:br/>
            </w:r>
            <w:r>
              <w:rPr>
                <w:rStyle w:val="font11"/>
                <w:rFonts w:asciiTheme="minorEastAsia" w:eastAsiaTheme="minorEastAsia" w:hAnsiTheme="minorEastAsia"/>
                <w:sz w:val="21"/>
                <w:szCs w:val="21"/>
              </w:rPr>
              <w:t>15.</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年度募集资金存放与使用情况的专项报告的议案》</w:t>
            </w:r>
            <w:r>
              <w:br/>
            </w:r>
            <w:r>
              <w:rPr>
                <w:rStyle w:val="font11"/>
                <w:rFonts w:asciiTheme="minorEastAsia" w:eastAsiaTheme="minorEastAsia" w:hAnsiTheme="minorEastAsia"/>
                <w:sz w:val="21"/>
                <w:szCs w:val="21"/>
              </w:rPr>
              <w:t>16.</w:t>
            </w:r>
            <w:r>
              <w:rPr>
                <w:rStyle w:val="font21"/>
                <w:rFonts w:asciiTheme="minorEastAsia" w:eastAsiaTheme="minorEastAsia" w:hAnsiTheme="minorEastAsia" w:hint="default"/>
                <w:sz w:val="21"/>
                <w:szCs w:val="21"/>
              </w:rPr>
              <w:t>《关于会计政策变更的议案》</w:t>
            </w:r>
            <w:r>
              <w:br/>
            </w:r>
            <w:r>
              <w:rPr>
                <w:rStyle w:val="font11"/>
                <w:rFonts w:asciiTheme="minorEastAsia" w:eastAsiaTheme="minorEastAsia" w:hAnsiTheme="minorEastAsia"/>
                <w:sz w:val="21"/>
                <w:szCs w:val="21"/>
              </w:rPr>
              <w:t>17.</w:t>
            </w:r>
            <w:r>
              <w:rPr>
                <w:rStyle w:val="font21"/>
                <w:rFonts w:asciiTheme="minorEastAsia" w:eastAsiaTheme="minorEastAsia" w:hAnsiTheme="minorEastAsia" w:hint="default"/>
                <w:sz w:val="21"/>
                <w:szCs w:val="21"/>
              </w:rPr>
              <w:t>《关于部分募集资金投资项目延期的议案》</w:t>
            </w:r>
            <w:r>
              <w:br/>
            </w:r>
            <w:r>
              <w:rPr>
                <w:rStyle w:val="font11"/>
                <w:rFonts w:asciiTheme="minorEastAsia" w:eastAsiaTheme="minorEastAsia" w:hAnsiTheme="minorEastAsia"/>
                <w:sz w:val="21"/>
                <w:szCs w:val="21"/>
              </w:rPr>
              <w:t>18.</w:t>
            </w:r>
            <w:r>
              <w:rPr>
                <w:rStyle w:val="font21"/>
                <w:rFonts w:asciiTheme="minorEastAsia" w:eastAsiaTheme="minorEastAsia" w:hAnsiTheme="minorEastAsia" w:hint="default"/>
                <w:sz w:val="21"/>
                <w:szCs w:val="21"/>
              </w:rPr>
              <w:t>《关于提请召开</w:t>
            </w:r>
            <w:r>
              <w:rPr>
                <w:rStyle w:val="font11"/>
                <w:rFonts w:asciiTheme="minorEastAsia" w:eastAsiaTheme="minorEastAsia" w:hAnsiTheme="minorEastAsia"/>
                <w:sz w:val="21"/>
                <w:szCs w:val="21"/>
              </w:rPr>
              <w:t>2022</w:t>
            </w:r>
            <w:r>
              <w:rPr>
                <w:rStyle w:val="font21"/>
                <w:rFonts w:asciiTheme="minorEastAsia" w:eastAsiaTheme="minorEastAsia" w:hAnsiTheme="minorEastAsia" w:hint="default"/>
                <w:sz w:val="21"/>
                <w:szCs w:val="21"/>
              </w:rPr>
              <w:t>年年度股东大会的议案》</w:t>
            </w:r>
          </w:p>
        </w:tc>
      </w:tr>
      <w:tr w:rsidR="004A3868">
        <w:trPr>
          <w:trHeight w:val="397"/>
          <w:jc w:val="center"/>
        </w:trPr>
        <w:tc>
          <w:tcPr>
            <w:tcW w:w="1033" w:type="pct"/>
            <w:vAlign w:val="center"/>
          </w:tcPr>
          <w:p w:rsidR="004A3868" w:rsidRDefault="003F1AB5">
            <w:pPr>
              <w:pStyle w:val="afff9"/>
            </w:pPr>
            <w:r>
              <w:rPr>
                <w:rFonts w:hint="eastAsia"/>
              </w:rPr>
              <w:lastRenderedPageBreak/>
              <w:t>第三届第十六次会议</w:t>
            </w:r>
          </w:p>
        </w:tc>
        <w:tc>
          <w:tcPr>
            <w:tcW w:w="750" w:type="pct"/>
            <w:vAlign w:val="center"/>
          </w:tcPr>
          <w:p w:rsidR="004A3868" w:rsidRDefault="003F1AB5">
            <w:pPr>
              <w:pStyle w:val="afff9"/>
            </w:pPr>
            <w:r>
              <w:t>2023.04.25</w:t>
            </w:r>
          </w:p>
        </w:tc>
        <w:tc>
          <w:tcPr>
            <w:tcW w:w="321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868" w:rsidRDefault="003F1AB5">
            <w:pPr>
              <w:pStyle w:val="afff9"/>
            </w:pPr>
            <w:r>
              <w:rPr>
                <w:rFonts w:hint="eastAsia"/>
              </w:rPr>
              <w:t>审议通过如下议案：</w:t>
            </w:r>
          </w:p>
          <w:p w:rsidR="004A3868" w:rsidRDefault="003F1AB5">
            <w:pPr>
              <w:pStyle w:val="afff9"/>
            </w:pPr>
            <w:r>
              <w:rPr>
                <w:rStyle w:val="font11"/>
                <w:rFonts w:asciiTheme="minorEastAsia" w:eastAsiaTheme="minorEastAsia" w:hAnsiTheme="minorEastAsia"/>
                <w:sz w:val="21"/>
                <w:szCs w:val="21"/>
              </w:rPr>
              <w:t>1.</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2023</w:t>
            </w:r>
            <w:r>
              <w:rPr>
                <w:rStyle w:val="font21"/>
                <w:rFonts w:asciiTheme="minorEastAsia" w:eastAsiaTheme="minorEastAsia" w:hAnsiTheme="minorEastAsia" w:hint="default"/>
                <w:sz w:val="21"/>
                <w:szCs w:val="21"/>
              </w:rPr>
              <w:t>年第一季度报告的议案》</w:t>
            </w:r>
            <w:r>
              <w:br/>
            </w:r>
            <w:r>
              <w:rPr>
                <w:rStyle w:val="font11"/>
                <w:rFonts w:asciiTheme="minorEastAsia" w:eastAsiaTheme="minorEastAsia" w:hAnsiTheme="minorEastAsia"/>
                <w:sz w:val="21"/>
                <w:szCs w:val="21"/>
              </w:rPr>
              <w:t>2.</w:t>
            </w:r>
            <w:r>
              <w:rPr>
                <w:rStyle w:val="font21"/>
                <w:rFonts w:asciiTheme="minorEastAsia" w:eastAsiaTheme="minorEastAsia" w:hAnsiTheme="minorEastAsia" w:hint="default"/>
                <w:sz w:val="21"/>
                <w:szCs w:val="21"/>
              </w:rPr>
              <w:t>《关于使用暂时闲置募集资金进行现金管理的议案》</w:t>
            </w:r>
            <w:r>
              <w:br/>
            </w:r>
            <w:r>
              <w:rPr>
                <w:rStyle w:val="font11"/>
                <w:rFonts w:asciiTheme="minorEastAsia" w:eastAsiaTheme="minorEastAsia" w:hAnsiTheme="minorEastAsia"/>
                <w:sz w:val="21"/>
                <w:szCs w:val="21"/>
              </w:rPr>
              <w:t>3.</w:t>
            </w:r>
            <w:r>
              <w:rPr>
                <w:rStyle w:val="font21"/>
                <w:rFonts w:asciiTheme="minorEastAsia" w:eastAsiaTheme="minorEastAsia" w:hAnsiTheme="minorEastAsia" w:hint="default"/>
                <w:sz w:val="21"/>
                <w:szCs w:val="21"/>
              </w:rPr>
              <w:t>《关于修改远期结售汇业务内部控制制度的议案》</w:t>
            </w:r>
            <w:r>
              <w:br/>
            </w:r>
            <w:r>
              <w:rPr>
                <w:rStyle w:val="font11"/>
                <w:rFonts w:asciiTheme="minorEastAsia" w:eastAsiaTheme="minorEastAsia" w:hAnsiTheme="minorEastAsia"/>
                <w:sz w:val="21"/>
                <w:szCs w:val="21"/>
              </w:rPr>
              <w:t>4.</w:t>
            </w:r>
            <w:r>
              <w:rPr>
                <w:rStyle w:val="font21"/>
                <w:rFonts w:asciiTheme="minorEastAsia" w:eastAsiaTheme="minorEastAsia" w:hAnsiTheme="minorEastAsia" w:hint="default"/>
                <w:sz w:val="21"/>
                <w:szCs w:val="21"/>
              </w:rPr>
              <w:t>《关于开展外汇套期保值业务的议案》</w:t>
            </w:r>
            <w:r>
              <w:br/>
            </w:r>
            <w:r>
              <w:rPr>
                <w:rStyle w:val="font11"/>
                <w:rFonts w:asciiTheme="minorEastAsia" w:eastAsiaTheme="minorEastAsia" w:hAnsiTheme="minorEastAsia"/>
                <w:sz w:val="21"/>
                <w:szCs w:val="21"/>
              </w:rPr>
              <w:t>5.</w:t>
            </w:r>
            <w:r>
              <w:rPr>
                <w:rStyle w:val="font21"/>
                <w:rFonts w:asciiTheme="minorEastAsia" w:eastAsiaTheme="minorEastAsia" w:hAnsiTheme="minorEastAsia" w:hint="default"/>
                <w:sz w:val="21"/>
                <w:szCs w:val="21"/>
              </w:rPr>
              <w:t>《关于变更经营范围及修订</w:t>
            </w:r>
            <w:r>
              <w:rPr>
                <w:rStyle w:val="font11"/>
                <w:rFonts w:asciiTheme="minorEastAsia" w:eastAsiaTheme="minorEastAsia" w:hAnsiTheme="minorEastAsia"/>
                <w:sz w:val="21"/>
                <w:szCs w:val="21"/>
              </w:rPr>
              <w:t>&lt;</w:t>
            </w:r>
            <w:r>
              <w:rPr>
                <w:rStyle w:val="font21"/>
                <w:rFonts w:asciiTheme="minorEastAsia" w:eastAsiaTheme="minorEastAsia" w:hAnsiTheme="minorEastAsia" w:hint="default"/>
                <w:sz w:val="21"/>
                <w:szCs w:val="21"/>
              </w:rPr>
              <w:t>公司章程</w:t>
            </w:r>
            <w:r>
              <w:rPr>
                <w:rStyle w:val="font11"/>
                <w:rFonts w:asciiTheme="minorEastAsia" w:eastAsiaTheme="minorEastAsia" w:hAnsiTheme="minorEastAsia"/>
                <w:sz w:val="21"/>
                <w:szCs w:val="21"/>
              </w:rPr>
              <w:t>&gt;</w:t>
            </w:r>
            <w:r>
              <w:rPr>
                <w:rStyle w:val="font21"/>
                <w:rFonts w:asciiTheme="minorEastAsia" w:eastAsiaTheme="minorEastAsia" w:hAnsiTheme="minorEastAsia" w:hint="default"/>
                <w:sz w:val="21"/>
                <w:szCs w:val="21"/>
              </w:rPr>
              <w:t>的议案》</w:t>
            </w:r>
            <w:r>
              <w:br/>
            </w:r>
            <w:r>
              <w:rPr>
                <w:rStyle w:val="font11"/>
                <w:rFonts w:asciiTheme="minorEastAsia" w:eastAsiaTheme="minorEastAsia" w:hAnsiTheme="minorEastAsia"/>
                <w:sz w:val="21"/>
                <w:szCs w:val="21"/>
              </w:rPr>
              <w:t>6.</w:t>
            </w:r>
            <w:r>
              <w:rPr>
                <w:rStyle w:val="font21"/>
                <w:rFonts w:asciiTheme="minorEastAsia" w:eastAsiaTheme="minorEastAsia" w:hAnsiTheme="minorEastAsia" w:hint="default"/>
                <w:sz w:val="21"/>
                <w:szCs w:val="21"/>
              </w:rPr>
              <w:t>《关于提请召开</w:t>
            </w:r>
            <w:r>
              <w:rPr>
                <w:rStyle w:val="font11"/>
                <w:rFonts w:asciiTheme="minorEastAsia" w:eastAsiaTheme="minorEastAsia" w:hAnsiTheme="minorEastAsia"/>
                <w:sz w:val="21"/>
                <w:szCs w:val="21"/>
              </w:rPr>
              <w:t>2023</w:t>
            </w:r>
            <w:r>
              <w:rPr>
                <w:rStyle w:val="font21"/>
                <w:rFonts w:asciiTheme="minorEastAsia" w:eastAsiaTheme="minorEastAsia" w:hAnsiTheme="minorEastAsia" w:hint="default"/>
                <w:sz w:val="21"/>
                <w:szCs w:val="21"/>
              </w:rPr>
              <w:t>年第一次临时股东大会的议案》</w:t>
            </w:r>
          </w:p>
        </w:tc>
      </w:tr>
      <w:tr w:rsidR="004A3868">
        <w:trPr>
          <w:trHeight w:val="397"/>
          <w:jc w:val="center"/>
        </w:trPr>
        <w:tc>
          <w:tcPr>
            <w:tcW w:w="1033" w:type="pct"/>
            <w:vAlign w:val="center"/>
          </w:tcPr>
          <w:p w:rsidR="004A3868" w:rsidRDefault="003F1AB5">
            <w:pPr>
              <w:pStyle w:val="afff9"/>
            </w:pPr>
            <w:r>
              <w:rPr>
                <w:rFonts w:hint="eastAsia"/>
              </w:rPr>
              <w:t>第三届第十七次会议</w:t>
            </w:r>
          </w:p>
        </w:tc>
        <w:tc>
          <w:tcPr>
            <w:tcW w:w="750" w:type="pct"/>
            <w:vAlign w:val="center"/>
          </w:tcPr>
          <w:p w:rsidR="004A3868" w:rsidRDefault="003F1AB5">
            <w:pPr>
              <w:pStyle w:val="afff9"/>
            </w:pPr>
            <w:r>
              <w:t>2023.8.21</w:t>
            </w:r>
          </w:p>
        </w:tc>
        <w:tc>
          <w:tcPr>
            <w:tcW w:w="321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868" w:rsidRDefault="003F1AB5">
            <w:pPr>
              <w:pStyle w:val="afff9"/>
            </w:pPr>
            <w:r>
              <w:rPr>
                <w:rFonts w:hint="eastAsia"/>
              </w:rPr>
              <w:t>审议通过如下议案：</w:t>
            </w:r>
          </w:p>
          <w:p w:rsidR="004A3868" w:rsidRDefault="003F1AB5">
            <w:pPr>
              <w:pStyle w:val="afff9"/>
            </w:pPr>
            <w:r>
              <w:rPr>
                <w:rStyle w:val="font11"/>
                <w:rFonts w:asciiTheme="minorEastAsia" w:eastAsiaTheme="minorEastAsia" w:hAnsiTheme="minorEastAsia"/>
                <w:sz w:val="21"/>
                <w:szCs w:val="21"/>
              </w:rPr>
              <w:t>1.</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2023</w:t>
            </w:r>
            <w:r>
              <w:rPr>
                <w:rStyle w:val="font21"/>
                <w:rFonts w:asciiTheme="minorEastAsia" w:eastAsiaTheme="minorEastAsia" w:hAnsiTheme="minorEastAsia" w:hint="default"/>
                <w:sz w:val="21"/>
                <w:szCs w:val="21"/>
              </w:rPr>
              <w:t>年半年度报告全文及报告摘要的议案》</w:t>
            </w:r>
            <w:r>
              <w:br/>
            </w:r>
            <w:r>
              <w:rPr>
                <w:rStyle w:val="font11"/>
                <w:rFonts w:asciiTheme="minorEastAsia" w:eastAsiaTheme="minorEastAsia" w:hAnsiTheme="minorEastAsia"/>
                <w:sz w:val="21"/>
                <w:szCs w:val="21"/>
              </w:rPr>
              <w:t>2.</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2023</w:t>
            </w:r>
            <w:r>
              <w:rPr>
                <w:rStyle w:val="font21"/>
                <w:rFonts w:asciiTheme="minorEastAsia" w:eastAsiaTheme="minorEastAsia" w:hAnsiTheme="minorEastAsia" w:hint="default"/>
                <w:sz w:val="21"/>
                <w:szCs w:val="21"/>
              </w:rPr>
              <w:t>年半年度募集资金存放与使用情况的专项报告的议案》</w:t>
            </w:r>
            <w:r>
              <w:br/>
            </w:r>
            <w:r>
              <w:rPr>
                <w:rStyle w:val="font11"/>
                <w:rFonts w:asciiTheme="minorEastAsia" w:eastAsiaTheme="minorEastAsia" w:hAnsiTheme="minorEastAsia"/>
                <w:sz w:val="21"/>
                <w:szCs w:val="21"/>
              </w:rPr>
              <w:t>3.</w:t>
            </w:r>
            <w:r>
              <w:rPr>
                <w:rStyle w:val="font21"/>
                <w:rFonts w:asciiTheme="minorEastAsia" w:eastAsiaTheme="minorEastAsia" w:hAnsiTheme="minorEastAsia" w:hint="default"/>
                <w:sz w:val="21"/>
                <w:szCs w:val="21"/>
              </w:rPr>
              <w:t>《关于收购子公司股权暨关联交易的议案》</w:t>
            </w:r>
          </w:p>
        </w:tc>
      </w:tr>
      <w:tr w:rsidR="004A3868">
        <w:trPr>
          <w:trHeight w:val="397"/>
          <w:jc w:val="center"/>
        </w:trPr>
        <w:tc>
          <w:tcPr>
            <w:tcW w:w="1033" w:type="pct"/>
            <w:vAlign w:val="center"/>
          </w:tcPr>
          <w:p w:rsidR="004A3868" w:rsidRDefault="003F1AB5">
            <w:pPr>
              <w:pStyle w:val="afff9"/>
            </w:pPr>
            <w:r>
              <w:rPr>
                <w:rFonts w:hint="eastAsia"/>
              </w:rPr>
              <w:t>第三届第十八次会议</w:t>
            </w:r>
          </w:p>
        </w:tc>
        <w:tc>
          <w:tcPr>
            <w:tcW w:w="750" w:type="pct"/>
            <w:vAlign w:val="center"/>
          </w:tcPr>
          <w:p w:rsidR="004A3868" w:rsidRDefault="003F1AB5">
            <w:pPr>
              <w:pStyle w:val="afff9"/>
            </w:pPr>
            <w:r>
              <w:t>2023.10.25</w:t>
            </w:r>
          </w:p>
        </w:tc>
        <w:tc>
          <w:tcPr>
            <w:tcW w:w="321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868" w:rsidRDefault="003F1AB5">
            <w:pPr>
              <w:pStyle w:val="afff9"/>
            </w:pPr>
            <w:r>
              <w:rPr>
                <w:rFonts w:hint="eastAsia"/>
              </w:rPr>
              <w:t>审议通过如下议案：</w:t>
            </w:r>
          </w:p>
          <w:p w:rsidR="004A3868" w:rsidRDefault="003F1AB5">
            <w:pPr>
              <w:pStyle w:val="afff9"/>
            </w:pPr>
            <w:r>
              <w:rPr>
                <w:rStyle w:val="font11"/>
                <w:rFonts w:asciiTheme="minorEastAsia" w:eastAsiaTheme="minorEastAsia" w:hAnsiTheme="minorEastAsia"/>
                <w:sz w:val="21"/>
                <w:szCs w:val="21"/>
              </w:rPr>
              <w:t>1.</w:t>
            </w:r>
            <w:r>
              <w:rPr>
                <w:rStyle w:val="font21"/>
                <w:rFonts w:asciiTheme="minorEastAsia" w:eastAsiaTheme="minorEastAsia" w:hAnsiTheme="minorEastAsia" w:hint="default"/>
                <w:sz w:val="21"/>
                <w:szCs w:val="21"/>
              </w:rPr>
              <w:t>《关于公司</w:t>
            </w:r>
            <w:r>
              <w:rPr>
                <w:rStyle w:val="font11"/>
                <w:rFonts w:asciiTheme="minorEastAsia" w:eastAsiaTheme="minorEastAsia" w:hAnsiTheme="minorEastAsia"/>
                <w:sz w:val="21"/>
                <w:szCs w:val="21"/>
              </w:rPr>
              <w:t>&lt;2023</w:t>
            </w:r>
            <w:r>
              <w:rPr>
                <w:rStyle w:val="font21"/>
                <w:rFonts w:asciiTheme="minorEastAsia" w:eastAsiaTheme="minorEastAsia" w:hAnsiTheme="minorEastAsia" w:hint="default"/>
                <w:sz w:val="21"/>
                <w:szCs w:val="21"/>
              </w:rPr>
              <w:t>年度第三季度报告</w:t>
            </w:r>
            <w:r>
              <w:rPr>
                <w:rStyle w:val="font11"/>
                <w:rFonts w:asciiTheme="minorEastAsia" w:eastAsiaTheme="minorEastAsia" w:hAnsiTheme="minorEastAsia"/>
                <w:sz w:val="21"/>
                <w:szCs w:val="21"/>
              </w:rPr>
              <w:t>&gt;</w:t>
            </w:r>
            <w:r>
              <w:rPr>
                <w:rStyle w:val="font21"/>
                <w:rFonts w:asciiTheme="minorEastAsia" w:eastAsiaTheme="minorEastAsia" w:hAnsiTheme="minorEastAsia" w:hint="default"/>
                <w:sz w:val="21"/>
                <w:szCs w:val="21"/>
              </w:rPr>
              <w:t>的议案》</w:t>
            </w:r>
            <w:r>
              <w:br/>
            </w:r>
            <w:r>
              <w:rPr>
                <w:rStyle w:val="font11"/>
                <w:rFonts w:asciiTheme="minorEastAsia" w:eastAsiaTheme="minorEastAsia" w:hAnsiTheme="minorEastAsia"/>
                <w:sz w:val="21"/>
                <w:szCs w:val="21"/>
              </w:rPr>
              <w:t>2.</w:t>
            </w:r>
            <w:r>
              <w:rPr>
                <w:rStyle w:val="font21"/>
                <w:rFonts w:asciiTheme="minorEastAsia" w:eastAsiaTheme="minorEastAsia" w:hAnsiTheme="minorEastAsia" w:hint="default"/>
                <w:sz w:val="21"/>
                <w:szCs w:val="21"/>
              </w:rPr>
              <w:t>《关于使用自有资金增加部分募投项目投资额的议案》</w:t>
            </w:r>
            <w:r>
              <w:br/>
            </w:r>
            <w:r>
              <w:rPr>
                <w:rStyle w:val="font11"/>
                <w:rFonts w:asciiTheme="minorEastAsia" w:eastAsiaTheme="minorEastAsia" w:hAnsiTheme="minorEastAsia"/>
                <w:sz w:val="21"/>
                <w:szCs w:val="21"/>
              </w:rPr>
              <w:t>3.</w:t>
            </w:r>
            <w:r>
              <w:rPr>
                <w:rStyle w:val="font21"/>
                <w:rFonts w:asciiTheme="minorEastAsia" w:eastAsiaTheme="minorEastAsia" w:hAnsiTheme="minorEastAsia" w:hint="default"/>
                <w:sz w:val="21"/>
                <w:szCs w:val="21"/>
              </w:rPr>
              <w:t>《关于变更部分募集资金用途并实施新募投项目的议案》</w:t>
            </w:r>
            <w:r>
              <w:br/>
            </w:r>
            <w:r>
              <w:rPr>
                <w:rStyle w:val="font11"/>
                <w:rFonts w:asciiTheme="minorEastAsia" w:eastAsiaTheme="minorEastAsia" w:hAnsiTheme="minorEastAsia"/>
                <w:sz w:val="21"/>
                <w:szCs w:val="21"/>
              </w:rPr>
              <w:t>4.</w:t>
            </w:r>
            <w:r>
              <w:rPr>
                <w:rStyle w:val="font21"/>
                <w:rFonts w:asciiTheme="minorEastAsia" w:eastAsiaTheme="minorEastAsia" w:hAnsiTheme="minorEastAsia" w:hint="default"/>
                <w:sz w:val="21"/>
                <w:szCs w:val="21"/>
              </w:rPr>
              <w:t>《关于董事会换届选举暨提名第四届董事会非独立董事候选人的议案》</w:t>
            </w:r>
            <w:r>
              <w:br/>
            </w:r>
            <w:r>
              <w:rPr>
                <w:rStyle w:val="font11"/>
                <w:rFonts w:asciiTheme="minorEastAsia" w:eastAsiaTheme="minorEastAsia" w:hAnsiTheme="minorEastAsia"/>
                <w:sz w:val="21"/>
                <w:szCs w:val="21"/>
              </w:rPr>
              <w:t>5.</w:t>
            </w:r>
            <w:r>
              <w:rPr>
                <w:rStyle w:val="font21"/>
                <w:rFonts w:asciiTheme="minorEastAsia" w:eastAsiaTheme="minorEastAsia" w:hAnsiTheme="minorEastAsia" w:hint="default"/>
                <w:sz w:val="21"/>
                <w:szCs w:val="21"/>
              </w:rPr>
              <w:t>《关于董事会换届选举暨提名第四届董事会独立董事候选人的议案》</w:t>
            </w:r>
            <w:r>
              <w:rPr>
                <w:rStyle w:val="font11"/>
                <w:rFonts w:asciiTheme="minorEastAsia" w:eastAsiaTheme="minorEastAsia" w:hAnsiTheme="minorEastAsia"/>
                <w:sz w:val="21"/>
                <w:szCs w:val="21"/>
              </w:rPr>
              <w:t>6.</w:t>
            </w:r>
            <w:r>
              <w:rPr>
                <w:rStyle w:val="font21"/>
                <w:rFonts w:asciiTheme="minorEastAsia" w:eastAsiaTheme="minorEastAsia" w:hAnsiTheme="minorEastAsia" w:hint="default"/>
                <w:sz w:val="21"/>
                <w:szCs w:val="21"/>
              </w:rPr>
              <w:t>《关于修订</w:t>
            </w:r>
            <w:r>
              <w:rPr>
                <w:rStyle w:val="font11"/>
                <w:rFonts w:asciiTheme="minorEastAsia" w:eastAsiaTheme="minorEastAsia" w:hAnsiTheme="minorEastAsia"/>
                <w:sz w:val="21"/>
                <w:szCs w:val="21"/>
              </w:rPr>
              <w:t>&lt;</w:t>
            </w:r>
            <w:r>
              <w:rPr>
                <w:rStyle w:val="font21"/>
                <w:rFonts w:asciiTheme="minorEastAsia" w:eastAsiaTheme="minorEastAsia" w:hAnsiTheme="minorEastAsia" w:hint="default"/>
                <w:sz w:val="21"/>
                <w:szCs w:val="21"/>
              </w:rPr>
              <w:t>公司章程</w:t>
            </w:r>
            <w:r>
              <w:rPr>
                <w:rStyle w:val="font11"/>
                <w:rFonts w:asciiTheme="minorEastAsia" w:eastAsiaTheme="minorEastAsia" w:hAnsiTheme="minorEastAsia"/>
                <w:sz w:val="21"/>
                <w:szCs w:val="21"/>
              </w:rPr>
              <w:t>&gt;</w:t>
            </w:r>
            <w:r>
              <w:rPr>
                <w:rStyle w:val="font21"/>
                <w:rFonts w:asciiTheme="minorEastAsia" w:eastAsiaTheme="minorEastAsia" w:hAnsiTheme="minorEastAsia" w:hint="default"/>
                <w:sz w:val="21"/>
                <w:szCs w:val="21"/>
              </w:rPr>
              <w:t>的议案》</w:t>
            </w:r>
            <w:r>
              <w:br/>
            </w:r>
            <w:r>
              <w:rPr>
                <w:rStyle w:val="font11"/>
                <w:rFonts w:asciiTheme="minorEastAsia" w:eastAsiaTheme="minorEastAsia" w:hAnsiTheme="minorEastAsia"/>
                <w:sz w:val="21"/>
                <w:szCs w:val="21"/>
              </w:rPr>
              <w:t>7.</w:t>
            </w:r>
            <w:r>
              <w:rPr>
                <w:rStyle w:val="font21"/>
                <w:rFonts w:asciiTheme="minorEastAsia" w:eastAsiaTheme="minorEastAsia" w:hAnsiTheme="minorEastAsia" w:hint="default"/>
                <w:sz w:val="21"/>
                <w:szCs w:val="21"/>
              </w:rPr>
              <w:t>《关于修订公司内部管理制度的议案》</w:t>
            </w:r>
            <w:r>
              <w:br/>
            </w:r>
            <w:r>
              <w:rPr>
                <w:rStyle w:val="font11"/>
                <w:rFonts w:asciiTheme="minorEastAsia" w:eastAsiaTheme="minorEastAsia" w:hAnsiTheme="minorEastAsia"/>
                <w:sz w:val="21"/>
                <w:szCs w:val="21"/>
              </w:rPr>
              <w:t>8.</w:t>
            </w:r>
            <w:r>
              <w:rPr>
                <w:rStyle w:val="font21"/>
                <w:rFonts w:asciiTheme="minorEastAsia" w:eastAsiaTheme="minorEastAsia" w:hAnsiTheme="minorEastAsia" w:hint="default"/>
                <w:sz w:val="21"/>
                <w:szCs w:val="21"/>
              </w:rPr>
              <w:t>《关于以集中竞价方式回购公司股份方案的议案》</w:t>
            </w:r>
            <w:r>
              <w:br/>
            </w:r>
            <w:r>
              <w:rPr>
                <w:rStyle w:val="font11"/>
                <w:rFonts w:asciiTheme="minorEastAsia" w:eastAsiaTheme="minorEastAsia" w:hAnsiTheme="minorEastAsia"/>
                <w:sz w:val="21"/>
                <w:szCs w:val="21"/>
              </w:rPr>
              <w:t>9.</w:t>
            </w:r>
            <w:r>
              <w:rPr>
                <w:rStyle w:val="font21"/>
                <w:rFonts w:asciiTheme="minorEastAsia" w:eastAsiaTheme="minorEastAsia" w:hAnsiTheme="minorEastAsia" w:hint="default"/>
                <w:sz w:val="21"/>
                <w:szCs w:val="21"/>
              </w:rPr>
              <w:t>《关于提请召开公司</w:t>
            </w:r>
            <w:r>
              <w:rPr>
                <w:rStyle w:val="font11"/>
                <w:rFonts w:asciiTheme="minorEastAsia" w:eastAsiaTheme="minorEastAsia" w:hAnsiTheme="minorEastAsia"/>
                <w:sz w:val="21"/>
                <w:szCs w:val="21"/>
              </w:rPr>
              <w:t>2023</w:t>
            </w:r>
            <w:r>
              <w:rPr>
                <w:rStyle w:val="font21"/>
                <w:rFonts w:asciiTheme="minorEastAsia" w:eastAsiaTheme="minorEastAsia" w:hAnsiTheme="minorEastAsia" w:hint="default"/>
                <w:sz w:val="21"/>
                <w:szCs w:val="21"/>
              </w:rPr>
              <w:t>年第二次临时股东大会的议案》</w:t>
            </w:r>
          </w:p>
        </w:tc>
      </w:tr>
      <w:tr w:rsidR="004A3868">
        <w:trPr>
          <w:trHeight w:val="397"/>
          <w:jc w:val="center"/>
        </w:trPr>
        <w:tc>
          <w:tcPr>
            <w:tcW w:w="1033" w:type="pct"/>
            <w:vAlign w:val="center"/>
          </w:tcPr>
          <w:p w:rsidR="004A3868" w:rsidRDefault="003F1AB5">
            <w:pPr>
              <w:pStyle w:val="afff9"/>
            </w:pPr>
            <w:r>
              <w:rPr>
                <w:rFonts w:hint="eastAsia"/>
              </w:rPr>
              <w:t>第四届第一次会议</w:t>
            </w:r>
          </w:p>
        </w:tc>
        <w:tc>
          <w:tcPr>
            <w:tcW w:w="750" w:type="pct"/>
            <w:vAlign w:val="center"/>
          </w:tcPr>
          <w:p w:rsidR="004A3868" w:rsidRDefault="003F1AB5">
            <w:pPr>
              <w:pStyle w:val="afff9"/>
            </w:pPr>
            <w:r>
              <w:t>2023.11.13</w:t>
            </w:r>
          </w:p>
        </w:tc>
        <w:tc>
          <w:tcPr>
            <w:tcW w:w="321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A3868" w:rsidRDefault="003F1AB5">
            <w:pPr>
              <w:pStyle w:val="afff9"/>
            </w:pPr>
            <w:r>
              <w:rPr>
                <w:rStyle w:val="font11"/>
                <w:rFonts w:asciiTheme="minorEastAsia" w:eastAsiaTheme="minorEastAsia" w:hAnsiTheme="minorEastAsia"/>
                <w:sz w:val="21"/>
                <w:szCs w:val="21"/>
              </w:rPr>
              <w:t>1.</w:t>
            </w:r>
            <w:r>
              <w:rPr>
                <w:rStyle w:val="font21"/>
                <w:rFonts w:asciiTheme="minorEastAsia" w:eastAsiaTheme="minorEastAsia" w:hAnsiTheme="minorEastAsia" w:hint="default"/>
                <w:sz w:val="21"/>
                <w:szCs w:val="21"/>
              </w:rPr>
              <w:t>《关于选举第四届董事会董事长的议案》</w:t>
            </w:r>
            <w:r>
              <w:br/>
            </w:r>
            <w:r>
              <w:rPr>
                <w:rStyle w:val="font11"/>
                <w:rFonts w:asciiTheme="minorEastAsia" w:eastAsiaTheme="minorEastAsia" w:hAnsiTheme="minorEastAsia"/>
                <w:sz w:val="21"/>
                <w:szCs w:val="21"/>
              </w:rPr>
              <w:t>2.</w:t>
            </w:r>
            <w:r>
              <w:rPr>
                <w:rStyle w:val="font21"/>
                <w:rFonts w:asciiTheme="minorEastAsia" w:eastAsiaTheme="minorEastAsia" w:hAnsiTheme="minorEastAsia" w:hint="default"/>
                <w:sz w:val="21"/>
                <w:szCs w:val="21"/>
              </w:rPr>
              <w:t>《关于选举第四届董事会专门委员会的议案》</w:t>
            </w:r>
            <w:r>
              <w:br/>
            </w:r>
            <w:r>
              <w:rPr>
                <w:rStyle w:val="font11"/>
                <w:rFonts w:asciiTheme="minorEastAsia" w:eastAsiaTheme="minorEastAsia" w:hAnsiTheme="minorEastAsia"/>
                <w:sz w:val="21"/>
                <w:szCs w:val="21"/>
              </w:rPr>
              <w:t>3.</w:t>
            </w:r>
            <w:r>
              <w:rPr>
                <w:rStyle w:val="font21"/>
                <w:rFonts w:asciiTheme="minorEastAsia" w:eastAsiaTheme="minorEastAsia" w:hAnsiTheme="minorEastAsia" w:hint="default"/>
                <w:sz w:val="21"/>
                <w:szCs w:val="21"/>
              </w:rPr>
              <w:t>《关于聘任公司高级管理人员的议案》</w:t>
            </w:r>
            <w:r>
              <w:br/>
            </w:r>
            <w:r>
              <w:rPr>
                <w:rStyle w:val="font11"/>
                <w:rFonts w:asciiTheme="minorEastAsia" w:eastAsiaTheme="minorEastAsia" w:hAnsiTheme="minorEastAsia"/>
                <w:sz w:val="21"/>
                <w:szCs w:val="21"/>
              </w:rPr>
              <w:t>4.</w:t>
            </w:r>
            <w:r>
              <w:rPr>
                <w:rStyle w:val="font21"/>
                <w:rFonts w:asciiTheme="minorEastAsia" w:eastAsiaTheme="minorEastAsia" w:hAnsiTheme="minorEastAsia" w:hint="default"/>
                <w:sz w:val="21"/>
                <w:szCs w:val="21"/>
              </w:rPr>
              <w:t>《关于聘任公司证券事务代表的议案》</w:t>
            </w:r>
          </w:p>
        </w:tc>
      </w:tr>
      <w:bookmarkEnd w:id="51"/>
    </w:tbl>
    <w:p w:rsidR="004A3868" w:rsidRDefault="004A3868">
      <w:pPr>
        <w:pStyle w:val="Style124"/>
      </w:pPr>
    </w:p>
    <w:p w:rsidR="004A3868" w:rsidRDefault="003F1AB5">
      <w:pPr>
        <w:pStyle w:val="2"/>
        <w:numPr>
          <w:ilvl w:val="0"/>
          <w:numId w:val="21"/>
        </w:numPr>
      </w:pPr>
      <w:r>
        <w:t>董事履行职责情况</w:t>
      </w:r>
    </w:p>
    <w:p w:rsidR="004A3868" w:rsidRDefault="003F1AB5">
      <w:pPr>
        <w:pStyle w:val="Style127"/>
        <w:numPr>
          <w:ilvl w:val="0"/>
          <w:numId w:val="24"/>
        </w:numPr>
      </w:pPr>
      <w:r>
        <w:t>董事参加董事会和股东大会的情况</w:t>
      </w:r>
    </w:p>
    <w:tbl>
      <w:tblPr>
        <w:tblStyle w:val="aff5"/>
        <w:tblW w:w="5000" w:type="pct"/>
        <w:jc w:val="center"/>
        <w:tblLayout w:type="fixed"/>
        <w:tblCellMar>
          <w:left w:w="0" w:type="dxa"/>
          <w:right w:w="28" w:type="dxa"/>
        </w:tblCellMar>
        <w:tblLook w:val="04A0" w:firstRow="1" w:lastRow="0" w:firstColumn="1" w:lastColumn="0" w:noHBand="0" w:noVBand="1"/>
      </w:tblPr>
      <w:tblGrid>
        <w:gridCol w:w="1850"/>
        <w:gridCol w:w="771"/>
        <w:gridCol w:w="999"/>
        <w:gridCol w:w="776"/>
        <w:gridCol w:w="882"/>
        <w:gridCol w:w="824"/>
        <w:gridCol w:w="769"/>
        <w:gridCol w:w="805"/>
        <w:gridCol w:w="1147"/>
      </w:tblGrid>
      <w:tr w:rsidR="004A3868">
        <w:trPr>
          <w:trHeight w:val="397"/>
          <w:jc w:val="center"/>
        </w:trPr>
        <w:sdt>
          <w:sdtPr>
            <w:tag w:val="_PLD_fdf987702b2e46a4aaa1e3f20787a76c"/>
            <w:id w:val="1044722005"/>
          </w:sdtPr>
          <w:sdtEndPr/>
          <w:sdtContent>
            <w:tc>
              <w:tcPr>
                <w:tcW w:w="1048" w:type="pct"/>
                <w:vMerge w:val="restart"/>
                <w:vAlign w:val="bottom"/>
              </w:tcPr>
              <w:p w:rsidR="004A3868" w:rsidRDefault="003F1AB5">
                <w:pPr>
                  <w:pStyle w:val="afffb"/>
                </w:pPr>
                <w:r>
                  <w:rPr>
                    <w:rFonts w:hint="eastAsia"/>
                  </w:rPr>
                  <w:t>董事</w:t>
                </w:r>
              </w:p>
              <w:p w:rsidR="004A3868" w:rsidRDefault="003F1AB5">
                <w:pPr>
                  <w:pStyle w:val="afffb"/>
                </w:pPr>
                <w:r>
                  <w:rPr>
                    <w:rFonts w:hint="eastAsia"/>
                  </w:rPr>
                  <w:t>姓名</w:t>
                </w:r>
              </w:p>
            </w:tc>
          </w:sdtContent>
        </w:sdt>
        <w:sdt>
          <w:sdtPr>
            <w:tag w:val="_PLD_8c944f740a3a4784938038ab19e3a6ed"/>
            <w:id w:val="-542216356"/>
          </w:sdtPr>
          <w:sdtEndPr/>
          <w:sdtContent>
            <w:tc>
              <w:tcPr>
                <w:tcW w:w="437" w:type="pct"/>
                <w:vMerge w:val="restart"/>
                <w:vAlign w:val="bottom"/>
              </w:tcPr>
              <w:p w:rsidR="004A3868" w:rsidRDefault="003F1AB5">
                <w:pPr>
                  <w:pStyle w:val="afffb"/>
                </w:pPr>
                <w:r>
                  <w:t>是否独立董事</w:t>
                </w:r>
              </w:p>
            </w:tc>
          </w:sdtContent>
        </w:sdt>
        <w:sdt>
          <w:sdtPr>
            <w:tag w:val="_PLD_41002b55426142459adadb76d790d586"/>
            <w:id w:val="1833023631"/>
          </w:sdtPr>
          <w:sdtEndPr/>
          <w:sdtContent>
            <w:tc>
              <w:tcPr>
                <w:tcW w:w="2864" w:type="pct"/>
                <w:gridSpan w:val="6"/>
                <w:vAlign w:val="bottom"/>
              </w:tcPr>
              <w:p w:rsidR="004A3868" w:rsidRDefault="003F1AB5">
                <w:pPr>
                  <w:pStyle w:val="afffb"/>
                </w:pPr>
                <w:r>
                  <w:t>参加董事会情况</w:t>
                </w:r>
              </w:p>
            </w:tc>
          </w:sdtContent>
        </w:sdt>
        <w:sdt>
          <w:sdtPr>
            <w:tag w:val="_PLD_a86ab0ba65874193bf46821cd6a13f4f"/>
            <w:id w:val="-1398211930"/>
          </w:sdtPr>
          <w:sdtEndPr/>
          <w:sdtContent>
            <w:tc>
              <w:tcPr>
                <w:tcW w:w="650" w:type="pct"/>
                <w:vAlign w:val="bottom"/>
              </w:tcPr>
              <w:p w:rsidR="004A3868" w:rsidRDefault="003F1AB5">
                <w:pPr>
                  <w:pStyle w:val="afffb"/>
                </w:pPr>
                <w:r>
                  <w:t>参加股东大会情况</w:t>
                </w:r>
              </w:p>
            </w:tc>
          </w:sdtContent>
        </w:sdt>
      </w:tr>
      <w:tr w:rsidR="004A3868">
        <w:trPr>
          <w:trHeight w:val="397"/>
          <w:jc w:val="center"/>
        </w:trPr>
        <w:tc>
          <w:tcPr>
            <w:tcW w:w="1048" w:type="pct"/>
            <w:vMerge/>
            <w:vAlign w:val="bottom"/>
          </w:tcPr>
          <w:p w:rsidR="004A3868" w:rsidRDefault="004A3868">
            <w:pPr>
              <w:pStyle w:val="afffb"/>
            </w:pPr>
          </w:p>
        </w:tc>
        <w:tc>
          <w:tcPr>
            <w:tcW w:w="437" w:type="pct"/>
            <w:vMerge/>
            <w:vAlign w:val="bottom"/>
          </w:tcPr>
          <w:p w:rsidR="004A3868" w:rsidRDefault="004A3868">
            <w:pPr>
              <w:pStyle w:val="afffb"/>
            </w:pPr>
          </w:p>
        </w:tc>
        <w:sdt>
          <w:sdtPr>
            <w:tag w:val="_PLD_1be3bc3a3d894e22b017b70a7c691233"/>
            <w:id w:val="844907984"/>
          </w:sdtPr>
          <w:sdtEndPr/>
          <w:sdtContent>
            <w:tc>
              <w:tcPr>
                <w:tcW w:w="566" w:type="pct"/>
                <w:vAlign w:val="bottom"/>
              </w:tcPr>
              <w:p w:rsidR="004A3868" w:rsidRDefault="003F1AB5">
                <w:pPr>
                  <w:pStyle w:val="afffb"/>
                </w:pPr>
                <w:r>
                  <w:t>本年应参加董事会次数</w:t>
                </w:r>
              </w:p>
            </w:tc>
          </w:sdtContent>
        </w:sdt>
        <w:sdt>
          <w:sdtPr>
            <w:tag w:val="_PLD_3e45fc9802f241cb8e17735983417e9b"/>
            <w:id w:val="-2107188703"/>
          </w:sdtPr>
          <w:sdtEndPr/>
          <w:sdtContent>
            <w:tc>
              <w:tcPr>
                <w:tcW w:w="440" w:type="pct"/>
                <w:vAlign w:val="bottom"/>
              </w:tcPr>
              <w:p w:rsidR="004A3868" w:rsidRDefault="003F1AB5">
                <w:pPr>
                  <w:pStyle w:val="afffb"/>
                </w:pPr>
                <w:r>
                  <w:t>亲自出席次数</w:t>
                </w:r>
              </w:p>
            </w:tc>
          </w:sdtContent>
        </w:sdt>
        <w:sdt>
          <w:sdtPr>
            <w:tag w:val="_PLD_5b2f1e699fe34def868fe8b765d768ba"/>
            <w:id w:val="-1700388082"/>
          </w:sdtPr>
          <w:sdtEndPr/>
          <w:sdtContent>
            <w:tc>
              <w:tcPr>
                <w:tcW w:w="500" w:type="pct"/>
                <w:vAlign w:val="bottom"/>
              </w:tcPr>
              <w:p w:rsidR="004A3868" w:rsidRDefault="003F1AB5">
                <w:pPr>
                  <w:pStyle w:val="afffb"/>
                </w:pPr>
                <w:r>
                  <w:t>以通讯方式参加次数</w:t>
                </w:r>
              </w:p>
            </w:tc>
          </w:sdtContent>
        </w:sdt>
        <w:sdt>
          <w:sdtPr>
            <w:tag w:val="_PLD_981a0cb863d94703a5482c1ca67d4cb5"/>
            <w:id w:val="266127697"/>
          </w:sdtPr>
          <w:sdtEndPr/>
          <w:sdtContent>
            <w:tc>
              <w:tcPr>
                <w:tcW w:w="467" w:type="pct"/>
                <w:vAlign w:val="bottom"/>
              </w:tcPr>
              <w:p w:rsidR="004A3868" w:rsidRDefault="003F1AB5">
                <w:pPr>
                  <w:pStyle w:val="afffb"/>
                </w:pPr>
                <w:r>
                  <w:t>委托出席次数</w:t>
                </w:r>
              </w:p>
            </w:tc>
          </w:sdtContent>
        </w:sdt>
        <w:sdt>
          <w:sdtPr>
            <w:tag w:val="_PLD_e955143b8973461bb11aa6e64e6bb542"/>
            <w:id w:val="-2002182379"/>
          </w:sdtPr>
          <w:sdtEndPr/>
          <w:sdtContent>
            <w:tc>
              <w:tcPr>
                <w:tcW w:w="436" w:type="pct"/>
                <w:vAlign w:val="bottom"/>
              </w:tcPr>
              <w:p w:rsidR="004A3868" w:rsidRDefault="003F1AB5">
                <w:pPr>
                  <w:pStyle w:val="afffb"/>
                </w:pPr>
                <w:r>
                  <w:t>缺席</w:t>
                </w:r>
              </w:p>
              <w:p w:rsidR="004A3868" w:rsidRDefault="003F1AB5">
                <w:pPr>
                  <w:pStyle w:val="afffb"/>
                </w:pPr>
                <w:r>
                  <w:t>次数</w:t>
                </w:r>
              </w:p>
            </w:tc>
          </w:sdtContent>
        </w:sdt>
        <w:sdt>
          <w:sdtPr>
            <w:tag w:val="_PLD_c94de7a455d94af5b8ffe4cc736c4b46"/>
            <w:id w:val="-1413546234"/>
          </w:sdtPr>
          <w:sdtEndPr/>
          <w:sdtContent>
            <w:tc>
              <w:tcPr>
                <w:tcW w:w="456" w:type="pct"/>
                <w:vAlign w:val="bottom"/>
              </w:tcPr>
              <w:p w:rsidR="004A3868" w:rsidRDefault="003F1AB5">
                <w:pPr>
                  <w:pStyle w:val="afffb"/>
                </w:pPr>
                <w:r>
                  <w:t>是否连续两次未亲自参加会议</w:t>
                </w:r>
              </w:p>
            </w:tc>
          </w:sdtContent>
        </w:sdt>
        <w:sdt>
          <w:sdtPr>
            <w:tag w:val="_PLD_7f17c2a5ff9540709fafff9460b0756d"/>
            <w:id w:val="191881870"/>
          </w:sdtPr>
          <w:sdtEndPr/>
          <w:sdtContent>
            <w:tc>
              <w:tcPr>
                <w:tcW w:w="650" w:type="pct"/>
                <w:vAlign w:val="bottom"/>
              </w:tcPr>
              <w:p w:rsidR="004A3868" w:rsidRDefault="003F1AB5">
                <w:pPr>
                  <w:pStyle w:val="afffb"/>
                  <w:rPr>
                    <w:b/>
                  </w:rPr>
                </w:pPr>
                <w:r>
                  <w:t>出席股东大会的次数</w:t>
                </w:r>
              </w:p>
            </w:tc>
          </w:sdtContent>
        </w:sdt>
      </w:tr>
      <w:tr w:rsidR="004A3868">
        <w:trPr>
          <w:trHeight w:val="397"/>
          <w:jc w:val="center"/>
        </w:trPr>
        <w:tc>
          <w:tcPr>
            <w:tcW w:w="1048" w:type="pct"/>
            <w:vAlign w:val="bottom"/>
          </w:tcPr>
          <w:p w:rsidR="004A3868" w:rsidRDefault="003F1AB5">
            <w:pPr>
              <w:pStyle w:val="afff9"/>
            </w:pPr>
            <w:r>
              <w:rPr>
                <w:rFonts w:hint="eastAsia"/>
              </w:rPr>
              <w:t>杨泽民</w:t>
            </w:r>
          </w:p>
        </w:tc>
        <w:sdt>
          <w:sdtPr>
            <w:rPr>
              <w:rFonts w:ascii="Times New Roman" w:hAnsi="Times New Roman" w:hint="eastAsia"/>
            </w:rPr>
            <w:alias w:val="董事参加董事会的出席情况明细-是否独立董事"/>
            <w:tag w:val="_GBC_8f65cf2d483747a58ee92c8a36ee6375"/>
            <w:id w:val="-980161227"/>
            <w:comboBox>
              <w:listItem w:displayText="是" w:value="true"/>
              <w:listItem w:displayText="否" w:value="false"/>
            </w:comboBox>
          </w:sdtPr>
          <w:sdtEndPr/>
          <w:sdtContent>
            <w:tc>
              <w:tcPr>
                <w:tcW w:w="437" w:type="pct"/>
                <w:vAlign w:val="bottom"/>
              </w:tcPr>
              <w:p w:rsidR="004A3868" w:rsidRDefault="003F1AB5">
                <w:pPr>
                  <w:pStyle w:val="afff9"/>
                </w:pPr>
                <w:r>
                  <w:rPr>
                    <w:rFonts w:hint="eastAsia"/>
                  </w:rPr>
                  <w:t>否</w:t>
                </w:r>
              </w:p>
            </w:tc>
          </w:sdtContent>
        </w:sdt>
        <w:tc>
          <w:tcPr>
            <w:tcW w:w="566" w:type="pct"/>
            <w:vAlign w:val="bottom"/>
          </w:tcPr>
          <w:p w:rsidR="004A3868" w:rsidRDefault="003F1AB5">
            <w:pPr>
              <w:pStyle w:val="afff7"/>
            </w:pPr>
            <w:r>
              <w:rPr>
                <w:rFonts w:hint="eastAsia"/>
              </w:rPr>
              <w:t>5</w:t>
            </w:r>
          </w:p>
        </w:tc>
        <w:tc>
          <w:tcPr>
            <w:tcW w:w="440" w:type="pct"/>
            <w:vAlign w:val="bottom"/>
          </w:tcPr>
          <w:p w:rsidR="004A3868" w:rsidRDefault="003F1AB5">
            <w:pPr>
              <w:pStyle w:val="afff7"/>
            </w:pPr>
            <w:r>
              <w:rPr>
                <w:rFonts w:hint="eastAsia"/>
              </w:rPr>
              <w:t>5</w:t>
            </w:r>
          </w:p>
        </w:tc>
        <w:tc>
          <w:tcPr>
            <w:tcW w:w="500" w:type="pct"/>
            <w:vAlign w:val="bottom"/>
          </w:tcPr>
          <w:p w:rsidR="004A3868" w:rsidRDefault="003F1AB5">
            <w:pPr>
              <w:pStyle w:val="afff7"/>
            </w:pPr>
            <w:r>
              <w:rPr>
                <w:rFonts w:hint="eastAsia"/>
              </w:rPr>
              <w:t>1</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sdt>
          <w:sdtPr>
            <w:rPr>
              <w:rFonts w:ascii="Times New Roman" w:hAnsi="Times New Roman" w:hint="eastAsia"/>
            </w:rPr>
            <w:alias w:val="董事参加董事会的出席情况明细-是否连续两次未亲自参加会议"/>
            <w:tag w:val="_GBC_4748dc7c4f9b495f9d97d5c22a5e08e6"/>
            <w:id w:val="-2038504825"/>
            <w:comboBox>
              <w:listItem w:displayText="是" w:value="true"/>
              <w:listItem w:displayText="否" w:value="false"/>
            </w:comboBox>
          </w:sdtPr>
          <w:sdtEndPr/>
          <w:sdtContent>
            <w:tc>
              <w:tcPr>
                <w:tcW w:w="456" w:type="pct"/>
                <w:vAlign w:val="bottom"/>
              </w:tcPr>
              <w:p w:rsidR="004A3868" w:rsidRDefault="003F1AB5">
                <w:pPr>
                  <w:pStyle w:val="afff9"/>
                </w:pPr>
                <w:r>
                  <w:rPr>
                    <w:rFonts w:hint="eastAsia"/>
                  </w:rPr>
                  <w:t>否</w:t>
                </w:r>
              </w:p>
            </w:tc>
          </w:sdtContent>
        </w:sdt>
        <w:tc>
          <w:tcPr>
            <w:tcW w:w="650" w:type="pct"/>
            <w:vAlign w:val="bottom"/>
          </w:tcPr>
          <w:p w:rsidR="004A3868" w:rsidRDefault="003F1AB5">
            <w:pPr>
              <w:pStyle w:val="afff9"/>
            </w:pPr>
            <w:r>
              <w:rPr>
                <w:rFonts w:hint="eastAsia"/>
              </w:rPr>
              <w:t>3</w:t>
            </w:r>
          </w:p>
        </w:tc>
      </w:tr>
      <w:tr w:rsidR="004A3868">
        <w:trPr>
          <w:trHeight w:val="397"/>
          <w:jc w:val="center"/>
        </w:trPr>
        <w:tc>
          <w:tcPr>
            <w:tcW w:w="1048" w:type="pct"/>
            <w:vAlign w:val="bottom"/>
          </w:tcPr>
          <w:p w:rsidR="004A3868" w:rsidRDefault="003F1AB5">
            <w:pPr>
              <w:pStyle w:val="afff9"/>
            </w:pPr>
            <w:r>
              <w:rPr>
                <w:rFonts w:hint="eastAsia"/>
              </w:rPr>
              <w:lastRenderedPageBreak/>
              <w:t>杨林</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1</w:t>
            </w:r>
          </w:p>
        </w:tc>
        <w:tc>
          <w:tcPr>
            <w:tcW w:w="440" w:type="pct"/>
            <w:vAlign w:val="bottom"/>
          </w:tcPr>
          <w:p w:rsidR="004A3868" w:rsidRDefault="003F1AB5">
            <w:pPr>
              <w:pStyle w:val="afff7"/>
            </w:pPr>
            <w:r>
              <w:rPr>
                <w:rFonts w:hint="eastAsia"/>
              </w:rPr>
              <w:t>1</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t>-</w:t>
            </w:r>
          </w:p>
        </w:tc>
      </w:tr>
      <w:tr w:rsidR="004A3868">
        <w:trPr>
          <w:trHeight w:val="397"/>
          <w:jc w:val="center"/>
        </w:trPr>
        <w:tc>
          <w:tcPr>
            <w:tcW w:w="1048" w:type="pct"/>
            <w:vAlign w:val="bottom"/>
          </w:tcPr>
          <w:p w:rsidR="004A3868" w:rsidRDefault="003F1AB5">
            <w:pPr>
              <w:pStyle w:val="afff9"/>
            </w:pPr>
            <w:r>
              <w:rPr>
                <w:rFonts w:hint="eastAsia"/>
              </w:rPr>
              <w:t>胡守天</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1</w:t>
            </w:r>
          </w:p>
        </w:tc>
        <w:tc>
          <w:tcPr>
            <w:tcW w:w="440" w:type="pct"/>
            <w:vAlign w:val="bottom"/>
          </w:tcPr>
          <w:p w:rsidR="004A3868" w:rsidRDefault="003F1AB5">
            <w:pPr>
              <w:pStyle w:val="afff7"/>
            </w:pPr>
            <w:r>
              <w:rPr>
                <w:rFonts w:hint="eastAsia"/>
              </w:rPr>
              <w:t>1</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t>-</w:t>
            </w:r>
          </w:p>
        </w:tc>
      </w:tr>
      <w:tr w:rsidR="004A3868">
        <w:trPr>
          <w:trHeight w:val="397"/>
          <w:jc w:val="center"/>
        </w:trPr>
        <w:tc>
          <w:tcPr>
            <w:tcW w:w="1048" w:type="pct"/>
            <w:vAlign w:val="bottom"/>
          </w:tcPr>
          <w:p w:rsidR="004A3868" w:rsidRDefault="003F1AB5">
            <w:pPr>
              <w:pStyle w:val="afff9"/>
            </w:pPr>
            <w:r>
              <w:rPr>
                <w:rFonts w:hint="eastAsia"/>
              </w:rPr>
              <w:t>付康</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1</w:t>
            </w:r>
          </w:p>
        </w:tc>
        <w:tc>
          <w:tcPr>
            <w:tcW w:w="440" w:type="pct"/>
            <w:vAlign w:val="bottom"/>
          </w:tcPr>
          <w:p w:rsidR="004A3868" w:rsidRDefault="003F1AB5">
            <w:pPr>
              <w:pStyle w:val="afff7"/>
            </w:pPr>
            <w:r>
              <w:rPr>
                <w:rFonts w:hint="eastAsia"/>
              </w:rPr>
              <w:t>1</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w:t>
            </w:r>
          </w:p>
        </w:tc>
      </w:tr>
      <w:tr w:rsidR="004A3868">
        <w:trPr>
          <w:trHeight w:val="397"/>
          <w:jc w:val="center"/>
        </w:trPr>
        <w:tc>
          <w:tcPr>
            <w:tcW w:w="1048" w:type="pct"/>
            <w:vAlign w:val="bottom"/>
          </w:tcPr>
          <w:p w:rsidR="004A3868" w:rsidRDefault="003F1AB5">
            <w:pPr>
              <w:pStyle w:val="afff9"/>
            </w:pPr>
            <w:r>
              <w:rPr>
                <w:rFonts w:hint="eastAsia"/>
              </w:rPr>
              <w:t>王海波</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1</w:t>
            </w:r>
          </w:p>
        </w:tc>
        <w:tc>
          <w:tcPr>
            <w:tcW w:w="440" w:type="pct"/>
            <w:vAlign w:val="bottom"/>
          </w:tcPr>
          <w:p w:rsidR="004A3868" w:rsidRDefault="003F1AB5">
            <w:pPr>
              <w:pStyle w:val="afff7"/>
            </w:pPr>
            <w:r>
              <w:rPr>
                <w:rFonts w:hint="eastAsia"/>
              </w:rPr>
              <w:t>1</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w:t>
            </w:r>
          </w:p>
        </w:tc>
      </w:tr>
      <w:tr w:rsidR="004A3868">
        <w:trPr>
          <w:trHeight w:val="397"/>
          <w:jc w:val="center"/>
        </w:trPr>
        <w:tc>
          <w:tcPr>
            <w:tcW w:w="1048" w:type="pct"/>
            <w:vAlign w:val="bottom"/>
          </w:tcPr>
          <w:p w:rsidR="004A3868" w:rsidRDefault="003F1AB5">
            <w:pPr>
              <w:pStyle w:val="afff9"/>
            </w:pPr>
            <w:r>
              <w:rPr>
                <w:rFonts w:hint="eastAsia"/>
              </w:rPr>
              <w:t>皮统政</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1</w:t>
            </w:r>
          </w:p>
        </w:tc>
        <w:tc>
          <w:tcPr>
            <w:tcW w:w="440" w:type="pct"/>
            <w:vAlign w:val="bottom"/>
          </w:tcPr>
          <w:p w:rsidR="004A3868" w:rsidRDefault="003F1AB5">
            <w:pPr>
              <w:pStyle w:val="afff7"/>
            </w:pPr>
            <w:r>
              <w:rPr>
                <w:rFonts w:hint="eastAsia"/>
              </w:rPr>
              <w:t>1</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w:t>
            </w:r>
          </w:p>
        </w:tc>
      </w:tr>
      <w:tr w:rsidR="004A3868">
        <w:trPr>
          <w:trHeight w:val="397"/>
          <w:jc w:val="center"/>
        </w:trPr>
        <w:tc>
          <w:tcPr>
            <w:tcW w:w="1048" w:type="pct"/>
            <w:vAlign w:val="bottom"/>
          </w:tcPr>
          <w:p w:rsidR="004A3868" w:rsidRDefault="003F1AB5">
            <w:pPr>
              <w:pStyle w:val="afff9"/>
            </w:pPr>
            <w:r>
              <w:rPr>
                <w:rFonts w:hint="eastAsia"/>
              </w:rPr>
              <w:t>赵宇</w:t>
            </w:r>
          </w:p>
        </w:tc>
        <w:tc>
          <w:tcPr>
            <w:tcW w:w="437" w:type="pct"/>
            <w:vAlign w:val="bottom"/>
          </w:tcPr>
          <w:p w:rsidR="004A3868" w:rsidRDefault="003F1AB5">
            <w:pPr>
              <w:pStyle w:val="afff9"/>
            </w:pPr>
            <w:r>
              <w:rPr>
                <w:rFonts w:hint="eastAsia"/>
              </w:rPr>
              <w:t>是</w:t>
            </w:r>
          </w:p>
        </w:tc>
        <w:tc>
          <w:tcPr>
            <w:tcW w:w="566" w:type="pct"/>
            <w:vAlign w:val="bottom"/>
          </w:tcPr>
          <w:p w:rsidR="004A3868" w:rsidRDefault="003F1AB5">
            <w:pPr>
              <w:pStyle w:val="afff7"/>
            </w:pPr>
            <w:r>
              <w:t>1</w:t>
            </w:r>
          </w:p>
        </w:tc>
        <w:tc>
          <w:tcPr>
            <w:tcW w:w="440" w:type="pct"/>
            <w:vAlign w:val="bottom"/>
          </w:tcPr>
          <w:p w:rsidR="004A3868" w:rsidRDefault="003F1AB5">
            <w:pPr>
              <w:pStyle w:val="afff7"/>
            </w:pPr>
            <w:r>
              <w:t>1</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w:t>
            </w:r>
          </w:p>
        </w:tc>
      </w:tr>
      <w:tr w:rsidR="004A3868">
        <w:trPr>
          <w:trHeight w:val="397"/>
          <w:jc w:val="center"/>
        </w:trPr>
        <w:tc>
          <w:tcPr>
            <w:tcW w:w="1048" w:type="pct"/>
            <w:vAlign w:val="bottom"/>
          </w:tcPr>
          <w:p w:rsidR="004A3868" w:rsidRDefault="003F1AB5">
            <w:pPr>
              <w:pStyle w:val="afff9"/>
            </w:pPr>
            <w:r>
              <w:rPr>
                <w:rFonts w:hint="eastAsia"/>
              </w:rPr>
              <w:t>沈江</w:t>
            </w:r>
          </w:p>
        </w:tc>
        <w:tc>
          <w:tcPr>
            <w:tcW w:w="437" w:type="pct"/>
            <w:vAlign w:val="bottom"/>
          </w:tcPr>
          <w:p w:rsidR="004A3868" w:rsidRDefault="003F1AB5">
            <w:pPr>
              <w:pStyle w:val="afff9"/>
            </w:pPr>
            <w:r>
              <w:rPr>
                <w:rFonts w:hint="eastAsia"/>
              </w:rPr>
              <w:t>是</w:t>
            </w:r>
          </w:p>
        </w:tc>
        <w:tc>
          <w:tcPr>
            <w:tcW w:w="566" w:type="pct"/>
            <w:vAlign w:val="bottom"/>
          </w:tcPr>
          <w:p w:rsidR="004A3868" w:rsidRDefault="003F1AB5">
            <w:pPr>
              <w:pStyle w:val="afff7"/>
            </w:pPr>
            <w:r>
              <w:t>1</w:t>
            </w:r>
          </w:p>
        </w:tc>
        <w:tc>
          <w:tcPr>
            <w:tcW w:w="440" w:type="pct"/>
            <w:vAlign w:val="bottom"/>
          </w:tcPr>
          <w:p w:rsidR="004A3868" w:rsidRDefault="003F1AB5">
            <w:pPr>
              <w:pStyle w:val="afff7"/>
            </w:pPr>
            <w:r>
              <w:rPr>
                <w:rFonts w:hint="eastAsia"/>
              </w:rPr>
              <w:t>1</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w:t>
            </w:r>
          </w:p>
        </w:tc>
      </w:tr>
      <w:tr w:rsidR="004A3868">
        <w:trPr>
          <w:trHeight w:val="397"/>
          <w:jc w:val="center"/>
        </w:trPr>
        <w:tc>
          <w:tcPr>
            <w:tcW w:w="1048" w:type="pct"/>
            <w:vAlign w:val="bottom"/>
          </w:tcPr>
          <w:p w:rsidR="004A3868" w:rsidRDefault="003F1AB5">
            <w:pPr>
              <w:pStyle w:val="afff9"/>
            </w:pPr>
            <w:r>
              <w:rPr>
                <w:rFonts w:hint="eastAsia"/>
              </w:rPr>
              <w:t>王勇</w:t>
            </w:r>
          </w:p>
        </w:tc>
        <w:tc>
          <w:tcPr>
            <w:tcW w:w="437" w:type="pct"/>
            <w:vAlign w:val="bottom"/>
          </w:tcPr>
          <w:p w:rsidR="004A3868" w:rsidRDefault="003F1AB5">
            <w:pPr>
              <w:pStyle w:val="afff9"/>
            </w:pPr>
            <w:r>
              <w:rPr>
                <w:rFonts w:hint="eastAsia"/>
              </w:rPr>
              <w:t>是</w:t>
            </w:r>
          </w:p>
        </w:tc>
        <w:tc>
          <w:tcPr>
            <w:tcW w:w="566" w:type="pct"/>
            <w:vAlign w:val="bottom"/>
          </w:tcPr>
          <w:p w:rsidR="004A3868" w:rsidRDefault="003F1AB5">
            <w:pPr>
              <w:pStyle w:val="afff7"/>
            </w:pPr>
            <w:r>
              <w:t>1</w:t>
            </w:r>
          </w:p>
        </w:tc>
        <w:tc>
          <w:tcPr>
            <w:tcW w:w="440" w:type="pct"/>
            <w:vAlign w:val="bottom"/>
          </w:tcPr>
          <w:p w:rsidR="004A3868" w:rsidRDefault="003F1AB5">
            <w:pPr>
              <w:pStyle w:val="afff7"/>
            </w:pPr>
            <w:r>
              <w:rPr>
                <w:rFonts w:hint="eastAsia"/>
              </w:rPr>
              <w:t>1</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w:t>
            </w:r>
          </w:p>
        </w:tc>
      </w:tr>
      <w:tr w:rsidR="004A3868">
        <w:trPr>
          <w:trHeight w:val="397"/>
          <w:jc w:val="center"/>
        </w:trPr>
        <w:tc>
          <w:tcPr>
            <w:tcW w:w="1048" w:type="pct"/>
            <w:vAlign w:val="bottom"/>
          </w:tcPr>
          <w:p w:rsidR="004A3868" w:rsidRDefault="003F1AB5">
            <w:pPr>
              <w:pStyle w:val="afff9"/>
            </w:pPr>
            <w:r>
              <w:rPr>
                <w:rFonts w:hint="eastAsia"/>
              </w:rPr>
              <w:t>李奎（离任）</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4</w:t>
            </w:r>
          </w:p>
        </w:tc>
        <w:tc>
          <w:tcPr>
            <w:tcW w:w="440" w:type="pct"/>
            <w:vAlign w:val="bottom"/>
          </w:tcPr>
          <w:p w:rsidR="004A3868" w:rsidRDefault="003F1AB5">
            <w:pPr>
              <w:pStyle w:val="afff7"/>
            </w:pPr>
            <w:r>
              <w:rPr>
                <w:rFonts w:hint="eastAsia"/>
              </w:rPr>
              <w:t>4</w:t>
            </w:r>
          </w:p>
        </w:tc>
        <w:tc>
          <w:tcPr>
            <w:tcW w:w="500" w:type="pct"/>
            <w:vAlign w:val="bottom"/>
          </w:tcPr>
          <w:p w:rsidR="004A3868" w:rsidRDefault="003F1AB5">
            <w:pPr>
              <w:pStyle w:val="afff7"/>
            </w:pPr>
            <w:r>
              <w:rPr>
                <w:rFonts w:hint="eastAsia"/>
              </w:rPr>
              <w:t>1</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3</w:t>
            </w:r>
          </w:p>
        </w:tc>
      </w:tr>
      <w:tr w:rsidR="004A3868">
        <w:trPr>
          <w:trHeight w:val="397"/>
          <w:jc w:val="center"/>
        </w:trPr>
        <w:tc>
          <w:tcPr>
            <w:tcW w:w="1048" w:type="pct"/>
            <w:vAlign w:val="bottom"/>
          </w:tcPr>
          <w:p w:rsidR="004A3868" w:rsidRDefault="003F1AB5">
            <w:pPr>
              <w:pStyle w:val="afff9"/>
            </w:pPr>
            <w:r>
              <w:rPr>
                <w:rFonts w:hint="eastAsia"/>
              </w:rPr>
              <w:t>杨厚群（离任）</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4</w:t>
            </w:r>
          </w:p>
        </w:tc>
        <w:tc>
          <w:tcPr>
            <w:tcW w:w="440" w:type="pct"/>
            <w:vAlign w:val="bottom"/>
          </w:tcPr>
          <w:p w:rsidR="004A3868" w:rsidRDefault="003F1AB5">
            <w:pPr>
              <w:pStyle w:val="afff7"/>
            </w:pPr>
            <w:r>
              <w:rPr>
                <w:rFonts w:hint="eastAsia"/>
              </w:rPr>
              <w:t>4</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3</w:t>
            </w:r>
          </w:p>
        </w:tc>
      </w:tr>
      <w:tr w:rsidR="004A3868">
        <w:trPr>
          <w:trHeight w:val="397"/>
          <w:jc w:val="center"/>
        </w:trPr>
        <w:tc>
          <w:tcPr>
            <w:tcW w:w="1048" w:type="pct"/>
            <w:vAlign w:val="bottom"/>
          </w:tcPr>
          <w:p w:rsidR="004A3868" w:rsidRDefault="003F1AB5">
            <w:pPr>
              <w:pStyle w:val="afff9"/>
            </w:pPr>
            <w:r>
              <w:rPr>
                <w:rFonts w:hint="eastAsia"/>
              </w:rPr>
              <w:t>熊必润（离任）</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4</w:t>
            </w:r>
          </w:p>
        </w:tc>
        <w:tc>
          <w:tcPr>
            <w:tcW w:w="440" w:type="pct"/>
            <w:vAlign w:val="bottom"/>
          </w:tcPr>
          <w:p w:rsidR="004A3868" w:rsidRDefault="003F1AB5">
            <w:pPr>
              <w:pStyle w:val="afff7"/>
            </w:pPr>
            <w:r>
              <w:rPr>
                <w:rFonts w:hint="eastAsia"/>
              </w:rPr>
              <w:t>4</w:t>
            </w:r>
          </w:p>
        </w:tc>
        <w:tc>
          <w:tcPr>
            <w:tcW w:w="500" w:type="pct"/>
            <w:vAlign w:val="bottom"/>
          </w:tcPr>
          <w:p w:rsidR="004A3868" w:rsidRDefault="003F1AB5">
            <w:pPr>
              <w:pStyle w:val="afff7"/>
            </w:pPr>
            <w:r>
              <w:rPr>
                <w:rFonts w:hint="eastAsia"/>
              </w:rPr>
              <w:t>0</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3</w:t>
            </w:r>
          </w:p>
        </w:tc>
      </w:tr>
      <w:tr w:rsidR="004A3868">
        <w:trPr>
          <w:trHeight w:val="397"/>
          <w:jc w:val="center"/>
        </w:trPr>
        <w:tc>
          <w:tcPr>
            <w:tcW w:w="1048" w:type="pct"/>
            <w:vAlign w:val="bottom"/>
          </w:tcPr>
          <w:p w:rsidR="004A3868" w:rsidRDefault="003F1AB5">
            <w:pPr>
              <w:pStyle w:val="afff9"/>
            </w:pPr>
            <w:r>
              <w:rPr>
                <w:rFonts w:hint="eastAsia"/>
              </w:rPr>
              <w:t>冯戟（离任）</w:t>
            </w:r>
          </w:p>
        </w:tc>
        <w:tc>
          <w:tcPr>
            <w:tcW w:w="437" w:type="pct"/>
            <w:vAlign w:val="bottom"/>
          </w:tcPr>
          <w:p w:rsidR="004A3868" w:rsidRDefault="003F1AB5">
            <w:pPr>
              <w:pStyle w:val="afff9"/>
            </w:pPr>
            <w:r>
              <w:rPr>
                <w:rFonts w:hint="eastAsia"/>
              </w:rPr>
              <w:t>否</w:t>
            </w:r>
          </w:p>
        </w:tc>
        <w:tc>
          <w:tcPr>
            <w:tcW w:w="566" w:type="pct"/>
            <w:vAlign w:val="bottom"/>
          </w:tcPr>
          <w:p w:rsidR="004A3868" w:rsidRDefault="003F1AB5">
            <w:pPr>
              <w:pStyle w:val="afff7"/>
            </w:pPr>
            <w:r>
              <w:t>4</w:t>
            </w:r>
          </w:p>
        </w:tc>
        <w:tc>
          <w:tcPr>
            <w:tcW w:w="440" w:type="pct"/>
            <w:vAlign w:val="bottom"/>
          </w:tcPr>
          <w:p w:rsidR="004A3868" w:rsidRDefault="003F1AB5">
            <w:pPr>
              <w:pStyle w:val="afff7"/>
            </w:pPr>
            <w:r>
              <w:rPr>
                <w:rFonts w:hint="eastAsia"/>
              </w:rPr>
              <w:t>4</w:t>
            </w:r>
          </w:p>
        </w:tc>
        <w:tc>
          <w:tcPr>
            <w:tcW w:w="500" w:type="pct"/>
            <w:vAlign w:val="bottom"/>
          </w:tcPr>
          <w:p w:rsidR="004A3868" w:rsidRDefault="003F1AB5">
            <w:pPr>
              <w:pStyle w:val="afff7"/>
            </w:pPr>
            <w:r>
              <w:rPr>
                <w:rFonts w:hint="eastAsia"/>
              </w:rPr>
              <w:t>4</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1</w:t>
            </w:r>
          </w:p>
        </w:tc>
      </w:tr>
      <w:tr w:rsidR="004A3868">
        <w:trPr>
          <w:trHeight w:val="397"/>
          <w:jc w:val="center"/>
        </w:trPr>
        <w:tc>
          <w:tcPr>
            <w:tcW w:w="1048" w:type="pct"/>
            <w:vAlign w:val="bottom"/>
          </w:tcPr>
          <w:p w:rsidR="004A3868" w:rsidRDefault="003F1AB5">
            <w:pPr>
              <w:pStyle w:val="afff9"/>
            </w:pPr>
            <w:r>
              <w:rPr>
                <w:rFonts w:hint="eastAsia"/>
              </w:rPr>
              <w:t>郭振岩（离任）</w:t>
            </w:r>
          </w:p>
        </w:tc>
        <w:tc>
          <w:tcPr>
            <w:tcW w:w="437" w:type="pct"/>
            <w:vAlign w:val="bottom"/>
          </w:tcPr>
          <w:p w:rsidR="004A3868" w:rsidRDefault="003F1AB5">
            <w:pPr>
              <w:pStyle w:val="afff9"/>
            </w:pPr>
            <w:r>
              <w:rPr>
                <w:rFonts w:hint="eastAsia"/>
              </w:rPr>
              <w:t>是</w:t>
            </w:r>
          </w:p>
        </w:tc>
        <w:tc>
          <w:tcPr>
            <w:tcW w:w="566" w:type="pct"/>
            <w:vAlign w:val="bottom"/>
          </w:tcPr>
          <w:p w:rsidR="004A3868" w:rsidRDefault="003F1AB5">
            <w:pPr>
              <w:pStyle w:val="afff7"/>
            </w:pPr>
            <w:r>
              <w:t>4</w:t>
            </w:r>
          </w:p>
        </w:tc>
        <w:tc>
          <w:tcPr>
            <w:tcW w:w="440" w:type="pct"/>
            <w:vAlign w:val="bottom"/>
          </w:tcPr>
          <w:p w:rsidR="004A3868" w:rsidRDefault="003F1AB5">
            <w:pPr>
              <w:pStyle w:val="afff7"/>
            </w:pPr>
            <w:r>
              <w:rPr>
                <w:rFonts w:hint="eastAsia"/>
              </w:rPr>
              <w:t>4</w:t>
            </w:r>
          </w:p>
        </w:tc>
        <w:tc>
          <w:tcPr>
            <w:tcW w:w="500" w:type="pct"/>
            <w:vAlign w:val="bottom"/>
          </w:tcPr>
          <w:p w:rsidR="004A3868" w:rsidRDefault="003F1AB5">
            <w:pPr>
              <w:pStyle w:val="afff7"/>
            </w:pPr>
            <w:r>
              <w:rPr>
                <w:rFonts w:hint="eastAsia"/>
              </w:rPr>
              <w:t>3</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1</w:t>
            </w:r>
          </w:p>
        </w:tc>
      </w:tr>
      <w:tr w:rsidR="004A3868">
        <w:trPr>
          <w:trHeight w:val="397"/>
          <w:jc w:val="center"/>
        </w:trPr>
        <w:tc>
          <w:tcPr>
            <w:tcW w:w="1048" w:type="pct"/>
            <w:vAlign w:val="bottom"/>
          </w:tcPr>
          <w:p w:rsidR="004A3868" w:rsidRDefault="003F1AB5">
            <w:pPr>
              <w:pStyle w:val="afff9"/>
            </w:pPr>
            <w:r>
              <w:rPr>
                <w:rFonts w:hint="eastAsia"/>
              </w:rPr>
              <w:t>黎明（离任）</w:t>
            </w:r>
          </w:p>
        </w:tc>
        <w:sdt>
          <w:sdtPr>
            <w:rPr>
              <w:rFonts w:ascii="Times New Roman" w:hAnsi="Times New Roman" w:hint="eastAsia"/>
            </w:rPr>
            <w:alias w:val="董事参加董事会的出席情况明细-是否独立董事"/>
            <w:tag w:val="_GBC_8f65cf2d483747a58ee92c8a36ee6375"/>
            <w:id w:val="-1354410287"/>
            <w:comboBox>
              <w:listItem w:displayText="是" w:value="true"/>
              <w:listItem w:displayText="否" w:value="false"/>
            </w:comboBox>
          </w:sdtPr>
          <w:sdtEndPr/>
          <w:sdtContent>
            <w:tc>
              <w:tcPr>
                <w:tcW w:w="437" w:type="pct"/>
                <w:vAlign w:val="bottom"/>
              </w:tcPr>
              <w:p w:rsidR="004A3868" w:rsidRDefault="003F1AB5">
                <w:pPr>
                  <w:pStyle w:val="afff9"/>
                </w:pPr>
                <w:r>
                  <w:rPr>
                    <w:rFonts w:hint="eastAsia"/>
                  </w:rPr>
                  <w:t>是</w:t>
                </w:r>
              </w:p>
            </w:tc>
          </w:sdtContent>
        </w:sdt>
        <w:tc>
          <w:tcPr>
            <w:tcW w:w="566" w:type="pct"/>
            <w:vAlign w:val="bottom"/>
          </w:tcPr>
          <w:p w:rsidR="004A3868" w:rsidRDefault="003F1AB5">
            <w:pPr>
              <w:pStyle w:val="afff7"/>
            </w:pPr>
            <w:r>
              <w:t>4</w:t>
            </w:r>
          </w:p>
        </w:tc>
        <w:tc>
          <w:tcPr>
            <w:tcW w:w="440" w:type="pct"/>
            <w:vAlign w:val="bottom"/>
          </w:tcPr>
          <w:p w:rsidR="004A3868" w:rsidRDefault="003F1AB5">
            <w:pPr>
              <w:pStyle w:val="afff7"/>
            </w:pPr>
            <w:r>
              <w:rPr>
                <w:rFonts w:hint="eastAsia"/>
              </w:rPr>
              <w:t>4</w:t>
            </w:r>
          </w:p>
        </w:tc>
        <w:tc>
          <w:tcPr>
            <w:tcW w:w="500" w:type="pct"/>
            <w:vAlign w:val="bottom"/>
          </w:tcPr>
          <w:p w:rsidR="004A3868" w:rsidRDefault="003F1AB5">
            <w:pPr>
              <w:pStyle w:val="afff7"/>
            </w:pPr>
            <w:r>
              <w:rPr>
                <w:rFonts w:hint="eastAsia"/>
              </w:rPr>
              <w:t>2</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2</w:t>
            </w:r>
          </w:p>
        </w:tc>
      </w:tr>
      <w:tr w:rsidR="004A3868">
        <w:trPr>
          <w:trHeight w:val="397"/>
          <w:jc w:val="center"/>
        </w:trPr>
        <w:tc>
          <w:tcPr>
            <w:tcW w:w="1048" w:type="pct"/>
            <w:vAlign w:val="bottom"/>
          </w:tcPr>
          <w:p w:rsidR="004A3868" w:rsidRDefault="003F1AB5">
            <w:pPr>
              <w:pStyle w:val="afff9"/>
            </w:pPr>
            <w:r>
              <w:rPr>
                <w:rFonts w:hint="eastAsia"/>
              </w:rPr>
              <w:t>陈伟根（离任）</w:t>
            </w:r>
          </w:p>
        </w:tc>
        <w:tc>
          <w:tcPr>
            <w:tcW w:w="437" w:type="pct"/>
            <w:vAlign w:val="bottom"/>
          </w:tcPr>
          <w:p w:rsidR="004A3868" w:rsidRDefault="003F1AB5">
            <w:pPr>
              <w:pStyle w:val="afff9"/>
            </w:pPr>
            <w:r>
              <w:rPr>
                <w:rFonts w:hint="eastAsia"/>
              </w:rPr>
              <w:t>是</w:t>
            </w:r>
          </w:p>
        </w:tc>
        <w:tc>
          <w:tcPr>
            <w:tcW w:w="566" w:type="pct"/>
            <w:vAlign w:val="bottom"/>
          </w:tcPr>
          <w:p w:rsidR="004A3868" w:rsidRDefault="003F1AB5">
            <w:pPr>
              <w:pStyle w:val="afff7"/>
            </w:pPr>
            <w:r>
              <w:t>4</w:t>
            </w:r>
          </w:p>
        </w:tc>
        <w:tc>
          <w:tcPr>
            <w:tcW w:w="440" w:type="pct"/>
            <w:vAlign w:val="bottom"/>
          </w:tcPr>
          <w:p w:rsidR="004A3868" w:rsidRDefault="003F1AB5">
            <w:pPr>
              <w:pStyle w:val="afff7"/>
            </w:pPr>
            <w:r>
              <w:rPr>
                <w:rFonts w:hint="eastAsia"/>
              </w:rPr>
              <w:t>4</w:t>
            </w:r>
          </w:p>
        </w:tc>
        <w:tc>
          <w:tcPr>
            <w:tcW w:w="500" w:type="pct"/>
            <w:vAlign w:val="bottom"/>
          </w:tcPr>
          <w:p w:rsidR="004A3868" w:rsidRDefault="003F1AB5">
            <w:pPr>
              <w:pStyle w:val="afff7"/>
            </w:pPr>
            <w:r>
              <w:rPr>
                <w:rFonts w:hint="eastAsia"/>
              </w:rPr>
              <w:t>4</w:t>
            </w:r>
          </w:p>
        </w:tc>
        <w:tc>
          <w:tcPr>
            <w:tcW w:w="467" w:type="pct"/>
            <w:vAlign w:val="bottom"/>
          </w:tcPr>
          <w:p w:rsidR="004A3868" w:rsidRDefault="003F1AB5">
            <w:pPr>
              <w:pStyle w:val="afff7"/>
            </w:pPr>
            <w:r>
              <w:rPr>
                <w:rFonts w:hint="eastAsia"/>
              </w:rPr>
              <w:t>0</w:t>
            </w:r>
          </w:p>
        </w:tc>
        <w:tc>
          <w:tcPr>
            <w:tcW w:w="436" w:type="pct"/>
            <w:vAlign w:val="bottom"/>
          </w:tcPr>
          <w:p w:rsidR="004A3868" w:rsidRDefault="003F1AB5">
            <w:pPr>
              <w:pStyle w:val="afff7"/>
            </w:pPr>
            <w:r>
              <w:rPr>
                <w:rFonts w:hint="eastAsia"/>
              </w:rPr>
              <w:t>0</w:t>
            </w:r>
          </w:p>
        </w:tc>
        <w:tc>
          <w:tcPr>
            <w:tcW w:w="456" w:type="pct"/>
            <w:vAlign w:val="bottom"/>
          </w:tcPr>
          <w:p w:rsidR="004A3868" w:rsidRDefault="003F1AB5">
            <w:pPr>
              <w:pStyle w:val="afff9"/>
            </w:pPr>
            <w:r>
              <w:rPr>
                <w:rFonts w:hint="eastAsia"/>
              </w:rPr>
              <w:t>否</w:t>
            </w:r>
          </w:p>
        </w:tc>
        <w:tc>
          <w:tcPr>
            <w:tcW w:w="650" w:type="pct"/>
            <w:vAlign w:val="bottom"/>
          </w:tcPr>
          <w:p w:rsidR="004A3868" w:rsidRDefault="003F1AB5">
            <w:pPr>
              <w:pStyle w:val="afff9"/>
            </w:pPr>
            <w:r>
              <w:rPr>
                <w:rFonts w:hint="eastAsia"/>
              </w:rPr>
              <w:t>1</w:t>
            </w:r>
          </w:p>
        </w:tc>
      </w:tr>
    </w:tbl>
    <w:p w:rsidR="004A3868" w:rsidRDefault="003F1AB5">
      <w:pPr>
        <w:pStyle w:val="Style124"/>
      </w:pPr>
      <w:r>
        <w:t>连续两次未亲自出席董事会会议的说明</w:t>
      </w:r>
    </w:p>
    <w:sdt>
      <w:sdtPr>
        <w:alias w:val="是否适用：连续两次未亲自出席董事会会议的说明[双击切换]"/>
        <w:tag w:val="_GBC_866534c9760844d1a6f6fa69c39ae52d"/>
        <w:id w:val="-32042629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4A3868">
      <w:pPr>
        <w:pStyle w:val="Style124"/>
      </w:pPr>
    </w:p>
    <w:tbl>
      <w:tblPr>
        <w:tblStyle w:val="aff5"/>
        <w:tblW w:w="5000" w:type="pct"/>
        <w:jc w:val="center"/>
        <w:tblLayout w:type="fixed"/>
        <w:tblCellMar>
          <w:left w:w="0" w:type="dxa"/>
          <w:right w:w="28" w:type="dxa"/>
        </w:tblCellMar>
        <w:tblLook w:val="04A0" w:firstRow="1" w:lastRow="0" w:firstColumn="1" w:lastColumn="0" w:noHBand="0" w:noVBand="1"/>
      </w:tblPr>
      <w:tblGrid>
        <w:gridCol w:w="4411"/>
        <w:gridCol w:w="4412"/>
      </w:tblGrid>
      <w:tr w:rsidR="004A3868">
        <w:trPr>
          <w:trHeight w:val="397"/>
          <w:jc w:val="center"/>
        </w:trPr>
        <w:sdt>
          <w:sdtPr>
            <w:rPr>
              <w:rFonts w:ascii="Times New Roman" w:hAnsi="Times New Roman"/>
            </w:rPr>
            <w:tag w:val="_PLD_0fc68bf164f04edda97a907df4cc747d"/>
            <w:id w:val="-682815685"/>
          </w:sdtPr>
          <w:sdtEndPr/>
          <w:sdtContent>
            <w:tc>
              <w:tcPr>
                <w:tcW w:w="4524" w:type="dxa"/>
                <w:vAlign w:val="bottom"/>
              </w:tcPr>
              <w:p w:rsidR="004A3868" w:rsidRDefault="003F1AB5">
                <w:pPr>
                  <w:pStyle w:val="afff9"/>
                </w:pPr>
                <w:r>
                  <w:t>年内召开董事会会议次数</w:t>
                </w:r>
              </w:p>
            </w:tc>
          </w:sdtContent>
        </w:sdt>
        <w:sdt>
          <w:sdtPr>
            <w:rPr>
              <w:rFonts w:ascii="Times New Roman" w:hAnsi="Times New Roman" w:hint="eastAsia"/>
            </w:rPr>
            <w:alias w:val="报告期内召开董事会会议次数"/>
            <w:tag w:val="_GBC_cabd294ab90e40d0afb59e61df002667"/>
            <w:id w:val="-1483075329"/>
          </w:sdtPr>
          <w:sdtEndPr/>
          <w:sdtContent>
            <w:tc>
              <w:tcPr>
                <w:tcW w:w="4525" w:type="dxa"/>
                <w:vAlign w:val="bottom"/>
              </w:tcPr>
              <w:p w:rsidR="004A3868" w:rsidRDefault="003F1AB5">
                <w:pPr>
                  <w:pStyle w:val="afff7"/>
                </w:pPr>
                <w:r>
                  <w:t>5</w:t>
                </w:r>
              </w:p>
            </w:tc>
          </w:sdtContent>
        </w:sdt>
      </w:tr>
      <w:tr w:rsidR="004A3868">
        <w:trPr>
          <w:trHeight w:val="397"/>
          <w:jc w:val="center"/>
        </w:trPr>
        <w:tc>
          <w:tcPr>
            <w:tcW w:w="4524" w:type="dxa"/>
            <w:vAlign w:val="bottom"/>
          </w:tcPr>
          <w:p w:rsidR="004A3868" w:rsidRDefault="003F1AB5">
            <w:pPr>
              <w:pStyle w:val="afff9"/>
            </w:pPr>
            <w:r>
              <w:t>其中：现场会议次数</w:t>
            </w:r>
          </w:p>
        </w:tc>
        <w:tc>
          <w:tcPr>
            <w:tcW w:w="4525" w:type="dxa"/>
            <w:vAlign w:val="bottom"/>
          </w:tcPr>
          <w:p w:rsidR="004A3868" w:rsidRDefault="003F1AB5">
            <w:pPr>
              <w:pStyle w:val="afff7"/>
            </w:pPr>
            <w:r>
              <w:t>1</w:t>
            </w:r>
          </w:p>
        </w:tc>
      </w:tr>
      <w:tr w:rsidR="004A3868">
        <w:trPr>
          <w:trHeight w:val="397"/>
          <w:jc w:val="center"/>
        </w:trPr>
        <w:tc>
          <w:tcPr>
            <w:tcW w:w="4524" w:type="dxa"/>
            <w:vAlign w:val="bottom"/>
          </w:tcPr>
          <w:p w:rsidR="004A3868" w:rsidRDefault="003F1AB5">
            <w:pPr>
              <w:pStyle w:val="afff9"/>
            </w:pPr>
            <w:r>
              <w:t>通讯方式召开会议次数</w:t>
            </w:r>
          </w:p>
        </w:tc>
        <w:tc>
          <w:tcPr>
            <w:tcW w:w="4525" w:type="dxa"/>
            <w:vAlign w:val="bottom"/>
          </w:tcPr>
          <w:p w:rsidR="004A3868" w:rsidRDefault="003F1AB5">
            <w:pPr>
              <w:pStyle w:val="afff7"/>
            </w:pPr>
            <w:r>
              <w:rPr>
                <w:rFonts w:hint="eastAsia"/>
              </w:rPr>
              <w:t>0</w:t>
            </w:r>
          </w:p>
        </w:tc>
      </w:tr>
      <w:tr w:rsidR="004A3868">
        <w:trPr>
          <w:trHeight w:val="397"/>
          <w:jc w:val="center"/>
        </w:trPr>
        <w:tc>
          <w:tcPr>
            <w:tcW w:w="4524" w:type="dxa"/>
            <w:vAlign w:val="bottom"/>
          </w:tcPr>
          <w:p w:rsidR="004A3868" w:rsidRDefault="003F1AB5">
            <w:pPr>
              <w:pStyle w:val="afff9"/>
            </w:pPr>
            <w:r>
              <w:t>现场结合通讯方式召开会议次数</w:t>
            </w:r>
          </w:p>
        </w:tc>
        <w:tc>
          <w:tcPr>
            <w:tcW w:w="4525" w:type="dxa"/>
            <w:vAlign w:val="bottom"/>
          </w:tcPr>
          <w:p w:rsidR="004A3868" w:rsidRDefault="003F1AB5">
            <w:pPr>
              <w:pStyle w:val="afff7"/>
            </w:pPr>
            <w:r>
              <w:t>4</w:t>
            </w:r>
          </w:p>
        </w:tc>
      </w:tr>
    </w:tbl>
    <w:p w:rsidR="004A3868" w:rsidRDefault="004A3868">
      <w:pPr>
        <w:pStyle w:val="Style124"/>
      </w:pPr>
    </w:p>
    <w:p w:rsidR="004A3868" w:rsidRDefault="003F1AB5">
      <w:pPr>
        <w:pStyle w:val="Style127"/>
        <w:numPr>
          <w:ilvl w:val="0"/>
          <w:numId w:val="24"/>
        </w:numPr>
      </w:pPr>
      <w:r>
        <w:t>董事对公司有关事项提出异议的情况</w:t>
      </w:r>
    </w:p>
    <w:sdt>
      <w:sdtPr>
        <w:alias w:val="是否适用：独立董事对公司有关事项提出异议的情况[双击切换]"/>
        <w:tag w:val="_GBC_1369df39a53747ff843be7f892cb0cbd"/>
        <w:id w:val="120513140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7"/>
        <w:numPr>
          <w:ilvl w:val="0"/>
          <w:numId w:val="24"/>
        </w:numPr>
      </w:pPr>
      <w:r>
        <w:t>其他</w:t>
      </w:r>
    </w:p>
    <w:sdt>
      <w:sdtPr>
        <w:rPr>
          <w:rFonts w:hint="eastAsia"/>
        </w:rPr>
        <w:alias w:val="是否适用：其他董事履行职责情况说明[双击切换]"/>
        <w:tag w:val="_GBC_ba1a70dda14046559f72c5b524ca1125"/>
        <w:id w:val="2059817732"/>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2"/>
        <w:numPr>
          <w:ilvl w:val="0"/>
          <w:numId w:val="21"/>
        </w:numPr>
      </w:pPr>
      <w:r>
        <w:rPr>
          <w:rFonts w:hint="eastAsia"/>
        </w:rPr>
        <w:t>董事会下设专门委员会情况</w:t>
      </w:r>
    </w:p>
    <w:sdt>
      <w:sdtPr>
        <w:rPr>
          <w:rFonts w:hint="eastAsia"/>
        </w:rPr>
        <w:alias w:val="是否适用：董事会下设专门委员会情况[双击切换]"/>
        <w:tag w:val="_GBC_88389a2d52e44644a2332ba32500fe69"/>
        <w:id w:val="485673133"/>
        <w:lock w:val="conten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
        <w:numPr>
          <w:ilvl w:val="0"/>
          <w:numId w:val="25"/>
        </w:numPr>
      </w:pPr>
      <w:r>
        <w:rPr>
          <w:rFonts w:hint="eastAsia"/>
        </w:rPr>
        <w:t>董事会下设专门委员会成员情况</w:t>
      </w:r>
    </w:p>
    <w:tbl>
      <w:tblPr>
        <w:tblStyle w:val="Style740"/>
        <w:tblW w:w="5000" w:type="pct"/>
        <w:jc w:val="center"/>
        <w:tblInd w:w="0" w:type="dxa"/>
        <w:tblLayout w:type="fixed"/>
        <w:tblCellMar>
          <w:left w:w="0" w:type="dxa"/>
          <w:right w:w="28" w:type="dxa"/>
        </w:tblCellMar>
        <w:tblLook w:val="04A0" w:firstRow="1" w:lastRow="0" w:firstColumn="1" w:lastColumn="0" w:noHBand="0" w:noVBand="1"/>
      </w:tblPr>
      <w:tblGrid>
        <w:gridCol w:w="2521"/>
        <w:gridCol w:w="6302"/>
      </w:tblGrid>
      <w:tr w:rsidR="004A3868">
        <w:trPr>
          <w:trHeight w:val="397"/>
          <w:jc w:val="center"/>
        </w:trPr>
        <w:sdt>
          <w:sdtPr>
            <w:rPr>
              <w:rFonts w:hint="eastAsia"/>
            </w:rPr>
            <w:tag w:val="_PLD_d469fc77cfdc44b0b043e0b1ab52e604"/>
            <w:id w:val="-353116916"/>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868" w:rsidRDefault="003F1AB5">
                <w:pPr>
                  <w:pStyle w:val="afff9"/>
                </w:pPr>
                <w:r>
                  <w:rPr>
                    <w:rFonts w:hint="eastAsia"/>
                  </w:rPr>
                  <w:t>专门委员会类别</w:t>
                </w:r>
              </w:p>
            </w:tc>
          </w:sdtContent>
        </w:sdt>
        <w:sdt>
          <w:sdtPr>
            <w:rPr>
              <w:rFonts w:hint="eastAsia"/>
            </w:rPr>
            <w:tag w:val="_PLD_32d037161ea94d0eb907c4e766b75044"/>
            <w:id w:val="1898320861"/>
          </w:sdtPr>
          <w:sdtEndPr/>
          <w:sdtContent>
            <w:tc>
              <w:tcPr>
                <w:tcW w:w="6465" w:type="dxa"/>
                <w:tcBorders>
                  <w:top w:val="single" w:sz="4" w:space="0" w:color="auto"/>
                  <w:left w:val="nil"/>
                  <w:bottom w:val="single" w:sz="4" w:space="0" w:color="auto"/>
                  <w:right w:val="single" w:sz="4" w:space="0" w:color="auto"/>
                </w:tcBorders>
                <w:shd w:val="clear" w:color="auto" w:fill="auto"/>
                <w:noWrap/>
                <w:vAlign w:val="bottom"/>
              </w:tcPr>
              <w:p w:rsidR="004A3868" w:rsidRDefault="003F1AB5">
                <w:pPr>
                  <w:pStyle w:val="afff9"/>
                </w:pPr>
                <w:r>
                  <w:rPr>
                    <w:rFonts w:hint="eastAsia"/>
                  </w:rPr>
                  <w:t>成员姓名</w:t>
                </w:r>
              </w:p>
            </w:tc>
          </w:sdtContent>
        </w:sdt>
      </w:tr>
      <w:tr w:rsidR="004A3868">
        <w:trPr>
          <w:trHeight w:val="397"/>
          <w:jc w:val="center"/>
        </w:trPr>
        <w:tc>
          <w:tcPr>
            <w:tcW w:w="2586" w:type="dxa"/>
            <w:tcBorders>
              <w:top w:val="nil"/>
              <w:left w:val="single" w:sz="4" w:space="0" w:color="auto"/>
              <w:bottom w:val="single" w:sz="4" w:space="0" w:color="auto"/>
              <w:right w:val="single" w:sz="4" w:space="0" w:color="auto"/>
            </w:tcBorders>
            <w:shd w:val="clear" w:color="auto" w:fill="auto"/>
            <w:noWrap/>
            <w:vAlign w:val="bottom"/>
          </w:tcPr>
          <w:p w:rsidR="004A3868" w:rsidRDefault="003F1AB5">
            <w:pPr>
              <w:pStyle w:val="afff9"/>
            </w:pPr>
            <w:r>
              <w:rPr>
                <w:rFonts w:hint="eastAsia"/>
              </w:rPr>
              <w:t>审计委员会</w:t>
            </w:r>
          </w:p>
        </w:tc>
        <w:tc>
          <w:tcPr>
            <w:tcW w:w="6465" w:type="dxa"/>
            <w:tcBorders>
              <w:top w:val="nil"/>
              <w:left w:val="nil"/>
              <w:bottom w:val="single" w:sz="4" w:space="0" w:color="auto"/>
              <w:right w:val="single" w:sz="4" w:space="0" w:color="auto"/>
            </w:tcBorders>
            <w:shd w:val="clear" w:color="auto" w:fill="auto"/>
            <w:noWrap/>
            <w:vAlign w:val="bottom"/>
          </w:tcPr>
          <w:p w:rsidR="004A3868" w:rsidRDefault="003F1AB5">
            <w:pPr>
              <w:pStyle w:val="afff9"/>
            </w:pPr>
            <w:r>
              <w:rPr>
                <w:rFonts w:hint="eastAsia"/>
              </w:rPr>
              <w:t>王勇（主任委员）、付康、沈江</w:t>
            </w:r>
          </w:p>
        </w:tc>
      </w:tr>
      <w:tr w:rsidR="004A3868">
        <w:trPr>
          <w:trHeight w:val="397"/>
          <w:jc w:val="center"/>
        </w:trPr>
        <w:tc>
          <w:tcPr>
            <w:tcW w:w="2586" w:type="dxa"/>
            <w:tcBorders>
              <w:top w:val="nil"/>
              <w:left w:val="single" w:sz="4" w:space="0" w:color="auto"/>
              <w:bottom w:val="single" w:sz="4" w:space="0" w:color="auto"/>
              <w:right w:val="single" w:sz="4" w:space="0" w:color="auto"/>
            </w:tcBorders>
            <w:shd w:val="clear" w:color="auto" w:fill="auto"/>
            <w:noWrap/>
            <w:vAlign w:val="bottom"/>
          </w:tcPr>
          <w:p w:rsidR="004A3868" w:rsidRDefault="003F1AB5">
            <w:pPr>
              <w:pStyle w:val="afff9"/>
            </w:pPr>
            <w:r>
              <w:rPr>
                <w:rFonts w:hint="eastAsia"/>
              </w:rPr>
              <w:t>提名委员会</w:t>
            </w:r>
          </w:p>
        </w:tc>
        <w:tc>
          <w:tcPr>
            <w:tcW w:w="6465" w:type="dxa"/>
            <w:tcBorders>
              <w:top w:val="nil"/>
              <w:left w:val="nil"/>
              <w:bottom w:val="single" w:sz="4" w:space="0" w:color="auto"/>
              <w:right w:val="single" w:sz="4" w:space="0" w:color="auto"/>
            </w:tcBorders>
            <w:shd w:val="clear" w:color="auto" w:fill="auto"/>
            <w:noWrap/>
            <w:vAlign w:val="bottom"/>
          </w:tcPr>
          <w:p w:rsidR="004A3868" w:rsidRDefault="003F1AB5">
            <w:pPr>
              <w:pStyle w:val="afff9"/>
            </w:pPr>
            <w:r>
              <w:rPr>
                <w:rFonts w:hint="eastAsia"/>
              </w:rPr>
              <w:t>赵宇（主任委员）、沈江、杨林</w:t>
            </w:r>
          </w:p>
        </w:tc>
      </w:tr>
      <w:tr w:rsidR="004A3868">
        <w:trPr>
          <w:trHeight w:val="397"/>
          <w:jc w:val="center"/>
        </w:trPr>
        <w:tc>
          <w:tcPr>
            <w:tcW w:w="2586" w:type="dxa"/>
            <w:tcBorders>
              <w:top w:val="nil"/>
              <w:left w:val="single" w:sz="4" w:space="0" w:color="auto"/>
              <w:bottom w:val="single" w:sz="4" w:space="0" w:color="auto"/>
              <w:right w:val="single" w:sz="4" w:space="0" w:color="auto"/>
            </w:tcBorders>
            <w:shd w:val="clear" w:color="auto" w:fill="auto"/>
            <w:noWrap/>
            <w:vAlign w:val="bottom"/>
          </w:tcPr>
          <w:p w:rsidR="004A3868" w:rsidRDefault="003F1AB5">
            <w:pPr>
              <w:pStyle w:val="afff9"/>
            </w:pPr>
            <w:r>
              <w:rPr>
                <w:rFonts w:hint="eastAsia"/>
              </w:rPr>
              <w:t>薪酬与考核委员会</w:t>
            </w:r>
          </w:p>
        </w:tc>
        <w:tc>
          <w:tcPr>
            <w:tcW w:w="6465" w:type="dxa"/>
            <w:tcBorders>
              <w:top w:val="nil"/>
              <w:left w:val="nil"/>
              <w:bottom w:val="single" w:sz="4" w:space="0" w:color="auto"/>
              <w:right w:val="single" w:sz="4" w:space="0" w:color="auto"/>
            </w:tcBorders>
            <w:shd w:val="clear" w:color="auto" w:fill="auto"/>
            <w:noWrap/>
            <w:vAlign w:val="bottom"/>
          </w:tcPr>
          <w:p w:rsidR="004A3868" w:rsidRDefault="003F1AB5">
            <w:pPr>
              <w:pStyle w:val="afff9"/>
            </w:pPr>
            <w:r>
              <w:rPr>
                <w:rFonts w:hint="eastAsia"/>
              </w:rPr>
              <w:t>沈江（主任委员）、赵宇、皮统政</w:t>
            </w:r>
          </w:p>
        </w:tc>
      </w:tr>
      <w:tr w:rsidR="004A3868">
        <w:trPr>
          <w:trHeight w:val="397"/>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868" w:rsidRDefault="003F1AB5">
            <w:pPr>
              <w:pStyle w:val="afff9"/>
            </w:pPr>
            <w:r>
              <w:rPr>
                <w:rFonts w:hint="eastAsia"/>
              </w:rPr>
              <w:t>战略发展委员会</w:t>
            </w:r>
          </w:p>
        </w:tc>
        <w:tc>
          <w:tcPr>
            <w:tcW w:w="6465" w:type="dxa"/>
            <w:tcBorders>
              <w:top w:val="single" w:sz="4" w:space="0" w:color="auto"/>
              <w:left w:val="nil"/>
              <w:bottom w:val="single" w:sz="4" w:space="0" w:color="auto"/>
              <w:right w:val="single" w:sz="4" w:space="0" w:color="auto"/>
            </w:tcBorders>
            <w:shd w:val="clear" w:color="auto" w:fill="auto"/>
            <w:noWrap/>
            <w:vAlign w:val="bottom"/>
          </w:tcPr>
          <w:p w:rsidR="004A3868" w:rsidRDefault="003F1AB5">
            <w:pPr>
              <w:pStyle w:val="afff9"/>
            </w:pPr>
            <w:r>
              <w:rPr>
                <w:rFonts w:hint="eastAsia"/>
              </w:rPr>
              <w:t>杨泽民（主任委员）、胡守天、王海波</w:t>
            </w:r>
          </w:p>
        </w:tc>
      </w:tr>
    </w:tbl>
    <w:p w:rsidR="004A3868" w:rsidRDefault="004A3868">
      <w:pPr>
        <w:pStyle w:val="Style124"/>
      </w:pPr>
    </w:p>
    <w:p w:rsidR="004A3868" w:rsidRDefault="003F1AB5">
      <w:pPr>
        <w:pStyle w:val="Style127"/>
        <w:numPr>
          <w:ilvl w:val="0"/>
          <w:numId w:val="25"/>
        </w:numPr>
      </w:pPr>
      <w:r>
        <w:rPr>
          <w:rFonts w:hint="eastAsia"/>
        </w:rPr>
        <w:lastRenderedPageBreak/>
        <w:t>报告期内</w:t>
      </w:r>
      <w:sdt>
        <w:sdtPr>
          <w:rPr>
            <w:rFonts w:hint="eastAsia"/>
          </w:rPr>
          <w:alias w:val="召开会议的专门委员会类别"/>
          <w:tag w:val="_GBC_adf76ecbe3584f07b573642215a867bd"/>
          <w:id w:val="1273519763"/>
          <w:placeholder>
            <w:docPart w:val="GBC22222222222222222222222222222"/>
          </w:placeholder>
        </w:sdtPr>
        <w:sdtEndPr/>
        <w:sdtContent>
          <w:r>
            <w:rPr>
              <w:rFonts w:hint="eastAsia"/>
            </w:rPr>
            <w:t>审计</w:t>
          </w:r>
        </w:sdtContent>
      </w:sdt>
      <w:r>
        <w:rPr>
          <w:rFonts w:hint="eastAsia"/>
        </w:rPr>
        <w:t>委员会召开</w:t>
      </w:r>
      <w:sdt>
        <w:sdtPr>
          <w:rPr>
            <w:rFonts w:hint="eastAsia"/>
          </w:rPr>
          <w:alias w:val="报告期内召开专门委员会会议次数"/>
          <w:tag w:val="_GBC_7bf2cd7c3a6a4685ac9c89ee396352a0"/>
          <w:id w:val="2035141101"/>
          <w:placeholder>
            <w:docPart w:val="GBC22222222222222222222222222222"/>
          </w:placeholder>
        </w:sdtPr>
        <w:sdtEndPr/>
        <w:sdtContent>
          <w:r>
            <w:t>5</w:t>
          </w:r>
        </w:sdtContent>
      </w:sdt>
      <w:r>
        <w:rPr>
          <w:rFonts w:hint="eastAsia"/>
        </w:rPr>
        <w:t>次会议</w:t>
      </w:r>
    </w:p>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117"/>
        <w:gridCol w:w="2001"/>
        <w:gridCol w:w="3690"/>
        <w:gridCol w:w="2015"/>
      </w:tblGrid>
      <w:tr w:rsidR="004A3868">
        <w:trPr>
          <w:trHeight w:val="397"/>
          <w:jc w:val="center"/>
        </w:trPr>
        <w:tc>
          <w:tcPr>
            <w:tcW w:w="633" w:type="pct"/>
            <w:shd w:val="clear" w:color="auto" w:fill="auto"/>
            <w:vAlign w:val="bottom"/>
          </w:tcPr>
          <w:sdt>
            <w:sdtPr>
              <w:rPr>
                <w:rFonts w:hint="eastAsia"/>
              </w:rPr>
              <w:tag w:val="_PLD_81aefc289fbf48b1865138608d8bd14f"/>
              <w:id w:val="-454106815"/>
            </w:sdtPr>
            <w:sdtEndPr/>
            <w:sdtContent>
              <w:p w:rsidR="004A3868" w:rsidRDefault="003F1AB5">
                <w:pPr>
                  <w:pStyle w:val="33"/>
                </w:pPr>
                <w:r>
                  <w:rPr>
                    <w:rFonts w:hint="eastAsia"/>
                  </w:rPr>
                  <w:t>召开日期</w:t>
                </w:r>
              </w:p>
            </w:sdtContent>
          </w:sdt>
        </w:tc>
        <w:sdt>
          <w:sdtPr>
            <w:rPr>
              <w:rFonts w:hint="eastAsia"/>
            </w:rPr>
            <w:tag w:val="_PLD_9d24b601ec70414eb969daf6b393edc8"/>
            <w:id w:val="-637641022"/>
          </w:sdtPr>
          <w:sdtEndPr/>
          <w:sdtContent>
            <w:tc>
              <w:tcPr>
                <w:tcW w:w="1134" w:type="pct"/>
                <w:shd w:val="clear" w:color="auto" w:fill="auto"/>
                <w:vAlign w:val="bottom"/>
              </w:tcPr>
              <w:p w:rsidR="004A3868" w:rsidRDefault="003F1AB5">
                <w:pPr>
                  <w:pStyle w:val="33"/>
                </w:pPr>
                <w:r>
                  <w:rPr>
                    <w:rFonts w:hint="eastAsia"/>
                  </w:rPr>
                  <w:t>会议内容</w:t>
                </w:r>
              </w:p>
            </w:tc>
          </w:sdtContent>
        </w:sdt>
        <w:sdt>
          <w:sdtPr>
            <w:rPr>
              <w:rFonts w:hint="eastAsia"/>
            </w:rPr>
            <w:tag w:val="_PLD_6ea19dadc3684e98a6d98faaf035a9d9"/>
            <w:id w:val="-1730523342"/>
          </w:sdtPr>
          <w:sdtEndPr/>
          <w:sdtContent>
            <w:tc>
              <w:tcPr>
                <w:tcW w:w="2091" w:type="pct"/>
                <w:shd w:val="clear" w:color="auto" w:fill="auto"/>
                <w:vAlign w:val="bottom"/>
              </w:tcPr>
              <w:p w:rsidR="004A3868" w:rsidRDefault="003F1AB5">
                <w:pPr>
                  <w:pStyle w:val="33"/>
                </w:pPr>
                <w:r>
                  <w:rPr>
                    <w:rFonts w:hint="eastAsia"/>
                  </w:rPr>
                  <w:t>重要意见和建议</w:t>
                </w:r>
              </w:p>
            </w:tc>
          </w:sdtContent>
        </w:sdt>
        <w:sdt>
          <w:sdtPr>
            <w:rPr>
              <w:rFonts w:hint="eastAsia"/>
            </w:rPr>
            <w:tag w:val="_PLD_ef03d3ffb00740008011022cb6a96805"/>
            <w:id w:val="2105449326"/>
          </w:sdtPr>
          <w:sdtEndPr/>
          <w:sdtContent>
            <w:tc>
              <w:tcPr>
                <w:tcW w:w="1142" w:type="pct"/>
                <w:shd w:val="clear" w:color="auto" w:fill="auto"/>
                <w:vAlign w:val="bottom"/>
              </w:tcPr>
              <w:p w:rsidR="004A3868" w:rsidRDefault="003F1AB5">
                <w:pPr>
                  <w:pStyle w:val="33"/>
                </w:pPr>
                <w:r>
                  <w:rPr>
                    <w:rFonts w:hint="eastAsia"/>
                  </w:rPr>
                  <w:t>其他履行职责情况</w:t>
                </w:r>
              </w:p>
            </w:tc>
          </w:sdtContent>
        </w:sdt>
      </w:tr>
      <w:tr w:rsidR="004A3868">
        <w:trPr>
          <w:trHeight w:val="397"/>
          <w:jc w:val="center"/>
        </w:trPr>
        <w:tc>
          <w:tcPr>
            <w:tcW w:w="633" w:type="pct"/>
            <w:shd w:val="clear" w:color="auto" w:fill="auto"/>
            <w:vAlign w:val="bottom"/>
          </w:tcPr>
          <w:p w:rsidR="004A3868" w:rsidRDefault="003F1AB5">
            <w:pPr>
              <w:pStyle w:val="33"/>
            </w:pPr>
            <w:r>
              <w:t>2023.03.27</w:t>
            </w:r>
          </w:p>
        </w:tc>
        <w:tc>
          <w:tcPr>
            <w:tcW w:w="1134" w:type="pct"/>
            <w:shd w:val="clear" w:color="auto" w:fill="auto"/>
            <w:vAlign w:val="bottom"/>
          </w:tcPr>
          <w:p w:rsidR="004A3868" w:rsidRDefault="003F1AB5">
            <w:pPr>
              <w:pStyle w:val="33"/>
            </w:pPr>
            <w:r>
              <w:rPr>
                <w:rStyle w:val="font11"/>
                <w:color w:val="auto"/>
                <w:sz w:val="21"/>
                <w:szCs w:val="21"/>
              </w:rPr>
              <w:t>2023</w:t>
            </w:r>
            <w:r>
              <w:rPr>
                <w:rStyle w:val="font21"/>
                <w:rFonts w:ascii="Times New Roman" w:hAnsi="Times New Roman" w:hint="default"/>
                <w:color w:val="auto"/>
                <w:sz w:val="21"/>
                <w:szCs w:val="21"/>
              </w:rPr>
              <w:t>年第</w:t>
            </w:r>
            <w:r>
              <w:rPr>
                <w:rStyle w:val="font11"/>
                <w:color w:val="auto"/>
                <w:sz w:val="21"/>
                <w:szCs w:val="21"/>
              </w:rPr>
              <w:t>1</w:t>
            </w:r>
            <w:r>
              <w:rPr>
                <w:rStyle w:val="font21"/>
                <w:rFonts w:ascii="Times New Roman" w:hAnsi="Times New Roman" w:hint="default"/>
                <w:color w:val="auto"/>
                <w:sz w:val="21"/>
                <w:szCs w:val="21"/>
              </w:rPr>
              <w:t>次审计委员会</w:t>
            </w:r>
          </w:p>
        </w:tc>
        <w:tc>
          <w:tcPr>
            <w:tcW w:w="2091" w:type="pct"/>
            <w:shd w:val="clear" w:color="auto" w:fill="auto"/>
            <w:vAlign w:val="bottom"/>
          </w:tcPr>
          <w:p w:rsidR="004A3868" w:rsidRDefault="003F1AB5">
            <w:pPr>
              <w:pStyle w:val="33"/>
            </w:pPr>
            <w:r>
              <w:rPr>
                <w:rFonts w:hint="eastAsia"/>
              </w:rPr>
              <w:t>审议通过：</w:t>
            </w:r>
          </w:p>
          <w:p w:rsidR="004A3868" w:rsidRDefault="003F1AB5">
            <w:pPr>
              <w:pStyle w:val="33"/>
            </w:pPr>
            <w:r>
              <w:rPr>
                <w:rFonts w:hint="eastAsia"/>
              </w:rPr>
              <w:t>1.</w:t>
            </w:r>
            <w:r>
              <w:rPr>
                <w:rFonts w:hint="eastAsia"/>
              </w:rPr>
              <w:t>《关于公司</w:t>
            </w:r>
            <w:r>
              <w:rPr>
                <w:rFonts w:hint="eastAsia"/>
              </w:rPr>
              <w:t>2022</w:t>
            </w:r>
            <w:r>
              <w:rPr>
                <w:rFonts w:hint="eastAsia"/>
              </w:rPr>
              <w:t>年度审计委员会履职报告的议案》</w:t>
            </w:r>
          </w:p>
          <w:p w:rsidR="004A3868" w:rsidRDefault="003F1AB5">
            <w:pPr>
              <w:pStyle w:val="33"/>
            </w:pPr>
            <w:r>
              <w:rPr>
                <w:rFonts w:hint="eastAsia"/>
              </w:rPr>
              <w:t>2.</w:t>
            </w:r>
            <w:r>
              <w:rPr>
                <w:rFonts w:hint="eastAsia"/>
              </w:rPr>
              <w:t>《关于公司</w:t>
            </w:r>
            <w:r>
              <w:rPr>
                <w:rFonts w:hint="eastAsia"/>
              </w:rPr>
              <w:t>2022</w:t>
            </w:r>
            <w:r>
              <w:rPr>
                <w:rFonts w:hint="eastAsia"/>
              </w:rPr>
              <w:t>年度财务决算报告的议案》</w:t>
            </w:r>
          </w:p>
          <w:p w:rsidR="004A3868" w:rsidRDefault="003F1AB5">
            <w:pPr>
              <w:pStyle w:val="33"/>
            </w:pPr>
            <w:r>
              <w:rPr>
                <w:rFonts w:hint="eastAsia"/>
              </w:rPr>
              <w:t>3.</w:t>
            </w:r>
            <w:r>
              <w:rPr>
                <w:rFonts w:hint="eastAsia"/>
              </w:rPr>
              <w:t>《关于公司</w:t>
            </w:r>
            <w:r>
              <w:rPr>
                <w:rFonts w:hint="eastAsia"/>
              </w:rPr>
              <w:t>2023</w:t>
            </w:r>
            <w:r>
              <w:rPr>
                <w:rFonts w:hint="eastAsia"/>
              </w:rPr>
              <w:t>年度财务预算报告的议案》</w:t>
            </w:r>
          </w:p>
          <w:p w:rsidR="004A3868" w:rsidRDefault="003F1AB5">
            <w:pPr>
              <w:pStyle w:val="33"/>
            </w:pPr>
            <w:r>
              <w:rPr>
                <w:rFonts w:hint="eastAsia"/>
              </w:rPr>
              <w:t>4.</w:t>
            </w:r>
            <w:r>
              <w:rPr>
                <w:rFonts w:hint="eastAsia"/>
              </w:rPr>
              <w:t>《关于公司</w:t>
            </w:r>
            <w:r>
              <w:rPr>
                <w:rFonts w:hint="eastAsia"/>
              </w:rPr>
              <w:t>2022</w:t>
            </w:r>
            <w:r>
              <w:rPr>
                <w:rFonts w:hint="eastAsia"/>
              </w:rPr>
              <w:t>年度利润分配方案的议案》</w:t>
            </w:r>
          </w:p>
          <w:p w:rsidR="004A3868" w:rsidRDefault="003F1AB5">
            <w:pPr>
              <w:pStyle w:val="33"/>
            </w:pPr>
            <w:r>
              <w:rPr>
                <w:rFonts w:hint="eastAsia"/>
              </w:rPr>
              <w:t>5.</w:t>
            </w:r>
            <w:r>
              <w:rPr>
                <w:rFonts w:hint="eastAsia"/>
              </w:rPr>
              <w:t>《关于续聘会计师事务所的议案》</w:t>
            </w:r>
          </w:p>
          <w:p w:rsidR="004A3868" w:rsidRDefault="003F1AB5">
            <w:pPr>
              <w:pStyle w:val="33"/>
            </w:pPr>
            <w:r>
              <w:rPr>
                <w:rFonts w:hint="eastAsia"/>
              </w:rPr>
              <w:t>6.</w:t>
            </w:r>
            <w:r>
              <w:rPr>
                <w:rFonts w:hint="eastAsia"/>
              </w:rPr>
              <w:t>《关于公司</w:t>
            </w:r>
            <w:r>
              <w:rPr>
                <w:rFonts w:hint="eastAsia"/>
              </w:rPr>
              <w:t>2022</w:t>
            </w:r>
            <w:r>
              <w:rPr>
                <w:rFonts w:hint="eastAsia"/>
              </w:rPr>
              <w:t>年年度报告全文及其摘要的议案》</w:t>
            </w:r>
          </w:p>
          <w:p w:rsidR="004A3868" w:rsidRDefault="003F1AB5">
            <w:pPr>
              <w:pStyle w:val="33"/>
            </w:pPr>
            <w:r>
              <w:rPr>
                <w:rFonts w:hint="eastAsia"/>
              </w:rPr>
              <w:t>7.</w:t>
            </w:r>
            <w:r>
              <w:rPr>
                <w:rFonts w:hint="eastAsia"/>
              </w:rPr>
              <w:t>《关于公司</w:t>
            </w:r>
            <w:r>
              <w:rPr>
                <w:rFonts w:hint="eastAsia"/>
              </w:rPr>
              <w:t>2022</w:t>
            </w:r>
            <w:r>
              <w:rPr>
                <w:rFonts w:hint="eastAsia"/>
              </w:rPr>
              <w:t>年度内部控制自我评价报告的议案》</w:t>
            </w:r>
          </w:p>
          <w:p w:rsidR="004A3868" w:rsidRDefault="003F1AB5">
            <w:pPr>
              <w:pStyle w:val="33"/>
            </w:pPr>
            <w:r>
              <w:rPr>
                <w:rFonts w:hint="eastAsia"/>
              </w:rPr>
              <w:t>8.</w:t>
            </w:r>
            <w:r>
              <w:rPr>
                <w:rFonts w:hint="eastAsia"/>
              </w:rPr>
              <w:t>《关于公司</w:t>
            </w:r>
            <w:r>
              <w:rPr>
                <w:rFonts w:hint="eastAsia"/>
              </w:rPr>
              <w:t>2022</w:t>
            </w:r>
            <w:r>
              <w:rPr>
                <w:rFonts w:hint="eastAsia"/>
              </w:rPr>
              <w:t>年度募集资金存放与使用情况的专项报告的议案》</w:t>
            </w:r>
          </w:p>
        </w:tc>
        <w:tc>
          <w:tcPr>
            <w:tcW w:w="1142" w:type="pct"/>
            <w:shd w:val="clear" w:color="auto" w:fill="auto"/>
            <w:vAlign w:val="bottom"/>
          </w:tcPr>
          <w:p w:rsidR="004A3868" w:rsidRDefault="003F1AB5">
            <w:pPr>
              <w:pStyle w:val="33"/>
            </w:pPr>
            <w:r>
              <w:rPr>
                <w:rFonts w:hint="eastAsia"/>
              </w:rPr>
              <w:t>审议通过本次会议议案后提交董事会审议</w:t>
            </w:r>
          </w:p>
        </w:tc>
      </w:tr>
      <w:tr w:rsidR="004A3868">
        <w:trPr>
          <w:trHeight w:val="397"/>
          <w:jc w:val="center"/>
        </w:trPr>
        <w:tc>
          <w:tcPr>
            <w:tcW w:w="633" w:type="pct"/>
            <w:shd w:val="clear" w:color="auto" w:fill="auto"/>
            <w:vAlign w:val="bottom"/>
          </w:tcPr>
          <w:p w:rsidR="004A3868" w:rsidRDefault="003F1AB5">
            <w:pPr>
              <w:pStyle w:val="33"/>
            </w:pPr>
            <w:r>
              <w:t>2023.04.25</w:t>
            </w:r>
          </w:p>
        </w:tc>
        <w:tc>
          <w:tcPr>
            <w:tcW w:w="1134" w:type="pct"/>
            <w:shd w:val="clear" w:color="auto" w:fill="auto"/>
            <w:vAlign w:val="bottom"/>
          </w:tcPr>
          <w:p w:rsidR="004A3868" w:rsidRDefault="003F1AB5">
            <w:pPr>
              <w:pStyle w:val="33"/>
            </w:pPr>
            <w:r>
              <w:rPr>
                <w:rStyle w:val="font11"/>
                <w:color w:val="auto"/>
                <w:sz w:val="21"/>
                <w:szCs w:val="21"/>
              </w:rPr>
              <w:t>2023</w:t>
            </w:r>
            <w:r>
              <w:rPr>
                <w:rStyle w:val="font21"/>
                <w:rFonts w:ascii="Times New Roman" w:hAnsi="Times New Roman" w:hint="default"/>
                <w:color w:val="auto"/>
                <w:sz w:val="21"/>
                <w:szCs w:val="21"/>
              </w:rPr>
              <w:t>年第</w:t>
            </w:r>
            <w:r>
              <w:rPr>
                <w:rStyle w:val="font11"/>
                <w:color w:val="auto"/>
                <w:sz w:val="21"/>
                <w:szCs w:val="21"/>
              </w:rPr>
              <w:t>2</w:t>
            </w:r>
            <w:r>
              <w:rPr>
                <w:rStyle w:val="font21"/>
                <w:rFonts w:ascii="Times New Roman" w:hAnsi="Times New Roman" w:hint="default"/>
                <w:color w:val="auto"/>
                <w:sz w:val="21"/>
                <w:szCs w:val="21"/>
              </w:rPr>
              <w:t>次审计委员会</w:t>
            </w:r>
          </w:p>
        </w:tc>
        <w:tc>
          <w:tcPr>
            <w:tcW w:w="2091" w:type="pct"/>
            <w:shd w:val="clear" w:color="auto" w:fill="auto"/>
            <w:vAlign w:val="bottom"/>
          </w:tcPr>
          <w:p w:rsidR="004A3868" w:rsidRDefault="003F1AB5">
            <w:pPr>
              <w:pStyle w:val="33"/>
            </w:pPr>
            <w:r>
              <w:rPr>
                <w:rFonts w:hint="eastAsia"/>
              </w:rPr>
              <w:t>审议通过：</w:t>
            </w:r>
          </w:p>
          <w:p w:rsidR="004A3868" w:rsidRDefault="003F1AB5">
            <w:pPr>
              <w:pStyle w:val="33"/>
            </w:pPr>
            <w:r>
              <w:rPr>
                <w:rFonts w:hint="eastAsia"/>
              </w:rPr>
              <w:t>1.</w:t>
            </w:r>
            <w:r>
              <w:rPr>
                <w:rFonts w:hint="eastAsia"/>
              </w:rPr>
              <w:t>《关于公司</w:t>
            </w:r>
            <w:r>
              <w:rPr>
                <w:rFonts w:hint="eastAsia"/>
              </w:rPr>
              <w:t>2023</w:t>
            </w:r>
            <w:r>
              <w:rPr>
                <w:rFonts w:hint="eastAsia"/>
              </w:rPr>
              <w:t>年第一季度报告的议案》</w:t>
            </w:r>
          </w:p>
          <w:p w:rsidR="004A3868" w:rsidRDefault="003F1AB5">
            <w:pPr>
              <w:pStyle w:val="33"/>
            </w:pPr>
            <w:r>
              <w:rPr>
                <w:rFonts w:hint="eastAsia"/>
              </w:rPr>
              <w:t>2.</w:t>
            </w:r>
            <w:r>
              <w:rPr>
                <w:rFonts w:hint="eastAsia"/>
              </w:rPr>
              <w:t>《关于修改远期结售汇业务内部控制制度的议案》</w:t>
            </w:r>
          </w:p>
          <w:p w:rsidR="004A3868" w:rsidRDefault="003F1AB5">
            <w:pPr>
              <w:pStyle w:val="33"/>
            </w:pPr>
            <w:r>
              <w:rPr>
                <w:rFonts w:hint="eastAsia"/>
              </w:rPr>
              <w:t>3.</w:t>
            </w:r>
            <w:r>
              <w:rPr>
                <w:rFonts w:hint="eastAsia"/>
              </w:rPr>
              <w:t>《关于开展外汇套期保值业务的议案》</w:t>
            </w:r>
          </w:p>
        </w:tc>
        <w:tc>
          <w:tcPr>
            <w:tcW w:w="1142" w:type="pct"/>
            <w:shd w:val="clear" w:color="auto" w:fill="auto"/>
            <w:vAlign w:val="bottom"/>
          </w:tcPr>
          <w:p w:rsidR="004A3868" w:rsidRDefault="003F1AB5">
            <w:pPr>
              <w:pStyle w:val="33"/>
            </w:pPr>
            <w:r>
              <w:rPr>
                <w:rFonts w:hint="eastAsia"/>
              </w:rPr>
              <w:t>审议通过本次会议议案后提交董事会审议</w:t>
            </w:r>
          </w:p>
        </w:tc>
      </w:tr>
      <w:tr w:rsidR="004A3868">
        <w:trPr>
          <w:trHeight w:val="397"/>
          <w:jc w:val="center"/>
        </w:trPr>
        <w:tc>
          <w:tcPr>
            <w:tcW w:w="633" w:type="pct"/>
            <w:shd w:val="clear" w:color="auto" w:fill="auto"/>
            <w:vAlign w:val="bottom"/>
          </w:tcPr>
          <w:p w:rsidR="004A3868" w:rsidRDefault="003F1AB5">
            <w:pPr>
              <w:pStyle w:val="33"/>
            </w:pPr>
            <w:r>
              <w:t>2023.8.21</w:t>
            </w:r>
          </w:p>
        </w:tc>
        <w:tc>
          <w:tcPr>
            <w:tcW w:w="1134" w:type="pct"/>
            <w:shd w:val="clear" w:color="auto" w:fill="auto"/>
            <w:vAlign w:val="bottom"/>
          </w:tcPr>
          <w:p w:rsidR="004A3868" w:rsidRDefault="003F1AB5">
            <w:pPr>
              <w:pStyle w:val="33"/>
            </w:pPr>
            <w:r>
              <w:rPr>
                <w:rStyle w:val="font11"/>
                <w:color w:val="auto"/>
                <w:sz w:val="21"/>
                <w:szCs w:val="21"/>
              </w:rPr>
              <w:t>2023</w:t>
            </w:r>
            <w:r>
              <w:rPr>
                <w:rStyle w:val="font21"/>
                <w:rFonts w:ascii="Times New Roman" w:hAnsi="Times New Roman" w:hint="default"/>
                <w:color w:val="auto"/>
                <w:sz w:val="21"/>
                <w:szCs w:val="21"/>
              </w:rPr>
              <w:t>年第</w:t>
            </w:r>
            <w:r>
              <w:rPr>
                <w:rStyle w:val="font11"/>
                <w:color w:val="auto"/>
                <w:sz w:val="21"/>
                <w:szCs w:val="21"/>
              </w:rPr>
              <w:t>3</w:t>
            </w:r>
            <w:r>
              <w:rPr>
                <w:rStyle w:val="font21"/>
                <w:rFonts w:ascii="Times New Roman" w:hAnsi="Times New Roman" w:hint="default"/>
                <w:color w:val="auto"/>
                <w:sz w:val="21"/>
                <w:szCs w:val="21"/>
              </w:rPr>
              <w:t>次审计委员会</w:t>
            </w:r>
          </w:p>
        </w:tc>
        <w:tc>
          <w:tcPr>
            <w:tcW w:w="2091" w:type="pct"/>
            <w:shd w:val="clear" w:color="auto" w:fill="auto"/>
            <w:vAlign w:val="bottom"/>
          </w:tcPr>
          <w:p w:rsidR="004A3868" w:rsidRDefault="003F1AB5">
            <w:pPr>
              <w:pStyle w:val="33"/>
            </w:pPr>
            <w:r>
              <w:rPr>
                <w:rFonts w:hint="eastAsia"/>
              </w:rPr>
              <w:t>审议通过：</w:t>
            </w:r>
          </w:p>
          <w:p w:rsidR="004A3868" w:rsidRDefault="003F1AB5">
            <w:pPr>
              <w:pStyle w:val="33"/>
            </w:pPr>
            <w:r>
              <w:rPr>
                <w:rFonts w:hint="eastAsia"/>
              </w:rPr>
              <w:t>1.</w:t>
            </w:r>
            <w:r>
              <w:rPr>
                <w:rFonts w:hint="eastAsia"/>
              </w:rPr>
              <w:t>《关于公司</w:t>
            </w:r>
            <w:r>
              <w:rPr>
                <w:rFonts w:hint="eastAsia"/>
              </w:rPr>
              <w:t>2023</w:t>
            </w:r>
            <w:r>
              <w:rPr>
                <w:rFonts w:hint="eastAsia"/>
              </w:rPr>
              <w:t>年半年度报告全文及报告摘要的议案》</w:t>
            </w:r>
          </w:p>
          <w:p w:rsidR="004A3868" w:rsidRDefault="003F1AB5">
            <w:pPr>
              <w:pStyle w:val="33"/>
            </w:pPr>
            <w:r>
              <w:rPr>
                <w:rFonts w:hint="eastAsia"/>
              </w:rPr>
              <w:t>2.</w:t>
            </w:r>
            <w:r>
              <w:rPr>
                <w:rFonts w:hint="eastAsia"/>
              </w:rPr>
              <w:t>《关于公司</w:t>
            </w:r>
            <w:r>
              <w:rPr>
                <w:rFonts w:hint="eastAsia"/>
              </w:rPr>
              <w:t>2023</w:t>
            </w:r>
            <w:r>
              <w:rPr>
                <w:rFonts w:hint="eastAsia"/>
              </w:rPr>
              <w:t>年半年度募集资金存放与使用情况的专项报告的议案》</w:t>
            </w:r>
          </w:p>
          <w:p w:rsidR="004A3868" w:rsidRDefault="003F1AB5">
            <w:pPr>
              <w:pStyle w:val="33"/>
            </w:pPr>
            <w:r>
              <w:rPr>
                <w:rFonts w:hint="eastAsia"/>
              </w:rPr>
              <w:t>3.</w:t>
            </w:r>
            <w:r>
              <w:rPr>
                <w:rFonts w:hint="eastAsia"/>
              </w:rPr>
              <w:t>《关于收购子公司股权暨关联交易的议案》</w:t>
            </w:r>
          </w:p>
        </w:tc>
        <w:tc>
          <w:tcPr>
            <w:tcW w:w="1142" w:type="pct"/>
            <w:shd w:val="clear" w:color="auto" w:fill="auto"/>
            <w:vAlign w:val="bottom"/>
          </w:tcPr>
          <w:p w:rsidR="004A3868" w:rsidRDefault="003F1AB5">
            <w:pPr>
              <w:pStyle w:val="33"/>
            </w:pPr>
            <w:r>
              <w:rPr>
                <w:rFonts w:hint="eastAsia"/>
              </w:rPr>
              <w:t>审议通过本次会议议案后提交董事会审议</w:t>
            </w:r>
          </w:p>
        </w:tc>
      </w:tr>
      <w:tr w:rsidR="004A3868">
        <w:trPr>
          <w:trHeight w:val="397"/>
          <w:jc w:val="center"/>
        </w:trPr>
        <w:tc>
          <w:tcPr>
            <w:tcW w:w="633" w:type="pct"/>
            <w:shd w:val="clear" w:color="auto" w:fill="auto"/>
            <w:vAlign w:val="bottom"/>
          </w:tcPr>
          <w:p w:rsidR="004A3868" w:rsidRDefault="003F1AB5">
            <w:pPr>
              <w:pStyle w:val="33"/>
            </w:pPr>
            <w:r>
              <w:t>2023.10.25</w:t>
            </w:r>
          </w:p>
        </w:tc>
        <w:tc>
          <w:tcPr>
            <w:tcW w:w="1134" w:type="pct"/>
            <w:shd w:val="clear" w:color="auto" w:fill="auto"/>
            <w:vAlign w:val="bottom"/>
          </w:tcPr>
          <w:p w:rsidR="004A3868" w:rsidRDefault="003F1AB5">
            <w:pPr>
              <w:pStyle w:val="33"/>
            </w:pPr>
            <w:r>
              <w:rPr>
                <w:rStyle w:val="font11"/>
                <w:color w:val="auto"/>
                <w:sz w:val="21"/>
                <w:szCs w:val="21"/>
              </w:rPr>
              <w:t>2023</w:t>
            </w:r>
            <w:r>
              <w:rPr>
                <w:rStyle w:val="font21"/>
                <w:rFonts w:ascii="Times New Roman" w:hAnsi="Times New Roman" w:hint="default"/>
                <w:color w:val="auto"/>
                <w:sz w:val="21"/>
                <w:szCs w:val="21"/>
              </w:rPr>
              <w:t>年第</w:t>
            </w:r>
            <w:r>
              <w:rPr>
                <w:rStyle w:val="font11"/>
                <w:color w:val="auto"/>
                <w:sz w:val="21"/>
                <w:szCs w:val="21"/>
              </w:rPr>
              <w:t>4</w:t>
            </w:r>
            <w:r>
              <w:rPr>
                <w:rStyle w:val="font21"/>
                <w:rFonts w:ascii="Times New Roman" w:hAnsi="Times New Roman" w:hint="default"/>
                <w:color w:val="auto"/>
                <w:sz w:val="21"/>
                <w:szCs w:val="21"/>
              </w:rPr>
              <w:t>次审计委员会</w:t>
            </w:r>
          </w:p>
        </w:tc>
        <w:tc>
          <w:tcPr>
            <w:tcW w:w="2091" w:type="pct"/>
            <w:shd w:val="clear" w:color="auto" w:fill="auto"/>
            <w:vAlign w:val="bottom"/>
          </w:tcPr>
          <w:p w:rsidR="004A3868" w:rsidRDefault="003F1AB5">
            <w:pPr>
              <w:pStyle w:val="33"/>
            </w:pPr>
            <w:r>
              <w:rPr>
                <w:rFonts w:hint="eastAsia"/>
              </w:rPr>
              <w:t>审议通过：</w:t>
            </w:r>
          </w:p>
          <w:p w:rsidR="004A3868" w:rsidRDefault="003F1AB5">
            <w:pPr>
              <w:pStyle w:val="33"/>
            </w:pPr>
            <w:r>
              <w:rPr>
                <w:rFonts w:hint="eastAsia"/>
              </w:rPr>
              <w:t>1.</w:t>
            </w:r>
            <w:r>
              <w:rPr>
                <w:rFonts w:hint="eastAsia"/>
              </w:rPr>
              <w:t>《关于公司</w:t>
            </w:r>
            <w:r>
              <w:rPr>
                <w:rFonts w:hint="eastAsia"/>
              </w:rPr>
              <w:t>&lt;2023</w:t>
            </w:r>
            <w:r>
              <w:rPr>
                <w:rFonts w:hint="eastAsia"/>
              </w:rPr>
              <w:t>年度第三季度报告</w:t>
            </w:r>
            <w:r>
              <w:rPr>
                <w:rFonts w:hint="eastAsia"/>
              </w:rPr>
              <w:t>&gt;</w:t>
            </w:r>
            <w:r>
              <w:rPr>
                <w:rFonts w:hint="eastAsia"/>
              </w:rPr>
              <w:t>的议案》</w:t>
            </w:r>
          </w:p>
        </w:tc>
        <w:tc>
          <w:tcPr>
            <w:tcW w:w="1142" w:type="pct"/>
            <w:shd w:val="clear" w:color="auto" w:fill="auto"/>
            <w:vAlign w:val="bottom"/>
          </w:tcPr>
          <w:p w:rsidR="004A3868" w:rsidRDefault="003F1AB5">
            <w:pPr>
              <w:pStyle w:val="33"/>
            </w:pPr>
            <w:r>
              <w:rPr>
                <w:rFonts w:hint="eastAsia"/>
              </w:rPr>
              <w:t>审议通过本次会议议案后提交董事会审议</w:t>
            </w:r>
          </w:p>
        </w:tc>
      </w:tr>
      <w:tr w:rsidR="004A3868">
        <w:trPr>
          <w:trHeight w:val="397"/>
          <w:jc w:val="center"/>
        </w:trPr>
        <w:tc>
          <w:tcPr>
            <w:tcW w:w="633" w:type="pct"/>
            <w:shd w:val="clear" w:color="auto" w:fill="auto"/>
            <w:vAlign w:val="bottom"/>
          </w:tcPr>
          <w:p w:rsidR="004A3868" w:rsidRDefault="003F1AB5">
            <w:pPr>
              <w:pStyle w:val="33"/>
            </w:pPr>
            <w:r>
              <w:t>2023.11.13</w:t>
            </w:r>
          </w:p>
        </w:tc>
        <w:tc>
          <w:tcPr>
            <w:tcW w:w="1134" w:type="pct"/>
            <w:shd w:val="clear" w:color="auto" w:fill="auto"/>
            <w:vAlign w:val="bottom"/>
          </w:tcPr>
          <w:p w:rsidR="004A3868" w:rsidRDefault="003F1AB5">
            <w:pPr>
              <w:pStyle w:val="33"/>
            </w:pPr>
            <w:r>
              <w:rPr>
                <w:rStyle w:val="font11"/>
                <w:color w:val="auto"/>
                <w:sz w:val="21"/>
                <w:szCs w:val="21"/>
              </w:rPr>
              <w:t>2023</w:t>
            </w:r>
            <w:r>
              <w:rPr>
                <w:rStyle w:val="font21"/>
                <w:rFonts w:ascii="Times New Roman" w:hAnsi="Times New Roman" w:hint="default"/>
                <w:color w:val="auto"/>
                <w:sz w:val="21"/>
                <w:szCs w:val="21"/>
              </w:rPr>
              <w:t>年第</w:t>
            </w:r>
            <w:r>
              <w:rPr>
                <w:rStyle w:val="font11"/>
                <w:color w:val="auto"/>
                <w:sz w:val="21"/>
                <w:szCs w:val="21"/>
              </w:rPr>
              <w:t>5</w:t>
            </w:r>
            <w:r>
              <w:rPr>
                <w:rStyle w:val="font21"/>
                <w:rFonts w:ascii="Times New Roman" w:hAnsi="Times New Roman" w:hint="default"/>
                <w:color w:val="auto"/>
                <w:sz w:val="21"/>
                <w:szCs w:val="21"/>
              </w:rPr>
              <w:t>次审计委员会（第四届董事会审计委员会第一次会议）</w:t>
            </w:r>
          </w:p>
        </w:tc>
        <w:tc>
          <w:tcPr>
            <w:tcW w:w="2091" w:type="pct"/>
            <w:shd w:val="clear" w:color="auto" w:fill="auto"/>
            <w:vAlign w:val="bottom"/>
          </w:tcPr>
          <w:p w:rsidR="004A3868" w:rsidRDefault="003F1AB5">
            <w:pPr>
              <w:pStyle w:val="33"/>
            </w:pPr>
            <w:r>
              <w:rPr>
                <w:rFonts w:hint="eastAsia"/>
              </w:rPr>
              <w:t>审议通过：</w:t>
            </w:r>
          </w:p>
          <w:p w:rsidR="004A3868" w:rsidRDefault="003F1AB5">
            <w:pPr>
              <w:pStyle w:val="33"/>
            </w:pPr>
            <w:r>
              <w:rPr>
                <w:rFonts w:hint="eastAsia"/>
              </w:rPr>
              <w:t>1.</w:t>
            </w:r>
            <w:r>
              <w:rPr>
                <w:rFonts w:hint="eastAsia"/>
              </w:rPr>
              <w:t>《关于聘任杨万华为公司财务总监的议案》</w:t>
            </w:r>
          </w:p>
        </w:tc>
        <w:tc>
          <w:tcPr>
            <w:tcW w:w="1142" w:type="pct"/>
            <w:shd w:val="clear" w:color="auto" w:fill="auto"/>
            <w:vAlign w:val="bottom"/>
          </w:tcPr>
          <w:p w:rsidR="004A3868" w:rsidRDefault="003F1AB5">
            <w:pPr>
              <w:pStyle w:val="33"/>
            </w:pPr>
            <w:r>
              <w:rPr>
                <w:rFonts w:hint="eastAsia"/>
              </w:rPr>
              <w:t>审议通过本次会议议案后提交董事会审议</w:t>
            </w:r>
          </w:p>
        </w:tc>
      </w:tr>
    </w:tbl>
    <w:p w:rsidR="004A3868" w:rsidRDefault="004A3868">
      <w:pPr>
        <w:pStyle w:val="Style124"/>
      </w:pPr>
    </w:p>
    <w:p w:rsidR="004A3868" w:rsidRDefault="003F1AB5">
      <w:pPr>
        <w:pStyle w:val="Style127"/>
        <w:numPr>
          <w:ilvl w:val="0"/>
          <w:numId w:val="25"/>
        </w:numPr>
      </w:pPr>
      <w:r>
        <w:rPr>
          <w:rFonts w:hint="eastAsia"/>
        </w:rPr>
        <w:t>报告期内</w:t>
      </w:r>
      <w:sdt>
        <w:sdtPr>
          <w:rPr>
            <w:rFonts w:hint="eastAsia"/>
          </w:rPr>
          <w:alias w:val="召开会议的专门委员会类别"/>
          <w:tag w:val="_GBC_adf76ecbe3584f07b573642215a867bd"/>
          <w:id w:val="737128134"/>
          <w:placeholder>
            <w:docPart w:val="130577765B3240DE87A06D187D677C65"/>
          </w:placeholder>
        </w:sdtPr>
        <w:sdtEndPr/>
        <w:sdtContent>
          <w:r>
            <w:rPr>
              <w:rFonts w:hint="eastAsia"/>
            </w:rPr>
            <w:t>提名</w:t>
          </w:r>
        </w:sdtContent>
      </w:sdt>
      <w:r>
        <w:rPr>
          <w:rFonts w:hint="eastAsia"/>
        </w:rPr>
        <w:t>委员会召开</w:t>
      </w:r>
      <w:sdt>
        <w:sdtPr>
          <w:rPr>
            <w:rFonts w:hint="eastAsia"/>
          </w:rPr>
          <w:alias w:val="报告期内召开专门委员会会议次数"/>
          <w:tag w:val="_GBC_7bf2cd7c3a6a4685ac9c89ee396352a0"/>
          <w:id w:val="1387149324"/>
          <w:placeholder>
            <w:docPart w:val="130577765B3240DE87A06D187D677C65"/>
          </w:placeholder>
        </w:sdtPr>
        <w:sdtEndPr/>
        <w:sdtContent>
          <w:r>
            <w:t>2</w:t>
          </w:r>
        </w:sdtContent>
      </w:sdt>
      <w:r>
        <w:rPr>
          <w:rFonts w:hint="eastAsia"/>
        </w:rPr>
        <w:t>次会议</w:t>
      </w:r>
    </w:p>
    <w:tbl>
      <w:tblPr>
        <w:tblStyle w:val="Style740"/>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873"/>
        <w:gridCol w:w="3661"/>
        <w:gridCol w:w="2013"/>
      </w:tblGrid>
      <w:tr w:rsidR="004A3868">
        <w:sdt>
          <w:sdtPr>
            <w:rPr>
              <w:rFonts w:hint="eastAsia"/>
            </w:rPr>
            <w:tag w:val="_PLD_81aefc289fbf48b1865138608d8bd14f"/>
            <w:id w:val="728347906"/>
          </w:sdtPr>
          <w:sdtEndPr/>
          <w:sdtContent>
            <w:tc>
              <w:tcPr>
                <w:tcW w:w="718" w:type="pct"/>
                <w:shd w:val="clear" w:color="auto" w:fill="auto"/>
                <w:vAlign w:val="center"/>
              </w:tcPr>
              <w:p w:rsidR="004A3868" w:rsidRDefault="003F1AB5">
                <w:pPr>
                  <w:pStyle w:val="33"/>
                </w:pPr>
                <w:r>
                  <w:rPr>
                    <w:rFonts w:hint="eastAsia"/>
                  </w:rPr>
                  <w:t>召开日期</w:t>
                </w:r>
              </w:p>
            </w:tc>
          </w:sdtContent>
        </w:sdt>
        <w:sdt>
          <w:sdtPr>
            <w:rPr>
              <w:rFonts w:hint="eastAsia"/>
            </w:rPr>
            <w:tag w:val="_PLD_9d24b601ec70414eb969daf6b393edc8"/>
            <w:id w:val="-2110185847"/>
          </w:sdtPr>
          <w:sdtEndPr/>
          <w:sdtContent>
            <w:tc>
              <w:tcPr>
                <w:tcW w:w="1063" w:type="pct"/>
                <w:shd w:val="clear" w:color="auto" w:fill="auto"/>
                <w:vAlign w:val="center"/>
              </w:tcPr>
              <w:p w:rsidR="004A3868" w:rsidRDefault="003F1AB5">
                <w:pPr>
                  <w:pStyle w:val="33"/>
                </w:pPr>
                <w:r>
                  <w:rPr>
                    <w:rFonts w:hint="eastAsia"/>
                  </w:rPr>
                  <w:t>会议内容</w:t>
                </w:r>
              </w:p>
            </w:tc>
          </w:sdtContent>
        </w:sdt>
        <w:sdt>
          <w:sdtPr>
            <w:rPr>
              <w:rFonts w:hint="eastAsia"/>
            </w:rPr>
            <w:tag w:val="_PLD_6ea19dadc3684e98a6d98faaf035a9d9"/>
            <w:id w:val="-1194842454"/>
          </w:sdtPr>
          <w:sdtEndPr/>
          <w:sdtContent>
            <w:tc>
              <w:tcPr>
                <w:tcW w:w="2077" w:type="pct"/>
                <w:shd w:val="clear" w:color="auto" w:fill="auto"/>
                <w:vAlign w:val="center"/>
              </w:tcPr>
              <w:p w:rsidR="004A3868" w:rsidRDefault="003F1AB5">
                <w:pPr>
                  <w:pStyle w:val="33"/>
                </w:pPr>
                <w:r>
                  <w:rPr>
                    <w:rFonts w:hint="eastAsia"/>
                  </w:rPr>
                  <w:t>重要意见和建议</w:t>
                </w:r>
              </w:p>
            </w:tc>
          </w:sdtContent>
        </w:sdt>
        <w:sdt>
          <w:sdtPr>
            <w:rPr>
              <w:rFonts w:hint="eastAsia"/>
            </w:rPr>
            <w:tag w:val="_PLD_ef03d3ffb00740008011022cb6a96805"/>
            <w:id w:val="-1998490488"/>
          </w:sdtPr>
          <w:sdtEndPr/>
          <w:sdtContent>
            <w:tc>
              <w:tcPr>
                <w:tcW w:w="1142" w:type="pct"/>
                <w:shd w:val="clear" w:color="auto" w:fill="auto"/>
                <w:vAlign w:val="center"/>
              </w:tcPr>
              <w:p w:rsidR="004A3868" w:rsidRDefault="003F1AB5">
                <w:pPr>
                  <w:pStyle w:val="33"/>
                </w:pPr>
                <w:r>
                  <w:rPr>
                    <w:rFonts w:hint="eastAsia"/>
                  </w:rPr>
                  <w:t>其他履行职责情况</w:t>
                </w:r>
              </w:p>
            </w:tc>
          </w:sdtContent>
        </w:sdt>
      </w:tr>
      <w:tr w:rsidR="004A3868">
        <w:tc>
          <w:tcPr>
            <w:tcW w:w="718" w:type="pct"/>
            <w:shd w:val="clear" w:color="auto" w:fill="auto"/>
            <w:vAlign w:val="center"/>
          </w:tcPr>
          <w:p w:rsidR="004A3868" w:rsidRDefault="003F1AB5">
            <w:pPr>
              <w:pStyle w:val="33"/>
            </w:pPr>
            <w:r>
              <w:rPr>
                <w:rFonts w:hint="eastAsia"/>
              </w:rPr>
              <w:t>2023.10.25</w:t>
            </w:r>
          </w:p>
        </w:tc>
        <w:tc>
          <w:tcPr>
            <w:tcW w:w="1063" w:type="pct"/>
            <w:shd w:val="clear" w:color="auto" w:fill="auto"/>
            <w:vAlign w:val="center"/>
          </w:tcPr>
          <w:p w:rsidR="004A3868" w:rsidRDefault="003F1AB5">
            <w:pPr>
              <w:pStyle w:val="33"/>
            </w:pPr>
            <w:r>
              <w:rPr>
                <w:rStyle w:val="font21"/>
                <w:rFonts w:ascii="Times New Roman" w:hAnsi="Times New Roman" w:hint="default"/>
                <w:color w:val="auto"/>
                <w:sz w:val="21"/>
                <w:szCs w:val="21"/>
              </w:rPr>
              <w:t>2023</w:t>
            </w:r>
            <w:r>
              <w:rPr>
                <w:rStyle w:val="font31"/>
                <w:rFonts w:ascii="Times New Roman" w:hAnsi="Times New Roman" w:hint="default"/>
                <w:color w:val="auto"/>
                <w:sz w:val="21"/>
                <w:szCs w:val="21"/>
              </w:rPr>
              <w:t>年第一次提名委员会</w:t>
            </w:r>
          </w:p>
        </w:tc>
        <w:tc>
          <w:tcPr>
            <w:tcW w:w="2077" w:type="pct"/>
            <w:shd w:val="clear" w:color="auto" w:fill="auto"/>
            <w:vAlign w:val="center"/>
          </w:tcPr>
          <w:p w:rsidR="004A3868" w:rsidRDefault="003F1AB5">
            <w:pPr>
              <w:pStyle w:val="33"/>
            </w:pPr>
            <w:r>
              <w:rPr>
                <w:rFonts w:hint="eastAsia"/>
              </w:rPr>
              <w:t>审议通过：</w:t>
            </w:r>
          </w:p>
          <w:p w:rsidR="004A3868" w:rsidRDefault="003F1AB5">
            <w:pPr>
              <w:pStyle w:val="33"/>
            </w:pPr>
            <w:r>
              <w:rPr>
                <w:rFonts w:hint="eastAsia"/>
              </w:rPr>
              <w:t>1.</w:t>
            </w:r>
            <w:r>
              <w:rPr>
                <w:rFonts w:hint="eastAsia"/>
              </w:rPr>
              <w:t>《关于董事会换届选举暨提名第四届董事会非独立董事候选人的议案》</w:t>
            </w:r>
            <w:r>
              <w:rPr>
                <w:rFonts w:hint="eastAsia"/>
              </w:rPr>
              <w:br/>
              <w:t>2.</w:t>
            </w:r>
            <w:r>
              <w:rPr>
                <w:rFonts w:hint="eastAsia"/>
              </w:rPr>
              <w:t>《关于董事会换届选举暨提名第四届董事会独立董事候选人的议案》</w:t>
            </w:r>
          </w:p>
        </w:tc>
        <w:tc>
          <w:tcPr>
            <w:tcW w:w="1142" w:type="pct"/>
            <w:shd w:val="clear" w:color="auto" w:fill="auto"/>
          </w:tcPr>
          <w:p w:rsidR="004A3868" w:rsidRDefault="003F1AB5">
            <w:pPr>
              <w:pStyle w:val="33"/>
            </w:pPr>
            <w:r>
              <w:rPr>
                <w:rFonts w:hint="eastAsia"/>
              </w:rPr>
              <w:t>审议通过本次会议议案后提交董事会审议</w:t>
            </w:r>
          </w:p>
        </w:tc>
      </w:tr>
      <w:tr w:rsidR="004A3868">
        <w:tc>
          <w:tcPr>
            <w:tcW w:w="718" w:type="pct"/>
            <w:shd w:val="clear" w:color="auto" w:fill="auto"/>
            <w:vAlign w:val="center"/>
          </w:tcPr>
          <w:p w:rsidR="004A3868" w:rsidRDefault="003F1AB5">
            <w:pPr>
              <w:pStyle w:val="33"/>
            </w:pPr>
            <w:r>
              <w:rPr>
                <w:rFonts w:hint="eastAsia"/>
              </w:rPr>
              <w:t>2023.11.13</w:t>
            </w:r>
          </w:p>
        </w:tc>
        <w:tc>
          <w:tcPr>
            <w:tcW w:w="1063" w:type="pct"/>
            <w:shd w:val="clear" w:color="auto" w:fill="auto"/>
            <w:vAlign w:val="center"/>
          </w:tcPr>
          <w:p w:rsidR="004A3868" w:rsidRDefault="003F1AB5">
            <w:pPr>
              <w:pStyle w:val="33"/>
            </w:pPr>
            <w:r>
              <w:rPr>
                <w:rStyle w:val="font21"/>
                <w:rFonts w:ascii="Times New Roman" w:hAnsi="Times New Roman" w:hint="default"/>
                <w:color w:val="auto"/>
                <w:sz w:val="21"/>
                <w:szCs w:val="21"/>
              </w:rPr>
              <w:t>2023</w:t>
            </w:r>
            <w:r>
              <w:rPr>
                <w:rStyle w:val="font31"/>
                <w:rFonts w:ascii="Times New Roman" w:hAnsi="Times New Roman" w:hint="default"/>
                <w:color w:val="auto"/>
                <w:sz w:val="21"/>
                <w:szCs w:val="21"/>
              </w:rPr>
              <w:t>年第二次提名委员会（第四届董事会提名委员会第一次会议））</w:t>
            </w:r>
          </w:p>
        </w:tc>
        <w:tc>
          <w:tcPr>
            <w:tcW w:w="2077" w:type="pct"/>
            <w:shd w:val="clear" w:color="auto" w:fill="auto"/>
            <w:vAlign w:val="center"/>
          </w:tcPr>
          <w:p w:rsidR="004A3868" w:rsidRDefault="003F1AB5">
            <w:pPr>
              <w:pStyle w:val="33"/>
            </w:pPr>
            <w:r>
              <w:rPr>
                <w:rFonts w:hint="eastAsia"/>
              </w:rPr>
              <w:t>审议通过：</w:t>
            </w:r>
          </w:p>
          <w:p w:rsidR="004A3868" w:rsidRDefault="003F1AB5">
            <w:pPr>
              <w:pStyle w:val="33"/>
            </w:pPr>
            <w:r>
              <w:rPr>
                <w:rFonts w:hint="eastAsia"/>
              </w:rPr>
              <w:t>1.</w:t>
            </w:r>
            <w:r>
              <w:rPr>
                <w:rFonts w:hint="eastAsia"/>
              </w:rPr>
              <w:t>《关于聘任公司高级管理人员的议案》</w:t>
            </w:r>
          </w:p>
        </w:tc>
        <w:tc>
          <w:tcPr>
            <w:tcW w:w="1142" w:type="pct"/>
            <w:shd w:val="clear" w:color="auto" w:fill="auto"/>
          </w:tcPr>
          <w:p w:rsidR="004A3868" w:rsidRDefault="003F1AB5">
            <w:pPr>
              <w:pStyle w:val="33"/>
            </w:pPr>
            <w:r>
              <w:rPr>
                <w:rFonts w:hint="eastAsia"/>
              </w:rPr>
              <w:t>审议通过本次会议议案后提交董事会审议</w:t>
            </w:r>
          </w:p>
        </w:tc>
      </w:tr>
    </w:tbl>
    <w:p w:rsidR="004A3868" w:rsidRDefault="004A3868">
      <w:pPr>
        <w:pStyle w:val="Style124"/>
      </w:pPr>
    </w:p>
    <w:p w:rsidR="004A3868" w:rsidRDefault="003F1AB5">
      <w:pPr>
        <w:pStyle w:val="Style127"/>
        <w:numPr>
          <w:ilvl w:val="0"/>
          <w:numId w:val="25"/>
        </w:numPr>
      </w:pPr>
      <w:r>
        <w:rPr>
          <w:rFonts w:hint="eastAsia"/>
        </w:rPr>
        <w:t>报告期内</w:t>
      </w:r>
      <w:sdt>
        <w:sdtPr>
          <w:rPr>
            <w:rFonts w:hint="eastAsia"/>
          </w:rPr>
          <w:alias w:val="召开会议的专门委员会类别"/>
          <w:tag w:val="_GBC_adf76ecbe3584f07b573642215a867bd"/>
          <w:id w:val="-465659990"/>
          <w:placeholder>
            <w:docPart w:val="0B88A83844B5453792C6342880ED2651"/>
          </w:placeholder>
        </w:sdtPr>
        <w:sdtEndPr/>
        <w:sdtContent>
          <w:r>
            <w:rPr>
              <w:rFonts w:hint="eastAsia"/>
              <w:sz w:val="22"/>
            </w:rPr>
            <w:t>薪酬与考核</w:t>
          </w:r>
        </w:sdtContent>
      </w:sdt>
      <w:r>
        <w:rPr>
          <w:rFonts w:hint="eastAsia"/>
        </w:rPr>
        <w:t>委员会召开</w:t>
      </w:r>
      <w:sdt>
        <w:sdtPr>
          <w:rPr>
            <w:rFonts w:hint="eastAsia"/>
          </w:rPr>
          <w:alias w:val="报告期内召开专门委员会会议次数"/>
          <w:tag w:val="_GBC_7bf2cd7c3a6a4685ac9c89ee396352a0"/>
          <w:id w:val="-1141340119"/>
          <w:placeholder>
            <w:docPart w:val="0B88A83844B5453792C6342880ED2651"/>
          </w:placeholder>
        </w:sdtPr>
        <w:sdtEndPr/>
        <w:sdtContent>
          <w:r>
            <w:t>1</w:t>
          </w:r>
        </w:sdtContent>
      </w:sdt>
      <w:r>
        <w:rPr>
          <w:rFonts w:hint="eastAsia"/>
        </w:rPr>
        <w:t>次会议</w:t>
      </w:r>
    </w:p>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077"/>
        <w:gridCol w:w="1939"/>
        <w:gridCol w:w="3792"/>
        <w:gridCol w:w="2015"/>
      </w:tblGrid>
      <w:tr w:rsidR="004A3868">
        <w:trPr>
          <w:trHeight w:val="397"/>
          <w:jc w:val="center"/>
        </w:trPr>
        <w:sdt>
          <w:sdtPr>
            <w:rPr>
              <w:rFonts w:hint="eastAsia"/>
            </w:rPr>
            <w:tag w:val="_PLD_81aefc289fbf48b1865138608d8bd14f"/>
            <w:id w:val="-90621407"/>
          </w:sdtPr>
          <w:sdtEndPr/>
          <w:sdtContent>
            <w:tc>
              <w:tcPr>
                <w:tcW w:w="610" w:type="pct"/>
                <w:shd w:val="clear" w:color="auto" w:fill="auto"/>
                <w:vAlign w:val="center"/>
              </w:tcPr>
              <w:p w:rsidR="004A3868" w:rsidRDefault="003F1AB5">
                <w:pPr>
                  <w:pStyle w:val="33"/>
                </w:pPr>
                <w:r>
                  <w:rPr>
                    <w:rFonts w:hint="eastAsia"/>
                  </w:rPr>
                  <w:t>召开日期</w:t>
                </w:r>
              </w:p>
            </w:tc>
          </w:sdtContent>
        </w:sdt>
        <w:sdt>
          <w:sdtPr>
            <w:rPr>
              <w:rFonts w:hint="eastAsia"/>
            </w:rPr>
            <w:tag w:val="_PLD_9d24b601ec70414eb969daf6b393edc8"/>
            <w:id w:val="1508092082"/>
          </w:sdtPr>
          <w:sdtEndPr/>
          <w:sdtContent>
            <w:tc>
              <w:tcPr>
                <w:tcW w:w="1099" w:type="pct"/>
                <w:shd w:val="clear" w:color="auto" w:fill="auto"/>
                <w:vAlign w:val="center"/>
              </w:tcPr>
              <w:p w:rsidR="004A3868" w:rsidRDefault="003F1AB5">
                <w:pPr>
                  <w:pStyle w:val="33"/>
                </w:pPr>
                <w:r>
                  <w:rPr>
                    <w:rFonts w:hint="eastAsia"/>
                  </w:rPr>
                  <w:t>会议内容</w:t>
                </w:r>
              </w:p>
            </w:tc>
          </w:sdtContent>
        </w:sdt>
        <w:sdt>
          <w:sdtPr>
            <w:rPr>
              <w:rFonts w:hint="eastAsia"/>
            </w:rPr>
            <w:tag w:val="_PLD_6ea19dadc3684e98a6d98faaf035a9d9"/>
            <w:id w:val="604702207"/>
          </w:sdtPr>
          <w:sdtEndPr/>
          <w:sdtContent>
            <w:tc>
              <w:tcPr>
                <w:tcW w:w="2149" w:type="pct"/>
                <w:shd w:val="clear" w:color="auto" w:fill="auto"/>
                <w:vAlign w:val="center"/>
              </w:tcPr>
              <w:p w:rsidR="004A3868" w:rsidRDefault="003F1AB5">
                <w:pPr>
                  <w:pStyle w:val="33"/>
                </w:pPr>
                <w:r>
                  <w:rPr>
                    <w:rFonts w:hint="eastAsia"/>
                  </w:rPr>
                  <w:t>重要意见和建议</w:t>
                </w:r>
              </w:p>
            </w:tc>
          </w:sdtContent>
        </w:sdt>
        <w:sdt>
          <w:sdtPr>
            <w:rPr>
              <w:rFonts w:hint="eastAsia"/>
            </w:rPr>
            <w:tag w:val="_PLD_ef03d3ffb00740008011022cb6a96805"/>
            <w:id w:val="1338973592"/>
          </w:sdtPr>
          <w:sdtEndPr/>
          <w:sdtContent>
            <w:tc>
              <w:tcPr>
                <w:tcW w:w="1142" w:type="pct"/>
                <w:shd w:val="clear" w:color="auto" w:fill="auto"/>
                <w:vAlign w:val="center"/>
              </w:tcPr>
              <w:p w:rsidR="004A3868" w:rsidRDefault="003F1AB5">
                <w:pPr>
                  <w:pStyle w:val="33"/>
                </w:pPr>
                <w:r>
                  <w:rPr>
                    <w:rFonts w:hint="eastAsia"/>
                  </w:rPr>
                  <w:t>其他履行职责情况</w:t>
                </w:r>
              </w:p>
            </w:tc>
          </w:sdtContent>
        </w:sdt>
      </w:tr>
      <w:tr w:rsidR="004A3868">
        <w:trPr>
          <w:trHeight w:val="397"/>
          <w:jc w:val="center"/>
        </w:trPr>
        <w:tc>
          <w:tcPr>
            <w:tcW w:w="610" w:type="pct"/>
            <w:shd w:val="clear" w:color="auto" w:fill="auto"/>
            <w:vAlign w:val="center"/>
          </w:tcPr>
          <w:p w:rsidR="004A3868" w:rsidRDefault="003F1AB5">
            <w:pPr>
              <w:pStyle w:val="33"/>
            </w:pPr>
            <w:r>
              <w:t>2023.3.27</w:t>
            </w:r>
          </w:p>
        </w:tc>
        <w:tc>
          <w:tcPr>
            <w:tcW w:w="1099" w:type="pct"/>
            <w:shd w:val="clear" w:color="auto" w:fill="auto"/>
            <w:vAlign w:val="center"/>
          </w:tcPr>
          <w:p w:rsidR="004A3868" w:rsidRDefault="003F1AB5">
            <w:pPr>
              <w:pStyle w:val="33"/>
            </w:pPr>
            <w:r>
              <w:rPr>
                <w:rStyle w:val="font11"/>
                <w:color w:val="auto"/>
                <w:sz w:val="21"/>
                <w:szCs w:val="21"/>
              </w:rPr>
              <w:t>2023</w:t>
            </w:r>
            <w:r>
              <w:rPr>
                <w:rStyle w:val="font21"/>
                <w:rFonts w:ascii="Times New Roman" w:hAnsi="Times New Roman" w:hint="default"/>
                <w:color w:val="auto"/>
                <w:sz w:val="21"/>
                <w:szCs w:val="21"/>
              </w:rPr>
              <w:t>年第一次薪酬与考核委员会</w:t>
            </w:r>
          </w:p>
        </w:tc>
        <w:tc>
          <w:tcPr>
            <w:tcW w:w="2149" w:type="pct"/>
            <w:shd w:val="clear" w:color="auto" w:fill="auto"/>
            <w:vAlign w:val="center"/>
          </w:tcPr>
          <w:p w:rsidR="004A3868" w:rsidRDefault="003F1AB5">
            <w:pPr>
              <w:pStyle w:val="33"/>
            </w:pPr>
            <w:r>
              <w:rPr>
                <w:rStyle w:val="font11"/>
                <w:color w:val="auto"/>
                <w:sz w:val="21"/>
                <w:szCs w:val="21"/>
              </w:rPr>
              <w:t>1.</w:t>
            </w:r>
            <w:r>
              <w:rPr>
                <w:rStyle w:val="font21"/>
                <w:rFonts w:ascii="Times New Roman" w:hAnsi="Times New Roman" w:hint="default"/>
                <w:color w:val="auto"/>
                <w:sz w:val="21"/>
                <w:szCs w:val="21"/>
              </w:rPr>
              <w:t>《关于审议高级管理人员薪酬的议案》</w:t>
            </w:r>
            <w:r>
              <w:br/>
            </w:r>
            <w:r>
              <w:rPr>
                <w:rStyle w:val="font11"/>
                <w:color w:val="auto"/>
                <w:sz w:val="21"/>
                <w:szCs w:val="21"/>
              </w:rPr>
              <w:t>2.</w:t>
            </w:r>
            <w:r>
              <w:rPr>
                <w:rStyle w:val="font21"/>
                <w:rFonts w:ascii="Times New Roman" w:hAnsi="Times New Roman" w:hint="default"/>
                <w:color w:val="auto"/>
                <w:sz w:val="21"/>
                <w:szCs w:val="21"/>
              </w:rPr>
              <w:t>《关于审议董事薪酬的议案》</w:t>
            </w:r>
          </w:p>
        </w:tc>
        <w:tc>
          <w:tcPr>
            <w:tcW w:w="1142" w:type="pct"/>
            <w:shd w:val="clear" w:color="auto" w:fill="auto"/>
            <w:vAlign w:val="center"/>
          </w:tcPr>
          <w:p w:rsidR="004A3868" w:rsidRDefault="003F1AB5">
            <w:pPr>
              <w:pStyle w:val="33"/>
            </w:pPr>
            <w:r>
              <w:rPr>
                <w:rFonts w:hint="eastAsia"/>
              </w:rPr>
              <w:t>审议通过本次会议议案后提交董事会审议</w:t>
            </w:r>
          </w:p>
        </w:tc>
      </w:tr>
    </w:tbl>
    <w:p w:rsidR="004A3868" w:rsidRDefault="004A3868">
      <w:pPr>
        <w:pStyle w:val="Style124"/>
      </w:pPr>
    </w:p>
    <w:p w:rsidR="004A3868" w:rsidRDefault="003F1AB5">
      <w:pPr>
        <w:pStyle w:val="Style127"/>
        <w:numPr>
          <w:ilvl w:val="0"/>
          <w:numId w:val="25"/>
        </w:numPr>
      </w:pPr>
      <w:r>
        <w:rPr>
          <w:rFonts w:hint="eastAsia"/>
        </w:rPr>
        <w:t>存在异议事项的具体情况</w:t>
      </w:r>
    </w:p>
    <w:sdt>
      <w:sdtPr>
        <w:rPr>
          <w:rFonts w:hint="eastAsia"/>
        </w:rPr>
        <w:alias w:val="是否适用：董事会下设专门委员会在报告期内履行职责时所提出的重要意见和建议[双击切换]"/>
        <w:tag w:val="_GBC_f61de8443c9e4bc6b27047ea31f34f46"/>
        <w:id w:val="-1627231976"/>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2"/>
        <w:numPr>
          <w:ilvl w:val="0"/>
          <w:numId w:val="21"/>
        </w:numPr>
      </w:pPr>
      <w:r>
        <w:t>监事会发现公司存在风险的说明</w:t>
      </w:r>
    </w:p>
    <w:sdt>
      <w:sdtPr>
        <w:alias w:val="是否适用：监事会发现公司存在风险的说明[双击切换]"/>
        <w:tag w:val="_GBC_987bc6e795084351a58e9d0bca47f246"/>
        <w:id w:val="502711427"/>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4"/>
      </w:pPr>
      <w:r>
        <w:rPr>
          <w:rFonts w:hint="eastAsia"/>
        </w:rPr>
        <w:t>监事会对报告期内的监督事项</w:t>
      </w:r>
      <w:sdt>
        <w:sdtPr>
          <w:rPr>
            <w:rFonts w:hint="eastAsia"/>
          </w:rPr>
          <w:tag w:val="_PLD_66086d7fdf9245bb81102da5ce6dd63d"/>
          <w:id w:val="1249390449"/>
          <w:placeholder>
            <w:docPart w:val="FC584E668F174EF3AC1427A6D24EED0D"/>
          </w:placeholder>
        </w:sdtPr>
        <w:sdtEndPr/>
        <w:sdtContent>
          <w:r>
            <w:rPr>
              <w:rFonts w:hint="eastAsia"/>
            </w:rPr>
            <w:t>无异议</w:t>
          </w:r>
        </w:sdtContent>
      </w:sdt>
      <w:r>
        <w:rPr>
          <w:rFonts w:hint="eastAsia"/>
        </w:rPr>
        <w:t>。</w:t>
      </w:r>
    </w:p>
    <w:p w:rsidR="004A3868" w:rsidRDefault="003F1AB5">
      <w:pPr>
        <w:pStyle w:val="2"/>
        <w:numPr>
          <w:ilvl w:val="0"/>
          <w:numId w:val="21"/>
        </w:numPr>
      </w:pPr>
      <w:r>
        <w:rPr>
          <w:rFonts w:hint="eastAsia"/>
        </w:rPr>
        <w:t>报告期末</w:t>
      </w:r>
      <w:r>
        <w:t>母公司和主要子公司的员工情况</w:t>
      </w:r>
    </w:p>
    <w:p w:rsidR="004A3868" w:rsidRDefault="003F1AB5">
      <w:pPr>
        <w:pStyle w:val="Style127"/>
        <w:numPr>
          <w:ilvl w:val="0"/>
          <w:numId w:val="26"/>
        </w:numPr>
      </w:pPr>
      <w:r>
        <w:t>员工情况</w:t>
      </w:r>
    </w:p>
    <w:tbl>
      <w:tblPr>
        <w:tblStyle w:val="aff5"/>
        <w:tblW w:w="5000" w:type="pct"/>
        <w:jc w:val="center"/>
        <w:tblLayout w:type="fixed"/>
        <w:tblCellMar>
          <w:left w:w="0" w:type="dxa"/>
          <w:right w:w="28" w:type="dxa"/>
        </w:tblCellMar>
        <w:tblLook w:val="04A0" w:firstRow="1" w:lastRow="0" w:firstColumn="1" w:lastColumn="0" w:noHBand="0" w:noVBand="1"/>
      </w:tblPr>
      <w:tblGrid>
        <w:gridCol w:w="4411"/>
        <w:gridCol w:w="4412"/>
      </w:tblGrid>
      <w:tr w:rsidR="004A3868">
        <w:trPr>
          <w:trHeight w:val="397"/>
          <w:jc w:val="center"/>
        </w:trPr>
        <w:bookmarkStart w:id="52" w:name="_Hlk89184114" w:displacedByCustomXml="next"/>
        <w:sdt>
          <w:sdtPr>
            <w:tag w:val="_PLD_cff5d8823807446facbb16ac3f50949e"/>
            <w:id w:val="1107243406"/>
          </w:sdtPr>
          <w:sdtEndPr/>
          <w:sdtContent>
            <w:tc>
              <w:tcPr>
                <w:tcW w:w="2500" w:type="pct"/>
                <w:vAlign w:val="bottom"/>
              </w:tcPr>
              <w:p w:rsidR="004A3868" w:rsidRDefault="003F1AB5">
                <w:pPr>
                  <w:pStyle w:val="33"/>
                </w:pPr>
                <w:r>
                  <w:t>母公司在职员工的数量</w:t>
                </w:r>
              </w:p>
            </w:tc>
          </w:sdtContent>
        </w:sdt>
        <w:tc>
          <w:tcPr>
            <w:tcW w:w="2500" w:type="pct"/>
            <w:vAlign w:val="bottom"/>
          </w:tcPr>
          <w:p w:rsidR="004A3868" w:rsidRDefault="003F1AB5">
            <w:pPr>
              <w:pStyle w:val="afff7"/>
            </w:pPr>
            <w:r>
              <w:t>1,403</w:t>
            </w:r>
          </w:p>
        </w:tc>
      </w:tr>
      <w:tr w:rsidR="004A3868">
        <w:trPr>
          <w:trHeight w:val="397"/>
          <w:jc w:val="center"/>
        </w:trPr>
        <w:tc>
          <w:tcPr>
            <w:tcW w:w="2500" w:type="pct"/>
            <w:vAlign w:val="bottom"/>
          </w:tcPr>
          <w:p w:rsidR="004A3868" w:rsidRDefault="003F1AB5">
            <w:pPr>
              <w:pStyle w:val="33"/>
            </w:pPr>
            <w:r>
              <w:t>主要子公司在职员工的数量</w:t>
            </w:r>
          </w:p>
        </w:tc>
        <w:tc>
          <w:tcPr>
            <w:tcW w:w="2500" w:type="pct"/>
            <w:vAlign w:val="bottom"/>
          </w:tcPr>
          <w:p w:rsidR="004A3868" w:rsidRDefault="003F1AB5">
            <w:pPr>
              <w:pStyle w:val="afff7"/>
            </w:pPr>
            <w:r>
              <w:rPr>
                <w:rFonts w:hint="eastAsia"/>
              </w:rPr>
              <w:t>2</w:t>
            </w:r>
            <w:r>
              <w:t>35</w:t>
            </w:r>
          </w:p>
        </w:tc>
      </w:tr>
      <w:tr w:rsidR="004A3868">
        <w:trPr>
          <w:trHeight w:val="397"/>
          <w:jc w:val="center"/>
        </w:trPr>
        <w:tc>
          <w:tcPr>
            <w:tcW w:w="2500" w:type="pct"/>
            <w:vAlign w:val="bottom"/>
          </w:tcPr>
          <w:p w:rsidR="004A3868" w:rsidRDefault="003F1AB5">
            <w:pPr>
              <w:pStyle w:val="33"/>
            </w:pPr>
            <w:r>
              <w:t>在职员工的数量合计</w:t>
            </w:r>
          </w:p>
        </w:tc>
        <w:tc>
          <w:tcPr>
            <w:tcW w:w="2500" w:type="pct"/>
            <w:vAlign w:val="bottom"/>
          </w:tcPr>
          <w:p w:rsidR="004A3868" w:rsidRDefault="003F1AB5">
            <w:pPr>
              <w:pStyle w:val="afff7"/>
            </w:pPr>
            <w:r>
              <w:t>1,638</w:t>
            </w:r>
          </w:p>
        </w:tc>
      </w:tr>
      <w:tr w:rsidR="004A3868">
        <w:trPr>
          <w:trHeight w:val="397"/>
          <w:jc w:val="center"/>
        </w:trPr>
        <w:tc>
          <w:tcPr>
            <w:tcW w:w="2500" w:type="pct"/>
            <w:vAlign w:val="bottom"/>
          </w:tcPr>
          <w:p w:rsidR="004A3868" w:rsidRDefault="003F1AB5">
            <w:pPr>
              <w:pStyle w:val="33"/>
            </w:pPr>
            <w:r>
              <w:t>母公司及主要子公司需承担费用的离退休职工人数</w:t>
            </w:r>
          </w:p>
        </w:tc>
        <w:tc>
          <w:tcPr>
            <w:tcW w:w="2500" w:type="pct"/>
            <w:vAlign w:val="bottom"/>
          </w:tcPr>
          <w:p w:rsidR="004A3868" w:rsidRDefault="004A3868">
            <w:pPr>
              <w:pStyle w:val="33"/>
            </w:pPr>
          </w:p>
        </w:tc>
      </w:tr>
      <w:tr w:rsidR="004A3868">
        <w:trPr>
          <w:trHeight w:val="397"/>
          <w:jc w:val="center"/>
        </w:trPr>
        <w:sdt>
          <w:sdtPr>
            <w:tag w:val="_PLD_f37d0297c6bb44dea272632ad4d910e4"/>
            <w:id w:val="2009940372"/>
          </w:sdtPr>
          <w:sdtEndPr/>
          <w:sdtContent>
            <w:tc>
              <w:tcPr>
                <w:tcW w:w="5000" w:type="pct"/>
                <w:gridSpan w:val="2"/>
                <w:vAlign w:val="bottom"/>
              </w:tcPr>
              <w:p w:rsidR="004A3868" w:rsidRDefault="003F1AB5">
                <w:pPr>
                  <w:pStyle w:val="33"/>
                </w:pPr>
                <w:r>
                  <w:t>专业构成</w:t>
                </w:r>
              </w:p>
            </w:tc>
          </w:sdtContent>
        </w:sdt>
      </w:tr>
      <w:tr w:rsidR="004A3868">
        <w:trPr>
          <w:trHeight w:val="397"/>
          <w:jc w:val="center"/>
        </w:trPr>
        <w:sdt>
          <w:sdtPr>
            <w:tag w:val="_PLD_90bef974c0c14508b11a7e84e6f364c5"/>
            <w:id w:val="256484992"/>
          </w:sdtPr>
          <w:sdtEndPr/>
          <w:sdtContent>
            <w:tc>
              <w:tcPr>
                <w:tcW w:w="2500" w:type="pct"/>
                <w:vAlign w:val="bottom"/>
              </w:tcPr>
              <w:p w:rsidR="004A3868" w:rsidRDefault="003F1AB5">
                <w:pPr>
                  <w:pStyle w:val="afffb"/>
                </w:pPr>
                <w:r>
                  <w:t>专业构成类别</w:t>
                </w:r>
              </w:p>
            </w:tc>
          </w:sdtContent>
        </w:sdt>
        <w:sdt>
          <w:sdtPr>
            <w:tag w:val="_PLD_a5f175a6b2a94ee7a70936fbe5cbc8da"/>
            <w:id w:val="-495659186"/>
          </w:sdtPr>
          <w:sdtEndPr/>
          <w:sdtContent>
            <w:tc>
              <w:tcPr>
                <w:tcW w:w="2500" w:type="pct"/>
                <w:vAlign w:val="bottom"/>
              </w:tcPr>
              <w:p w:rsidR="004A3868" w:rsidRDefault="003F1AB5">
                <w:pPr>
                  <w:pStyle w:val="afffb"/>
                </w:pPr>
                <w:r>
                  <w:t>专业构成人数</w:t>
                </w:r>
              </w:p>
            </w:tc>
          </w:sdtContent>
        </w:sdt>
      </w:tr>
      <w:tr w:rsidR="004A3868">
        <w:trPr>
          <w:trHeight w:val="397"/>
          <w:jc w:val="center"/>
        </w:trPr>
        <w:tc>
          <w:tcPr>
            <w:tcW w:w="2500" w:type="pct"/>
            <w:vAlign w:val="bottom"/>
          </w:tcPr>
          <w:p w:rsidR="004A3868" w:rsidRDefault="003F1AB5">
            <w:pPr>
              <w:pStyle w:val="33"/>
            </w:pPr>
            <w:r>
              <w:t>生产人员</w:t>
            </w:r>
          </w:p>
        </w:tc>
        <w:tc>
          <w:tcPr>
            <w:tcW w:w="2500" w:type="pct"/>
            <w:vAlign w:val="bottom"/>
          </w:tcPr>
          <w:p w:rsidR="004A3868" w:rsidRDefault="003F1AB5">
            <w:pPr>
              <w:pStyle w:val="afff7"/>
            </w:pPr>
            <w:r>
              <w:t>1,163</w:t>
            </w:r>
          </w:p>
        </w:tc>
      </w:tr>
      <w:tr w:rsidR="004A3868">
        <w:trPr>
          <w:trHeight w:val="397"/>
          <w:jc w:val="center"/>
        </w:trPr>
        <w:tc>
          <w:tcPr>
            <w:tcW w:w="2500" w:type="pct"/>
            <w:vAlign w:val="bottom"/>
          </w:tcPr>
          <w:p w:rsidR="004A3868" w:rsidRDefault="003F1AB5">
            <w:pPr>
              <w:pStyle w:val="33"/>
            </w:pPr>
            <w:r>
              <w:t>销售人员</w:t>
            </w:r>
          </w:p>
        </w:tc>
        <w:tc>
          <w:tcPr>
            <w:tcW w:w="2500" w:type="pct"/>
            <w:vAlign w:val="bottom"/>
          </w:tcPr>
          <w:p w:rsidR="004A3868" w:rsidRDefault="003F1AB5">
            <w:pPr>
              <w:pStyle w:val="afff7"/>
            </w:pPr>
            <w:r>
              <w:rPr>
                <w:rFonts w:hint="eastAsia"/>
              </w:rPr>
              <w:t>2</w:t>
            </w:r>
            <w:r>
              <w:t>17</w:t>
            </w:r>
          </w:p>
        </w:tc>
      </w:tr>
      <w:tr w:rsidR="004A3868">
        <w:trPr>
          <w:trHeight w:val="397"/>
          <w:jc w:val="center"/>
        </w:trPr>
        <w:tc>
          <w:tcPr>
            <w:tcW w:w="2500" w:type="pct"/>
            <w:vAlign w:val="bottom"/>
          </w:tcPr>
          <w:p w:rsidR="004A3868" w:rsidRDefault="003F1AB5">
            <w:pPr>
              <w:pStyle w:val="33"/>
            </w:pPr>
            <w:r>
              <w:t>技术人员</w:t>
            </w:r>
          </w:p>
        </w:tc>
        <w:tc>
          <w:tcPr>
            <w:tcW w:w="2500" w:type="pct"/>
            <w:vAlign w:val="bottom"/>
          </w:tcPr>
          <w:p w:rsidR="004A3868" w:rsidRDefault="003F1AB5">
            <w:pPr>
              <w:pStyle w:val="afff7"/>
            </w:pPr>
            <w:r>
              <w:rPr>
                <w:rFonts w:hint="eastAsia"/>
              </w:rPr>
              <w:t>1</w:t>
            </w:r>
            <w:r>
              <w:t>08</w:t>
            </w:r>
          </w:p>
        </w:tc>
      </w:tr>
      <w:tr w:rsidR="004A3868">
        <w:trPr>
          <w:trHeight w:val="397"/>
          <w:jc w:val="center"/>
        </w:trPr>
        <w:tc>
          <w:tcPr>
            <w:tcW w:w="2500" w:type="pct"/>
            <w:vAlign w:val="bottom"/>
          </w:tcPr>
          <w:p w:rsidR="004A3868" w:rsidRDefault="003F1AB5">
            <w:pPr>
              <w:pStyle w:val="33"/>
            </w:pPr>
            <w:r>
              <w:rPr>
                <w:rFonts w:hint="eastAsia"/>
              </w:rPr>
              <w:t>职能人员</w:t>
            </w:r>
          </w:p>
        </w:tc>
        <w:tc>
          <w:tcPr>
            <w:tcW w:w="2500" w:type="pct"/>
            <w:vAlign w:val="bottom"/>
          </w:tcPr>
          <w:p w:rsidR="004A3868" w:rsidRDefault="003F1AB5">
            <w:pPr>
              <w:pStyle w:val="afff7"/>
            </w:pPr>
            <w:r>
              <w:rPr>
                <w:rFonts w:hint="eastAsia"/>
              </w:rPr>
              <w:t>1</w:t>
            </w:r>
            <w:r>
              <w:t>50</w:t>
            </w:r>
          </w:p>
        </w:tc>
      </w:tr>
      <w:tr w:rsidR="004A3868">
        <w:trPr>
          <w:trHeight w:val="397"/>
          <w:jc w:val="center"/>
        </w:trPr>
        <w:tc>
          <w:tcPr>
            <w:tcW w:w="2500" w:type="pct"/>
            <w:vAlign w:val="bottom"/>
          </w:tcPr>
          <w:p w:rsidR="004A3868" w:rsidRDefault="003F1AB5">
            <w:pPr>
              <w:pStyle w:val="33"/>
            </w:pPr>
            <w:r>
              <w:t>合计</w:t>
            </w:r>
          </w:p>
        </w:tc>
        <w:tc>
          <w:tcPr>
            <w:tcW w:w="2500" w:type="pct"/>
            <w:vAlign w:val="bottom"/>
          </w:tcPr>
          <w:p w:rsidR="004A3868" w:rsidRDefault="003F1AB5">
            <w:pPr>
              <w:pStyle w:val="afff7"/>
            </w:pPr>
            <w:r>
              <w:t>1,638</w:t>
            </w:r>
          </w:p>
        </w:tc>
      </w:tr>
      <w:tr w:rsidR="004A3868">
        <w:trPr>
          <w:trHeight w:val="397"/>
          <w:jc w:val="center"/>
        </w:trPr>
        <w:sdt>
          <w:sdtPr>
            <w:tag w:val="_PLD_ea58f2d9c900463a8694fdc78940295e"/>
            <w:id w:val="581187183"/>
          </w:sdtPr>
          <w:sdtEndPr/>
          <w:sdtContent>
            <w:tc>
              <w:tcPr>
                <w:tcW w:w="5000" w:type="pct"/>
                <w:gridSpan w:val="2"/>
                <w:vAlign w:val="bottom"/>
              </w:tcPr>
              <w:p w:rsidR="004A3868" w:rsidRDefault="003F1AB5">
                <w:pPr>
                  <w:pStyle w:val="33"/>
                </w:pPr>
                <w:r>
                  <w:rPr>
                    <w:rStyle w:val="afffc"/>
                  </w:rPr>
                  <w:t>教育程度</w:t>
                </w:r>
              </w:p>
            </w:tc>
          </w:sdtContent>
        </w:sdt>
      </w:tr>
      <w:tr w:rsidR="004A3868">
        <w:trPr>
          <w:trHeight w:val="397"/>
          <w:jc w:val="center"/>
        </w:trPr>
        <w:sdt>
          <w:sdtPr>
            <w:tag w:val="_PLD_92fefeded22c454881177d08c5c97d97"/>
            <w:id w:val="-2036333483"/>
          </w:sdtPr>
          <w:sdtEndPr/>
          <w:sdtContent>
            <w:tc>
              <w:tcPr>
                <w:tcW w:w="2500" w:type="pct"/>
                <w:vAlign w:val="bottom"/>
              </w:tcPr>
              <w:p w:rsidR="004A3868" w:rsidRDefault="003F1AB5">
                <w:pPr>
                  <w:pStyle w:val="afffb"/>
                </w:pPr>
                <w:r>
                  <w:t>教育程度类别</w:t>
                </w:r>
              </w:p>
            </w:tc>
          </w:sdtContent>
        </w:sdt>
        <w:sdt>
          <w:sdtPr>
            <w:tag w:val="_PLD_2a8ff2c52daa4348bedf7a0e6951a5c6"/>
            <w:id w:val="1765567900"/>
          </w:sdtPr>
          <w:sdtEndPr/>
          <w:sdtContent>
            <w:tc>
              <w:tcPr>
                <w:tcW w:w="2500" w:type="pct"/>
                <w:vAlign w:val="bottom"/>
              </w:tcPr>
              <w:p w:rsidR="004A3868" w:rsidRDefault="003F1AB5">
                <w:pPr>
                  <w:pStyle w:val="afffb"/>
                </w:pPr>
                <w:r>
                  <w:t>数量（人）</w:t>
                </w:r>
              </w:p>
            </w:tc>
          </w:sdtContent>
        </w:sdt>
      </w:tr>
      <w:tr w:rsidR="004A3868">
        <w:trPr>
          <w:trHeight w:val="397"/>
          <w:jc w:val="center"/>
        </w:trPr>
        <w:tc>
          <w:tcPr>
            <w:tcW w:w="2500" w:type="pct"/>
            <w:vAlign w:val="bottom"/>
          </w:tcPr>
          <w:p w:rsidR="004A3868" w:rsidRDefault="003F1AB5">
            <w:pPr>
              <w:pStyle w:val="33"/>
            </w:pPr>
            <w:r>
              <w:rPr>
                <w:rFonts w:hint="eastAsia"/>
              </w:rPr>
              <w:t>本科及本科以上学历</w:t>
            </w:r>
          </w:p>
        </w:tc>
        <w:tc>
          <w:tcPr>
            <w:tcW w:w="2500" w:type="pct"/>
            <w:vAlign w:val="bottom"/>
          </w:tcPr>
          <w:p w:rsidR="004A3868" w:rsidRDefault="003F1AB5">
            <w:pPr>
              <w:pStyle w:val="afff7"/>
            </w:pPr>
            <w:r>
              <w:rPr>
                <w:rFonts w:hint="eastAsia"/>
              </w:rPr>
              <w:t>267</w:t>
            </w:r>
          </w:p>
        </w:tc>
      </w:tr>
      <w:tr w:rsidR="004A3868">
        <w:trPr>
          <w:trHeight w:val="397"/>
          <w:jc w:val="center"/>
        </w:trPr>
        <w:tc>
          <w:tcPr>
            <w:tcW w:w="2500" w:type="pct"/>
            <w:vAlign w:val="bottom"/>
          </w:tcPr>
          <w:p w:rsidR="004A3868" w:rsidRDefault="003F1AB5">
            <w:pPr>
              <w:pStyle w:val="33"/>
            </w:pPr>
            <w:r>
              <w:rPr>
                <w:rFonts w:hint="eastAsia"/>
              </w:rPr>
              <w:t>专科</w:t>
            </w:r>
          </w:p>
        </w:tc>
        <w:tc>
          <w:tcPr>
            <w:tcW w:w="2500" w:type="pct"/>
            <w:vAlign w:val="bottom"/>
          </w:tcPr>
          <w:p w:rsidR="004A3868" w:rsidRDefault="003F1AB5">
            <w:pPr>
              <w:pStyle w:val="afff7"/>
            </w:pPr>
            <w:r>
              <w:rPr>
                <w:rFonts w:hint="eastAsia"/>
              </w:rPr>
              <w:t>413</w:t>
            </w:r>
          </w:p>
        </w:tc>
      </w:tr>
      <w:tr w:rsidR="004A3868">
        <w:trPr>
          <w:trHeight w:val="397"/>
          <w:jc w:val="center"/>
        </w:trPr>
        <w:tc>
          <w:tcPr>
            <w:tcW w:w="2500" w:type="pct"/>
            <w:vAlign w:val="bottom"/>
          </w:tcPr>
          <w:p w:rsidR="004A3868" w:rsidRDefault="003F1AB5">
            <w:pPr>
              <w:pStyle w:val="33"/>
            </w:pPr>
            <w:r>
              <w:rPr>
                <w:rFonts w:hint="eastAsia"/>
              </w:rPr>
              <w:t>中专、高中及以下</w:t>
            </w:r>
          </w:p>
        </w:tc>
        <w:tc>
          <w:tcPr>
            <w:tcW w:w="2500" w:type="pct"/>
            <w:vAlign w:val="bottom"/>
          </w:tcPr>
          <w:p w:rsidR="004A3868" w:rsidRDefault="003F1AB5">
            <w:pPr>
              <w:pStyle w:val="afff7"/>
            </w:pPr>
            <w:r>
              <w:rPr>
                <w:rFonts w:hint="eastAsia"/>
              </w:rPr>
              <w:t>958</w:t>
            </w:r>
          </w:p>
        </w:tc>
      </w:tr>
      <w:tr w:rsidR="004A3868">
        <w:trPr>
          <w:trHeight w:val="397"/>
          <w:jc w:val="center"/>
        </w:trPr>
        <w:tc>
          <w:tcPr>
            <w:tcW w:w="2500" w:type="pct"/>
            <w:tcBorders>
              <w:bottom w:val="single" w:sz="4" w:space="0" w:color="auto"/>
            </w:tcBorders>
            <w:vAlign w:val="bottom"/>
          </w:tcPr>
          <w:p w:rsidR="004A3868" w:rsidRDefault="003F1AB5">
            <w:pPr>
              <w:pStyle w:val="33"/>
            </w:pPr>
            <w:r>
              <w:t>合计</w:t>
            </w:r>
          </w:p>
        </w:tc>
        <w:tc>
          <w:tcPr>
            <w:tcW w:w="2500" w:type="pct"/>
            <w:tcBorders>
              <w:bottom w:val="single" w:sz="4" w:space="0" w:color="auto"/>
            </w:tcBorders>
            <w:vAlign w:val="bottom"/>
          </w:tcPr>
          <w:p w:rsidR="004A3868" w:rsidRDefault="003F1AB5">
            <w:pPr>
              <w:pStyle w:val="afff7"/>
            </w:pPr>
            <w:r>
              <w:t>1,638</w:t>
            </w:r>
          </w:p>
        </w:tc>
      </w:tr>
    </w:tbl>
    <w:p w:rsidR="004A3868" w:rsidRDefault="004A3868">
      <w:pPr>
        <w:pStyle w:val="Style124"/>
      </w:pPr>
    </w:p>
    <w:p w:rsidR="004A3868" w:rsidRDefault="003F1AB5">
      <w:pPr>
        <w:pStyle w:val="Style127"/>
        <w:numPr>
          <w:ilvl w:val="0"/>
          <w:numId w:val="26"/>
        </w:numPr>
      </w:pPr>
      <w:r>
        <w:t>薪酬政策</w:t>
      </w:r>
    </w:p>
    <w:bookmarkEnd w:id="52" w:displacedByCustomXml="next"/>
    <w:sdt>
      <w:sdtPr>
        <w:rPr>
          <w:rFonts w:hint="eastAsia"/>
        </w:rPr>
        <w:alias w:val="是否适用：薪酬政策[双击切换]"/>
        <w:tag w:val="_GBC_13404877597d44c38f554884f31b3123"/>
        <w:id w:val="1538088984"/>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sz w:val="21"/>
          <w:szCs w:val="21"/>
        </w:rPr>
        <w:alias w:val="员工薪酬政策"/>
        <w:tag w:val="_GBC_c66914a8847a42b2b50437dbe93cdad1"/>
        <w:id w:val="-597325918"/>
        <w:placeholder>
          <w:docPart w:val="GBC22222222222222222222222222222"/>
        </w:placeholder>
      </w:sdtPr>
      <w:sdtEndPr>
        <w:rPr>
          <w:rStyle w:val="afff2"/>
        </w:rPr>
      </w:sdtEndPr>
      <w:sdtContent>
        <w:p w:rsidR="004A3868" w:rsidRDefault="003F1AB5">
          <w:pPr>
            <w:ind w:firstLineChars="200" w:firstLine="420"/>
            <w:rPr>
              <w:rStyle w:val="afff2"/>
              <w:szCs w:val="21"/>
            </w:rPr>
          </w:pPr>
          <w:r>
            <w:rPr>
              <w:rStyle w:val="afff2"/>
              <w:rFonts w:hint="eastAsia"/>
              <w:szCs w:val="21"/>
            </w:rPr>
            <w:t>公司的薪酬管理机制一贯坚持以效益和效率提升为导向，坚持“按岗位价值付薪、按工作绩效付薪、按个人贡献付薪”的薪酬管理理念，持续优化完善薪酬管理体系。同时，根据不同岗位类别员工的工作性质与特点，有针对性地制定并实施相应的薪酬激励政策。公司建立了健全中长期激励机制，且会随着企业战略目标的调整而变化，使薪酬的调整具备战略导向性。也建立了周期性薪资调整机制，使薪资增幅与国民经济发展速度相适应，不断引导关键岗位核心人才创造更多增量价值，形成激励机制有效发挥作用的良性循环。保证员工生活水平不断提高，从而增强员工对企业的忠诚度。</w:t>
          </w:r>
        </w:p>
      </w:sdtContent>
    </w:sdt>
    <w:p w:rsidR="004A3868" w:rsidRDefault="004A3868">
      <w:pPr>
        <w:pStyle w:val="Style124"/>
      </w:pPr>
    </w:p>
    <w:p w:rsidR="004A3868" w:rsidRDefault="003F1AB5">
      <w:pPr>
        <w:pStyle w:val="Style127"/>
        <w:numPr>
          <w:ilvl w:val="0"/>
          <w:numId w:val="26"/>
        </w:numPr>
      </w:pPr>
      <w:r>
        <w:t>培训计划</w:t>
      </w:r>
    </w:p>
    <w:sdt>
      <w:sdtPr>
        <w:rPr>
          <w:rFonts w:hint="eastAsia"/>
        </w:rPr>
        <w:alias w:val="是否适用：培训计划[双击切换]"/>
        <w:tag w:val="_GBC_123cfa2c006d4970ae10b316c2c1f95a"/>
        <w:id w:val="-1350480980"/>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sz w:val="21"/>
          <w:szCs w:val="21"/>
        </w:rPr>
        <w:alias w:val="员工培训计划"/>
        <w:tag w:val="_GBC_266f6e1d93824387ae96645a471738b7"/>
        <w:id w:val="1300039978"/>
        <w:placeholder>
          <w:docPart w:val="GBC22222222222222222222222222222"/>
        </w:placeholder>
      </w:sdtPr>
      <w:sdtEndPr>
        <w:rPr>
          <w:rStyle w:val="afff2"/>
        </w:rPr>
      </w:sdtEndPr>
      <w:sdtContent>
        <w:p w:rsidR="004A3868" w:rsidRDefault="003F1AB5">
          <w:pPr>
            <w:ind w:firstLineChars="200" w:firstLine="420"/>
            <w:rPr>
              <w:rStyle w:val="afff2"/>
              <w:szCs w:val="21"/>
            </w:rPr>
          </w:pPr>
          <w:r>
            <w:rPr>
              <w:rStyle w:val="afff2"/>
              <w:rFonts w:hint="eastAsia"/>
              <w:szCs w:val="21"/>
            </w:rPr>
            <w:t>202</w:t>
          </w:r>
          <w:r>
            <w:rPr>
              <w:rStyle w:val="afff2"/>
              <w:szCs w:val="21"/>
            </w:rPr>
            <w:t>3</w:t>
          </w:r>
          <w:r>
            <w:rPr>
              <w:rStyle w:val="afff2"/>
              <w:rFonts w:hint="eastAsia"/>
              <w:szCs w:val="21"/>
            </w:rPr>
            <w:t>年人才培养工作围绕公司发展战略及生产经营，以企业战略为导向，适应多基地管理要求，突出改革创新支撑，聚焦核心能力提升，强化解决问题导向，按照以“分层分类”的原则及充分考虑员工自我发展的需要来开展人才培养工作。</w:t>
          </w:r>
        </w:p>
      </w:sdtContent>
    </w:sdt>
    <w:p w:rsidR="004A3868" w:rsidRDefault="004A3868">
      <w:pPr>
        <w:pStyle w:val="Style124"/>
      </w:pPr>
    </w:p>
    <w:p w:rsidR="004A3868" w:rsidRDefault="003F1AB5">
      <w:pPr>
        <w:pStyle w:val="Style127"/>
        <w:numPr>
          <w:ilvl w:val="0"/>
          <w:numId w:val="26"/>
        </w:numPr>
      </w:pPr>
      <w:r>
        <w:t>劳务外包情况</w:t>
      </w:r>
    </w:p>
    <w:sdt>
      <w:sdtPr>
        <w:alias w:val="是否适用：劳务外包情况[双击切换]"/>
        <w:tag w:val="_GBC_0682caf48f0d4ff9b0e5259fc3a31660"/>
        <w:id w:val="-896201019"/>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4A3868">
      <w:pPr>
        <w:pStyle w:val="Style124"/>
      </w:pPr>
    </w:p>
    <w:p w:rsidR="004A3868" w:rsidRDefault="003F1AB5">
      <w:pPr>
        <w:pStyle w:val="2"/>
        <w:numPr>
          <w:ilvl w:val="0"/>
          <w:numId w:val="21"/>
        </w:numPr>
      </w:pPr>
      <w:r>
        <w:t>利润分配或资本公积金转增预案</w:t>
      </w:r>
    </w:p>
    <w:p w:rsidR="004A3868" w:rsidRDefault="003F1AB5">
      <w:pPr>
        <w:pStyle w:val="Style127"/>
        <w:numPr>
          <w:ilvl w:val="0"/>
          <w:numId w:val="2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16970407"/>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szCs w:val="21"/>
        </w:rPr>
        <w:alias w:val="现金分红政策的执行情况"/>
        <w:tag w:val="_GBC_0ba57968760941749cc2f420644f2599"/>
        <w:id w:val="-564563626"/>
        <w:placeholder>
          <w:docPart w:val="GBC22222222222222222222222222222"/>
        </w:placeholder>
      </w:sdtPr>
      <w:sdtEndPr/>
      <w:sdtContent>
        <w:p w:rsidR="004A3868" w:rsidRDefault="003F1AB5">
          <w:pPr>
            <w:pStyle w:val="afff1"/>
            <w:ind w:firstLine="420"/>
            <w:rPr>
              <w:szCs w:val="21"/>
            </w:rPr>
          </w:pPr>
          <w:r>
            <w:rPr>
              <w:rFonts w:hint="eastAsia"/>
              <w:szCs w:val="21"/>
            </w:rPr>
            <w:t>（一）现金分红政策</w:t>
          </w:r>
        </w:p>
        <w:p w:rsidR="004A3868" w:rsidRDefault="003F1AB5">
          <w:pPr>
            <w:pStyle w:val="afff1"/>
            <w:ind w:firstLine="420"/>
            <w:rPr>
              <w:szCs w:val="21"/>
            </w:rPr>
          </w:pPr>
          <w:r>
            <w:rPr>
              <w:rFonts w:hint="eastAsia"/>
              <w:szCs w:val="21"/>
            </w:rPr>
            <w:t>公司重视股东稳定回报，每年根据当期盈利情况及资金需求计划，充分考虑股东回报，实行持续、稳定的分红政策。根据证监会发布的《上市公司监管指引第</w:t>
          </w:r>
          <w:r>
            <w:rPr>
              <w:szCs w:val="21"/>
            </w:rPr>
            <w:t>3号-上市公司现金分红》以及上海证券交易所的要求，公司在《公司章程》</w:t>
          </w:r>
          <w:r>
            <w:rPr>
              <w:rFonts w:hint="eastAsia"/>
              <w:szCs w:val="21"/>
            </w:rPr>
            <w:t>第一百五十七条规定现金分红政策如下：</w:t>
          </w:r>
        </w:p>
        <w:p w:rsidR="004A3868" w:rsidRDefault="003F1AB5">
          <w:pPr>
            <w:pStyle w:val="afff1"/>
            <w:ind w:firstLine="420"/>
            <w:rPr>
              <w:szCs w:val="21"/>
            </w:rPr>
          </w:pPr>
          <w:r>
            <w:rPr>
              <w:rFonts w:hint="eastAsia"/>
              <w:szCs w:val="21"/>
            </w:rPr>
            <w:t>公司每年以现金方式分配的利润原则上不少于当年度实现的可供分配利润的</w:t>
          </w:r>
          <w:r>
            <w:rPr>
              <w:szCs w:val="21"/>
            </w:rPr>
            <w:t>20%。公司在实施上述现金分红的同时，可以派发股票股利。</w:t>
          </w:r>
        </w:p>
        <w:p w:rsidR="004A3868" w:rsidRDefault="003F1AB5">
          <w:pPr>
            <w:pStyle w:val="afff1"/>
            <w:ind w:firstLine="420"/>
            <w:rPr>
              <w:szCs w:val="21"/>
            </w:rPr>
          </w:pPr>
          <w:r>
            <w:rPr>
              <w:rFonts w:hint="eastAsia"/>
              <w:szCs w:val="21"/>
            </w:rPr>
            <w:t>公司董事会应当综合考虑所处行业特点、发展阶段、自身经营模式、盈利水平以及是否有重</w:t>
          </w:r>
          <w:r>
            <w:rPr>
              <w:rFonts w:hint="eastAsia"/>
              <w:szCs w:val="21"/>
            </w:rPr>
            <w:lastRenderedPageBreak/>
            <w:t>大资金支出安排等因素，区分下列情形，并按照公司章程规定的程序，提出差异化的现金分红政策：</w:t>
          </w:r>
        </w:p>
        <w:p w:rsidR="004A3868" w:rsidRDefault="003F1AB5">
          <w:pPr>
            <w:pStyle w:val="afff1"/>
            <w:ind w:firstLine="420"/>
            <w:rPr>
              <w:szCs w:val="21"/>
            </w:rPr>
          </w:pPr>
          <w:r>
            <w:rPr>
              <w:rFonts w:hint="eastAsia"/>
              <w:szCs w:val="21"/>
            </w:rPr>
            <w:t>1、公司发展阶段属成熟期且无重大资金支出安排的，进行利润分配时，现金分红在本次利润分配中所占比例最低应达到</w:t>
          </w:r>
          <w:r>
            <w:rPr>
              <w:szCs w:val="21"/>
            </w:rPr>
            <w:t>80%；</w:t>
          </w:r>
        </w:p>
        <w:p w:rsidR="004A3868" w:rsidRDefault="003F1AB5">
          <w:pPr>
            <w:pStyle w:val="afff1"/>
            <w:ind w:firstLine="420"/>
            <w:rPr>
              <w:szCs w:val="21"/>
            </w:rPr>
          </w:pPr>
          <w:r>
            <w:rPr>
              <w:rFonts w:hint="eastAsia"/>
              <w:szCs w:val="21"/>
            </w:rPr>
            <w:t>2、公司发展阶段属成熟期且有重大资金支出安排的，进行利润分配时，现金分红在本次利润分配中所占比例最低应达到</w:t>
          </w:r>
          <w:r>
            <w:rPr>
              <w:szCs w:val="21"/>
            </w:rPr>
            <w:t>40%；</w:t>
          </w:r>
        </w:p>
        <w:p w:rsidR="004A3868" w:rsidRDefault="003F1AB5">
          <w:pPr>
            <w:pStyle w:val="afff1"/>
            <w:ind w:firstLine="420"/>
            <w:rPr>
              <w:szCs w:val="21"/>
            </w:rPr>
          </w:pPr>
          <w:r>
            <w:rPr>
              <w:rFonts w:hint="eastAsia"/>
              <w:szCs w:val="21"/>
            </w:rPr>
            <w:t>3、公司发展阶段属成长期且有重大资金支出安排的，进行利润分配时，现金分红在本次利润分配中所占比例最低应达到</w:t>
          </w:r>
          <w:r>
            <w:rPr>
              <w:szCs w:val="21"/>
            </w:rPr>
            <w:t>20%；</w:t>
          </w:r>
        </w:p>
        <w:p w:rsidR="004A3868" w:rsidRDefault="003F1AB5">
          <w:pPr>
            <w:pStyle w:val="afff1"/>
            <w:ind w:firstLine="420"/>
            <w:rPr>
              <w:szCs w:val="21"/>
            </w:rPr>
          </w:pPr>
          <w:r>
            <w:rPr>
              <w:rFonts w:hint="eastAsia"/>
              <w:szCs w:val="21"/>
            </w:rPr>
            <w:t>公司发展阶段不易区分但有重大资金支出安排的，可以按照前项规定处理。</w:t>
          </w:r>
        </w:p>
        <w:p w:rsidR="004A3868" w:rsidRDefault="003F1AB5">
          <w:pPr>
            <w:pStyle w:val="afff1"/>
            <w:ind w:firstLine="420"/>
            <w:rPr>
              <w:szCs w:val="21"/>
            </w:rPr>
          </w:pPr>
          <w:r>
            <w:rPr>
              <w:rFonts w:hint="eastAsia"/>
              <w:szCs w:val="21"/>
            </w:rPr>
            <w:t>重大投资计划或重大现金支出是指：公司未来十二个月内拟对外投资、收购资产或者购买设备、建筑物的累计支出达到或者超过公司最近一期经审计净资产的</w:t>
          </w:r>
          <w:r>
            <w:rPr>
              <w:szCs w:val="21"/>
            </w:rPr>
            <w:t>10%，且绝对值达到3,000万元。</w:t>
          </w:r>
        </w:p>
        <w:p w:rsidR="004A3868" w:rsidRDefault="003F1AB5">
          <w:pPr>
            <w:pStyle w:val="afff1"/>
            <w:ind w:firstLine="420"/>
            <w:rPr>
              <w:szCs w:val="21"/>
            </w:rPr>
          </w:pPr>
          <w:r>
            <w:rPr>
              <w:rFonts w:hint="eastAsia"/>
              <w:szCs w:val="21"/>
            </w:rPr>
            <w:t>公司目前处于成长期且未来有重大资金支出安排的发展阶段，因此现阶段进行利润分配时，现金方式分配的利润在每次利润分配中所占比例最低应达到</w:t>
          </w:r>
          <w:r>
            <w:rPr>
              <w:szCs w:val="21"/>
            </w:rPr>
            <w:t>20%。随着公司的不断发展，公司董事会认为公司的发展阶段属于成熟期的，则根据公司有无重大资金支出安排计划，由董事会按照公司章程规定的利润分配政策调整的程序提请股东大会决议提高现金方式分配的利润在每次利润分配中的最低比例。</w:t>
          </w:r>
        </w:p>
        <w:p w:rsidR="004A3868" w:rsidRDefault="003F1AB5">
          <w:pPr>
            <w:pStyle w:val="afff1"/>
            <w:ind w:firstLine="420"/>
            <w:rPr>
              <w:szCs w:val="21"/>
            </w:rPr>
          </w:pPr>
          <w:r>
            <w:rPr>
              <w:rFonts w:hint="eastAsia"/>
              <w:szCs w:val="21"/>
            </w:rPr>
            <w:t>在满足现金分红条件、保证公司正常经营和长远发展的前提下，公司原则上每年年度股东大会召开后进行一次现金分红，公司可以根据公司的盈利状况及资金需求状况进行中期现金分红。</w:t>
          </w:r>
        </w:p>
        <w:p w:rsidR="004A3868" w:rsidRDefault="003F1AB5">
          <w:pPr>
            <w:pStyle w:val="afff1"/>
            <w:ind w:firstLine="420"/>
            <w:rPr>
              <w:szCs w:val="21"/>
            </w:rPr>
          </w:pPr>
          <w:r>
            <w:rPr>
              <w:rFonts w:hint="eastAsia"/>
              <w:szCs w:val="21"/>
            </w:rPr>
            <w:t>（二）2</w:t>
          </w:r>
          <w:r>
            <w:rPr>
              <w:szCs w:val="21"/>
            </w:rPr>
            <w:t>022</w:t>
          </w:r>
          <w:r>
            <w:rPr>
              <w:rFonts w:hint="eastAsia"/>
              <w:szCs w:val="21"/>
            </w:rPr>
            <w:t>年利润分配执行情况</w:t>
          </w:r>
        </w:p>
        <w:p w:rsidR="004A3868" w:rsidRDefault="003F1AB5">
          <w:pPr>
            <w:pStyle w:val="afff1"/>
            <w:ind w:firstLine="420"/>
            <w:rPr>
              <w:szCs w:val="21"/>
            </w:rPr>
          </w:pPr>
          <w:r>
            <w:rPr>
              <w:rFonts w:hint="eastAsia"/>
              <w:szCs w:val="21"/>
            </w:rPr>
            <w:t>公司以实施权益分派股权登记日登记的总股本为基数，向全体股东每</w:t>
          </w:r>
          <w:r>
            <w:rPr>
              <w:szCs w:val="21"/>
            </w:rPr>
            <w:t>10股派发现金红利1.8元（含税），不进行资本公积金转增股本和送红股。按照公司截至2022年12月31日的总股本333,167,407.00股计算，共分配现金红利5,997.01万元（含税），占公司2022年度合并报表归属于母公司所有者的净利润比例</w:t>
          </w:r>
          <w:r>
            <w:rPr>
              <w:rFonts w:hint="eastAsia"/>
              <w:szCs w:val="21"/>
            </w:rPr>
            <w:t>为</w:t>
          </w:r>
          <w:r>
            <w:rPr>
              <w:szCs w:val="21"/>
            </w:rPr>
            <w:t>20.12%。</w:t>
          </w:r>
        </w:p>
        <w:p w:rsidR="00C529AC" w:rsidRDefault="003F1AB5">
          <w:pPr>
            <w:pStyle w:val="afff1"/>
            <w:ind w:firstLine="420"/>
            <w:rPr>
              <w:szCs w:val="21"/>
            </w:rPr>
          </w:pPr>
          <w:r>
            <w:rPr>
              <w:rFonts w:hint="eastAsia"/>
              <w:szCs w:val="21"/>
            </w:rPr>
            <w:t>（三）2</w:t>
          </w:r>
          <w:r>
            <w:rPr>
              <w:szCs w:val="21"/>
            </w:rPr>
            <w:t>023</w:t>
          </w:r>
          <w:r>
            <w:rPr>
              <w:rFonts w:hint="eastAsia"/>
              <w:szCs w:val="21"/>
            </w:rPr>
            <w:t>年利润分配预案</w:t>
          </w:r>
        </w:p>
        <w:p w:rsidR="00C529AC" w:rsidRDefault="00C529AC" w:rsidP="00C529AC">
          <w:pPr>
            <w:pStyle w:val="afff1"/>
            <w:tabs>
              <w:tab w:val="left" w:pos="1985"/>
            </w:tabs>
            <w:ind w:firstLine="420"/>
            <w:rPr>
              <w:szCs w:val="21"/>
            </w:rPr>
          </w:pPr>
          <w:r>
            <w:rPr>
              <w:rFonts w:hint="eastAsia"/>
              <w:szCs w:val="21"/>
            </w:rPr>
            <w:t>经大华会计师事务所（特殊普通合伙）审计，公司</w:t>
          </w:r>
          <w:r>
            <w:rPr>
              <w:szCs w:val="21"/>
            </w:rPr>
            <w:t>2023年度归属于母公司所有者的净利润为234,586,738.82元，截止2023年12月31日，母公司经审计可供分配利润为995,843,075.29元。</w:t>
          </w:r>
        </w:p>
        <w:p w:rsidR="00C529AC" w:rsidRDefault="00C529AC" w:rsidP="00C529AC">
          <w:pPr>
            <w:pStyle w:val="afff1"/>
            <w:ind w:firstLine="420"/>
            <w:rPr>
              <w:szCs w:val="21"/>
            </w:rPr>
          </w:pPr>
          <w:r>
            <w:rPr>
              <w:rFonts w:hint="eastAsia"/>
              <w:szCs w:val="21"/>
            </w:rPr>
            <w:t>根据《上海证券交易所上市公司自律监管指引第</w:t>
          </w:r>
          <w:r>
            <w:rPr>
              <w:szCs w:val="21"/>
            </w:rPr>
            <w:t xml:space="preserve"> 7 号——回购股份》等有关规定，上市公司回购专用账户中的股份，不享有利润分配的权利。因此，本公司回购专用证券账户中的股份将不参与公司本次利润分配，具体实施分配方案时，实际派发现金红利金额根据股权登记日的公司总</w:t>
          </w:r>
          <w:r>
            <w:rPr>
              <w:szCs w:val="21"/>
            </w:rPr>
            <w:lastRenderedPageBreak/>
            <w:t>股本数及公司回购专用证券账户中股份数确定。</w:t>
          </w:r>
        </w:p>
        <w:p w:rsidR="00C529AC" w:rsidRDefault="00C529AC" w:rsidP="00C529AC">
          <w:pPr>
            <w:pStyle w:val="afff1"/>
            <w:ind w:firstLine="420"/>
            <w:rPr>
              <w:szCs w:val="21"/>
            </w:rPr>
          </w:pPr>
          <w:r>
            <w:rPr>
              <w:rFonts w:hint="eastAsia"/>
              <w:szCs w:val="21"/>
            </w:rPr>
            <w:t>公司拟以实施权益分派股权登记日登记的总股本扣除届时回购专用证券账户上的股份数量为基数，向全体股东每</w:t>
          </w:r>
          <w:r>
            <w:rPr>
              <w:szCs w:val="21"/>
            </w:rPr>
            <w:t>10股派发现金红利1.5元（含税），不进行资本公积金转增股本和送红股。截至目前，公司总股本333,167,407股，回购专用证券账户上的股份数量为652,768股，以此计算拟派发现金红利49,877,195.85元（含税），占公司2023年度归属于母公司所有者的净利润比例为21.26%。</w:t>
          </w:r>
        </w:p>
        <w:p w:rsidR="00C529AC" w:rsidRDefault="00C529AC" w:rsidP="00C529AC">
          <w:pPr>
            <w:pStyle w:val="afff1"/>
            <w:ind w:firstLine="420"/>
            <w:rPr>
              <w:szCs w:val="21"/>
            </w:rPr>
          </w:pPr>
          <w:r>
            <w:rPr>
              <w:rFonts w:hint="eastAsia"/>
              <w:szCs w:val="21"/>
            </w:rPr>
            <w:t>根据《上市公司股份回购规则》（证监会公告【</w:t>
          </w:r>
          <w:r>
            <w:rPr>
              <w:szCs w:val="21"/>
            </w:rPr>
            <w:t>2023】63号）规定，“上市公司以现金为对价，采用要约方式、集中竞价方式回购股份的，视同上市公司现金分红，纳入现金分红的相关比例计算”，公司2023年以现金为对价，通过集中竞价方式回购股份3,202,768股, 支付现金50,293,453.32元（不含交易费用）。据此，公司2023年度预计现金分红金额合计为100,170,649.17元，占合并报表中归属于上市公司股东的净利润比例为42.70%。</w:t>
          </w:r>
        </w:p>
        <w:p w:rsidR="00C529AC" w:rsidRDefault="00C529AC" w:rsidP="00C529AC">
          <w:pPr>
            <w:pStyle w:val="afff1"/>
            <w:ind w:firstLine="420"/>
            <w:rPr>
              <w:szCs w:val="21"/>
            </w:rPr>
          </w:pPr>
          <w:r>
            <w:rPr>
              <w:rFonts w:hint="eastAsia"/>
              <w:szCs w:val="21"/>
            </w:rPr>
            <w:t>如在本利润分配预案披露之日起至实施权益分派股权登记日期间，公司总股本发生变动的，公司拟维持每股分配比例不变，以实施分配方案时股权登记日的总股本扣除届时回购专用证券账户上的股份数量为基数，相应调整分配总额。如后续公司总股本发生变化，将在相关公告中披露。</w:t>
          </w:r>
        </w:p>
        <w:p w:rsidR="004A3868" w:rsidRPr="00C529AC" w:rsidRDefault="00C529AC" w:rsidP="00C529AC">
          <w:pPr>
            <w:pStyle w:val="afff1"/>
            <w:ind w:firstLine="420"/>
            <w:rPr>
              <w:szCs w:val="21"/>
              <w:shd w:val="pct10" w:color="auto" w:fill="FFFFFF"/>
            </w:rPr>
          </w:pPr>
          <w:r>
            <w:rPr>
              <w:szCs w:val="21"/>
            </w:rPr>
            <w:t>本预案经公司第四届董事会第五次会议审议通过，尚需提交公司股东大会审议。</w:t>
          </w:r>
        </w:p>
        <w:bookmarkStart w:id="53" w:name="_GoBack" w:displacedByCustomXml="next"/>
        <w:bookmarkEnd w:id="53" w:displacedByCustomXml="next"/>
      </w:sdtContent>
    </w:sdt>
    <w:p w:rsidR="004A3868" w:rsidRDefault="003F1AB5">
      <w:pPr>
        <w:pStyle w:val="Style127"/>
        <w:numPr>
          <w:ilvl w:val="0"/>
          <w:numId w:val="27"/>
        </w:numPr>
      </w:pPr>
      <w:r>
        <w:t>现金分红政策的专项说明</w:t>
      </w:r>
    </w:p>
    <w:bookmarkStart w:id="54" w:name="_Hlk89446160" w:displacedByCustomXml="next"/>
    <w:sdt>
      <w:sdtPr>
        <w:alias w:val="是否适用：现金分红政策的专项说明 [双击切换]"/>
        <w:tag w:val="_GBC_715d8b6c04924cf19dcd2347ae32471f"/>
        <w:id w:val="1368178129"/>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6878"/>
        <w:gridCol w:w="1945"/>
      </w:tblGrid>
      <w:tr w:rsidR="004A3868">
        <w:trPr>
          <w:trHeight w:val="397"/>
          <w:jc w:val="center"/>
        </w:trPr>
        <w:sdt>
          <w:sdtPr>
            <w:rPr>
              <w:rFonts w:hint="eastAsia"/>
            </w:rPr>
            <w:tag w:val="_PLD_be5b642d619e47719375899ad34c31f6"/>
            <w:id w:val="1649017965"/>
          </w:sdtPr>
          <w:sdtEndPr/>
          <w:sdtContent>
            <w:tc>
              <w:tcPr>
                <w:tcW w:w="3898" w:type="pct"/>
                <w:vAlign w:val="center"/>
              </w:tcPr>
              <w:p w:rsidR="004A3868" w:rsidRDefault="003F1AB5">
                <w:pPr>
                  <w:pStyle w:val="afff9"/>
                </w:pPr>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557523738"/>
          </w:sdtPr>
          <w:sdtEndPr/>
          <w:sdtContent>
            <w:tc>
              <w:tcPr>
                <w:tcW w:w="1102" w:type="pct"/>
                <w:vAlign w:val="center"/>
              </w:tcPr>
              <w:p w:rsidR="004A3868" w:rsidRDefault="003F1AB5">
                <w:pPr>
                  <w:pStyle w:val="afff9"/>
                </w:pPr>
                <w:r>
                  <w:fldChar w:fldCharType="begin"/>
                </w:r>
                <w:r>
                  <w:rPr>
                    <w:rFonts w:hint="eastAsia"/>
                  </w:rPr>
                  <w:instrText xml:space="preserve"> MACROBUTTON  SnrToggleCheckbox </w:instrText>
                </w:r>
                <w:r>
                  <w:rPr>
                    <w:rFonts w:hint="eastAsia"/>
                  </w:rPr>
                  <w:instrText>√是</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□否</w:instrText>
                </w:r>
                <w:r>
                  <w:rPr>
                    <w:rFonts w:hint="eastAsia"/>
                  </w:rPr>
                  <w:instrText xml:space="preserve"> </w:instrText>
                </w:r>
                <w:r>
                  <w:fldChar w:fldCharType="end"/>
                </w:r>
              </w:p>
            </w:tc>
          </w:sdtContent>
        </w:sdt>
      </w:tr>
      <w:tr w:rsidR="004A3868">
        <w:trPr>
          <w:trHeight w:val="397"/>
          <w:jc w:val="center"/>
        </w:trPr>
        <w:tc>
          <w:tcPr>
            <w:tcW w:w="3898" w:type="pct"/>
            <w:vAlign w:val="center"/>
          </w:tcPr>
          <w:p w:rsidR="004A3868" w:rsidRDefault="003F1AB5">
            <w:pPr>
              <w:pStyle w:val="afff9"/>
            </w:pPr>
            <w:r>
              <w:rPr>
                <w:rFonts w:hint="eastAsia"/>
              </w:rPr>
              <w:t>分红标准和比例是否明确和清晰</w:t>
            </w:r>
          </w:p>
        </w:tc>
        <w:sdt>
          <w:sdtPr>
            <w:alias w:val="分红标准和比例是否明确和清晰[双击切换]"/>
            <w:tag w:val="_GBC_c8bbad0601c544fca3faeac3b11ee218"/>
            <w:id w:val="-648900362"/>
          </w:sdtPr>
          <w:sdtEndPr/>
          <w:sdtContent>
            <w:tc>
              <w:tcPr>
                <w:tcW w:w="1102" w:type="pct"/>
                <w:vAlign w:val="center"/>
              </w:tcPr>
              <w:p w:rsidR="004A3868" w:rsidRDefault="003F1AB5">
                <w:pPr>
                  <w:pStyle w:val="afff9"/>
                </w:pPr>
                <w:r>
                  <w:fldChar w:fldCharType="begin"/>
                </w:r>
                <w:r>
                  <w:rPr>
                    <w:rFonts w:hint="eastAsia"/>
                  </w:rPr>
                  <w:instrText xml:space="preserve"> MACROBUTTON  SnrToggleCheckbox </w:instrText>
                </w:r>
                <w:r>
                  <w:rPr>
                    <w:rFonts w:hint="eastAsia"/>
                  </w:rPr>
                  <w:instrText>√是</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□否</w:instrText>
                </w:r>
                <w:r>
                  <w:rPr>
                    <w:rFonts w:hint="eastAsia"/>
                  </w:rPr>
                  <w:instrText xml:space="preserve"> </w:instrText>
                </w:r>
                <w:r>
                  <w:fldChar w:fldCharType="end"/>
                </w:r>
              </w:p>
            </w:tc>
          </w:sdtContent>
        </w:sdt>
      </w:tr>
      <w:tr w:rsidR="004A3868">
        <w:trPr>
          <w:trHeight w:val="397"/>
          <w:jc w:val="center"/>
        </w:trPr>
        <w:tc>
          <w:tcPr>
            <w:tcW w:w="38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相关的决策程序和机制是否完备</w:t>
            </w:r>
          </w:p>
        </w:tc>
        <w:sdt>
          <w:sdtPr>
            <w:alias w:val="相关的决策程序和机制是否完备[双击切换]"/>
            <w:tag w:val="_GBC_b2d0d75abb6f4f14a51595902d0ad7b9"/>
            <w:id w:val="-1727053178"/>
          </w:sdtPr>
          <w:sdtEndPr/>
          <w:sdtContent>
            <w:tc>
              <w:tcPr>
                <w:tcW w:w="11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fldChar w:fldCharType="begin"/>
                </w:r>
                <w:r>
                  <w:rPr>
                    <w:rFonts w:hint="eastAsia"/>
                  </w:rPr>
                  <w:instrText xml:space="preserve"> MACROBUTTON  SnrToggleCheckbox </w:instrText>
                </w:r>
                <w:r>
                  <w:rPr>
                    <w:rFonts w:hint="eastAsia"/>
                  </w:rPr>
                  <w:instrText>√是</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□否</w:instrText>
                </w:r>
                <w:r>
                  <w:rPr>
                    <w:rFonts w:hint="eastAsia"/>
                  </w:rPr>
                  <w:instrText xml:space="preserve"> </w:instrText>
                </w:r>
                <w:r>
                  <w:fldChar w:fldCharType="end"/>
                </w:r>
              </w:p>
            </w:tc>
          </w:sdtContent>
        </w:sdt>
      </w:tr>
      <w:tr w:rsidR="004A3868">
        <w:trPr>
          <w:trHeight w:val="397"/>
          <w:jc w:val="center"/>
        </w:trPr>
        <w:tc>
          <w:tcPr>
            <w:tcW w:w="38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独立董事是否履职尽责并发挥了应有的作用</w:t>
            </w:r>
          </w:p>
        </w:tc>
        <w:sdt>
          <w:sdtPr>
            <w:alias w:val="独立董事是否履职尽责并发挥了应有的作用[双击切换]"/>
            <w:tag w:val="_GBC_0b8d249fbcc74af893077c4c7eee16ef"/>
            <w:id w:val="1654416495"/>
          </w:sdtPr>
          <w:sdtEndPr/>
          <w:sdtContent>
            <w:tc>
              <w:tcPr>
                <w:tcW w:w="11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fldChar w:fldCharType="begin"/>
                </w:r>
                <w:r>
                  <w:rPr>
                    <w:rFonts w:hint="eastAsia"/>
                  </w:rPr>
                  <w:instrText xml:space="preserve"> MACROBUTTON  SnrToggleCheckbox </w:instrText>
                </w:r>
                <w:r>
                  <w:rPr>
                    <w:rFonts w:hint="eastAsia"/>
                  </w:rPr>
                  <w:instrText>√是</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□否</w:instrText>
                </w:r>
                <w:r>
                  <w:rPr>
                    <w:rFonts w:hint="eastAsia"/>
                  </w:rPr>
                  <w:instrText xml:space="preserve"> </w:instrText>
                </w:r>
                <w:r>
                  <w:fldChar w:fldCharType="end"/>
                </w:r>
              </w:p>
            </w:tc>
          </w:sdtContent>
        </w:sdt>
      </w:tr>
      <w:tr w:rsidR="004A3868">
        <w:trPr>
          <w:trHeight w:val="397"/>
          <w:jc w:val="center"/>
        </w:trPr>
        <w:tc>
          <w:tcPr>
            <w:tcW w:w="38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1196655505"/>
          </w:sdtPr>
          <w:sdtEndPr/>
          <w:sdtContent>
            <w:tc>
              <w:tcPr>
                <w:tcW w:w="11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fldChar w:fldCharType="begin"/>
                </w:r>
                <w:r>
                  <w:rPr>
                    <w:rFonts w:hint="eastAsia"/>
                  </w:rPr>
                  <w:instrText xml:space="preserve"> MACROBUTTON  SnrToggleCheckbox </w:instrText>
                </w:r>
                <w:r>
                  <w:rPr>
                    <w:rFonts w:hint="eastAsia"/>
                  </w:rPr>
                  <w:instrText>√是</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□否</w:instrText>
                </w:r>
                <w:r>
                  <w:rPr>
                    <w:rFonts w:hint="eastAsia"/>
                  </w:rPr>
                  <w:instrText xml:space="preserve"> </w:instrText>
                </w:r>
                <w:r>
                  <w:fldChar w:fldCharType="end"/>
                </w:r>
              </w:p>
            </w:tc>
          </w:sdtContent>
        </w:sdt>
      </w:tr>
      <w:bookmarkEnd w:id="54"/>
    </w:tbl>
    <w:p w:rsidR="004A3868" w:rsidRDefault="004A3868">
      <w:pPr>
        <w:pStyle w:val="Style124"/>
      </w:pPr>
    </w:p>
    <w:p w:rsidR="004A3868" w:rsidRDefault="003F1AB5">
      <w:pPr>
        <w:pStyle w:val="Style127"/>
        <w:numPr>
          <w:ilvl w:val="0"/>
          <w:numId w:val="27"/>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24602747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7"/>
        <w:numPr>
          <w:ilvl w:val="0"/>
          <w:numId w:val="27"/>
        </w:numPr>
      </w:pPr>
      <w:r>
        <w:rPr>
          <w:rFonts w:hint="eastAsia"/>
        </w:rPr>
        <w:t>本报告期利润分配及资本公积金转增股本预案</w:t>
      </w:r>
    </w:p>
    <w:sdt>
      <w:sdtPr>
        <w:alias w:val="是否适用：利润分配及资本公积金转增股本情况[双击切换]"/>
        <w:tag w:val="_GBC_495a4ba42a0f42f09a8ad4b2fade6559"/>
        <w:id w:val="71784021"/>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jc w:val="right"/>
        <w:rPr>
          <w:sz w:val="21"/>
          <w:szCs w:val="21"/>
        </w:rPr>
      </w:pPr>
      <w:r>
        <w:rPr>
          <w:rFonts w:hint="eastAsia"/>
          <w:sz w:val="21"/>
          <w:szCs w:val="21"/>
        </w:rPr>
        <w:t>单位:</w:t>
      </w:r>
      <w:sdt>
        <w:sdtPr>
          <w:rPr>
            <w:rFonts w:hint="eastAsia"/>
            <w:sz w:val="21"/>
            <w:szCs w:val="21"/>
          </w:rPr>
          <w:alias w:val="单位：利润分配及资本公积金转增股本情况"/>
          <w:tag w:val="_GBC_13401d941a944aa6845e12add2d0dd0e"/>
          <w:id w:val="11749128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 w:val="21"/>
              <w:szCs w:val="21"/>
            </w:rPr>
            <w:t>万元</w:t>
          </w:r>
        </w:sdtContent>
      </w:sdt>
      <w:r>
        <w:rPr>
          <w:rFonts w:hint="eastAsia"/>
          <w:sz w:val="21"/>
          <w:szCs w:val="21"/>
        </w:rPr>
        <w:t>币种:</w:t>
      </w:r>
      <w:sdt>
        <w:sdtPr>
          <w:rPr>
            <w:rFonts w:hint="eastAsia"/>
            <w:sz w:val="21"/>
            <w:szCs w:val="21"/>
          </w:rPr>
          <w:alias w:val="币种：利润分配及资本公积金转增股本情况"/>
          <w:tag w:val="_GBC_7b66af31a51f46208037a812a69070e9"/>
          <w:id w:val="-18053051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4410"/>
        <w:gridCol w:w="4413"/>
      </w:tblGrid>
      <w:tr w:rsidR="004A3868">
        <w:trPr>
          <w:trHeight w:val="397"/>
          <w:jc w:val="center"/>
        </w:trPr>
        <w:sdt>
          <w:sdtPr>
            <w:tag w:val="_PLD_28cd685f5155420cab6b327b3f81025e"/>
            <w:id w:val="1615326727"/>
          </w:sdtPr>
          <w:sdtEndPr/>
          <w:sdtContent>
            <w:tc>
              <w:tcPr>
                <w:tcW w:w="2499" w:type="pct"/>
                <w:shd w:val="clear" w:color="auto" w:fill="auto"/>
                <w:vAlign w:val="center"/>
              </w:tcPr>
              <w:p w:rsidR="004A3868" w:rsidRDefault="003F1AB5">
                <w:pPr>
                  <w:pStyle w:val="afff9"/>
                </w:pPr>
                <w:r>
                  <w:t>每</w:t>
                </w:r>
                <w:r>
                  <w:t>10</w:t>
                </w:r>
                <w:r>
                  <w:t>股送红股数（股）</w:t>
                </w:r>
              </w:p>
            </w:tc>
          </w:sdtContent>
        </w:sdt>
        <w:tc>
          <w:tcPr>
            <w:tcW w:w="2501" w:type="pct"/>
            <w:vAlign w:val="center"/>
          </w:tcPr>
          <w:p w:rsidR="004A3868" w:rsidRDefault="003F1AB5">
            <w:pPr>
              <w:pStyle w:val="afff7"/>
            </w:pPr>
            <w:r>
              <w:rPr>
                <w:rFonts w:hint="eastAsia"/>
              </w:rPr>
              <w:t>0</w:t>
            </w:r>
          </w:p>
        </w:tc>
      </w:tr>
      <w:tr w:rsidR="004A3868">
        <w:trPr>
          <w:trHeight w:val="397"/>
          <w:jc w:val="center"/>
        </w:trPr>
        <w:tc>
          <w:tcPr>
            <w:tcW w:w="2499" w:type="pct"/>
            <w:shd w:val="clear" w:color="auto" w:fill="auto"/>
            <w:vAlign w:val="center"/>
          </w:tcPr>
          <w:p w:rsidR="004A3868" w:rsidRDefault="003F1AB5">
            <w:pPr>
              <w:pStyle w:val="afff9"/>
            </w:pPr>
            <w:r>
              <w:rPr>
                <w:rFonts w:hint="eastAsia"/>
              </w:rPr>
              <w:t>每</w:t>
            </w:r>
            <w:r>
              <w:t>10</w:t>
            </w:r>
            <w:r>
              <w:rPr>
                <w:rFonts w:hint="eastAsia"/>
              </w:rPr>
              <w:t>股派息数（元）（含税）</w:t>
            </w:r>
          </w:p>
        </w:tc>
        <w:tc>
          <w:tcPr>
            <w:tcW w:w="2501" w:type="pct"/>
            <w:vAlign w:val="center"/>
          </w:tcPr>
          <w:p w:rsidR="004A3868" w:rsidRDefault="003F1AB5">
            <w:pPr>
              <w:pStyle w:val="afff7"/>
            </w:pPr>
            <w:r>
              <w:rPr>
                <w:rFonts w:hint="eastAsia"/>
              </w:rPr>
              <w:t>0</w:t>
            </w:r>
          </w:p>
        </w:tc>
      </w:tr>
      <w:tr w:rsidR="004A3868">
        <w:trPr>
          <w:trHeight w:val="397"/>
          <w:jc w:val="center"/>
        </w:trPr>
        <w:tc>
          <w:tcPr>
            <w:tcW w:w="2499" w:type="pct"/>
            <w:shd w:val="clear" w:color="auto" w:fill="auto"/>
            <w:vAlign w:val="center"/>
          </w:tcPr>
          <w:p w:rsidR="004A3868" w:rsidRDefault="003F1AB5">
            <w:pPr>
              <w:pStyle w:val="afff9"/>
            </w:pPr>
            <w:r>
              <w:rPr>
                <w:rFonts w:hint="eastAsia"/>
              </w:rPr>
              <w:t>每</w:t>
            </w:r>
            <w:r>
              <w:t>10</w:t>
            </w:r>
            <w:r>
              <w:rPr>
                <w:rFonts w:hint="eastAsia"/>
              </w:rPr>
              <w:t>股转增数（股）</w:t>
            </w:r>
          </w:p>
        </w:tc>
        <w:tc>
          <w:tcPr>
            <w:tcW w:w="2501" w:type="pct"/>
            <w:vAlign w:val="center"/>
          </w:tcPr>
          <w:p w:rsidR="004A3868" w:rsidRDefault="003F1AB5">
            <w:pPr>
              <w:pStyle w:val="afff7"/>
            </w:pPr>
            <w:r>
              <w:rPr>
                <w:rFonts w:hint="eastAsia"/>
              </w:rPr>
              <w:t>0</w:t>
            </w:r>
          </w:p>
        </w:tc>
      </w:tr>
      <w:tr w:rsidR="004A3868">
        <w:trPr>
          <w:trHeight w:val="397"/>
          <w:jc w:val="center"/>
        </w:trPr>
        <w:tc>
          <w:tcPr>
            <w:tcW w:w="2499" w:type="pct"/>
            <w:shd w:val="clear" w:color="auto" w:fill="auto"/>
            <w:vAlign w:val="center"/>
          </w:tcPr>
          <w:p w:rsidR="004A3868" w:rsidRDefault="003F1AB5">
            <w:pPr>
              <w:pStyle w:val="afff9"/>
            </w:pPr>
            <w:r>
              <w:rPr>
                <w:rFonts w:hint="eastAsia"/>
              </w:rPr>
              <w:t>现金分红金额（含税）</w:t>
            </w:r>
          </w:p>
        </w:tc>
        <w:tc>
          <w:tcPr>
            <w:tcW w:w="2501" w:type="pct"/>
            <w:vAlign w:val="center"/>
          </w:tcPr>
          <w:p w:rsidR="004A3868" w:rsidRDefault="003F1AB5">
            <w:pPr>
              <w:pStyle w:val="afff7"/>
            </w:pPr>
            <w:r>
              <w:t>4,987.72</w:t>
            </w:r>
          </w:p>
        </w:tc>
      </w:tr>
      <w:tr w:rsidR="004A3868">
        <w:trPr>
          <w:trHeight w:val="397"/>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分红年度合并报表中归属于上市公司</w:t>
            </w:r>
            <w:r>
              <w:rPr>
                <w:rFonts w:hint="eastAsia"/>
              </w:rPr>
              <w:t>普通股</w:t>
            </w:r>
            <w:r>
              <w:t>股</w:t>
            </w:r>
            <w:r>
              <w:lastRenderedPageBreak/>
              <w:t>东的净利润</w:t>
            </w:r>
          </w:p>
        </w:tc>
        <w:tc>
          <w:tcPr>
            <w:tcW w:w="250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lastRenderedPageBreak/>
              <w:t>23</w:t>
            </w:r>
            <w:r>
              <w:rPr>
                <w:rFonts w:hint="eastAsia"/>
              </w:rPr>
              <w:t>,</w:t>
            </w:r>
            <w:r>
              <w:t>458.67</w:t>
            </w:r>
          </w:p>
          <w:p w:rsidR="004A3868" w:rsidRDefault="004A3868">
            <w:pPr>
              <w:pStyle w:val="afff7"/>
            </w:pPr>
          </w:p>
        </w:tc>
      </w:tr>
      <w:tr w:rsidR="004A3868">
        <w:trPr>
          <w:trHeight w:val="397"/>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lastRenderedPageBreak/>
              <w:t>占合并报表中归属于上市公司</w:t>
            </w:r>
            <w:r>
              <w:rPr>
                <w:rFonts w:hint="eastAsia"/>
              </w:rPr>
              <w:t>普通股</w:t>
            </w:r>
            <w:r>
              <w:t>股东的净利润的比率</w:t>
            </w:r>
            <w:r>
              <w:rPr>
                <w:rFonts w:hint="eastAsia"/>
              </w:rPr>
              <w:t>（</w:t>
            </w:r>
            <w:r>
              <w:rPr>
                <w:rFonts w:hint="eastAsia"/>
              </w:rPr>
              <w:t>%</w:t>
            </w:r>
            <w:r>
              <w:rPr>
                <w:rFonts w:hint="eastAsia"/>
              </w:rPr>
              <w:t>）</w:t>
            </w:r>
          </w:p>
        </w:tc>
        <w:tc>
          <w:tcPr>
            <w:tcW w:w="250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21.26</w:t>
            </w:r>
          </w:p>
        </w:tc>
      </w:tr>
      <w:tr w:rsidR="004A3868">
        <w:trPr>
          <w:trHeight w:val="397"/>
          <w:jc w:val="center"/>
        </w:trPr>
        <w:tc>
          <w:tcPr>
            <w:tcW w:w="2499" w:type="pct"/>
            <w:shd w:val="clear" w:color="auto" w:fill="auto"/>
            <w:vAlign w:val="center"/>
          </w:tcPr>
          <w:p w:rsidR="004A3868" w:rsidRDefault="003F1AB5">
            <w:pPr>
              <w:pStyle w:val="afff9"/>
            </w:pPr>
            <w:r>
              <w:rPr>
                <w:rFonts w:hint="eastAsia"/>
              </w:rPr>
              <w:t>以</w:t>
            </w:r>
            <w:r>
              <w:t>现金方式回购股份计入现金分红的</w:t>
            </w:r>
            <w:r>
              <w:rPr>
                <w:rFonts w:hint="eastAsia"/>
              </w:rPr>
              <w:t>金额</w:t>
            </w:r>
          </w:p>
        </w:tc>
        <w:tc>
          <w:tcPr>
            <w:tcW w:w="2501" w:type="pct"/>
            <w:vAlign w:val="center"/>
          </w:tcPr>
          <w:p w:rsidR="004A3868" w:rsidRDefault="003F1AB5">
            <w:pPr>
              <w:pStyle w:val="afff7"/>
            </w:pPr>
            <w:r>
              <w:t>5,029.35</w:t>
            </w:r>
          </w:p>
        </w:tc>
      </w:tr>
      <w:tr w:rsidR="004A3868">
        <w:trPr>
          <w:trHeight w:val="397"/>
          <w:jc w:val="center"/>
        </w:trPr>
        <w:tc>
          <w:tcPr>
            <w:tcW w:w="2499" w:type="pct"/>
            <w:shd w:val="clear" w:color="auto" w:fill="auto"/>
            <w:vAlign w:val="center"/>
          </w:tcPr>
          <w:p w:rsidR="004A3868" w:rsidRDefault="003F1AB5">
            <w:pPr>
              <w:pStyle w:val="afff9"/>
            </w:pPr>
            <w:r>
              <w:rPr>
                <w:rFonts w:hint="eastAsia"/>
              </w:rPr>
              <w:t>合计分红金额（含税）</w:t>
            </w:r>
          </w:p>
        </w:tc>
        <w:tc>
          <w:tcPr>
            <w:tcW w:w="2501" w:type="pct"/>
            <w:vAlign w:val="center"/>
          </w:tcPr>
          <w:p w:rsidR="004A3868" w:rsidRDefault="003F1AB5">
            <w:pPr>
              <w:pStyle w:val="afff7"/>
            </w:pPr>
            <w:r>
              <w:t>10,017.06</w:t>
            </w:r>
          </w:p>
        </w:tc>
      </w:tr>
      <w:tr w:rsidR="004A3868">
        <w:trPr>
          <w:trHeight w:val="397"/>
          <w:jc w:val="center"/>
        </w:trPr>
        <w:tc>
          <w:tcPr>
            <w:tcW w:w="2499" w:type="pct"/>
            <w:shd w:val="clear" w:color="auto" w:fill="auto"/>
            <w:vAlign w:val="center"/>
          </w:tcPr>
          <w:p w:rsidR="004A3868" w:rsidRDefault="003F1AB5">
            <w:pPr>
              <w:pStyle w:val="afff9"/>
            </w:pPr>
            <w:r>
              <w:rPr>
                <w:rFonts w:hint="eastAsia"/>
              </w:rPr>
              <w:t>合计分红金额</w:t>
            </w:r>
            <w:r>
              <w:t>占合并报表中归属于上市公司</w:t>
            </w:r>
            <w:r>
              <w:rPr>
                <w:rFonts w:hint="eastAsia"/>
              </w:rPr>
              <w:t>普通股</w:t>
            </w:r>
            <w:r>
              <w:t>股东的净利润的比率</w:t>
            </w:r>
            <w:r>
              <w:rPr>
                <w:rFonts w:hint="eastAsia"/>
              </w:rPr>
              <w:t>（</w:t>
            </w:r>
            <w:r>
              <w:rPr>
                <w:rFonts w:hint="eastAsia"/>
              </w:rPr>
              <w:t>%</w:t>
            </w:r>
            <w:r>
              <w:rPr>
                <w:rFonts w:hint="eastAsia"/>
              </w:rPr>
              <w:t>）</w:t>
            </w:r>
          </w:p>
        </w:tc>
        <w:tc>
          <w:tcPr>
            <w:tcW w:w="2501" w:type="pct"/>
            <w:vAlign w:val="center"/>
          </w:tcPr>
          <w:p w:rsidR="004A3868" w:rsidRDefault="003F1AB5">
            <w:pPr>
              <w:pStyle w:val="afff7"/>
            </w:pPr>
            <w:r>
              <w:t>42.70</w:t>
            </w:r>
          </w:p>
        </w:tc>
      </w:tr>
    </w:tbl>
    <w:p w:rsidR="004A3868" w:rsidRDefault="004A3868">
      <w:pPr>
        <w:pStyle w:val="Style124"/>
      </w:pPr>
    </w:p>
    <w:p w:rsidR="004A3868" w:rsidRDefault="003F1AB5">
      <w:pPr>
        <w:pStyle w:val="2"/>
        <w:numPr>
          <w:ilvl w:val="0"/>
          <w:numId w:val="21"/>
        </w:numPr>
      </w:pPr>
      <w:bookmarkStart w:id="55" w:name="_Toc342491956"/>
      <w:bookmarkStart w:id="56" w:name="_Toc342565948"/>
      <w:r>
        <w:rPr>
          <w:rFonts w:hint="eastAsia"/>
        </w:rPr>
        <w:t>公司股权激励计划、员工持股计划或其他员工激励措施的情况及其影响</w:t>
      </w:r>
      <w:bookmarkEnd w:id="55"/>
      <w:bookmarkEnd w:id="56"/>
    </w:p>
    <w:p w:rsidR="004A3868" w:rsidRDefault="003F1AB5">
      <w:pPr>
        <w:pStyle w:val="Style127"/>
        <w:numPr>
          <w:ilvl w:val="1"/>
          <w:numId w:val="28"/>
        </w:numPr>
      </w:pPr>
      <w:r>
        <w:rPr>
          <w:rFonts w:hint="eastAsia"/>
        </w:rPr>
        <w:t>相关激励事项已在临时公告披露且后续实施无进展或变化的</w:t>
      </w:r>
    </w:p>
    <w:sdt>
      <w:sdtPr>
        <w:alias w:val="是否适用：相关激励事项已在临时公告披露且后续实施无进展或变化的[双击切换]"/>
        <w:tag w:val="_GBC_0af9dca2858d42619c57d7878f3a7792"/>
        <w:id w:val="195798749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7"/>
        <w:numPr>
          <w:ilvl w:val="1"/>
          <w:numId w:val="28"/>
        </w:numPr>
      </w:pPr>
      <w:r>
        <w:rPr>
          <w:rFonts w:hint="eastAsia"/>
        </w:rPr>
        <w:t>临时公告未披露或有后续进展的激励情况</w:t>
      </w:r>
    </w:p>
    <w:p w:rsidR="004A3868" w:rsidRDefault="003F1AB5">
      <w:pPr>
        <w:pStyle w:val="Style124"/>
      </w:pPr>
      <w:r>
        <w:rPr>
          <w:rFonts w:hint="eastAsia"/>
        </w:rPr>
        <w:t>股权激励情况</w:t>
      </w:r>
    </w:p>
    <w:p w:rsidR="004A3868" w:rsidRDefault="00B34370">
      <w:pPr>
        <w:pStyle w:val="Style124"/>
      </w:pPr>
      <w:sdt>
        <w:sdtPr>
          <w:alias w:val="是否适用：股权激励情况[双击切换]"/>
          <w:tag w:val="_GBC_002ad948ce1449c2a805bfbb132b2202"/>
          <w:id w:val="919594219"/>
          <w:placeholder>
            <w:docPart w:val="GBC22222222222222222222222222222"/>
          </w:placeholder>
        </w:sdtPr>
        <w:sdtEndPr/>
        <w:sdtContent>
          <w:r w:rsidR="003F1AB5">
            <w:fldChar w:fldCharType="begin"/>
          </w:r>
          <w:r w:rsidR="003F1AB5">
            <w:rPr>
              <w:rFonts w:hint="eastAsia"/>
            </w:rPr>
            <w:instrText xml:space="preserve">MACROBUTTON  SnrToggleCheckbox □适用 </w:instrText>
          </w:r>
          <w:r w:rsidR="003F1AB5">
            <w:fldChar w:fldCharType="end"/>
          </w:r>
          <w:r w:rsidR="003F1AB5">
            <w:fldChar w:fldCharType="begin"/>
          </w:r>
          <w:r w:rsidR="003F1AB5">
            <w:rPr>
              <w:rFonts w:hint="eastAsia"/>
            </w:rPr>
            <w:instrText xml:space="preserve"> MACROBUTTON  SnrToggleCheckbox √不适用 </w:instrText>
          </w:r>
          <w:r w:rsidR="003F1AB5">
            <w:fldChar w:fldCharType="end"/>
          </w:r>
        </w:sdtContent>
      </w:sdt>
    </w:p>
    <w:p w:rsidR="004A3868" w:rsidRDefault="003F1AB5">
      <w:pPr>
        <w:pStyle w:val="Style124"/>
      </w:pPr>
      <w:r>
        <w:rPr>
          <w:rFonts w:hint="eastAsia"/>
        </w:rPr>
        <w:t>其他说明</w:t>
      </w:r>
    </w:p>
    <w:sdt>
      <w:sdtPr>
        <w:rPr>
          <w:rFonts w:hint="eastAsia"/>
        </w:rPr>
        <w:alias w:val="是否适用：股权激励情况的说明[双击切换]"/>
        <w:tag w:val="_GBC_67421581adf34d0f9f06e3042b8d7199"/>
        <w:id w:val="2105140275"/>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员工持股计划情况</w:t>
      </w:r>
    </w:p>
    <w:sdt>
      <w:sdtPr>
        <w:rPr>
          <w:rFonts w:hint="eastAsia"/>
        </w:rPr>
        <w:alias w:val="是否适用：员工持股计划情况[双击切换]"/>
        <w:tag w:val="_GBC_58bc54aaaba24427a2a569de76f7f83e"/>
        <w:id w:val="-653061013"/>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其他激励措施</w:t>
      </w:r>
    </w:p>
    <w:sdt>
      <w:sdtPr>
        <w:rPr>
          <w:sz w:val="21"/>
          <w:szCs w:val="21"/>
        </w:rPr>
        <w:alias w:val="是否适用：其他激励措施[双击切换]"/>
        <w:tag w:val="_GBC_1273f753309d4658962c7982b10fa010"/>
        <w:id w:val="-1689899385"/>
        <w:placeholder>
          <w:docPart w:val="GBC22222222222222222222222222222"/>
        </w:placeholder>
      </w:sdtPr>
      <w:sdtEndPr/>
      <w:sdtContent>
        <w:p w:rsidR="004A3868" w:rsidRDefault="003F1AB5">
          <w:pPr>
            <w:rPr>
              <w:bCs/>
              <w:sz w:val="21"/>
              <w:szCs w:val="21"/>
            </w:rPr>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1"/>
          <w:numId w:val="28"/>
        </w:numPr>
      </w:pPr>
      <w:r>
        <w:rPr>
          <w:rFonts w:hint="eastAsia"/>
        </w:rPr>
        <w:t>董事、高级管理人员报告期内被授予的</w:t>
      </w:r>
      <w:r>
        <w:rPr>
          <w:rFonts w:hint="eastAsia"/>
          <w:kern w:val="44"/>
        </w:rPr>
        <w:t>股权</w:t>
      </w:r>
      <w:r>
        <w:rPr>
          <w:rFonts w:hint="eastAsia"/>
        </w:rPr>
        <w:t>激励情况</w:t>
      </w:r>
    </w:p>
    <w:p w:rsidR="004A3868" w:rsidRDefault="00B34370">
      <w:pPr>
        <w:rPr>
          <w:sz w:val="21"/>
          <w:szCs w:val="21"/>
        </w:rPr>
      </w:pPr>
      <w:sdt>
        <w:sdtPr>
          <w:rPr>
            <w:rFonts w:hint="eastAsia"/>
            <w:sz w:val="21"/>
            <w:szCs w:val="21"/>
          </w:rPr>
          <w:alias w:val="是否适用：董事、监事、高级管理人员报告期内被授予的股权激励情况[双击切换]"/>
          <w:tag w:val="_GBC_c2d0a53ac8044ce0b5022c6f5ccdc0a9"/>
          <w:id w:val="1190496145"/>
          <w:placeholder>
            <w:docPart w:val="GBC22222222222222222222222222222"/>
          </w:placeholder>
        </w:sdtPr>
        <w:sdtEndPr/>
        <w:sdtContent>
          <w:r w:rsidR="003F1AB5">
            <w:rPr>
              <w:sz w:val="21"/>
              <w:szCs w:val="21"/>
            </w:rPr>
            <w:fldChar w:fldCharType="begin"/>
          </w:r>
          <w:r w:rsidR="003F1AB5">
            <w:rPr>
              <w:rFonts w:hint="eastAsia"/>
              <w:sz w:val="21"/>
              <w:szCs w:val="21"/>
            </w:rPr>
            <w:instrText xml:space="preserve">MACROBUTTON  SnrToggleCheckbox □适用 </w:instrText>
          </w:r>
          <w:r w:rsidR="003F1AB5">
            <w:rPr>
              <w:sz w:val="21"/>
              <w:szCs w:val="21"/>
            </w:rPr>
            <w:fldChar w:fldCharType="end"/>
          </w:r>
          <w:r w:rsidR="003F1AB5">
            <w:rPr>
              <w:sz w:val="21"/>
              <w:szCs w:val="21"/>
            </w:rPr>
            <w:fldChar w:fldCharType="begin"/>
          </w:r>
          <w:r w:rsidR="003F1AB5">
            <w:rPr>
              <w:rFonts w:hint="eastAsia"/>
              <w:sz w:val="21"/>
              <w:szCs w:val="21"/>
            </w:rPr>
            <w:instrText xml:space="preserve"> MACROBUTTON  SnrToggleCheckbox √不适用 </w:instrText>
          </w:r>
          <w:r w:rsidR="003F1AB5">
            <w:rPr>
              <w:sz w:val="21"/>
              <w:szCs w:val="21"/>
            </w:rPr>
            <w:fldChar w:fldCharType="end"/>
          </w:r>
        </w:sdtContent>
      </w:sdt>
    </w:p>
    <w:p w:rsidR="004A3868" w:rsidRDefault="003F1AB5">
      <w:pPr>
        <w:pStyle w:val="Style127"/>
        <w:numPr>
          <w:ilvl w:val="1"/>
          <w:numId w:val="28"/>
        </w:numPr>
      </w:pPr>
      <w: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714004073"/>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高级管理人员的考评及激励情况"/>
        <w:tag w:val="_GBC_ff8dc93589b2464ba735502bf6a2a8ca"/>
        <w:id w:val="-430981525"/>
        <w:placeholder>
          <w:docPart w:val="GBC22222222222222222222222222222"/>
        </w:placeholder>
      </w:sdtPr>
      <w:sdtEndPr/>
      <w:sdtContent>
        <w:p w:rsidR="004A3868" w:rsidRDefault="003F1AB5">
          <w:pPr>
            <w:pStyle w:val="afff1"/>
            <w:ind w:firstLine="420"/>
            <w:rPr>
              <w:szCs w:val="21"/>
            </w:rPr>
          </w:pPr>
          <w:r>
            <w:rPr>
              <w:rFonts w:hint="eastAsia"/>
              <w:szCs w:val="21"/>
            </w:rPr>
            <w:t>公司建立了较为完善的高级管理人员绩效考评体系和薪酬制度，依据经营目标完成情况及业绩表现等，对高级管理人员的工作进行评估、考核。</w:t>
          </w:r>
        </w:p>
        <w:p w:rsidR="004A3868" w:rsidRDefault="003F1AB5">
          <w:pPr>
            <w:pStyle w:val="afff1"/>
            <w:ind w:firstLine="420"/>
            <w:rPr>
              <w:szCs w:val="21"/>
            </w:rPr>
          </w:pPr>
          <w:r>
            <w:rPr>
              <w:rFonts w:hint="eastAsia"/>
              <w:szCs w:val="21"/>
            </w:rPr>
            <w:t>公司高级管理人员全部由董事会聘任，对董事会负责，承担董事会下达的经营目标和具体指标，董事会下设的薪酬与考核委员会负责制定薪酬方案报公司董事会审批。公司根据高级管理人员所任职位的价值、责任、能力、市场薪资行情等因素确定年度的基本报酬；并以公司年度目标绩效奖金为基础，与公司年度经营绩效相挂钩，年终根据当年年度述职及工作能力、履职情况、责任目标完成情况考核并统算兑付。</w:t>
          </w:r>
        </w:p>
        <w:p w:rsidR="004A3868" w:rsidRDefault="003F1AB5">
          <w:pPr>
            <w:pStyle w:val="afff1"/>
            <w:ind w:firstLine="420"/>
            <w:rPr>
              <w:szCs w:val="21"/>
            </w:rPr>
          </w:pPr>
          <w:r>
            <w:rPr>
              <w:rFonts w:hint="eastAsia"/>
              <w:szCs w:val="21"/>
            </w:rPr>
            <w:t>公司高级管理人员的聘任程序公开、透明，符合相关法律法规及《公司章程》的规定。经过严格、规范考评，公司董事会认为，报告期内，公司高管人员勤勉、尽责地履行了工作职责，业绩考核合格，基本完成本年度确定的各项任务。</w:t>
          </w:r>
        </w:p>
      </w:sdtContent>
    </w:sdt>
    <w:p w:rsidR="004A3868" w:rsidRDefault="004A3868">
      <w:pPr>
        <w:pStyle w:val="Style124"/>
      </w:pPr>
    </w:p>
    <w:p w:rsidR="004A3868" w:rsidRDefault="003F1AB5">
      <w:pPr>
        <w:pStyle w:val="2"/>
        <w:numPr>
          <w:ilvl w:val="0"/>
          <w:numId w:val="21"/>
        </w:numPr>
      </w:pPr>
      <w:r>
        <w:rPr>
          <w:rFonts w:hint="eastAsia"/>
        </w:rPr>
        <w:t>报告期内的内部控制制度建设及实施情况</w:t>
      </w:r>
    </w:p>
    <w:sdt>
      <w:sdtPr>
        <w:alias w:val="是否适用：报告期内的内部控制制度建设及实施情况[双击切换]"/>
        <w:tag w:val="_GBC_f76747fb26ee47cfb00fc8ad5592b038"/>
        <w:id w:val="2025121066"/>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1"/>
          <w:szCs w:val="21"/>
        </w:rPr>
        <w:alias w:val="内部控制自我评价报告"/>
        <w:tag w:val="_GBC_7ec2120247b647e18f5670c0a1211280"/>
        <w:id w:val="-636719325"/>
        <w:placeholder>
          <w:docPart w:val="GBC22222222222222222222222222222"/>
        </w:placeholder>
      </w:sdtPr>
      <w:sdtEndPr>
        <w:rPr>
          <w:rStyle w:val="afff2"/>
        </w:rPr>
      </w:sdtEndPr>
      <w:sdtContent>
        <w:p w:rsidR="004A3868" w:rsidRDefault="003F1AB5">
          <w:pPr>
            <w:spacing w:line="360" w:lineRule="auto"/>
            <w:ind w:firstLineChars="200" w:firstLine="420"/>
            <w:rPr>
              <w:rStyle w:val="afff2"/>
              <w:szCs w:val="21"/>
            </w:rPr>
          </w:pPr>
          <w:r>
            <w:rPr>
              <w:rStyle w:val="afff2"/>
              <w:rFonts w:hint="eastAsia"/>
              <w:szCs w:val="21"/>
            </w:rPr>
            <w:t>本年度公司基于外部监管要求变化和组织架构调整的实际情况，对原有的内部控制体系手册</w:t>
          </w:r>
          <w:r>
            <w:rPr>
              <w:rStyle w:val="afff2"/>
              <w:rFonts w:hint="eastAsia"/>
              <w:szCs w:val="21"/>
            </w:rPr>
            <w:lastRenderedPageBreak/>
            <w:t>及内部控制制度进行了一定的修订，对相关的内部控制管理流程进行了更新，确保公司内部控制与公司的经营规模、业务范围、竞争情况和风险水平相适应。同时，公司积极引导各部门、各单位对各业务流程中的关键控制点进行持续的自我监督检查，主动发现实施过程中的缺陷与不足，实现内控管理的持续性。</w:t>
          </w:r>
        </w:p>
      </w:sdtContent>
    </w:sdt>
    <w:p w:rsidR="004A3868" w:rsidRDefault="004A3868">
      <w:pPr>
        <w:pStyle w:val="Style124"/>
      </w:pPr>
    </w:p>
    <w:p w:rsidR="004A3868" w:rsidRDefault="003F1AB5">
      <w:pPr>
        <w:rPr>
          <w:sz w:val="21"/>
          <w:szCs w:val="21"/>
        </w:rPr>
      </w:pPr>
      <w:r>
        <w:rPr>
          <w:rFonts w:hint="eastAsia"/>
          <w:sz w:val="21"/>
          <w:szCs w:val="21"/>
        </w:rPr>
        <w:t>报告期内部控制存在重大缺陷情况的说明</w:t>
      </w:r>
    </w:p>
    <w:sdt>
      <w:sdtPr>
        <w:alias w:val="是否适用：报告期内部控制存在重大缺陷情况的说明[双击切换]"/>
        <w:tag w:val="_GBC_cad036bd9fe3409f906985f824010f6a"/>
        <w:id w:val="-63757081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4A3868">
      <w:pPr>
        <w:pStyle w:val="Style124"/>
      </w:pPr>
    </w:p>
    <w:p w:rsidR="004A3868" w:rsidRDefault="003F1AB5">
      <w:pPr>
        <w:pStyle w:val="2"/>
        <w:numPr>
          <w:ilvl w:val="0"/>
          <w:numId w:val="21"/>
        </w:numPr>
      </w:pPr>
      <w:r>
        <w:rPr>
          <w:rFonts w:hint="eastAsia"/>
        </w:rPr>
        <w:t>报告期内对子公司的管理控制情况</w:t>
      </w:r>
    </w:p>
    <w:sdt>
      <w:sdtPr>
        <w:rPr>
          <w:rFonts w:hint="eastAsia"/>
        </w:rPr>
        <w:alias w:val="是否适用：报告期内对子公司的管理控制情况[双击切换]"/>
        <w:tag w:val="_GBC_3c41db66329f4aabb0fd91423cfeac3f"/>
        <w:id w:val="896018934"/>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对子公司的管理控制情况"/>
        <w:tag w:val="_GBC_c42acb3ad0ff45a1891fd8fa03ee78a2"/>
        <w:id w:val="149107451"/>
        <w:placeholder>
          <w:docPart w:val="GBC22222222222222222222222222222"/>
        </w:placeholder>
      </w:sdtPr>
      <w:sdtEndPr>
        <w:rPr>
          <w:rStyle w:val="afff2"/>
          <w:sz w:val="21"/>
          <w:szCs w:val="21"/>
        </w:rPr>
      </w:sdtEndPr>
      <w:sdtContent>
        <w:p w:rsidR="004A3868" w:rsidRDefault="003F1AB5">
          <w:pPr>
            <w:ind w:firstLineChars="200" w:firstLine="480"/>
            <w:rPr>
              <w:rStyle w:val="afff2"/>
              <w:szCs w:val="21"/>
            </w:rPr>
          </w:pPr>
          <w:r>
            <w:rPr>
              <w:rStyle w:val="afff2"/>
              <w:rFonts w:hint="eastAsia"/>
              <w:szCs w:val="21"/>
            </w:rPr>
            <w:t>公司根据《公司法》《公司章程》等相关法律法规与规章制度的规定制定了《控股子公司管理制度》，报告期内公司严格按照《控股子公司管理制度》对子公司进行了管理。</w:t>
          </w:r>
        </w:p>
      </w:sdtContent>
    </w:sdt>
    <w:p w:rsidR="004A3868" w:rsidRDefault="003F1AB5">
      <w:pPr>
        <w:pStyle w:val="2"/>
        <w:numPr>
          <w:ilvl w:val="0"/>
          <w:numId w:val="21"/>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359243044"/>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4"/>
      </w:pPr>
      <w:r>
        <w:t>是否披露内部控制审计报告：</w:t>
      </w:r>
      <w:sdt>
        <w:sdtPr>
          <w:alias w:val="审计机构是否对公司内部控制出具核实评价意见"/>
          <w:tag w:val="_GBC_c9f332f7c06944ebbd339ca86944d1e2"/>
          <w:id w:val="-875460094"/>
          <w:lock w:val="sdtLocked"/>
          <w:placeholder>
            <w:docPart w:val="GBC22222222222222222222222222222"/>
          </w:placeholder>
          <w:comboBox>
            <w:listItem w:displayText="是" w:value="true"/>
            <w:listItem w:displayText="否" w:value="false"/>
          </w:comboBox>
        </w:sdtPr>
        <w:sdtEndPr/>
        <w:sdtContent>
          <w:r>
            <w:t>是</w:t>
          </w:r>
        </w:sdtContent>
      </w:sdt>
    </w:p>
    <w:p w:rsidR="004A3868" w:rsidRDefault="003F1AB5">
      <w:pPr>
        <w:rPr>
          <w:sz w:val="21"/>
          <w:szCs w:val="21"/>
          <w:lang w:val="zh-CN"/>
        </w:rPr>
      </w:pPr>
      <w:r>
        <w:rPr>
          <w:rFonts w:hint="eastAsia"/>
          <w:sz w:val="21"/>
          <w:szCs w:val="21"/>
          <w:lang w:val="zh-CN"/>
        </w:rPr>
        <w:t>内部控制审计报告意见类型：</w:t>
      </w:r>
      <w:sdt>
        <w:sdtPr>
          <w:rPr>
            <w:rFonts w:hint="eastAsia"/>
            <w:sz w:val="21"/>
            <w:szCs w:val="21"/>
            <w:lang w:val="zh-CN"/>
          </w:rPr>
          <w:alias w:val="内部控制审计意见类型"/>
          <w:tag w:val="_GBC_70262b41c723466c879c062e5326eee3"/>
          <w:id w:val="-861819447"/>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sdtContent>
          <w:r>
            <w:rPr>
              <w:rFonts w:hint="eastAsia"/>
              <w:sz w:val="21"/>
              <w:szCs w:val="21"/>
              <w:lang w:val="zh-CN"/>
            </w:rPr>
            <w:t>标准的无保留意见</w:t>
          </w:r>
        </w:sdtContent>
      </w:sdt>
    </w:p>
    <w:p w:rsidR="004A3868" w:rsidRDefault="003F1AB5">
      <w:pPr>
        <w:pStyle w:val="2"/>
        <w:numPr>
          <w:ilvl w:val="0"/>
          <w:numId w:val="21"/>
        </w:numPr>
      </w:pPr>
      <w:r>
        <w:t>上市公司治理专项行动自查问题整改情况</w:t>
      </w:r>
    </w:p>
    <w:bookmarkStart w:id="57" w:name="_Hlk40625199" w:displacedByCustomXml="next"/>
    <w:sdt>
      <w:sdtPr>
        <w:alias w:val="上市公司治理专项行动自查问题整改情况"/>
        <w:tag w:val="_GBC_05eb1501ffbf4b83acf20965ad06a2e0"/>
        <w:id w:val="1672226491"/>
        <w:placeholder>
          <w:docPart w:val="GBC22222222222222222222222222222"/>
        </w:placeholder>
      </w:sdtPr>
      <w:sdtEndPr/>
      <w:sdtContent>
        <w:p w:rsidR="004A3868" w:rsidRDefault="003F1AB5">
          <w:pPr>
            <w:pStyle w:val="Style124"/>
          </w:pPr>
          <w:r>
            <w:rPr>
              <w:rFonts w:hint="eastAsia"/>
            </w:rPr>
            <w:t>不适用。</w:t>
          </w:r>
        </w:p>
      </w:sdtContent>
    </w:sdt>
    <w:p w:rsidR="004A3868" w:rsidRDefault="003F1AB5">
      <w:pPr>
        <w:pStyle w:val="2"/>
        <w:numPr>
          <w:ilvl w:val="0"/>
          <w:numId w:val="21"/>
        </w:numPr>
      </w:pPr>
      <w:bookmarkStart w:id="58" w:name="_Hlk40625163"/>
      <w:bookmarkEnd w:id="57"/>
      <w:r>
        <w:t>其他</w:t>
      </w:r>
    </w:p>
    <w:bookmarkEnd w:id="58" w:displacedByCustomXml="next"/>
    <w:sdt>
      <w:sdtPr>
        <w:rPr>
          <w:rFonts w:hint="eastAsia"/>
        </w:rPr>
        <w:alias w:val="是否适用：其他公司治理情况说明[双击切换]"/>
        <w:tag w:val="_GBC_dc91085943bb4d4ab22a79a9ba7014df"/>
        <w:id w:val="654187691"/>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1"/>
      </w:pPr>
      <w:bookmarkStart w:id="59" w:name="_Toc164947204"/>
      <w:r>
        <w:rPr>
          <w:rFonts w:hint="eastAsia"/>
        </w:rPr>
        <w:t>环境与社会责任</w:t>
      </w:r>
      <w:bookmarkEnd w:id="59"/>
    </w:p>
    <w:p w:rsidR="004A3868" w:rsidRDefault="003F1AB5">
      <w:pPr>
        <w:pStyle w:val="2"/>
        <w:numPr>
          <w:ilvl w:val="0"/>
          <w:numId w:val="29"/>
        </w:numPr>
      </w:pPr>
      <w:r>
        <w:rPr>
          <w:rFonts w:hint="eastAsia"/>
        </w:rPr>
        <w:t>环境</w:t>
      </w:r>
      <w:r>
        <w:t>信息情况</w:t>
      </w:r>
    </w:p>
    <w:tbl>
      <w:tblPr>
        <w:tblStyle w:val="Style74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4468"/>
        <w:gridCol w:w="4355"/>
      </w:tblGrid>
      <w:tr w:rsidR="004A3868">
        <w:trPr>
          <w:trHeight w:val="397"/>
          <w:jc w:val="center"/>
        </w:trPr>
        <w:bookmarkStart w:id="60" w:name="_Hlk89187025" w:displacedByCustomXml="next"/>
        <w:sdt>
          <w:sdtPr>
            <w:rPr>
              <w:rFonts w:hint="eastAsia"/>
            </w:rPr>
            <w:tag w:val="_PLD_5357166cc0f74e2181ffc731d0410fde"/>
            <w:id w:val="712616066"/>
          </w:sdtPr>
          <w:sdtEndPr/>
          <w:sdtContent>
            <w:tc>
              <w:tcPr>
                <w:tcW w:w="2532" w:type="pct"/>
                <w:shd w:val="clear" w:color="auto" w:fill="auto"/>
                <w:vAlign w:val="center"/>
              </w:tcPr>
              <w:p w:rsidR="004A3868" w:rsidRDefault="003F1AB5">
                <w:pPr>
                  <w:pStyle w:val="afff9"/>
                </w:pPr>
                <w:r>
                  <w:rPr>
                    <w:rFonts w:hint="eastAsia"/>
                  </w:rPr>
                  <w:t>是否建立环境保护相关机制</w:t>
                </w:r>
              </w:p>
            </w:tc>
          </w:sdtContent>
        </w:sdt>
        <w:sdt>
          <w:sdtPr>
            <w:rPr>
              <w:rFonts w:hint="eastAsia"/>
            </w:rPr>
            <w:alias w:val="是否建立环境保护相关机制"/>
            <w:tag w:val="_GBC_db4b394c15a64e53bc9eb2ef5d2d583b"/>
            <w:id w:val="-271943813"/>
            <w:comboBox>
              <w:listItem w:displayText="是" w:value="是"/>
              <w:listItem w:displayText="否" w:value="否"/>
            </w:comboBox>
          </w:sdtPr>
          <w:sdtEndPr/>
          <w:sdtContent>
            <w:tc>
              <w:tcPr>
                <w:tcW w:w="2468" w:type="pct"/>
                <w:shd w:val="clear" w:color="auto" w:fill="auto"/>
                <w:vAlign w:val="center"/>
              </w:tcPr>
              <w:p w:rsidR="004A3868" w:rsidRDefault="003F1AB5">
                <w:pPr>
                  <w:pStyle w:val="afffb"/>
                </w:pPr>
                <w:r>
                  <w:rPr>
                    <w:rFonts w:hint="eastAsia"/>
                  </w:rPr>
                  <w:t>是</w:t>
                </w:r>
              </w:p>
            </w:tc>
          </w:sdtContent>
        </w:sdt>
      </w:tr>
      <w:tr w:rsidR="004A3868">
        <w:trPr>
          <w:trHeight w:val="397"/>
          <w:jc w:val="center"/>
        </w:trPr>
        <w:tc>
          <w:tcPr>
            <w:tcW w:w="2532" w:type="pct"/>
            <w:shd w:val="clear" w:color="auto" w:fill="auto"/>
            <w:vAlign w:val="center"/>
          </w:tcPr>
          <w:p w:rsidR="004A3868" w:rsidRDefault="003F1AB5">
            <w:pPr>
              <w:pStyle w:val="afff9"/>
            </w:pPr>
            <w:bookmarkStart w:id="61" w:name="OLE_LINK1"/>
            <w:r>
              <w:rPr>
                <w:rFonts w:hint="eastAsia"/>
              </w:rPr>
              <w:t>报告期内投入环保资金</w:t>
            </w:r>
            <w:bookmarkEnd w:id="61"/>
            <w:r>
              <w:rPr>
                <w:rFonts w:hint="eastAsia"/>
              </w:rPr>
              <w:t>（单位：</w:t>
            </w:r>
            <w:sdt>
              <w:sdtPr>
                <w:rPr>
                  <w:rFonts w:hint="eastAsia"/>
                </w:rPr>
                <w:alias w:val="单位：报告期内投入环保资金"/>
                <w:tag w:val="_GBC_23fc355d243f4962992b20f0d6511069"/>
                <w:id w:val="-183599570"/>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tc>
          <w:tcPr>
            <w:tcW w:w="2468" w:type="pct"/>
            <w:shd w:val="clear" w:color="auto" w:fill="auto"/>
            <w:vAlign w:val="center"/>
          </w:tcPr>
          <w:p w:rsidR="004A3868" w:rsidRDefault="003F1AB5">
            <w:pPr>
              <w:pStyle w:val="afffb"/>
            </w:pPr>
            <w:r>
              <w:t>632.5</w:t>
            </w:r>
          </w:p>
        </w:tc>
      </w:tr>
    </w:tbl>
    <w:p w:rsidR="004A3868" w:rsidRDefault="004A3868">
      <w:pPr>
        <w:pStyle w:val="Style842"/>
      </w:pPr>
    </w:p>
    <w:p w:rsidR="004A3868" w:rsidRDefault="003F1AB5">
      <w:pPr>
        <w:pStyle w:val="Style127"/>
        <w:numPr>
          <w:ilvl w:val="0"/>
          <w:numId w:val="30"/>
        </w:numPr>
      </w:pPr>
      <w:r>
        <w:t>属于环境保护部门公布的重点排污单位的公司及其</w:t>
      </w:r>
      <w:r>
        <w:rPr>
          <w:rFonts w:hint="eastAsia"/>
        </w:rPr>
        <w:t>主要</w:t>
      </w:r>
      <w:r>
        <w:t>子公司的环保情况说明</w:t>
      </w:r>
    </w:p>
    <w:sdt>
      <w:sdtPr>
        <w:rPr>
          <w:rFonts w:hint="eastAsia"/>
        </w:rPr>
        <w:alias w:val="是否适用：重点排污单位环保情况[双击切换]"/>
        <w:tag w:val="_GBC_40b93d2f11a54d2c995a8c41cdee40c4"/>
        <w:id w:val="192357571"/>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MACROBUTTON  SnrToggleCheckbox √适用</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31"/>
        </w:numPr>
        <w:rPr>
          <w:szCs w:val="21"/>
        </w:rPr>
      </w:pPr>
      <w:r>
        <w:rPr>
          <w:rFonts w:hint="eastAsia"/>
          <w:szCs w:val="21"/>
        </w:rPr>
        <w:t>排污</w:t>
      </w:r>
      <w:r>
        <w:rPr>
          <w:szCs w:val="21"/>
        </w:rPr>
        <w:t>信息</w:t>
      </w:r>
    </w:p>
    <w:sdt>
      <w:sdtPr>
        <w:rPr>
          <w:rFonts w:ascii="宋体" w:hAnsi="宋体" w:hint="eastAsia"/>
          <w:sz w:val="21"/>
          <w:szCs w:val="21"/>
        </w:rPr>
        <w:alias w:val="是否适用：排污信息[双击切换]"/>
        <w:tag w:val="_GBC_c1cef0b525dc4a0e9630fcb580d743be"/>
        <w:id w:val="-1522937248"/>
        <w:placeholder>
          <w:docPart w:val="GBC22222222222222222222222222222"/>
        </w:placeholder>
      </w:sdtPr>
      <w:sdtEndPr/>
      <w:sdtContent>
        <w:p w:rsidR="004A3868" w:rsidRDefault="003F1AB5">
          <w:pPr>
            <w:pStyle w:val="Style257"/>
            <w:ind w:firstLineChars="0" w:firstLine="0"/>
            <w:rPr>
              <w:rFonts w:ascii="宋体" w:hAnsi="宋体"/>
              <w:sz w:val="21"/>
              <w:szCs w:val="21"/>
            </w:rPr>
          </w:pPr>
          <w:r>
            <w:rPr>
              <w:rFonts w:ascii="宋体" w:hAnsi="宋体"/>
              <w:sz w:val="21"/>
              <w:szCs w:val="21"/>
            </w:rPr>
            <w:fldChar w:fldCharType="begin"/>
          </w:r>
          <w:r>
            <w:rPr>
              <w:rFonts w:ascii="宋体" w:hAnsi="宋体"/>
              <w:sz w:val="21"/>
              <w:szCs w:val="21"/>
            </w:rPr>
            <w:instrText xml:space="preserve"> </w:instrText>
          </w:r>
          <w:r>
            <w:rPr>
              <w:rFonts w:ascii="宋体" w:hAnsi="宋体" w:hint="eastAsia"/>
              <w:sz w:val="21"/>
              <w:szCs w:val="21"/>
            </w:rPr>
            <w:instrText>MACROBUTTON  SnrToggleCheckbox √适用</w:instrText>
          </w:r>
          <w:r>
            <w:rPr>
              <w:rFonts w:ascii="宋体" w:hAnsi="宋体"/>
              <w:sz w:val="21"/>
              <w:szCs w:val="21"/>
            </w:rPr>
            <w:instrText xml:space="preserve"> </w:instrText>
          </w:r>
          <w:r>
            <w:rPr>
              <w:rFonts w:ascii="宋体" w:hAnsi="宋体"/>
              <w:sz w:val="21"/>
              <w:szCs w:val="21"/>
            </w:rPr>
            <w:fldChar w:fldCharType="end"/>
          </w:r>
          <w:r>
            <w:rPr>
              <w:rFonts w:ascii="宋体" w:hAnsi="宋体"/>
              <w:sz w:val="21"/>
              <w:szCs w:val="21"/>
            </w:rPr>
            <w:fldChar w:fldCharType="begin"/>
          </w:r>
          <w:r>
            <w:rPr>
              <w:rFonts w:ascii="宋体" w:hAnsi="宋体"/>
              <w:sz w:val="21"/>
              <w:szCs w:val="21"/>
            </w:rPr>
            <w:instrText xml:space="preserve"> MACROBUTTON  SnrToggleCheckbox □不适用 </w:instrText>
          </w:r>
          <w:r>
            <w:rPr>
              <w:rFonts w:ascii="宋体" w:hAnsi="宋体"/>
              <w:sz w:val="21"/>
              <w:szCs w:val="21"/>
            </w:rPr>
            <w:fldChar w:fldCharType="end"/>
          </w:r>
        </w:p>
      </w:sdtContent>
    </w:sdt>
    <w:sdt>
      <w:sdtPr>
        <w:rPr>
          <w:rFonts w:ascii="Calibri" w:hAnsi="Calibri" w:cs="Times New Roman" w:hint="eastAsia"/>
          <w:kern w:val="2"/>
          <w:sz w:val="20"/>
          <w:szCs w:val="21"/>
        </w:rPr>
        <w:alias w:val="排污信息"/>
        <w:tag w:val="_GBC_ddafe40d844342a78bc0ed0326232a03"/>
        <w:id w:val="108785602"/>
        <w:placeholder>
          <w:docPart w:val="GBC22222222222222222222222222222"/>
        </w:placeholder>
      </w:sdtPr>
      <w:sdtEndPr>
        <w:rPr>
          <w:szCs w:val="22"/>
        </w:rPr>
      </w:sdtEndPr>
      <w:sdtContent>
        <w:p w:rsidR="004A3868" w:rsidRDefault="003F1AB5">
          <w:pPr>
            <w:pStyle w:val="afff1"/>
            <w:ind w:firstLine="400"/>
            <w:rPr>
              <w:szCs w:val="21"/>
            </w:rPr>
          </w:pPr>
          <w:r>
            <w:rPr>
              <w:rFonts w:hint="eastAsia"/>
              <w:szCs w:val="21"/>
            </w:rPr>
            <w:t>公司在生产过程中有少量废水、废气、固体废弃物产生，不存在重污染的情况。公司高度重视环境保护工作，在生产经营中积极倡导环境保护理念，在工艺技术上持续努力进行绿色改造，购买了烟尘系统、除尘系统、吸收塔等多种环保设施，预防和减少对环境的污染。</w:t>
          </w:r>
        </w:p>
        <w:p w:rsidR="004A3868" w:rsidRDefault="003F1AB5">
          <w:pPr>
            <w:pStyle w:val="afff1"/>
            <w:ind w:firstLine="420"/>
            <w:rPr>
              <w:szCs w:val="21"/>
            </w:rPr>
          </w:pPr>
          <w:r>
            <w:rPr>
              <w:rFonts w:hint="eastAsia"/>
              <w:szCs w:val="21"/>
            </w:rPr>
            <w:t>公司主要排污信息如下：</w:t>
          </w:r>
        </w:p>
        <w:p w:rsidR="004A3868" w:rsidRDefault="004A3868">
          <w:pPr>
            <w:pStyle w:val="Style257"/>
            <w:ind w:firstLineChars="0" w:firstLine="0"/>
            <w:rPr>
              <w:sz w:val="24"/>
              <w:szCs w:val="24"/>
            </w:rPr>
          </w:pPr>
        </w:p>
        <w:p w:rsidR="004A3868" w:rsidRDefault="004A3868">
          <w:pPr>
            <w:pStyle w:val="Style257"/>
            <w:ind w:firstLineChars="0" w:firstLine="0"/>
            <w:rPr>
              <w:sz w:val="24"/>
              <w:szCs w:val="24"/>
            </w:rPr>
          </w:pPr>
        </w:p>
        <w:tbl>
          <w:tblPr>
            <w:tblStyle w:val="g11"/>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right w:w="28" w:type="dxa"/>
            </w:tblCellMar>
            <w:tblLook w:val="04A0" w:firstRow="1" w:lastRow="0" w:firstColumn="1" w:lastColumn="0" w:noHBand="0" w:noVBand="1"/>
          </w:tblPr>
          <w:tblGrid>
            <w:gridCol w:w="886"/>
            <w:gridCol w:w="1843"/>
            <w:gridCol w:w="1844"/>
            <w:gridCol w:w="992"/>
            <w:gridCol w:w="1098"/>
            <w:gridCol w:w="1171"/>
            <w:gridCol w:w="993"/>
          </w:tblGrid>
          <w:tr w:rsidR="004A3868">
            <w:trPr>
              <w:trHeight w:val="397"/>
              <w:jc w:val="center"/>
            </w:trPr>
            <w:tc>
              <w:tcPr>
                <w:tcW w:w="885" w:type="dxa"/>
                <w:tcBorders>
                  <w:top w:val="single" w:sz="2" w:space="0" w:color="000000"/>
                  <w:left w:val="single" w:sz="2" w:space="0" w:color="000000"/>
                  <w:bottom w:val="nil"/>
                  <w:right w:val="single" w:sz="2" w:space="0" w:color="000000"/>
                </w:tcBorders>
                <w:vAlign w:val="center"/>
              </w:tcPr>
              <w:p w:rsidR="004A3868" w:rsidRDefault="003F1AB5">
                <w:pPr>
                  <w:pStyle w:val="afffb"/>
                  <w:rPr>
                    <w:rFonts w:ascii="Arial" w:hAnsi="Arial"/>
                  </w:rPr>
                </w:pPr>
                <w:r>
                  <w:lastRenderedPageBreak/>
                  <w:t>分</w:t>
                </w:r>
                <w:r>
                  <w:rPr>
                    <w:spacing w:val="3"/>
                  </w:rPr>
                  <w:t>类</w:t>
                </w:r>
              </w:p>
            </w:tc>
            <w:tc>
              <w:tcPr>
                <w:tcW w:w="184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b"/>
                  <w:rPr>
                    <w:rFonts w:ascii="Arial" w:hAnsi="Arial"/>
                  </w:rPr>
                </w:pPr>
                <w:r>
                  <w:t>产生污染的</w:t>
                </w:r>
                <w:r>
                  <w:rPr>
                    <w:spacing w:val="5"/>
                  </w:rPr>
                  <w:t>环</w:t>
                </w:r>
                <w:r>
                  <w:rPr>
                    <w:spacing w:val="4"/>
                  </w:rPr>
                  <w:t>节</w:t>
                </w:r>
              </w:p>
            </w:tc>
            <w:tc>
              <w:tcPr>
                <w:tcW w:w="1843" w:type="dxa"/>
                <w:tcBorders>
                  <w:top w:val="single" w:sz="2" w:space="0" w:color="000000"/>
                  <w:left w:val="single" w:sz="2" w:space="0" w:color="000000"/>
                  <w:bottom w:val="nil"/>
                  <w:right w:val="single" w:sz="2" w:space="0" w:color="000000"/>
                </w:tcBorders>
                <w:vAlign w:val="center"/>
              </w:tcPr>
              <w:p w:rsidR="004A3868" w:rsidRDefault="003F1AB5">
                <w:pPr>
                  <w:pStyle w:val="afffb"/>
                  <w:rPr>
                    <w:rFonts w:ascii="Arial" w:hAnsi="Arial"/>
                  </w:rPr>
                </w:pPr>
                <w:r>
                  <w:t>主要污染物</w:t>
                </w:r>
                <w:r>
                  <w:rPr>
                    <w:spacing w:val="7"/>
                  </w:rPr>
                  <w:t>名</w:t>
                </w:r>
                <w:r>
                  <w:rPr>
                    <w:spacing w:val="1"/>
                  </w:rPr>
                  <w:t>称</w:t>
                </w:r>
              </w:p>
            </w:tc>
            <w:tc>
              <w:tcPr>
                <w:tcW w:w="992" w:type="dxa"/>
                <w:tcBorders>
                  <w:top w:val="single" w:sz="2" w:space="0" w:color="000000"/>
                  <w:left w:val="single" w:sz="2" w:space="0" w:color="000000"/>
                  <w:bottom w:val="nil"/>
                  <w:right w:val="single" w:sz="2" w:space="0" w:color="000000"/>
                </w:tcBorders>
                <w:vAlign w:val="center"/>
              </w:tcPr>
              <w:p w:rsidR="004A3868" w:rsidRDefault="003F1AB5">
                <w:pPr>
                  <w:pStyle w:val="afffb"/>
                  <w:rPr>
                    <w:rFonts w:ascii="Arial" w:hAnsi="Arial"/>
                  </w:rPr>
                </w:pPr>
                <w:r>
                  <w:t>单</w:t>
                </w:r>
                <w:r>
                  <w:rPr>
                    <w:spacing w:val="3"/>
                  </w:rPr>
                  <w:t>位</w:t>
                </w:r>
              </w:p>
            </w:tc>
            <w:tc>
              <w:tcPr>
                <w:tcW w:w="1098" w:type="dxa"/>
                <w:tcBorders>
                  <w:top w:val="single" w:sz="2" w:space="0" w:color="000000"/>
                  <w:left w:val="single" w:sz="2" w:space="0" w:color="000000"/>
                  <w:bottom w:val="nil"/>
                  <w:right w:val="single" w:sz="2" w:space="0" w:color="000000"/>
                </w:tcBorders>
                <w:vAlign w:val="center"/>
              </w:tcPr>
              <w:p w:rsidR="004A3868" w:rsidRDefault="003F1AB5">
                <w:pPr>
                  <w:pStyle w:val="afffb"/>
                  <w:rPr>
                    <w:rFonts w:ascii="Arial" w:hAnsi="Arial"/>
                  </w:rPr>
                </w:pPr>
                <w:r>
                  <w:rPr>
                    <w:spacing w:val="8"/>
                  </w:rPr>
                  <w:t>排</w:t>
                </w:r>
                <w:r>
                  <w:t>放限值</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b"/>
                  <w:rPr>
                    <w:rFonts w:ascii="Arial" w:hAnsi="Arial"/>
                  </w:rPr>
                </w:pPr>
                <w:r>
                  <w:t>排放量</w:t>
                </w:r>
                <w:r>
                  <w:rPr>
                    <w:rFonts w:ascii="Arial" w:hAnsi="Arial"/>
                    <w:spacing w:val="6"/>
                  </w:rPr>
                  <w:t>/</w:t>
                </w:r>
                <w:r>
                  <w:t>排放</w:t>
                </w:r>
                <w:r>
                  <w:rPr>
                    <w:spacing w:val="6"/>
                  </w:rPr>
                  <w:t>浓</w:t>
                </w:r>
                <w:r>
                  <w:rPr>
                    <w:spacing w:val="1"/>
                  </w:rPr>
                  <w:t>度</w:t>
                </w:r>
              </w:p>
            </w:tc>
            <w:tc>
              <w:tcPr>
                <w:tcW w:w="993" w:type="dxa"/>
                <w:tcBorders>
                  <w:top w:val="single" w:sz="2" w:space="0" w:color="000000"/>
                  <w:left w:val="single" w:sz="2" w:space="0" w:color="000000"/>
                  <w:bottom w:val="nil"/>
                  <w:right w:val="single" w:sz="2" w:space="0" w:color="000000"/>
                </w:tcBorders>
                <w:vAlign w:val="center"/>
              </w:tcPr>
              <w:p w:rsidR="004A3868" w:rsidRDefault="003F1AB5">
                <w:pPr>
                  <w:pStyle w:val="afffb"/>
                  <w:rPr>
                    <w:rFonts w:ascii="Arial" w:hAnsi="Arial"/>
                  </w:rPr>
                </w:pPr>
                <w:r>
                  <w:rPr>
                    <w:spacing w:val="8"/>
                  </w:rPr>
                  <w:t>是</w:t>
                </w:r>
                <w:r>
                  <w:t>否达标</w:t>
                </w:r>
                <w:r>
                  <w:rPr>
                    <w:spacing w:val="5"/>
                  </w:rPr>
                  <w:t>排</w:t>
                </w:r>
                <w:r>
                  <w:rPr>
                    <w:spacing w:val="4"/>
                  </w:rPr>
                  <w:t>放</w:t>
                </w:r>
              </w:p>
            </w:tc>
          </w:tr>
          <w:tr w:rsidR="004A3868">
            <w:trPr>
              <w:trHeight w:val="397"/>
              <w:jc w:val="center"/>
            </w:trPr>
            <w:tc>
              <w:tcPr>
                <w:tcW w:w="885" w:type="dxa"/>
                <w:vMerge w:val="restart"/>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废水</w:t>
                </w:r>
              </w:p>
            </w:tc>
            <w:tc>
              <w:tcPr>
                <w:tcW w:w="1842" w:type="dxa"/>
                <w:vMerge w:val="restart"/>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spacing w:val="5"/>
                  </w:rPr>
                  <w:t>冷</w:t>
                </w:r>
                <w:r>
                  <w:rPr>
                    <w:rFonts w:hint="eastAsia"/>
                  </w:rPr>
                  <w:t>轧、常化酸洗、脱碳退火、拉伸退</w:t>
                </w:r>
                <w:r>
                  <w:rPr>
                    <w:rFonts w:hint="eastAsia"/>
                    <w:spacing w:val="6"/>
                  </w:rPr>
                  <w:t>火</w:t>
                </w:r>
                <w:r>
                  <w:rPr>
                    <w:rFonts w:hint="eastAsia"/>
                  </w:rPr>
                  <w:t>、金加工车间、酸洗</w:t>
                </w:r>
              </w:p>
            </w:tc>
            <w:tc>
              <w:tcPr>
                <w:tcW w:w="1843" w:type="dxa"/>
                <w:vMerge w:val="restart"/>
                <w:tcBorders>
                  <w:top w:val="single" w:sz="2" w:space="0" w:color="000000"/>
                  <w:left w:val="single" w:sz="2" w:space="0" w:color="000000"/>
                  <w:bottom w:val="nil"/>
                  <w:right w:val="single" w:sz="2" w:space="0" w:color="000000"/>
                </w:tcBorders>
                <w:vAlign w:val="center"/>
              </w:tcPr>
              <w:p w:rsidR="004A3868" w:rsidRDefault="003F1AB5">
                <w:pPr>
                  <w:pStyle w:val="afff9"/>
                </w:pPr>
                <w:r>
                  <w:rPr>
                    <w:rFonts w:hint="eastAsia"/>
                  </w:rPr>
                  <w:t>悬浮物</w:t>
                </w:r>
              </w:p>
            </w:tc>
            <w:tc>
              <w:tcPr>
                <w:tcW w:w="992" w:type="dxa"/>
                <w:vMerge w:val="restart"/>
                <w:tcBorders>
                  <w:top w:val="single" w:sz="2" w:space="0" w:color="000000"/>
                  <w:left w:val="single" w:sz="2" w:space="0" w:color="000000"/>
                  <w:bottom w:val="nil"/>
                  <w:right w:val="single" w:sz="2" w:space="0" w:color="000000"/>
                </w:tcBorders>
                <w:vAlign w:val="center"/>
              </w:tcPr>
              <w:p w:rsidR="004A3868" w:rsidRDefault="003F1AB5">
                <w:pPr>
                  <w:pStyle w:val="afff7"/>
                </w:pPr>
                <w:r>
                  <w:rPr>
                    <w:rFonts w:hint="eastAsia"/>
                  </w:rPr>
                  <w:t>mg</w:t>
                </w:r>
                <w:r>
                  <w:rPr>
                    <w:rFonts w:hint="eastAsia"/>
                    <w:spacing w:val="18"/>
                  </w:rPr>
                  <w:t>/</w:t>
                </w:r>
                <w:r>
                  <w:rPr>
                    <w:rFonts w:hint="eastAsia"/>
                  </w:rPr>
                  <w:t>L</w:t>
                </w:r>
              </w:p>
            </w:tc>
            <w:tc>
              <w:tcPr>
                <w:tcW w:w="1098" w:type="dxa"/>
                <w:tcBorders>
                  <w:top w:val="single" w:sz="2" w:space="0" w:color="000000"/>
                  <w:left w:val="single" w:sz="2" w:space="0" w:color="000000"/>
                  <w:bottom w:val="single" w:sz="2" w:space="0" w:color="000000"/>
                  <w:right w:val="single" w:sz="2" w:space="0" w:color="000000"/>
                </w:tcBorders>
              </w:tcPr>
              <w:p w:rsidR="004A3868" w:rsidRDefault="003F1AB5">
                <w:pPr>
                  <w:pStyle w:val="afff7"/>
                </w:pPr>
                <w:r>
                  <w:rPr>
                    <w:rFonts w:hint="eastAsia"/>
                    <w:spacing w:val="9"/>
                  </w:rPr>
                  <w:t>取</w:t>
                </w:r>
                <w:r>
                  <w:rPr>
                    <w:rFonts w:hint="eastAsia"/>
                    <w:spacing w:val="6"/>
                  </w:rPr>
                  <w:t>向硅钢</w:t>
                </w:r>
                <w:r>
                  <w:rPr>
                    <w:rFonts w:hint="eastAsia"/>
                  </w:rPr>
                  <w:t>排放口：</w:t>
                </w:r>
                <w:r>
                  <w:rPr>
                    <w:rFonts w:hint="eastAsia"/>
                    <w:spacing w:val="-4"/>
                  </w:rPr>
                  <w:t>1</w:t>
                </w:r>
                <w:r>
                  <w:rPr>
                    <w:rFonts w:hint="eastAsia"/>
                    <w:spacing w:val="-2"/>
                  </w:rPr>
                  <w:t>00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8.00</w:t>
                </w:r>
              </w:p>
            </w:tc>
            <w:tc>
              <w:tcPr>
                <w:tcW w:w="993" w:type="dxa"/>
                <w:vMerge w:val="restart"/>
                <w:tcBorders>
                  <w:top w:val="single" w:sz="2" w:space="0" w:color="000000"/>
                  <w:left w:val="single" w:sz="2" w:space="0" w:color="000000"/>
                  <w:bottom w:val="nil"/>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single" w:sz="2" w:space="0" w:color="000000"/>
                  <w:left w:val="single" w:sz="2" w:space="0" w:color="000000"/>
                  <w:bottom w:val="single" w:sz="2" w:space="0" w:color="000000"/>
                  <w:right w:val="single" w:sz="2" w:space="0" w:color="000000"/>
                </w:tcBorders>
                <w:vAlign w:val="center"/>
              </w:tcPr>
              <w:p w:rsidR="004A3868" w:rsidRDefault="004A3868">
                <w:pPr>
                  <w:pStyle w:val="afff9"/>
                </w:pPr>
              </w:p>
            </w:tc>
            <w:tc>
              <w:tcPr>
                <w:tcW w:w="1842" w:type="dxa"/>
                <w:vMerge/>
                <w:tcBorders>
                  <w:top w:val="nil"/>
                  <w:left w:val="single" w:sz="2" w:space="0" w:color="000000"/>
                  <w:bottom w:val="single" w:sz="2" w:space="0" w:color="000000"/>
                  <w:right w:val="single" w:sz="2" w:space="0" w:color="000000"/>
                </w:tcBorders>
                <w:vAlign w:val="center"/>
              </w:tcPr>
              <w:p w:rsidR="004A3868" w:rsidRDefault="004A3868">
                <w:pPr>
                  <w:pStyle w:val="afff9"/>
                </w:pPr>
              </w:p>
            </w:tc>
            <w:tc>
              <w:tcPr>
                <w:tcW w:w="1843" w:type="dxa"/>
                <w:vMerge/>
                <w:tcBorders>
                  <w:top w:val="single" w:sz="2" w:space="0" w:color="000000"/>
                  <w:left w:val="single" w:sz="2" w:space="0" w:color="000000"/>
                  <w:bottom w:val="nil"/>
                  <w:right w:val="single" w:sz="2" w:space="0" w:color="000000"/>
                </w:tcBorders>
                <w:vAlign w:val="center"/>
              </w:tcPr>
              <w:p w:rsidR="004A3868" w:rsidRDefault="004A3868">
                <w:pPr>
                  <w:pStyle w:val="afff9"/>
                </w:pPr>
              </w:p>
            </w:tc>
            <w:tc>
              <w:tcPr>
                <w:tcW w:w="992" w:type="dxa"/>
                <w:vMerge/>
                <w:tcBorders>
                  <w:top w:val="single" w:sz="2" w:space="0" w:color="000000"/>
                  <w:left w:val="single" w:sz="2" w:space="0" w:color="000000"/>
                  <w:bottom w:val="nil"/>
                  <w:right w:val="single" w:sz="2" w:space="0" w:color="000000"/>
                </w:tcBorders>
                <w:vAlign w:val="center"/>
              </w:tcPr>
              <w:p w:rsidR="004A3868" w:rsidRDefault="004A3868">
                <w:pPr>
                  <w:pStyle w:val="afff7"/>
                </w:pPr>
              </w:p>
            </w:tc>
            <w:tc>
              <w:tcPr>
                <w:tcW w:w="1098" w:type="dxa"/>
                <w:tcBorders>
                  <w:top w:val="single" w:sz="2" w:space="0" w:color="000000"/>
                  <w:left w:val="single" w:sz="2" w:space="0" w:color="000000"/>
                  <w:bottom w:val="single" w:sz="2" w:space="0" w:color="000000"/>
                  <w:right w:val="single" w:sz="2" w:space="0" w:color="000000"/>
                </w:tcBorders>
              </w:tcPr>
              <w:p w:rsidR="004A3868" w:rsidRDefault="003F1AB5">
                <w:pPr>
                  <w:pStyle w:val="afff7"/>
                </w:pPr>
                <w:r>
                  <w:rPr>
                    <w:rFonts w:hint="eastAsia"/>
                    <w:spacing w:val="8"/>
                  </w:rPr>
                  <w:t>变</w:t>
                </w:r>
                <w:r>
                  <w:rPr>
                    <w:rFonts w:hint="eastAsia"/>
                  </w:rPr>
                  <w:t>压器排</w:t>
                </w:r>
                <w:r>
                  <w:rPr>
                    <w:rFonts w:hint="eastAsia"/>
                    <w:spacing w:val="2"/>
                  </w:rPr>
                  <w:t>放口：</w:t>
                </w:r>
                <w:r>
                  <w:rPr>
                    <w:rFonts w:hint="eastAsia"/>
                    <w:spacing w:val="1"/>
                  </w:rPr>
                  <w:t>400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235.00</w:t>
                </w:r>
              </w:p>
            </w:tc>
            <w:tc>
              <w:tcPr>
                <w:tcW w:w="993" w:type="dxa"/>
                <w:vMerge/>
                <w:tcBorders>
                  <w:top w:val="single" w:sz="2" w:space="0" w:color="000000"/>
                  <w:left w:val="single" w:sz="2" w:space="0" w:color="000000"/>
                  <w:bottom w:val="nil"/>
                  <w:right w:val="single" w:sz="2" w:space="0" w:color="000000"/>
                </w:tcBorders>
                <w:vAlign w:val="center"/>
              </w:tcPr>
              <w:p w:rsidR="004A3868" w:rsidRDefault="004A3868">
                <w:pPr>
                  <w:pStyle w:val="33"/>
                </w:pPr>
              </w:p>
            </w:tc>
          </w:tr>
          <w:tr w:rsidR="004A3868">
            <w:trPr>
              <w:trHeight w:val="397"/>
              <w:jc w:val="center"/>
            </w:trPr>
            <w:tc>
              <w:tcPr>
                <w:tcW w:w="885" w:type="dxa"/>
                <w:vMerge/>
                <w:tcBorders>
                  <w:top w:val="single" w:sz="2" w:space="0" w:color="000000"/>
                  <w:left w:val="single" w:sz="2" w:space="0" w:color="000000"/>
                  <w:bottom w:val="single" w:sz="2" w:space="0" w:color="000000"/>
                  <w:right w:val="single" w:sz="2" w:space="0" w:color="000000"/>
                </w:tcBorders>
                <w:vAlign w:val="center"/>
              </w:tcPr>
              <w:p w:rsidR="004A3868" w:rsidRDefault="004A3868">
                <w:pPr>
                  <w:pStyle w:val="afff9"/>
                </w:pPr>
              </w:p>
            </w:tc>
            <w:tc>
              <w:tcPr>
                <w:tcW w:w="1842" w:type="dxa"/>
                <w:vMerge/>
                <w:tcBorders>
                  <w:top w:val="nil"/>
                  <w:left w:val="single" w:sz="2" w:space="0" w:color="000000"/>
                  <w:bottom w:val="single" w:sz="2" w:space="0" w:color="000000"/>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总磷</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w:t>
                </w:r>
                <w:r>
                  <w:rPr>
                    <w:rFonts w:hint="eastAsia"/>
                    <w:spacing w:val="18"/>
                  </w:rPr>
                  <w:t>/</w:t>
                </w:r>
                <w:r>
                  <w:rPr>
                    <w:rFonts w:hint="eastAsia"/>
                  </w:rPr>
                  <w:t>L</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5</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0.01</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single" w:sz="2" w:space="0" w:color="000000"/>
                  <w:left w:val="single" w:sz="2" w:space="0" w:color="000000"/>
                  <w:bottom w:val="single" w:sz="2" w:space="0" w:color="000000"/>
                  <w:right w:val="single" w:sz="2" w:space="0" w:color="000000"/>
                </w:tcBorders>
                <w:vAlign w:val="center"/>
              </w:tcPr>
              <w:p w:rsidR="004A3868" w:rsidRDefault="004A3868">
                <w:pPr>
                  <w:pStyle w:val="afff9"/>
                </w:pPr>
              </w:p>
            </w:tc>
            <w:tc>
              <w:tcPr>
                <w:tcW w:w="1842" w:type="dxa"/>
                <w:vMerge/>
                <w:tcBorders>
                  <w:top w:val="nil"/>
                  <w:left w:val="single" w:sz="2" w:space="0" w:color="000000"/>
                  <w:bottom w:val="single" w:sz="2" w:space="0" w:color="000000"/>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氨</w:t>
                </w:r>
                <w:r>
                  <w:rPr>
                    <w:rFonts w:hint="eastAsia"/>
                    <w:spacing w:val="4"/>
                  </w:rPr>
                  <w:t>氮</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w:t>
                </w:r>
                <w:r>
                  <w:rPr>
                    <w:rFonts w:hint="eastAsia"/>
                    <w:spacing w:val="18"/>
                  </w:rPr>
                  <w:t>/</w:t>
                </w:r>
                <w:r>
                  <w:rPr>
                    <w:rFonts w:hint="eastAsia"/>
                  </w:rPr>
                  <w:t>L</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45</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2.39</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single" w:sz="2" w:space="0" w:color="000000"/>
                  <w:left w:val="single" w:sz="2" w:space="0" w:color="000000"/>
                  <w:bottom w:val="single" w:sz="2" w:space="0" w:color="000000"/>
                  <w:right w:val="single" w:sz="2" w:space="0" w:color="000000"/>
                </w:tcBorders>
                <w:vAlign w:val="center"/>
              </w:tcPr>
              <w:p w:rsidR="004A3868" w:rsidRDefault="004A3868">
                <w:pPr>
                  <w:pStyle w:val="afff9"/>
                </w:pPr>
              </w:p>
            </w:tc>
            <w:tc>
              <w:tcPr>
                <w:tcW w:w="1842" w:type="dxa"/>
                <w:vMerge/>
                <w:tcBorders>
                  <w:top w:val="nil"/>
                  <w:left w:val="single" w:sz="2" w:space="0" w:color="000000"/>
                  <w:bottom w:val="single" w:sz="2" w:space="0" w:color="000000"/>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总氮</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w:t>
                </w:r>
                <w:r>
                  <w:rPr>
                    <w:rFonts w:hint="eastAsia"/>
                    <w:spacing w:val="18"/>
                  </w:rPr>
                  <w:t>/</w:t>
                </w:r>
                <w:r>
                  <w:rPr>
                    <w:rFonts w:hint="eastAsia"/>
                  </w:rPr>
                  <w:t>L</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3</w:t>
                </w:r>
                <w:r>
                  <w:rPr>
                    <w:rFonts w:hint="eastAsia"/>
                    <w:spacing w:val="-1"/>
                  </w:rPr>
                  <w:t>5</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3.33</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single" w:sz="2" w:space="0" w:color="000000"/>
                  <w:left w:val="single" w:sz="2" w:space="0" w:color="000000"/>
                  <w:bottom w:val="single" w:sz="2" w:space="0" w:color="000000"/>
                  <w:right w:val="single" w:sz="2" w:space="0" w:color="000000"/>
                </w:tcBorders>
                <w:vAlign w:val="center"/>
              </w:tcPr>
              <w:p w:rsidR="004A3868" w:rsidRDefault="004A3868">
                <w:pPr>
                  <w:pStyle w:val="afff9"/>
                </w:pPr>
              </w:p>
            </w:tc>
            <w:tc>
              <w:tcPr>
                <w:tcW w:w="1842" w:type="dxa"/>
                <w:vMerge/>
                <w:tcBorders>
                  <w:top w:val="nil"/>
                  <w:left w:val="single" w:sz="2" w:space="0" w:color="000000"/>
                  <w:bottom w:val="single" w:sz="2" w:space="0" w:color="000000"/>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五日生化需氧量</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w:t>
                </w:r>
                <w:r>
                  <w:rPr>
                    <w:rFonts w:hint="eastAsia"/>
                    <w:spacing w:val="18"/>
                  </w:rPr>
                  <w:t>/</w:t>
                </w:r>
                <w:r>
                  <w:rPr>
                    <w:rFonts w:hint="eastAsia"/>
                  </w:rPr>
                  <w:t>L</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300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26.6</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vMerge w:val="restart"/>
                <w:tcBorders>
                  <w:top w:val="nil"/>
                  <w:left w:val="single" w:sz="2" w:space="0" w:color="000000"/>
                  <w:bottom w:val="nil"/>
                  <w:right w:val="single" w:sz="2" w:space="0" w:color="000000"/>
                </w:tcBorders>
                <w:vAlign w:val="center"/>
              </w:tcPr>
              <w:p w:rsidR="004A3868" w:rsidRDefault="003F1AB5">
                <w:pPr>
                  <w:pStyle w:val="afff9"/>
                </w:pPr>
                <w:r>
                  <w:rPr>
                    <w:rFonts w:hint="eastAsia"/>
                  </w:rPr>
                  <w:t>废气</w:t>
                </w:r>
              </w:p>
            </w:tc>
            <w:tc>
              <w:tcPr>
                <w:tcW w:w="1842" w:type="dxa"/>
                <w:vMerge w:val="restart"/>
                <w:tcBorders>
                  <w:top w:val="nil"/>
                  <w:left w:val="single" w:sz="2" w:space="0" w:color="000000"/>
                  <w:bottom w:val="nil"/>
                  <w:right w:val="single" w:sz="2" w:space="0" w:color="000000"/>
                </w:tcBorders>
                <w:vAlign w:val="center"/>
              </w:tcPr>
              <w:p w:rsidR="004A3868" w:rsidRDefault="003F1AB5">
                <w:pPr>
                  <w:pStyle w:val="afff9"/>
                </w:pPr>
                <w:r>
                  <w:rPr>
                    <w:rFonts w:hint="eastAsia"/>
                  </w:rPr>
                  <w:t>锅炉排气筒</w:t>
                </w:r>
                <w:r>
                  <w:rPr>
                    <w:rFonts w:hint="eastAsia"/>
                  </w:rPr>
                  <w:t>AB</w:t>
                </w:r>
                <w:r>
                  <w:rPr>
                    <w:rFonts w:hint="eastAsia"/>
                  </w:rPr>
                  <w:t>区、新材料事业部</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spacing w:val="8"/>
                  </w:rPr>
                  <w:t>二</w:t>
                </w:r>
                <w:r>
                  <w:rPr>
                    <w:rFonts w:hint="eastAsia"/>
                  </w:rPr>
                  <w:t>氧化硫</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w:t>
                </w:r>
                <w:r>
                  <w:rPr>
                    <w:rFonts w:hint="eastAsia"/>
                    <w:spacing w:val="11"/>
                  </w:rPr>
                  <w:t>/</w:t>
                </w:r>
                <w:r>
                  <w:rPr>
                    <w:rFonts w:hint="eastAsia"/>
                  </w:rPr>
                  <w:t>m</w:t>
                </w:r>
                <w:r>
                  <w:rPr>
                    <w:rFonts w:hint="eastAsia"/>
                    <w:spacing w:val="10"/>
                  </w:rPr>
                  <w:t>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50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未检出</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nil"/>
                  <w:left w:val="single" w:sz="2" w:space="0" w:color="000000"/>
                  <w:bottom w:val="nil"/>
                  <w:right w:val="single" w:sz="2" w:space="0" w:color="000000"/>
                </w:tcBorders>
                <w:vAlign w:val="center"/>
              </w:tcPr>
              <w:p w:rsidR="004A3868" w:rsidRDefault="004A3868">
                <w:pPr>
                  <w:pStyle w:val="afff9"/>
                </w:pPr>
              </w:p>
            </w:tc>
            <w:tc>
              <w:tcPr>
                <w:tcW w:w="1842" w:type="dxa"/>
                <w:vMerge/>
                <w:tcBorders>
                  <w:top w:val="nil"/>
                  <w:left w:val="single" w:sz="2" w:space="0" w:color="000000"/>
                  <w:bottom w:val="nil"/>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氮氧化</w:t>
                </w:r>
                <w:r>
                  <w:rPr>
                    <w:rFonts w:hint="eastAsia"/>
                    <w:spacing w:val="7"/>
                  </w:rPr>
                  <w:t>物</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w:t>
                </w:r>
                <w:r>
                  <w:rPr>
                    <w:rFonts w:hint="eastAsia"/>
                    <w:spacing w:val="11"/>
                  </w:rPr>
                  <w:t>/</w:t>
                </w:r>
                <w:r>
                  <w:rPr>
                    <w:rFonts w:hint="eastAsia"/>
                  </w:rPr>
                  <w:t>m</w:t>
                </w:r>
                <w:r>
                  <w:rPr>
                    <w:rFonts w:hint="eastAsia"/>
                    <w:spacing w:val="10"/>
                  </w:rPr>
                  <w:t>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50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28.00</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nil"/>
                  <w:left w:val="single" w:sz="2" w:space="0" w:color="000000"/>
                  <w:bottom w:val="nil"/>
                  <w:right w:val="single" w:sz="2" w:space="0" w:color="000000"/>
                </w:tcBorders>
                <w:vAlign w:val="center"/>
              </w:tcPr>
              <w:p w:rsidR="004A3868" w:rsidRDefault="004A3868">
                <w:pPr>
                  <w:pStyle w:val="afff9"/>
                </w:pPr>
              </w:p>
            </w:tc>
            <w:tc>
              <w:tcPr>
                <w:tcW w:w="1842" w:type="dxa"/>
                <w:vMerge/>
                <w:tcBorders>
                  <w:top w:val="nil"/>
                  <w:left w:val="single" w:sz="2" w:space="0" w:color="000000"/>
                  <w:bottom w:val="nil"/>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颗粒物</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w:t>
                </w:r>
                <w:r>
                  <w:rPr>
                    <w:rFonts w:hint="eastAsia"/>
                    <w:spacing w:val="11"/>
                  </w:rPr>
                  <w:t>/</w:t>
                </w:r>
                <w:r>
                  <w:rPr>
                    <w:rFonts w:hint="eastAsia"/>
                  </w:rPr>
                  <w:t>m</w:t>
                </w:r>
                <w:r>
                  <w:rPr>
                    <w:rFonts w:hint="eastAsia"/>
                    <w:spacing w:val="10"/>
                  </w:rPr>
                  <w:t>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20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2.60</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2" w:space="0" w:color="000000"/>
                  <w:bottom w:val="single" w:sz="2" w:space="0" w:color="000000"/>
                  <w:right w:val="single" w:sz="2" w:space="0" w:color="000000"/>
                </w:tcBorders>
                <w:vAlign w:val="center"/>
              </w:tcPr>
              <w:p w:rsidR="004A3868" w:rsidRDefault="003F1AB5">
                <w:pPr>
                  <w:pStyle w:val="afff9"/>
                  <w:rPr>
                    <w:b/>
                  </w:rPr>
                </w:pPr>
                <w:r>
                  <w:rPr>
                    <w:rFonts w:hint="eastAsia"/>
                  </w:rPr>
                  <w:t>废气</w:t>
                </w:r>
              </w:p>
            </w:tc>
            <w:tc>
              <w:tcPr>
                <w:tcW w:w="1842" w:type="dxa"/>
                <w:tcBorders>
                  <w:top w:val="nil"/>
                  <w:left w:val="single" w:sz="2" w:space="0" w:color="000000"/>
                  <w:bottom w:val="single" w:sz="2" w:space="0" w:color="000000"/>
                  <w:right w:val="single" w:sz="2" w:space="0" w:color="000000"/>
                </w:tcBorders>
                <w:vAlign w:val="center"/>
              </w:tcPr>
              <w:p w:rsidR="004A3868" w:rsidRDefault="003F1AB5">
                <w:pPr>
                  <w:pStyle w:val="afff9"/>
                  <w:rPr>
                    <w:b/>
                  </w:rPr>
                </w:pPr>
                <w:r>
                  <w:rPr>
                    <w:rFonts w:hint="eastAsia"/>
                  </w:rPr>
                  <w:t>轧机排气筒</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油雾</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mg/m³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30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0.30</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废气</w:t>
                </w:r>
              </w:p>
            </w:tc>
            <w:tc>
              <w:tcPr>
                <w:tcW w:w="1842" w:type="dxa"/>
                <w:tcBorders>
                  <w:top w:val="nil"/>
                  <w:left w:val="single" w:sz="2" w:space="0" w:color="000000"/>
                  <w:bottom w:val="single" w:sz="2" w:space="0" w:color="000000"/>
                  <w:right w:val="single" w:sz="2" w:space="0" w:color="000000"/>
                </w:tcBorders>
                <w:vAlign w:val="center"/>
              </w:tcPr>
              <w:p w:rsidR="004A3868" w:rsidRDefault="003F1AB5">
                <w:pPr>
                  <w:pStyle w:val="afff9"/>
                  <w:rPr>
                    <w:b/>
                  </w:rPr>
                </w:pPr>
                <w:r>
                  <w:rPr>
                    <w:rFonts w:hint="eastAsia"/>
                  </w:rPr>
                  <w:t>盐酸排气筒</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氯化氢</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mg/m³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20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5.84</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废气</w:t>
                </w:r>
              </w:p>
            </w:tc>
            <w:tc>
              <w:tcPr>
                <w:tcW w:w="1842" w:type="dxa"/>
                <w:tcBorders>
                  <w:top w:val="nil"/>
                  <w:left w:val="single" w:sz="2" w:space="0" w:color="000000"/>
                  <w:bottom w:val="single" w:sz="2" w:space="0" w:color="000000"/>
                  <w:right w:val="single" w:sz="2" w:space="0" w:color="000000"/>
                </w:tcBorders>
                <w:vAlign w:val="center"/>
              </w:tcPr>
              <w:p w:rsidR="004A3868" w:rsidRDefault="003F1AB5">
                <w:pPr>
                  <w:pStyle w:val="afff9"/>
                  <w:rPr>
                    <w:b/>
                  </w:rPr>
                </w:pPr>
                <w:r>
                  <w:rPr>
                    <w:rFonts w:hint="eastAsia"/>
                  </w:rPr>
                  <w:t>铬酸排气筒</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铬酸雾</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mg/m³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0.07</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2</w:t>
                </w:r>
                <w:r>
                  <w:rPr>
                    <w:rFonts w:hint="eastAsia"/>
                  </w:rPr>
                  <w:t>.2</w:t>
                </w:r>
                <w:r>
                  <w:t>9</w:t>
                </w:r>
                <w:r>
                  <w:rPr>
                    <w:rFonts w:hint="eastAsia"/>
                  </w:rPr>
                  <w:t>x10¯²</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2" w:space="0" w:color="000000"/>
                  <w:bottom w:val="single" w:sz="2" w:space="0" w:color="000000"/>
                  <w:right w:val="single" w:sz="2" w:space="0" w:color="000000"/>
                </w:tcBorders>
                <w:vAlign w:val="center"/>
              </w:tcPr>
              <w:p w:rsidR="004A3868" w:rsidRDefault="004A3868">
                <w:pPr>
                  <w:pStyle w:val="afff9"/>
                </w:pPr>
              </w:p>
              <w:p w:rsidR="004A3868" w:rsidRDefault="003F1AB5">
                <w:pPr>
                  <w:pStyle w:val="afff9"/>
                </w:pPr>
                <w:r>
                  <w:rPr>
                    <w:rFonts w:hint="eastAsia"/>
                  </w:rPr>
                  <w:t>废气</w:t>
                </w:r>
              </w:p>
            </w:tc>
            <w:tc>
              <w:tcPr>
                <w:tcW w:w="1842"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硫酸排气筒</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硫酸雾</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mg/m³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10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2.41</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废气</w:t>
                </w:r>
              </w:p>
            </w:tc>
            <w:tc>
              <w:tcPr>
                <w:tcW w:w="1842"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抛丸机排气筒</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颗粒物</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mg/m³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20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4.7</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废气</w:t>
                </w:r>
              </w:p>
            </w:tc>
            <w:tc>
              <w:tcPr>
                <w:tcW w:w="1842"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AB</w:t>
                </w:r>
                <w:r>
                  <w:rPr>
                    <w:rFonts w:hint="eastAsia"/>
                  </w:rPr>
                  <w:t>区盐酸雾</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氯化氢</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mg/m³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20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7.3</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废气</w:t>
                </w:r>
              </w:p>
            </w:tc>
            <w:tc>
              <w:tcPr>
                <w:tcW w:w="1842" w:type="dxa"/>
                <w:tcBorders>
                  <w:top w:val="nil"/>
                  <w:left w:val="single" w:sz="2" w:space="0" w:color="000000"/>
                  <w:bottom w:val="single" w:sz="2" w:space="0" w:color="000000"/>
                  <w:right w:val="single" w:sz="2" w:space="0" w:color="000000"/>
                </w:tcBorders>
                <w:vAlign w:val="center"/>
              </w:tcPr>
              <w:p w:rsidR="004A3868" w:rsidRDefault="003F1AB5">
                <w:pPr>
                  <w:pStyle w:val="afff9"/>
                </w:pPr>
                <w:r>
                  <w:rPr>
                    <w:rFonts w:hint="eastAsia"/>
                  </w:rPr>
                  <w:t>AB</w:t>
                </w:r>
                <w:r>
                  <w:rPr>
                    <w:rFonts w:hint="eastAsia"/>
                  </w:rPr>
                  <w:t>区漆雾吸收塔</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二甲苯</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mg/m³</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70</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0.</w:t>
                </w:r>
                <w:r>
                  <w:t>047</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固体废弃物</w:t>
                </w:r>
              </w:p>
            </w:tc>
            <w:tc>
              <w:tcPr>
                <w:tcW w:w="184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拉伸退火、绕线、修边、焊接、木材加工</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生活垃圾、氧化镁滤渣等</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吨/年</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2</w:t>
                </w:r>
                <w:r>
                  <w:t>826.85</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single" w:sz="2" w:space="0" w:color="000000"/>
                  <w:left w:val="single" w:sz="2" w:space="0" w:color="000000"/>
                  <w:bottom w:val="nil"/>
                  <w:right w:val="single" w:sz="2" w:space="0" w:color="000000"/>
                </w:tcBorders>
                <w:vAlign w:val="center"/>
              </w:tcPr>
              <w:p w:rsidR="004A3868" w:rsidRDefault="003F1AB5">
                <w:pPr>
                  <w:pStyle w:val="afff9"/>
                </w:pPr>
                <w:r>
                  <w:rPr>
                    <w:rFonts w:hint="eastAsia"/>
                  </w:rPr>
                  <w:t>危险废弃物</w:t>
                </w:r>
              </w:p>
            </w:tc>
            <w:tc>
              <w:tcPr>
                <w:tcW w:w="184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拉伸平整、轧机、酸洗、金加工</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含铬废物</w:t>
                </w:r>
              </w:p>
            </w:tc>
            <w:tc>
              <w:tcPr>
                <w:tcW w:w="992"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吨/年</w:t>
                </w:r>
              </w:p>
            </w:tc>
            <w:tc>
              <w:tcPr>
                <w:tcW w:w="1098"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101.67</w:t>
                </w:r>
              </w:p>
            </w:tc>
            <w:tc>
              <w:tcPr>
                <w:tcW w:w="99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33"/>
                </w:pPr>
                <w:r>
                  <w:rPr>
                    <w:rFonts w:hint="eastAsia"/>
                  </w:rPr>
                  <w:t>是</w:t>
                </w:r>
              </w:p>
            </w:tc>
          </w:tr>
          <w:tr w:rsidR="004A3868">
            <w:trPr>
              <w:trHeight w:val="397"/>
              <w:jc w:val="center"/>
            </w:trPr>
            <w:tc>
              <w:tcPr>
                <w:tcW w:w="885" w:type="dxa"/>
                <w:tcBorders>
                  <w:top w:val="single" w:sz="4" w:space="0" w:color="auto"/>
                  <w:left w:val="single" w:sz="4" w:space="0" w:color="auto"/>
                  <w:bottom w:val="nil"/>
                  <w:right w:val="single" w:sz="2" w:space="0" w:color="000000"/>
                </w:tcBorders>
                <w:vAlign w:val="center"/>
              </w:tcPr>
              <w:p w:rsidR="004A3868" w:rsidRDefault="003F1AB5">
                <w:pPr>
                  <w:pStyle w:val="afff9"/>
                </w:pPr>
                <w:r>
                  <w:rPr>
                    <w:rFonts w:hint="eastAsia"/>
                  </w:rPr>
                  <w:t>危险废弃物</w:t>
                </w:r>
              </w:p>
            </w:tc>
            <w:tc>
              <w:tcPr>
                <w:tcW w:w="1842" w:type="dxa"/>
                <w:tcBorders>
                  <w:top w:val="single" w:sz="4" w:space="0" w:color="auto"/>
                  <w:left w:val="single" w:sz="2" w:space="0" w:color="000000"/>
                  <w:bottom w:val="nil"/>
                  <w:right w:val="single" w:sz="2" w:space="0" w:color="000000"/>
                </w:tcBorders>
                <w:vAlign w:val="center"/>
              </w:tcPr>
              <w:p w:rsidR="004A3868" w:rsidRDefault="003F1AB5">
                <w:pPr>
                  <w:pStyle w:val="afff9"/>
                </w:pPr>
                <w:r>
                  <w:rPr>
                    <w:rFonts w:hint="eastAsia"/>
                  </w:rPr>
                  <w:t>拉伸平整、轧机、酸洗、金加工</w:t>
                </w:r>
              </w:p>
              <w:p w:rsidR="004A3868" w:rsidRDefault="003F1AB5">
                <w:pPr>
                  <w:pStyle w:val="afff9"/>
                </w:pPr>
                <w:r>
                  <w:rPr>
                    <w:rFonts w:hint="eastAsia"/>
                  </w:rPr>
                  <w:t>金加工车间焊接、成套壳体加工、木材加工</w:t>
                </w:r>
              </w:p>
            </w:tc>
            <w:tc>
              <w:tcPr>
                <w:tcW w:w="1843" w:type="dxa"/>
                <w:tcBorders>
                  <w:top w:val="single" w:sz="4" w:space="0" w:color="auto"/>
                  <w:left w:val="single" w:sz="2" w:space="0" w:color="000000"/>
                  <w:bottom w:val="single" w:sz="2" w:space="0" w:color="000000"/>
                  <w:right w:val="single" w:sz="2" w:space="0" w:color="000000"/>
                </w:tcBorders>
                <w:vAlign w:val="center"/>
              </w:tcPr>
              <w:p w:rsidR="004A3868" w:rsidRDefault="003F1AB5">
                <w:pPr>
                  <w:pStyle w:val="afff9"/>
                </w:pPr>
                <w:r>
                  <w:rPr>
                    <w:rFonts w:hint="eastAsia"/>
                  </w:rPr>
                  <w:t>废乳化油</w:t>
                </w:r>
              </w:p>
            </w:tc>
            <w:tc>
              <w:tcPr>
                <w:tcW w:w="992" w:type="dxa"/>
                <w:tcBorders>
                  <w:top w:val="single" w:sz="4" w:space="0" w:color="auto"/>
                  <w:left w:val="single" w:sz="2" w:space="0" w:color="000000"/>
                  <w:bottom w:val="nil"/>
                  <w:right w:val="single" w:sz="2" w:space="0" w:color="000000"/>
                </w:tcBorders>
                <w:vAlign w:val="center"/>
              </w:tcPr>
              <w:p w:rsidR="004A3868" w:rsidRDefault="003F1AB5">
                <w:pPr>
                  <w:pStyle w:val="afff7"/>
                </w:pPr>
                <w:r>
                  <w:rPr>
                    <w:rFonts w:hint="eastAsia"/>
                  </w:rPr>
                  <w:t>吨/年</w:t>
                </w:r>
              </w:p>
            </w:tc>
            <w:tc>
              <w:tcPr>
                <w:tcW w:w="1098" w:type="dxa"/>
                <w:tcBorders>
                  <w:top w:val="single" w:sz="4" w:space="0" w:color="auto"/>
                  <w:left w:val="single" w:sz="2" w:space="0" w:color="000000"/>
                  <w:bottom w:val="nil"/>
                  <w:right w:val="single" w:sz="2" w:space="0" w:color="000000"/>
                </w:tcBorders>
                <w:vAlign w:val="center"/>
              </w:tcPr>
              <w:p w:rsidR="004A3868" w:rsidRDefault="003F1AB5">
                <w:pPr>
                  <w:pStyle w:val="afff7"/>
                </w:pPr>
                <w:r>
                  <w:rPr>
                    <w:rFonts w:hint="eastAsia"/>
                  </w:rPr>
                  <w:t>-</w:t>
                </w:r>
              </w:p>
            </w:tc>
            <w:tc>
              <w:tcPr>
                <w:tcW w:w="1170" w:type="dxa"/>
                <w:tcBorders>
                  <w:top w:val="single" w:sz="4" w:space="0" w:color="auto"/>
                  <w:left w:val="single" w:sz="2" w:space="0" w:color="000000"/>
                  <w:bottom w:val="single" w:sz="2" w:space="0" w:color="000000"/>
                  <w:right w:val="single" w:sz="2" w:space="0" w:color="000000"/>
                </w:tcBorders>
                <w:vAlign w:val="center"/>
              </w:tcPr>
              <w:p w:rsidR="004A3868" w:rsidRDefault="003F1AB5">
                <w:pPr>
                  <w:pStyle w:val="afff7"/>
                </w:pPr>
                <w:r>
                  <w:t>182.53</w:t>
                </w:r>
              </w:p>
            </w:tc>
            <w:tc>
              <w:tcPr>
                <w:tcW w:w="993" w:type="dxa"/>
                <w:tcBorders>
                  <w:top w:val="single" w:sz="4" w:space="0" w:color="auto"/>
                  <w:left w:val="single" w:sz="2" w:space="0" w:color="000000"/>
                  <w:bottom w:val="single" w:sz="2" w:space="0" w:color="000000"/>
                  <w:right w:val="single" w:sz="4" w:space="0" w:color="auto"/>
                </w:tcBorders>
                <w:vAlign w:val="center"/>
              </w:tcPr>
              <w:p w:rsidR="004A3868" w:rsidRDefault="003F1AB5">
                <w:pPr>
                  <w:pStyle w:val="33"/>
                </w:pPr>
                <w:r>
                  <w:rPr>
                    <w:rFonts w:hint="eastAsia"/>
                  </w:rPr>
                  <w:t>是</w:t>
                </w:r>
              </w:p>
            </w:tc>
          </w:tr>
          <w:tr w:rsidR="004A3868">
            <w:trPr>
              <w:trHeight w:val="397"/>
              <w:jc w:val="center"/>
            </w:trPr>
            <w:tc>
              <w:tcPr>
                <w:tcW w:w="885" w:type="dxa"/>
                <w:vMerge w:val="restart"/>
                <w:tcBorders>
                  <w:top w:val="nil"/>
                  <w:left w:val="single" w:sz="4" w:space="0" w:color="auto"/>
                  <w:bottom w:val="nil"/>
                  <w:right w:val="single" w:sz="2" w:space="0" w:color="000000"/>
                </w:tcBorders>
                <w:vAlign w:val="center"/>
              </w:tcPr>
              <w:p w:rsidR="004A3868" w:rsidRDefault="003F1AB5">
                <w:pPr>
                  <w:pStyle w:val="afff9"/>
                </w:pPr>
                <w:r>
                  <w:rPr>
                    <w:rFonts w:hint="eastAsia"/>
                  </w:rPr>
                  <w:t>危险废弃物</w:t>
                </w:r>
              </w:p>
            </w:tc>
            <w:tc>
              <w:tcPr>
                <w:tcW w:w="1842" w:type="dxa"/>
                <w:vMerge w:val="restart"/>
                <w:tcBorders>
                  <w:top w:val="nil"/>
                  <w:left w:val="single" w:sz="2" w:space="0" w:color="000000"/>
                  <w:bottom w:val="nil"/>
                  <w:right w:val="single" w:sz="2" w:space="0" w:color="000000"/>
                </w:tcBorders>
                <w:vAlign w:val="center"/>
              </w:tcPr>
              <w:p w:rsidR="004A3868" w:rsidRDefault="003F1AB5">
                <w:pPr>
                  <w:pStyle w:val="afff9"/>
                </w:pPr>
                <w:r>
                  <w:rPr>
                    <w:rFonts w:hint="eastAsia"/>
                  </w:rPr>
                  <w:t>拉伸平整、轧机、酸洗、金加工</w:t>
                </w:r>
              </w:p>
              <w:p w:rsidR="004A3868" w:rsidRDefault="003F1AB5">
                <w:pPr>
                  <w:pStyle w:val="afff9"/>
                </w:pPr>
                <w:r>
                  <w:rPr>
                    <w:rFonts w:hint="eastAsia"/>
                  </w:rPr>
                  <w:t>金加工车间焊接、成套壳体加工、木材加工</w:t>
                </w: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废滤布</w:t>
                </w:r>
              </w:p>
            </w:tc>
            <w:tc>
              <w:tcPr>
                <w:tcW w:w="992" w:type="dxa"/>
                <w:vMerge w:val="restart"/>
                <w:tcBorders>
                  <w:top w:val="nil"/>
                  <w:left w:val="single" w:sz="2" w:space="0" w:color="000000"/>
                  <w:bottom w:val="nil"/>
                  <w:right w:val="single" w:sz="2" w:space="0" w:color="000000"/>
                </w:tcBorders>
                <w:vAlign w:val="center"/>
              </w:tcPr>
              <w:p w:rsidR="004A3868" w:rsidRDefault="003F1AB5">
                <w:pPr>
                  <w:pStyle w:val="afff7"/>
                </w:pPr>
                <w:r>
                  <w:rPr>
                    <w:rFonts w:hint="eastAsia"/>
                  </w:rPr>
                  <w:t>吨/年</w:t>
                </w:r>
              </w:p>
            </w:tc>
            <w:tc>
              <w:tcPr>
                <w:tcW w:w="1098" w:type="dxa"/>
                <w:vMerge w:val="restart"/>
                <w:tcBorders>
                  <w:top w:val="nil"/>
                  <w:left w:val="single" w:sz="2" w:space="0" w:color="000000"/>
                  <w:bottom w:val="nil"/>
                  <w:right w:val="single" w:sz="2" w:space="0" w:color="000000"/>
                </w:tcBorders>
                <w:vAlign w:val="center"/>
              </w:tcPr>
              <w:p w:rsidR="004A3868" w:rsidRDefault="003F1AB5">
                <w:pPr>
                  <w:pStyle w:val="afff7"/>
                </w:pPr>
                <w:r>
                  <w:rPr>
                    <w:rFonts w:hint="eastAsia"/>
                  </w:rPr>
                  <w:t>-</w:t>
                </w: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28.95</w:t>
                </w:r>
              </w:p>
            </w:tc>
            <w:tc>
              <w:tcPr>
                <w:tcW w:w="993" w:type="dxa"/>
                <w:tcBorders>
                  <w:top w:val="single" w:sz="2" w:space="0" w:color="000000"/>
                  <w:left w:val="single" w:sz="2" w:space="0" w:color="000000"/>
                  <w:bottom w:val="single" w:sz="2" w:space="0" w:color="000000"/>
                  <w:right w:val="single" w:sz="4" w:space="0" w:color="auto"/>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nil"/>
                  <w:left w:val="single" w:sz="4" w:space="0" w:color="auto"/>
                  <w:bottom w:val="nil"/>
                  <w:right w:val="single" w:sz="2" w:space="0" w:color="000000"/>
                </w:tcBorders>
                <w:vAlign w:val="center"/>
              </w:tcPr>
              <w:p w:rsidR="004A3868" w:rsidRDefault="004A3868">
                <w:pPr>
                  <w:pStyle w:val="afff9"/>
                </w:pPr>
              </w:p>
            </w:tc>
            <w:tc>
              <w:tcPr>
                <w:tcW w:w="1842" w:type="dxa"/>
                <w:vMerge/>
                <w:tcBorders>
                  <w:top w:val="nil"/>
                  <w:left w:val="single" w:sz="2" w:space="0" w:color="000000"/>
                  <w:bottom w:val="nil"/>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废盐酸</w:t>
                </w:r>
              </w:p>
            </w:tc>
            <w:tc>
              <w:tcPr>
                <w:tcW w:w="992" w:type="dxa"/>
                <w:vMerge/>
                <w:tcBorders>
                  <w:top w:val="nil"/>
                  <w:left w:val="single" w:sz="2" w:space="0" w:color="000000"/>
                  <w:bottom w:val="nil"/>
                  <w:right w:val="single" w:sz="2" w:space="0" w:color="000000"/>
                </w:tcBorders>
                <w:vAlign w:val="center"/>
              </w:tcPr>
              <w:p w:rsidR="004A3868" w:rsidRDefault="004A3868">
                <w:pPr>
                  <w:pStyle w:val="afff7"/>
                </w:pPr>
              </w:p>
            </w:tc>
            <w:tc>
              <w:tcPr>
                <w:tcW w:w="1098" w:type="dxa"/>
                <w:vMerge/>
                <w:tcBorders>
                  <w:top w:val="nil"/>
                  <w:left w:val="single" w:sz="2" w:space="0" w:color="000000"/>
                  <w:bottom w:val="nil"/>
                  <w:right w:val="single" w:sz="2" w:space="0" w:color="000000"/>
                </w:tcBorders>
                <w:vAlign w:val="center"/>
              </w:tcPr>
              <w:p w:rsidR="004A3868" w:rsidRDefault="004A3868">
                <w:pPr>
                  <w:pStyle w:val="afff7"/>
                </w:pP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t>88.04</w:t>
                </w:r>
              </w:p>
            </w:tc>
            <w:tc>
              <w:tcPr>
                <w:tcW w:w="993" w:type="dxa"/>
                <w:tcBorders>
                  <w:top w:val="single" w:sz="2" w:space="0" w:color="000000"/>
                  <w:left w:val="single" w:sz="2" w:space="0" w:color="000000"/>
                  <w:bottom w:val="single" w:sz="2" w:space="0" w:color="000000"/>
                  <w:right w:val="single" w:sz="4" w:space="0" w:color="auto"/>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nil"/>
                  <w:left w:val="single" w:sz="4" w:space="0" w:color="auto"/>
                  <w:bottom w:val="single" w:sz="4" w:space="0" w:color="auto"/>
                  <w:right w:val="single" w:sz="2" w:space="0" w:color="000000"/>
                </w:tcBorders>
                <w:vAlign w:val="center"/>
              </w:tcPr>
              <w:p w:rsidR="004A3868" w:rsidRDefault="004A3868">
                <w:pPr>
                  <w:pStyle w:val="afff9"/>
                </w:pPr>
              </w:p>
            </w:tc>
            <w:tc>
              <w:tcPr>
                <w:tcW w:w="1842" w:type="dxa"/>
                <w:vMerge/>
                <w:tcBorders>
                  <w:top w:val="nil"/>
                  <w:left w:val="single" w:sz="2" w:space="0" w:color="000000"/>
                  <w:bottom w:val="single" w:sz="4" w:space="0" w:color="auto"/>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4" w:space="0" w:color="auto"/>
                  <w:right w:val="single" w:sz="2" w:space="0" w:color="000000"/>
                </w:tcBorders>
                <w:vAlign w:val="center"/>
              </w:tcPr>
              <w:p w:rsidR="004A3868" w:rsidRDefault="003F1AB5">
                <w:pPr>
                  <w:pStyle w:val="afff9"/>
                </w:pPr>
                <w:r>
                  <w:rPr>
                    <w:rFonts w:hint="eastAsia"/>
                  </w:rPr>
                  <w:t>磷化渣</w:t>
                </w:r>
              </w:p>
            </w:tc>
            <w:tc>
              <w:tcPr>
                <w:tcW w:w="992" w:type="dxa"/>
                <w:vMerge/>
                <w:tcBorders>
                  <w:top w:val="nil"/>
                  <w:left w:val="single" w:sz="2" w:space="0" w:color="000000"/>
                  <w:bottom w:val="single" w:sz="4" w:space="0" w:color="auto"/>
                  <w:right w:val="single" w:sz="2" w:space="0" w:color="000000"/>
                </w:tcBorders>
                <w:vAlign w:val="center"/>
              </w:tcPr>
              <w:p w:rsidR="004A3868" w:rsidRDefault="004A3868">
                <w:pPr>
                  <w:pStyle w:val="afff7"/>
                </w:pPr>
              </w:p>
            </w:tc>
            <w:tc>
              <w:tcPr>
                <w:tcW w:w="1098" w:type="dxa"/>
                <w:vMerge/>
                <w:tcBorders>
                  <w:top w:val="nil"/>
                  <w:left w:val="single" w:sz="2" w:space="0" w:color="000000"/>
                  <w:bottom w:val="single" w:sz="4" w:space="0" w:color="auto"/>
                  <w:right w:val="single" w:sz="2" w:space="0" w:color="000000"/>
                </w:tcBorders>
                <w:vAlign w:val="center"/>
              </w:tcPr>
              <w:p w:rsidR="004A3868" w:rsidRDefault="004A3868">
                <w:pPr>
                  <w:pStyle w:val="afff7"/>
                </w:pPr>
              </w:p>
            </w:tc>
            <w:tc>
              <w:tcPr>
                <w:tcW w:w="1170" w:type="dxa"/>
                <w:tcBorders>
                  <w:top w:val="single" w:sz="2" w:space="0" w:color="000000"/>
                  <w:left w:val="single" w:sz="2" w:space="0" w:color="000000"/>
                  <w:bottom w:val="single" w:sz="4" w:space="0" w:color="auto"/>
                  <w:right w:val="single" w:sz="2" w:space="0" w:color="000000"/>
                </w:tcBorders>
                <w:vAlign w:val="center"/>
              </w:tcPr>
              <w:p w:rsidR="004A3868" w:rsidRDefault="003F1AB5">
                <w:pPr>
                  <w:pStyle w:val="afff7"/>
                </w:pPr>
                <w:r>
                  <w:t>19.60</w:t>
                </w:r>
              </w:p>
            </w:tc>
            <w:tc>
              <w:tcPr>
                <w:tcW w:w="993" w:type="dxa"/>
                <w:tcBorders>
                  <w:top w:val="single" w:sz="2" w:space="0" w:color="000000"/>
                  <w:left w:val="single" w:sz="2" w:space="0" w:color="000000"/>
                  <w:bottom w:val="single" w:sz="4" w:space="0" w:color="auto"/>
                  <w:right w:val="single" w:sz="4" w:space="0" w:color="auto"/>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nil"/>
                  <w:left w:val="single" w:sz="4" w:space="0" w:color="auto"/>
                  <w:bottom w:val="single" w:sz="4" w:space="0" w:color="auto"/>
                  <w:right w:val="single" w:sz="2" w:space="0" w:color="000000"/>
                </w:tcBorders>
                <w:vAlign w:val="center"/>
              </w:tcPr>
              <w:p w:rsidR="004A3868" w:rsidRDefault="004A3868">
                <w:pPr>
                  <w:pStyle w:val="afff9"/>
                </w:pPr>
              </w:p>
            </w:tc>
            <w:tc>
              <w:tcPr>
                <w:tcW w:w="1842" w:type="dxa"/>
                <w:vMerge/>
                <w:tcBorders>
                  <w:top w:val="nil"/>
                  <w:left w:val="single" w:sz="2" w:space="0" w:color="000000"/>
                  <w:bottom w:val="single" w:sz="4" w:space="0" w:color="auto"/>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4" w:space="0" w:color="auto"/>
                  <w:right w:val="single" w:sz="2" w:space="0" w:color="000000"/>
                </w:tcBorders>
                <w:vAlign w:val="center"/>
              </w:tcPr>
              <w:p w:rsidR="004A3868" w:rsidRDefault="003F1AB5">
                <w:pPr>
                  <w:pStyle w:val="afff9"/>
                  <w:rPr>
                    <w:rFonts w:cs="Arial"/>
                  </w:rPr>
                </w:pPr>
                <w:r>
                  <w:t>废油漆渣</w:t>
                </w:r>
              </w:p>
            </w:tc>
            <w:tc>
              <w:tcPr>
                <w:tcW w:w="992" w:type="dxa"/>
                <w:vMerge/>
                <w:tcBorders>
                  <w:top w:val="nil"/>
                  <w:left w:val="single" w:sz="2" w:space="0" w:color="000000"/>
                  <w:bottom w:val="single" w:sz="4" w:space="0" w:color="auto"/>
                  <w:right w:val="single" w:sz="2" w:space="0" w:color="000000"/>
                </w:tcBorders>
                <w:vAlign w:val="center"/>
              </w:tcPr>
              <w:p w:rsidR="004A3868" w:rsidRDefault="004A3868">
                <w:pPr>
                  <w:pStyle w:val="afff7"/>
                </w:pPr>
              </w:p>
            </w:tc>
            <w:tc>
              <w:tcPr>
                <w:tcW w:w="1098" w:type="dxa"/>
                <w:vMerge/>
                <w:tcBorders>
                  <w:top w:val="nil"/>
                  <w:left w:val="single" w:sz="2" w:space="0" w:color="000000"/>
                  <w:bottom w:val="single" w:sz="4" w:space="0" w:color="auto"/>
                  <w:right w:val="single" w:sz="2" w:space="0" w:color="000000"/>
                </w:tcBorders>
                <w:vAlign w:val="center"/>
              </w:tcPr>
              <w:p w:rsidR="004A3868" w:rsidRDefault="004A3868">
                <w:pPr>
                  <w:pStyle w:val="afff7"/>
                </w:pPr>
              </w:p>
            </w:tc>
            <w:tc>
              <w:tcPr>
                <w:tcW w:w="1170" w:type="dxa"/>
                <w:tcBorders>
                  <w:top w:val="single" w:sz="2" w:space="0" w:color="000000"/>
                  <w:left w:val="single" w:sz="2" w:space="0" w:color="000000"/>
                  <w:bottom w:val="single" w:sz="4" w:space="0" w:color="auto"/>
                  <w:right w:val="single" w:sz="2" w:space="0" w:color="000000"/>
                </w:tcBorders>
                <w:vAlign w:val="center"/>
              </w:tcPr>
              <w:p w:rsidR="004A3868" w:rsidRDefault="003F1AB5">
                <w:pPr>
                  <w:pStyle w:val="afff7"/>
                </w:pPr>
                <w:r>
                  <w:rPr>
                    <w:rFonts w:hint="eastAsia"/>
                  </w:rPr>
                  <w:t>1</w:t>
                </w:r>
                <w:r>
                  <w:t>4.51</w:t>
                </w:r>
              </w:p>
            </w:tc>
            <w:tc>
              <w:tcPr>
                <w:tcW w:w="993" w:type="dxa"/>
                <w:tcBorders>
                  <w:top w:val="single" w:sz="2" w:space="0" w:color="000000"/>
                  <w:left w:val="single" w:sz="2" w:space="0" w:color="000000"/>
                  <w:bottom w:val="single" w:sz="4" w:space="0" w:color="auto"/>
                  <w:right w:val="single" w:sz="4" w:space="0" w:color="auto"/>
                </w:tcBorders>
                <w:vAlign w:val="center"/>
              </w:tcPr>
              <w:p w:rsidR="004A3868" w:rsidRDefault="003F1AB5">
                <w:pPr>
                  <w:pStyle w:val="33"/>
                </w:pPr>
                <w:r>
                  <w:rPr>
                    <w:rFonts w:hint="eastAsia"/>
                  </w:rPr>
                  <w:t>是</w:t>
                </w:r>
              </w:p>
            </w:tc>
          </w:tr>
          <w:tr w:rsidR="004A3868">
            <w:trPr>
              <w:trHeight w:val="397"/>
              <w:jc w:val="center"/>
            </w:trPr>
            <w:tc>
              <w:tcPr>
                <w:tcW w:w="885" w:type="dxa"/>
                <w:vMerge/>
                <w:tcBorders>
                  <w:top w:val="nil"/>
                  <w:left w:val="single" w:sz="4" w:space="0" w:color="auto"/>
                  <w:bottom w:val="nil"/>
                  <w:right w:val="single" w:sz="2" w:space="0" w:color="000000"/>
                </w:tcBorders>
                <w:vAlign w:val="center"/>
              </w:tcPr>
              <w:p w:rsidR="004A3868" w:rsidRDefault="004A3868">
                <w:pPr>
                  <w:pStyle w:val="afff9"/>
                </w:pPr>
              </w:p>
            </w:tc>
            <w:tc>
              <w:tcPr>
                <w:tcW w:w="1842" w:type="dxa"/>
                <w:vMerge/>
                <w:tcBorders>
                  <w:top w:val="nil"/>
                  <w:left w:val="single" w:sz="2" w:space="0" w:color="000000"/>
                  <w:bottom w:val="nil"/>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含油污泥</w:t>
                </w:r>
              </w:p>
            </w:tc>
            <w:tc>
              <w:tcPr>
                <w:tcW w:w="992" w:type="dxa"/>
                <w:vMerge/>
                <w:tcBorders>
                  <w:top w:val="nil"/>
                  <w:left w:val="single" w:sz="2" w:space="0" w:color="000000"/>
                  <w:bottom w:val="nil"/>
                  <w:right w:val="single" w:sz="2" w:space="0" w:color="000000"/>
                </w:tcBorders>
                <w:vAlign w:val="center"/>
              </w:tcPr>
              <w:p w:rsidR="004A3868" w:rsidRDefault="004A3868">
                <w:pPr>
                  <w:pStyle w:val="afff7"/>
                </w:pPr>
              </w:p>
            </w:tc>
            <w:tc>
              <w:tcPr>
                <w:tcW w:w="1098" w:type="dxa"/>
                <w:vMerge/>
                <w:tcBorders>
                  <w:top w:val="nil"/>
                  <w:left w:val="single" w:sz="2" w:space="0" w:color="000000"/>
                  <w:bottom w:val="nil"/>
                  <w:right w:val="single" w:sz="2" w:space="0" w:color="000000"/>
                </w:tcBorders>
                <w:vAlign w:val="center"/>
              </w:tcPr>
              <w:p w:rsidR="004A3868" w:rsidRDefault="004A3868">
                <w:pPr>
                  <w:pStyle w:val="afff7"/>
                </w:pP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2</w:t>
                </w:r>
                <w:r>
                  <w:t>42.849</w:t>
                </w:r>
              </w:p>
            </w:tc>
            <w:tc>
              <w:tcPr>
                <w:tcW w:w="993" w:type="dxa"/>
                <w:tcBorders>
                  <w:top w:val="single" w:sz="2" w:space="0" w:color="000000"/>
                  <w:left w:val="single" w:sz="2" w:space="0" w:color="000000"/>
                  <w:bottom w:val="single" w:sz="2" w:space="0" w:color="000000"/>
                  <w:right w:val="single" w:sz="4" w:space="0" w:color="auto"/>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4" w:space="0" w:color="auto"/>
                  <w:bottom w:val="nil"/>
                  <w:right w:val="single" w:sz="2" w:space="0" w:color="000000"/>
                </w:tcBorders>
                <w:vAlign w:val="center"/>
              </w:tcPr>
              <w:p w:rsidR="004A3868" w:rsidRDefault="004A3868">
                <w:pPr>
                  <w:pStyle w:val="afff9"/>
                </w:pPr>
              </w:p>
            </w:tc>
            <w:tc>
              <w:tcPr>
                <w:tcW w:w="1842" w:type="dxa"/>
                <w:tcBorders>
                  <w:top w:val="nil"/>
                  <w:left w:val="single" w:sz="2" w:space="0" w:color="000000"/>
                  <w:bottom w:val="nil"/>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9"/>
                </w:pPr>
                <w:r>
                  <w:rPr>
                    <w:rFonts w:hint="eastAsia"/>
                  </w:rPr>
                  <w:t>废乙醇</w:t>
                </w:r>
              </w:p>
            </w:tc>
            <w:tc>
              <w:tcPr>
                <w:tcW w:w="992" w:type="dxa"/>
                <w:tcBorders>
                  <w:top w:val="nil"/>
                  <w:left w:val="single" w:sz="2" w:space="0" w:color="000000"/>
                  <w:bottom w:val="nil"/>
                  <w:right w:val="single" w:sz="2" w:space="0" w:color="000000"/>
                </w:tcBorders>
                <w:vAlign w:val="center"/>
              </w:tcPr>
              <w:p w:rsidR="004A3868" w:rsidRDefault="004A3868">
                <w:pPr>
                  <w:pStyle w:val="afff7"/>
                </w:pPr>
              </w:p>
            </w:tc>
            <w:tc>
              <w:tcPr>
                <w:tcW w:w="1098" w:type="dxa"/>
                <w:tcBorders>
                  <w:top w:val="nil"/>
                  <w:left w:val="single" w:sz="2" w:space="0" w:color="000000"/>
                  <w:bottom w:val="nil"/>
                  <w:right w:val="single" w:sz="2" w:space="0" w:color="000000"/>
                </w:tcBorders>
                <w:vAlign w:val="center"/>
              </w:tcPr>
              <w:p w:rsidR="004A3868" w:rsidRDefault="004A3868">
                <w:pPr>
                  <w:pStyle w:val="afff7"/>
                </w:pPr>
              </w:p>
            </w:tc>
            <w:tc>
              <w:tcPr>
                <w:tcW w:w="1170" w:type="dxa"/>
                <w:tcBorders>
                  <w:top w:val="single" w:sz="2" w:space="0" w:color="000000"/>
                  <w:left w:val="single" w:sz="2" w:space="0" w:color="000000"/>
                  <w:bottom w:val="single" w:sz="2" w:space="0" w:color="000000"/>
                  <w:right w:val="single" w:sz="2" w:space="0" w:color="000000"/>
                </w:tcBorders>
                <w:vAlign w:val="center"/>
              </w:tcPr>
              <w:p w:rsidR="004A3868" w:rsidRDefault="003F1AB5">
                <w:pPr>
                  <w:pStyle w:val="afff7"/>
                </w:pPr>
                <w:r>
                  <w:rPr>
                    <w:rFonts w:hint="eastAsia"/>
                  </w:rPr>
                  <w:t>1</w:t>
                </w:r>
                <w:r>
                  <w:t>.40</w:t>
                </w:r>
              </w:p>
            </w:tc>
            <w:tc>
              <w:tcPr>
                <w:tcW w:w="993" w:type="dxa"/>
                <w:tcBorders>
                  <w:top w:val="single" w:sz="2" w:space="0" w:color="000000"/>
                  <w:left w:val="single" w:sz="2" w:space="0" w:color="000000"/>
                  <w:bottom w:val="single" w:sz="2" w:space="0" w:color="000000"/>
                  <w:right w:val="single" w:sz="4" w:space="0" w:color="auto"/>
                </w:tcBorders>
                <w:vAlign w:val="center"/>
              </w:tcPr>
              <w:p w:rsidR="004A3868" w:rsidRDefault="003F1AB5">
                <w:pPr>
                  <w:pStyle w:val="33"/>
                </w:pPr>
                <w:r>
                  <w:rPr>
                    <w:rFonts w:hint="eastAsia"/>
                  </w:rPr>
                  <w:t>是</w:t>
                </w:r>
              </w:p>
            </w:tc>
          </w:tr>
          <w:tr w:rsidR="004A3868">
            <w:trPr>
              <w:trHeight w:val="397"/>
              <w:jc w:val="center"/>
            </w:trPr>
            <w:tc>
              <w:tcPr>
                <w:tcW w:w="885" w:type="dxa"/>
                <w:tcBorders>
                  <w:top w:val="nil"/>
                  <w:left w:val="single" w:sz="4" w:space="0" w:color="auto"/>
                  <w:bottom w:val="single" w:sz="4" w:space="0" w:color="auto"/>
                  <w:right w:val="single" w:sz="2" w:space="0" w:color="000000"/>
                </w:tcBorders>
                <w:vAlign w:val="center"/>
              </w:tcPr>
              <w:p w:rsidR="004A3868" w:rsidRDefault="004A3868">
                <w:pPr>
                  <w:pStyle w:val="afff9"/>
                </w:pPr>
              </w:p>
            </w:tc>
            <w:tc>
              <w:tcPr>
                <w:tcW w:w="1842" w:type="dxa"/>
                <w:tcBorders>
                  <w:top w:val="nil"/>
                  <w:left w:val="single" w:sz="2" w:space="0" w:color="000000"/>
                  <w:bottom w:val="single" w:sz="4" w:space="0" w:color="auto"/>
                  <w:right w:val="single" w:sz="2" w:space="0" w:color="000000"/>
                </w:tcBorders>
                <w:vAlign w:val="center"/>
              </w:tcPr>
              <w:p w:rsidR="004A3868" w:rsidRDefault="004A3868">
                <w:pPr>
                  <w:pStyle w:val="afff9"/>
                </w:pPr>
              </w:p>
            </w:tc>
            <w:tc>
              <w:tcPr>
                <w:tcW w:w="1843" w:type="dxa"/>
                <w:tcBorders>
                  <w:top w:val="single" w:sz="2" w:space="0" w:color="000000"/>
                  <w:left w:val="single" w:sz="2" w:space="0" w:color="000000"/>
                  <w:bottom w:val="single" w:sz="4" w:space="0" w:color="auto"/>
                  <w:right w:val="single" w:sz="2" w:space="0" w:color="000000"/>
                </w:tcBorders>
                <w:vAlign w:val="center"/>
              </w:tcPr>
              <w:p w:rsidR="004A3868" w:rsidRDefault="003F1AB5">
                <w:pPr>
                  <w:pStyle w:val="afff9"/>
                </w:pPr>
                <w:r>
                  <w:t>其他危废</w:t>
                </w:r>
              </w:p>
            </w:tc>
            <w:tc>
              <w:tcPr>
                <w:tcW w:w="992" w:type="dxa"/>
                <w:tcBorders>
                  <w:top w:val="nil"/>
                  <w:left w:val="single" w:sz="2" w:space="0" w:color="000000"/>
                  <w:bottom w:val="single" w:sz="4" w:space="0" w:color="auto"/>
                  <w:right w:val="single" w:sz="2" w:space="0" w:color="000000"/>
                </w:tcBorders>
                <w:vAlign w:val="center"/>
              </w:tcPr>
              <w:p w:rsidR="004A3868" w:rsidRDefault="004A3868">
                <w:pPr>
                  <w:pStyle w:val="afff7"/>
                </w:pPr>
              </w:p>
            </w:tc>
            <w:tc>
              <w:tcPr>
                <w:tcW w:w="1098" w:type="dxa"/>
                <w:tcBorders>
                  <w:top w:val="nil"/>
                  <w:left w:val="single" w:sz="2" w:space="0" w:color="000000"/>
                  <w:bottom w:val="single" w:sz="4" w:space="0" w:color="auto"/>
                  <w:right w:val="single" w:sz="2" w:space="0" w:color="000000"/>
                </w:tcBorders>
                <w:vAlign w:val="center"/>
              </w:tcPr>
              <w:p w:rsidR="004A3868" w:rsidRDefault="004A3868">
                <w:pPr>
                  <w:pStyle w:val="afff7"/>
                </w:pPr>
              </w:p>
            </w:tc>
            <w:tc>
              <w:tcPr>
                <w:tcW w:w="1170" w:type="dxa"/>
                <w:tcBorders>
                  <w:top w:val="single" w:sz="2" w:space="0" w:color="000000"/>
                  <w:left w:val="single" w:sz="2" w:space="0" w:color="000000"/>
                  <w:bottom w:val="single" w:sz="4" w:space="0" w:color="auto"/>
                  <w:right w:val="single" w:sz="2" w:space="0" w:color="000000"/>
                </w:tcBorders>
                <w:vAlign w:val="center"/>
              </w:tcPr>
              <w:p w:rsidR="004A3868" w:rsidRDefault="003F1AB5">
                <w:pPr>
                  <w:pStyle w:val="afff7"/>
                </w:pPr>
                <w:r>
                  <w:rPr>
                    <w:rFonts w:hint="eastAsia"/>
                  </w:rPr>
                  <w:t>62</w:t>
                </w:r>
                <w:r>
                  <w:t>.481</w:t>
                </w:r>
              </w:p>
            </w:tc>
            <w:tc>
              <w:tcPr>
                <w:tcW w:w="993" w:type="dxa"/>
                <w:tcBorders>
                  <w:top w:val="single" w:sz="2" w:space="0" w:color="000000"/>
                  <w:left w:val="single" w:sz="2" w:space="0" w:color="000000"/>
                  <w:bottom w:val="single" w:sz="4" w:space="0" w:color="auto"/>
                  <w:right w:val="single" w:sz="4" w:space="0" w:color="auto"/>
                </w:tcBorders>
                <w:vAlign w:val="center"/>
              </w:tcPr>
              <w:p w:rsidR="004A3868" w:rsidRDefault="003F1AB5">
                <w:pPr>
                  <w:pStyle w:val="33"/>
                </w:pPr>
                <w:r>
                  <w:rPr>
                    <w:rFonts w:hint="eastAsia"/>
                  </w:rPr>
                  <w:t>是</w:t>
                </w:r>
              </w:p>
            </w:tc>
          </w:tr>
        </w:tbl>
        <w:p w:rsidR="004A3868" w:rsidRDefault="00B34370">
          <w:pPr>
            <w:pStyle w:val="Style257"/>
            <w:ind w:firstLineChars="0" w:firstLine="0"/>
            <w:rPr>
              <w:rFonts w:ascii="宋体" w:hAnsi="宋体"/>
            </w:rPr>
          </w:pPr>
        </w:p>
      </w:sdtContent>
    </w:sdt>
    <w:p w:rsidR="004A3868" w:rsidRDefault="003F1AB5">
      <w:pPr>
        <w:pStyle w:val="4"/>
        <w:numPr>
          <w:ilvl w:val="0"/>
          <w:numId w:val="31"/>
        </w:numPr>
      </w:pPr>
      <w:r>
        <w:rPr>
          <w:rFonts w:hint="eastAsia"/>
        </w:rPr>
        <w:lastRenderedPageBreak/>
        <w:t>防治污染设施的建设和运行情况</w:t>
      </w:r>
    </w:p>
    <w:sdt>
      <w:sdtPr>
        <w:alias w:val="是否适用：防治污染设施的建设和运行情况[双击切换]"/>
        <w:tag w:val="_GBC_665c787eaadc48818cfce34c2b6143fc"/>
        <w:id w:val="1332016692"/>
        <w:placeholder>
          <w:docPart w:val="GBC22222222222222222222222222222"/>
        </w:placeholder>
      </w:sdtPr>
      <w:sdtEndPr/>
      <w:sdtContent>
        <w:p w:rsidR="004A3868" w:rsidRDefault="003F1AB5">
          <w:pPr>
            <w:pStyle w:val="Style84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防治污染设施的建设和运行情况"/>
        <w:tag w:val="_GBC_c27cfa9787844f19acb594b8dca60fdb"/>
        <w:id w:val="-1704475950"/>
        <w:placeholder>
          <w:docPart w:val="GBC22222222222222222222222222222"/>
        </w:placeholder>
      </w:sdtPr>
      <w:sdtEndPr/>
      <w:sdtContent>
        <w:p w:rsidR="004A3868" w:rsidRDefault="004A3868">
          <w:pPr>
            <w:pStyle w:val="Style842"/>
          </w:pPr>
        </w:p>
        <w:tbl>
          <w:tblPr>
            <w:tblStyle w:val="g7"/>
            <w:tblW w:w="5696" w:type="pct"/>
            <w:jc w:val="center"/>
            <w:tblInd w:w="0" w:type="dxa"/>
            <w:tblLayout w:type="fixed"/>
            <w:tblCellMar>
              <w:left w:w="0" w:type="dxa"/>
              <w:right w:w="28" w:type="dxa"/>
            </w:tblCellMar>
            <w:tblLook w:val="04A0" w:firstRow="1" w:lastRow="0" w:firstColumn="1" w:lastColumn="0" w:noHBand="0" w:noVBand="1"/>
          </w:tblPr>
          <w:tblGrid>
            <w:gridCol w:w="431"/>
            <w:gridCol w:w="1690"/>
            <w:gridCol w:w="1779"/>
            <w:gridCol w:w="1197"/>
            <w:gridCol w:w="3088"/>
            <w:gridCol w:w="1866"/>
          </w:tblGrid>
          <w:tr w:rsidR="004A3868">
            <w:trPr>
              <w:trHeight w:val="397"/>
              <w:jc w:val="center"/>
            </w:trPr>
            <w:tc>
              <w:tcPr>
                <w:tcW w:w="432" w:type="dxa"/>
                <w:tcBorders>
                  <w:top w:val="single" w:sz="4" w:space="0" w:color="auto"/>
                  <w:left w:val="single" w:sz="4" w:space="0" w:color="auto"/>
                  <w:bottom w:val="single" w:sz="4" w:space="0" w:color="auto"/>
                  <w:right w:val="single" w:sz="4" w:space="0" w:color="auto"/>
                </w:tcBorders>
                <w:noWrap/>
                <w:vAlign w:val="center"/>
              </w:tcPr>
              <w:p w:rsidR="004A3868" w:rsidRDefault="003F1AB5">
                <w:pPr>
                  <w:pStyle w:val="afffb"/>
                </w:pPr>
                <w:r>
                  <w:rPr>
                    <w:rFonts w:hint="eastAsia"/>
                  </w:rPr>
                  <w:t>序号</w:t>
                </w:r>
              </w:p>
            </w:tc>
            <w:tc>
              <w:tcPr>
                <w:tcW w:w="1690" w:type="dxa"/>
                <w:tcBorders>
                  <w:top w:val="single" w:sz="4" w:space="0" w:color="auto"/>
                  <w:left w:val="nil"/>
                  <w:bottom w:val="single" w:sz="4" w:space="0" w:color="auto"/>
                  <w:right w:val="single" w:sz="4" w:space="0" w:color="auto"/>
                </w:tcBorders>
                <w:noWrap/>
                <w:vAlign w:val="center"/>
              </w:tcPr>
              <w:p w:rsidR="004A3868" w:rsidRDefault="003F1AB5">
                <w:pPr>
                  <w:pStyle w:val="afffb"/>
                </w:pPr>
                <w:r>
                  <w:rPr>
                    <w:rFonts w:hint="eastAsia"/>
                  </w:rPr>
                  <w:t>企业地址</w:t>
                </w:r>
              </w:p>
            </w:tc>
            <w:tc>
              <w:tcPr>
                <w:tcW w:w="1779"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环保设施名称</w:t>
                </w:r>
              </w:p>
            </w:tc>
            <w:tc>
              <w:tcPr>
                <w:tcW w:w="1197"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环保设施使用阶段</w:t>
                </w:r>
              </w:p>
            </w:tc>
            <w:tc>
              <w:tcPr>
                <w:tcW w:w="3088"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环保设施企业名称</w:t>
                </w:r>
              </w:p>
            </w:tc>
            <w:tc>
              <w:tcPr>
                <w:tcW w:w="1866" w:type="dxa"/>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环保设施项目合作模式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1</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变压器事业部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烟尘系统</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武汉工程大学</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2</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变压器事业部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漆雾吸收塔</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武汉工程大学</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3</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变压器事业部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酸雾吸收塔</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武汉工程大学</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4</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变压器事业部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污水处理系统</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4A3868">
                <w:pPr>
                  <w:pStyle w:val="afff9"/>
                </w:pPr>
              </w:p>
              <w:p w:rsidR="004A3868" w:rsidRDefault="003F1AB5">
                <w:pPr>
                  <w:pStyle w:val="afff9"/>
                </w:pPr>
                <w:r>
                  <w:rPr>
                    <w:rFonts w:hint="eastAsia"/>
                  </w:rPr>
                  <w:t>重庆百鸥环保科技有限公司</w:t>
                </w:r>
              </w:p>
            </w:tc>
            <w:tc>
              <w:tcPr>
                <w:tcW w:w="1866" w:type="dxa"/>
                <w:tcBorders>
                  <w:top w:val="nil"/>
                  <w:left w:val="nil"/>
                  <w:bottom w:val="single" w:sz="4" w:space="0" w:color="auto"/>
                  <w:right w:val="single" w:sz="4" w:space="0" w:color="auto"/>
                </w:tcBorders>
                <w:noWrap/>
                <w:vAlign w:val="center"/>
              </w:tcPr>
              <w:p w:rsidR="004A3868" w:rsidRDefault="004A3868">
                <w:pPr>
                  <w:pStyle w:val="afff9"/>
                </w:pPr>
              </w:p>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5</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变压器事业部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除尘系统</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武汉工程大学</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6</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CA1/CA2</w:t>
                </w:r>
                <w:r>
                  <w:rPr>
                    <w:rFonts w:hint="eastAsia"/>
                  </w:rPr>
                  <w:t>干燥炉排气筒</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7</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CA1/CA2</w:t>
                </w:r>
                <w:r>
                  <w:rPr>
                    <w:rFonts w:hint="eastAsia"/>
                  </w:rPr>
                  <w:t>碱雾吸收塔</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8</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CA1/CA2</w:t>
                </w:r>
                <w:r>
                  <w:rPr>
                    <w:rFonts w:hint="eastAsia"/>
                  </w:rPr>
                  <w:t>退火炉排气筒</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9</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CT1/CT2</w:t>
                </w:r>
                <w:r>
                  <w:rPr>
                    <w:rFonts w:hint="eastAsia"/>
                  </w:rPr>
                  <w:t>铬酸排气筒</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10</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CT1/CT2</w:t>
                </w:r>
                <w:r>
                  <w:rPr>
                    <w:rFonts w:hint="eastAsia"/>
                  </w:rPr>
                  <w:t>硫酸排气筒</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11</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CT2/CT2</w:t>
                </w:r>
                <w:r>
                  <w:rPr>
                    <w:rFonts w:hint="eastAsia"/>
                  </w:rPr>
                  <w:t>烟气排气筒</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12</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ZR2</w:t>
                </w:r>
                <w:r>
                  <w:rPr>
                    <w:rFonts w:hint="eastAsia"/>
                  </w:rPr>
                  <w:t>轧制废气排气筒</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武汉武森轧钢成套技术有限公司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13</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CP</w:t>
                </w:r>
                <w:r>
                  <w:rPr>
                    <w:rFonts w:hint="eastAsia"/>
                  </w:rPr>
                  <w:t>烟气排气筒</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14</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抛丸机排气筒</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15</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CP</w:t>
                </w:r>
                <w:r>
                  <w:rPr>
                    <w:rFonts w:hint="eastAsia"/>
                  </w:rPr>
                  <w:t>盐酸排气塔</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黄石山力科技股份有限公司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r w:rsidR="004A3868">
            <w:trPr>
              <w:trHeight w:val="397"/>
              <w:jc w:val="center"/>
            </w:trPr>
            <w:tc>
              <w:tcPr>
                <w:tcW w:w="432" w:type="dxa"/>
                <w:tcBorders>
                  <w:top w:val="nil"/>
                  <w:left w:val="single" w:sz="4" w:space="0" w:color="auto"/>
                  <w:bottom w:val="single" w:sz="4" w:space="0" w:color="auto"/>
                  <w:right w:val="single" w:sz="4" w:space="0" w:color="auto"/>
                </w:tcBorders>
                <w:noWrap/>
                <w:vAlign w:val="center"/>
              </w:tcPr>
              <w:p w:rsidR="004A3868" w:rsidRDefault="003F1AB5">
                <w:pPr>
                  <w:pStyle w:val="afff9"/>
                </w:pPr>
                <w:r>
                  <w:rPr>
                    <w:rFonts w:hint="eastAsia"/>
                  </w:rPr>
                  <w:t>16</w:t>
                </w:r>
              </w:p>
            </w:tc>
            <w:tc>
              <w:tcPr>
                <w:tcW w:w="1690"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新材料事业部</w:t>
                </w:r>
              </w:p>
            </w:tc>
            <w:tc>
              <w:tcPr>
                <w:tcW w:w="1779" w:type="dxa"/>
                <w:tcBorders>
                  <w:top w:val="nil"/>
                  <w:left w:val="nil"/>
                  <w:bottom w:val="single" w:sz="4" w:space="0" w:color="auto"/>
                  <w:right w:val="single" w:sz="4" w:space="0" w:color="auto"/>
                </w:tcBorders>
                <w:vAlign w:val="center"/>
              </w:tcPr>
              <w:p w:rsidR="004A3868" w:rsidRDefault="003F1AB5">
                <w:pPr>
                  <w:pStyle w:val="afff9"/>
                </w:pPr>
                <w:r>
                  <w:rPr>
                    <w:rFonts w:hint="eastAsia"/>
                  </w:rPr>
                  <w:t>污水处理系统</w:t>
                </w:r>
              </w:p>
            </w:tc>
            <w:tc>
              <w:tcPr>
                <w:tcW w:w="1197"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运行阶段</w:t>
                </w:r>
              </w:p>
            </w:tc>
            <w:tc>
              <w:tcPr>
                <w:tcW w:w="3088"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重庆百鸥环保科技有限公司</w:t>
                </w:r>
              </w:p>
            </w:tc>
            <w:tc>
              <w:tcPr>
                <w:tcW w:w="1866" w:type="dxa"/>
                <w:tcBorders>
                  <w:top w:val="nil"/>
                  <w:left w:val="nil"/>
                  <w:bottom w:val="single" w:sz="4" w:space="0" w:color="auto"/>
                  <w:right w:val="single" w:sz="4" w:space="0" w:color="auto"/>
                </w:tcBorders>
                <w:noWrap/>
                <w:vAlign w:val="center"/>
              </w:tcPr>
              <w:p w:rsidR="004A3868" w:rsidRDefault="003F1AB5">
                <w:pPr>
                  <w:pStyle w:val="afff9"/>
                </w:pPr>
                <w:r>
                  <w:rPr>
                    <w:rFonts w:hint="eastAsia"/>
                  </w:rPr>
                  <w:t>自运行模式</w:t>
                </w:r>
              </w:p>
            </w:tc>
          </w:tr>
        </w:tbl>
        <w:p w:rsidR="004A3868" w:rsidRDefault="00B34370">
          <w:pPr>
            <w:pStyle w:val="Style842"/>
          </w:pPr>
        </w:p>
      </w:sdtContent>
    </w:sdt>
    <w:p w:rsidR="004A3868" w:rsidRDefault="003F1AB5">
      <w:pPr>
        <w:pStyle w:val="4"/>
        <w:numPr>
          <w:ilvl w:val="0"/>
          <w:numId w:val="31"/>
        </w:numPr>
        <w:rPr>
          <w:szCs w:val="22"/>
        </w:rPr>
      </w:pPr>
      <w:r>
        <w:rPr>
          <w:rFonts w:hint="eastAsia"/>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1234902676"/>
        <w:placeholder>
          <w:docPart w:val="GBC22222222222222222222222222222"/>
        </w:placeholder>
      </w:sdtPr>
      <w:sdtEndPr/>
      <w:sdtContent>
        <w:p w:rsidR="004A3868" w:rsidRDefault="003F1AB5">
          <w:pPr>
            <w:pStyle w:val="Style257"/>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1551650576"/>
        <w:placeholder>
          <w:docPart w:val="GBC22222222222222222222222222222"/>
        </w:placeholder>
      </w:sdtPr>
      <w:sdtEndPr>
        <w:rPr>
          <w:szCs w:val="21"/>
        </w:rPr>
      </w:sdtEndPr>
      <w:sdtContent>
        <w:p w:rsidR="004A3868" w:rsidRDefault="003F1AB5">
          <w:pPr>
            <w:pStyle w:val="afff1"/>
            <w:ind w:firstLine="420"/>
            <w:rPr>
              <w:szCs w:val="21"/>
            </w:rPr>
          </w:pPr>
          <w:r>
            <w:rPr>
              <w:rFonts w:hint="eastAsia"/>
              <w:szCs w:val="21"/>
            </w:rPr>
            <w:t>截止报告期末，公司已建成和在建项目均符合国家及地方建设项目环境保护相关规定，并办理了环境影响评价手续，具体情况如下：</w:t>
          </w:r>
        </w:p>
        <w:p w:rsidR="004A3868" w:rsidRDefault="003F1AB5">
          <w:pPr>
            <w:pStyle w:val="afff1"/>
            <w:ind w:firstLine="420"/>
            <w:rPr>
              <w:szCs w:val="21"/>
            </w:rPr>
          </w:pPr>
          <w:r>
            <w:rPr>
              <w:szCs w:val="21"/>
            </w:rPr>
            <w:t>1、年产8000台干式变压器建设项目于2020年9月28日取得渝（长）环准{2020}103号环评批复；</w:t>
          </w:r>
        </w:p>
        <w:p w:rsidR="004A3868" w:rsidRDefault="003F1AB5">
          <w:pPr>
            <w:pStyle w:val="afff1"/>
            <w:ind w:firstLine="420"/>
            <w:rPr>
              <w:szCs w:val="21"/>
            </w:rPr>
          </w:pPr>
          <w:r>
            <w:rPr>
              <w:szCs w:val="21"/>
            </w:rPr>
            <w:t>2、年产2万台油变、2千套箱变项目于2011年4月7日取得渝（长）环准{2011}51号环评批复；</w:t>
          </w:r>
        </w:p>
        <w:p w:rsidR="004A3868" w:rsidRDefault="003F1AB5">
          <w:pPr>
            <w:pStyle w:val="afff1"/>
            <w:ind w:firstLine="420"/>
            <w:rPr>
              <w:szCs w:val="21"/>
            </w:rPr>
          </w:pPr>
          <w:r>
            <w:rPr>
              <w:szCs w:val="21"/>
            </w:rPr>
            <w:lastRenderedPageBreak/>
            <w:t>3、10万吨非晶带材及高磁感铁心材料项目一期工程于2016年8月24日取得渝（长）环准{2016}076号环评批复；</w:t>
          </w:r>
        </w:p>
        <w:p w:rsidR="004A3868" w:rsidRDefault="003F1AB5">
          <w:pPr>
            <w:pStyle w:val="afff1"/>
            <w:ind w:firstLine="420"/>
            <w:rPr>
              <w:szCs w:val="21"/>
            </w:rPr>
          </w:pPr>
          <w:r>
            <w:rPr>
              <w:szCs w:val="21"/>
            </w:rPr>
            <w:t>4、10万吨高磁感取向硅钢项目二期工程项目于2019年11月5日取得渝（长）环准{2019}122号环评批复；</w:t>
          </w:r>
        </w:p>
        <w:p w:rsidR="004A3868" w:rsidRDefault="003F1AB5">
          <w:pPr>
            <w:pStyle w:val="afff1"/>
            <w:ind w:firstLine="420"/>
            <w:rPr>
              <w:szCs w:val="21"/>
            </w:rPr>
          </w:pPr>
          <w:r>
            <w:rPr>
              <w:szCs w:val="21"/>
            </w:rPr>
            <w:t>5、3万吨低铁损高磁感硅钢深加工智能制造项目于2020年4月16日取得渝（长）环准{2020}030号环评批复；</w:t>
          </w:r>
        </w:p>
        <w:p w:rsidR="004A3868" w:rsidRDefault="003F1AB5">
          <w:pPr>
            <w:pStyle w:val="afff1"/>
            <w:ind w:firstLine="420"/>
            <w:rPr>
              <w:szCs w:val="21"/>
            </w:rPr>
          </w:pPr>
          <w:r>
            <w:rPr>
              <w:szCs w:val="21"/>
            </w:rPr>
            <w:t>6、智能成套电气设备产能扩建项目于2020年4月16日取得渝（长）环准{2020}031号环评批复；</w:t>
          </w:r>
        </w:p>
        <w:p w:rsidR="004A3868" w:rsidRDefault="003F1AB5">
          <w:pPr>
            <w:pStyle w:val="afff1"/>
            <w:ind w:firstLine="420"/>
            <w:rPr>
              <w:szCs w:val="21"/>
            </w:rPr>
          </w:pPr>
          <w:r>
            <w:rPr>
              <w:szCs w:val="21"/>
            </w:rPr>
            <w:t>7、智能成套电气设备产业基地建设项目于2021年3月31日取得渝（长）环准{2021}038号批复；</w:t>
          </w:r>
        </w:p>
        <w:p w:rsidR="004A3868" w:rsidRDefault="003F1AB5">
          <w:pPr>
            <w:pStyle w:val="afff1"/>
            <w:ind w:firstLine="420"/>
            <w:rPr>
              <w:szCs w:val="21"/>
            </w:rPr>
          </w:pPr>
          <w:r>
            <w:rPr>
              <w:szCs w:val="21"/>
            </w:rPr>
            <w:t>8、八万吨高端磁性新材料项目于2022年10月20日取得渝（长）环准{2022}85号批复。</w:t>
          </w:r>
        </w:p>
      </w:sdtContent>
    </w:sdt>
    <w:p w:rsidR="004A3868" w:rsidRDefault="003F1AB5">
      <w:pPr>
        <w:pStyle w:val="4"/>
        <w:numPr>
          <w:ilvl w:val="0"/>
          <w:numId w:val="31"/>
        </w:numPr>
        <w:rPr>
          <w:szCs w:val="21"/>
        </w:rPr>
      </w:pPr>
      <w:r>
        <w:rPr>
          <w:rFonts w:hint="eastAsia"/>
          <w:szCs w:val="21"/>
        </w:rPr>
        <w:t>突发环境事件应急预案</w:t>
      </w:r>
    </w:p>
    <w:sdt>
      <w:sdtPr>
        <w:rPr>
          <w:sz w:val="21"/>
          <w:szCs w:val="21"/>
        </w:rPr>
        <w:alias w:val="是否适用：突发环境事件应急预案[双击切换]"/>
        <w:tag w:val="_GBC_320f7292de294add91d1065ccfdd3b3b"/>
        <w:id w:val="184273613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突发环境事件应急预案"/>
        <w:tag w:val="_GBC_e110284d79c948878cb696cb6474bb1e"/>
        <w:id w:val="-1957396248"/>
        <w:placeholder>
          <w:docPart w:val="GBC22222222222222222222222222222"/>
        </w:placeholder>
      </w:sdtPr>
      <w:sdtEndPr/>
      <w:sdtContent>
        <w:p w:rsidR="004A3868" w:rsidRDefault="003F1AB5">
          <w:pPr>
            <w:pStyle w:val="afff1"/>
            <w:ind w:firstLine="420"/>
            <w:rPr>
              <w:szCs w:val="21"/>
            </w:rPr>
          </w:pPr>
          <w:r>
            <w:rPr>
              <w:rFonts w:hint="eastAsia"/>
              <w:szCs w:val="21"/>
            </w:rPr>
            <w:t>为保证企业、社会及职工生命财产的安全，防止突发环境污染事件的发生，在环境突发事件发生后迅速有效地控制和处置，结合实际情况，公司根据《中华人民共和国环境保护法》《中华人民共和国水污染防治法》《中华人民共和国大气污染防治法》《中华人民共和国固体废物污染环境防治法》《企业事业单位突发环境事件应急预案备案管理办法（试行）》《企业突发环境事件风险评估报告编制指南（试行）》等相关规定的要求，公司根据存在的环境风险进行评估，编制了公司的应急预案，并向当地生态环境保护部门备案。各基地根据报备期限情况，对应急预案进行修订、评审和备案。通过各预案的应急演练、应急响应、环境监测、应急处置及体系运作与应急预案不断磨合，进一步防范和有效应对突发环境污染事件。</w:t>
          </w:r>
        </w:p>
        <w:p w:rsidR="004A3868" w:rsidRDefault="003F1AB5">
          <w:pPr>
            <w:pStyle w:val="afff1"/>
            <w:ind w:firstLine="420"/>
            <w:rPr>
              <w:szCs w:val="21"/>
            </w:rPr>
          </w:pPr>
          <w:r>
            <w:rPr>
              <w:rFonts w:hint="eastAsia"/>
              <w:szCs w:val="21"/>
            </w:rPr>
            <w:t>公司突发环境预案备案证号：</w:t>
          </w:r>
          <w:r>
            <w:rPr>
              <w:szCs w:val="21"/>
            </w:rPr>
            <w:t>500115-2023-028-L</w:t>
          </w:r>
        </w:p>
      </w:sdtContent>
    </w:sdt>
    <w:p w:rsidR="004A3868" w:rsidRDefault="003F1AB5">
      <w:pPr>
        <w:pStyle w:val="4"/>
        <w:numPr>
          <w:ilvl w:val="0"/>
          <w:numId w:val="31"/>
        </w:numPr>
        <w:rPr>
          <w:szCs w:val="21"/>
        </w:rPr>
      </w:pPr>
      <w:r>
        <w:rPr>
          <w:rFonts w:hint="eastAsia"/>
          <w:szCs w:val="21"/>
        </w:rPr>
        <w:t>环境自行监测方案</w:t>
      </w:r>
    </w:p>
    <w:sdt>
      <w:sdtPr>
        <w:rPr>
          <w:rFonts w:ascii="宋体" w:hAnsi="宋体" w:hint="eastAsia"/>
          <w:sz w:val="21"/>
          <w:szCs w:val="21"/>
        </w:rPr>
        <w:alias w:val="是否适用：环境自行监测方案[双击切换]"/>
        <w:tag w:val="_GBC_11a22cdfe2d94619a57dc598b14322b3"/>
        <w:id w:val="-1800296629"/>
        <w:placeholder>
          <w:docPart w:val="GBC22222222222222222222222222222"/>
        </w:placeholder>
      </w:sdtPr>
      <w:sdtEndPr/>
      <w:sdtContent>
        <w:p w:rsidR="004A3868" w:rsidRDefault="003F1AB5">
          <w:pPr>
            <w:pStyle w:val="Style257"/>
            <w:ind w:firstLineChars="0" w:firstLine="0"/>
            <w:rPr>
              <w:rFonts w:ascii="宋体" w:hAnsi="宋体"/>
              <w:sz w:val="21"/>
              <w:szCs w:val="21"/>
            </w:rPr>
          </w:pPr>
          <w:r>
            <w:rPr>
              <w:rFonts w:ascii="宋体" w:hAnsi="宋体"/>
              <w:sz w:val="21"/>
              <w:szCs w:val="21"/>
            </w:rPr>
            <w:fldChar w:fldCharType="begin"/>
          </w:r>
          <w:r>
            <w:rPr>
              <w:rFonts w:ascii="宋体" w:hAnsi="宋体"/>
              <w:sz w:val="21"/>
              <w:szCs w:val="21"/>
            </w:rPr>
            <w:instrText xml:space="preserve"> MACROBUTTON  SnrToggleCheckbox √适用 </w:instrText>
          </w:r>
          <w:r>
            <w:rPr>
              <w:rFonts w:ascii="宋体" w:hAnsi="宋体"/>
              <w:sz w:val="21"/>
              <w:szCs w:val="21"/>
            </w:rPr>
            <w:fldChar w:fldCharType="end"/>
          </w:r>
          <w:r>
            <w:rPr>
              <w:rFonts w:ascii="宋体" w:hAnsi="宋体"/>
              <w:sz w:val="21"/>
              <w:szCs w:val="21"/>
            </w:rPr>
            <w:fldChar w:fldCharType="begin"/>
          </w:r>
          <w:r>
            <w:rPr>
              <w:rFonts w:ascii="宋体" w:hAnsi="宋体"/>
              <w:sz w:val="21"/>
              <w:szCs w:val="21"/>
            </w:rPr>
            <w:instrText xml:space="preserve"> MACROBUTTON  SnrToggleCheckbox □不适用 </w:instrText>
          </w:r>
          <w:r>
            <w:rPr>
              <w:rFonts w:ascii="宋体" w:hAnsi="宋体"/>
              <w:sz w:val="21"/>
              <w:szCs w:val="21"/>
            </w:rPr>
            <w:fldChar w:fldCharType="end"/>
          </w:r>
        </w:p>
      </w:sdtContent>
    </w:sdt>
    <w:sdt>
      <w:sdtPr>
        <w:rPr>
          <w:sz w:val="21"/>
          <w:szCs w:val="21"/>
        </w:rPr>
        <w:alias w:val="环境自行监测方案"/>
        <w:tag w:val="_GBC_b4e9798a403545c5a31116f4a13a92a2"/>
        <w:id w:val="1247618079"/>
      </w:sdtPr>
      <w:sdtEndPr>
        <w:rPr>
          <w:rStyle w:val="afff2"/>
        </w:rPr>
      </w:sdtEndPr>
      <w:sdtContent>
        <w:p w:rsidR="004A3868" w:rsidRDefault="003F1AB5">
          <w:pPr>
            <w:ind w:firstLineChars="200" w:firstLine="420"/>
            <w:rPr>
              <w:rStyle w:val="afff2"/>
              <w:szCs w:val="21"/>
            </w:rPr>
          </w:pPr>
          <w:r>
            <w:rPr>
              <w:rStyle w:val="afff2"/>
              <w:rFonts w:hint="eastAsia"/>
              <w:szCs w:val="21"/>
            </w:rPr>
            <w:t>公司按照排污许可证及排污单位自行监测技术指南的要求，定期开展环保自行监测，并在全国污染源监测信息管理与共享平台、重庆市企事业信息公开平台等信息公开平台发布自行监测信息。公司不断加强监测体系能力建设，通过更新环保监测设备进一步提高环保监测的准确率；改变原有监测管理模式，把监测、分析、整改、跟踪、督促作为环保监测管理的重要职能，做到监测问题的全流程闭环管理。同时按照国家和地方要求，认真开展自行监测，并及时、完整、如实发布自行监测数据及相关信息。报告期内自行监测公布率达</w:t>
          </w:r>
          <w:r>
            <w:rPr>
              <w:rStyle w:val="afff2"/>
              <w:szCs w:val="21"/>
            </w:rPr>
            <w:t>100%。</w:t>
          </w:r>
        </w:p>
      </w:sdtContent>
    </w:sdt>
    <w:p w:rsidR="004A3868" w:rsidRDefault="003F1AB5">
      <w:pPr>
        <w:pStyle w:val="4"/>
        <w:numPr>
          <w:ilvl w:val="0"/>
          <w:numId w:val="31"/>
        </w:numPr>
        <w:rPr>
          <w:szCs w:val="21"/>
        </w:rPr>
      </w:pPr>
      <w:r>
        <w:rPr>
          <w:rFonts w:hint="eastAsia"/>
          <w:szCs w:val="21"/>
        </w:rPr>
        <w:t>报告期内因环境问题受到行政处罚的情况</w:t>
      </w:r>
    </w:p>
    <w:sdt>
      <w:sdtPr>
        <w:rPr>
          <w:sz w:val="21"/>
          <w:szCs w:val="21"/>
        </w:rPr>
        <w:alias w:val="是否适用：报告期内因环境问题受到行政处罚的情况[双击切换]"/>
        <w:tag w:val="_GBC_60b589f1d48b40cdb553a3dca08d1b42"/>
        <w:id w:val="-156698890"/>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31"/>
        </w:numPr>
        <w:rPr>
          <w:szCs w:val="21"/>
        </w:rPr>
      </w:pPr>
      <w:r>
        <w:rPr>
          <w:rFonts w:hint="eastAsia"/>
          <w:szCs w:val="21"/>
        </w:rPr>
        <w:lastRenderedPageBreak/>
        <w:t>其他应当公开的环境信息</w:t>
      </w:r>
    </w:p>
    <w:sdt>
      <w:sdtPr>
        <w:rPr>
          <w:sz w:val="21"/>
          <w:szCs w:val="21"/>
        </w:rPr>
        <w:alias w:val="是否适用：其他应当公开的环境信息[双击切换]"/>
        <w:tag w:val="_GBC_98ced024394941ff987ebfb84f969979"/>
        <w:id w:val="-1348326569"/>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30"/>
        </w:numPr>
      </w:pPr>
      <w:r>
        <w:rPr>
          <w:rFonts w:hint="eastAsia"/>
        </w:rPr>
        <w:t>重点排污单位之外的公司环保情况说明</w:t>
      </w:r>
    </w:p>
    <w:sdt>
      <w:sdtPr>
        <w:rPr>
          <w:sz w:val="21"/>
          <w:szCs w:val="21"/>
        </w:rPr>
        <w:alias w:val="是否适用：重点排污单位之外的公司的环保情况[双击切换]"/>
        <w:tag w:val="_GBC_d5ef790979ae4170801b0e930a2b7445"/>
        <w:id w:val="88045944"/>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30"/>
        </w:numPr>
      </w:pPr>
      <w:r>
        <w:rPr>
          <w:rFonts w:hint="eastAsia"/>
        </w:rPr>
        <w:t>有利于保护生态、防治污染、履行环境责任的相关信息</w:t>
      </w:r>
    </w:p>
    <w:sdt>
      <w:sdtPr>
        <w:rPr>
          <w:sz w:val="21"/>
          <w:szCs w:val="21"/>
        </w:rPr>
        <w:alias w:val="是否适用：有利于保护生态、防治污染、履行环境责任的相关信息[双击切换]"/>
        <w:tag w:val="_GBC_b098ce7912f144edb010c3351255b611"/>
        <w:id w:val="1446735716"/>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30"/>
        </w:numPr>
      </w:pPr>
      <w:r>
        <w:t>在报告期内为减少其碳排放所采取的措施及效果</w:t>
      </w:r>
    </w:p>
    <w:tbl>
      <w:tblPr>
        <w:tblStyle w:val="Style74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621"/>
        <w:gridCol w:w="5202"/>
      </w:tblGrid>
      <w:tr w:rsidR="004A3868">
        <w:trPr>
          <w:trHeight w:val="397"/>
          <w:jc w:val="center"/>
        </w:trPr>
        <w:sdt>
          <w:sdtPr>
            <w:rPr>
              <w:rFonts w:hint="eastAsia"/>
            </w:rPr>
            <w:tag w:val="_PLD_d765fcc12171478eb6ac1d26c3b15d8b"/>
            <w:id w:val="-1152058749"/>
          </w:sdtPr>
          <w:sdtEndPr/>
          <w:sdtContent>
            <w:tc>
              <w:tcPr>
                <w:tcW w:w="2052" w:type="pct"/>
                <w:shd w:val="clear" w:color="auto" w:fill="auto"/>
              </w:tcPr>
              <w:p w:rsidR="004A3868" w:rsidRDefault="003F1AB5">
                <w:pPr>
                  <w:pStyle w:val="33"/>
                </w:pPr>
                <w:r>
                  <w:rPr>
                    <w:rFonts w:hint="eastAsia"/>
                  </w:rPr>
                  <w:t>是否采取减碳措施</w:t>
                </w:r>
              </w:p>
            </w:tc>
          </w:sdtContent>
        </w:sdt>
        <w:sdt>
          <w:sdtPr>
            <w:alias w:val="是否采取减碳措施"/>
            <w:tag w:val="_GBC_d9a1ff3875ac418bab40a855cd584ffd"/>
            <w:id w:val="-732003761"/>
            <w:comboBox>
              <w:listItem w:displayText="是" w:value="是"/>
              <w:listItem w:displayText="否" w:value="否"/>
            </w:comboBox>
          </w:sdtPr>
          <w:sdtEndPr/>
          <w:sdtContent>
            <w:tc>
              <w:tcPr>
                <w:tcW w:w="2948" w:type="pct"/>
                <w:shd w:val="clear" w:color="auto" w:fill="auto"/>
                <w:vAlign w:val="center"/>
              </w:tcPr>
              <w:p w:rsidR="004A3868" w:rsidRDefault="003F1AB5">
                <w:pPr>
                  <w:pStyle w:val="33"/>
                </w:pPr>
                <w:r>
                  <w:t>是</w:t>
                </w:r>
              </w:p>
            </w:tc>
          </w:sdtContent>
        </w:sdt>
      </w:tr>
      <w:tr w:rsidR="004A3868">
        <w:trPr>
          <w:trHeight w:val="397"/>
          <w:jc w:val="center"/>
        </w:trPr>
        <w:tc>
          <w:tcPr>
            <w:tcW w:w="2052" w:type="pct"/>
            <w:shd w:val="clear" w:color="auto" w:fill="auto"/>
          </w:tcPr>
          <w:p w:rsidR="004A3868" w:rsidRDefault="003F1AB5">
            <w:pPr>
              <w:pStyle w:val="33"/>
            </w:pPr>
            <w:r>
              <w:rPr>
                <w:rFonts w:hint="eastAsia"/>
              </w:rPr>
              <w:t>减少排放二氧化碳当量（单位：吨）</w:t>
            </w:r>
          </w:p>
        </w:tc>
        <w:tc>
          <w:tcPr>
            <w:tcW w:w="2948" w:type="pct"/>
            <w:shd w:val="clear" w:color="auto" w:fill="auto"/>
            <w:vAlign w:val="center"/>
          </w:tcPr>
          <w:p w:rsidR="004A3868" w:rsidRDefault="003F1AB5">
            <w:pPr>
              <w:pStyle w:val="33"/>
            </w:pPr>
            <w:r>
              <w:t>4,287</w:t>
            </w:r>
          </w:p>
        </w:tc>
      </w:tr>
      <w:tr w:rsidR="004A3868">
        <w:trPr>
          <w:trHeight w:val="397"/>
          <w:jc w:val="center"/>
        </w:trPr>
        <w:tc>
          <w:tcPr>
            <w:tcW w:w="2052" w:type="pct"/>
            <w:shd w:val="clear" w:color="auto" w:fill="auto"/>
          </w:tcPr>
          <w:p w:rsidR="004A3868" w:rsidRDefault="003F1AB5">
            <w:pPr>
              <w:pStyle w:val="33"/>
            </w:pPr>
            <w:r>
              <w:rPr>
                <w:rFonts w:hint="eastAsia"/>
              </w:rPr>
              <w:t>减碳措施类型（如使用清洁能源发电、在生产过程中使用减碳技术、研发生产助于减碳的新产品等）</w:t>
            </w:r>
          </w:p>
        </w:tc>
        <w:tc>
          <w:tcPr>
            <w:tcW w:w="2948" w:type="pct"/>
            <w:shd w:val="clear" w:color="auto" w:fill="auto"/>
            <w:vAlign w:val="center"/>
          </w:tcPr>
          <w:p w:rsidR="004A3868" w:rsidRDefault="003F1AB5">
            <w:pPr>
              <w:pStyle w:val="33"/>
            </w:pPr>
            <w:r>
              <w:rPr>
                <w:rFonts w:hint="eastAsia"/>
              </w:rPr>
              <w:t>自有工厂屋顶光伏发电</w:t>
            </w:r>
          </w:p>
        </w:tc>
      </w:tr>
    </w:tbl>
    <w:p w:rsidR="004A3868" w:rsidRDefault="004A3868">
      <w:pPr>
        <w:pStyle w:val="33"/>
      </w:pPr>
    </w:p>
    <w:p w:rsidR="004A3868" w:rsidRDefault="003F1AB5">
      <w:pPr>
        <w:pStyle w:val="Style842"/>
      </w:pPr>
      <w:r>
        <w:rPr>
          <w:rFonts w:hint="eastAsia"/>
        </w:rPr>
        <w:t>具体说明</w:t>
      </w:r>
    </w:p>
    <w:sdt>
      <w:sdtPr>
        <w:alias w:val="是否适用：在报告期内为减少其碳排放所采取的措施及效果 [双击切换]"/>
        <w:tag w:val="_GBC_c548c6cdcee840f1b99e9992b9199dfc"/>
        <w:id w:val="1815452043"/>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在报告期内为减少其碳排放所采取的措施及效果 "/>
        <w:tag w:val="_GBC_ca4174c323bb40d9bffbaa1df2f9a6e3"/>
        <w:id w:val="-712190292"/>
        <w:placeholder>
          <w:docPart w:val="GBC22222222222222222222222222222"/>
        </w:placeholder>
      </w:sdtPr>
      <w:sdtEndPr/>
      <w:sdtContent>
        <w:p w:rsidR="004A3868" w:rsidRDefault="003F1AB5">
          <w:pPr>
            <w:pStyle w:val="afff1"/>
            <w:ind w:firstLine="420"/>
            <w:rPr>
              <w:szCs w:val="21"/>
            </w:rPr>
          </w:pPr>
          <w:r>
            <w:rPr>
              <w:rFonts w:hint="eastAsia"/>
              <w:szCs w:val="21"/>
            </w:rPr>
            <w:t>自有工厂屋顶光伏发电和储能项目</w:t>
          </w:r>
        </w:p>
        <w:p w:rsidR="004A3868" w:rsidRDefault="003F1AB5">
          <w:pPr>
            <w:pStyle w:val="afff1"/>
            <w:ind w:firstLine="420"/>
            <w:rPr>
              <w:szCs w:val="21"/>
            </w:rPr>
          </w:pPr>
          <w:r>
            <w:rPr>
              <w:rFonts w:hint="eastAsia"/>
              <w:szCs w:val="21"/>
            </w:rPr>
            <w:t>（</w:t>
          </w:r>
          <w:r>
            <w:rPr>
              <w:szCs w:val="21"/>
            </w:rPr>
            <w:t>1）2023年投运的C区1#、3#厂房和D区1#、2#厂房年发电量为430.15万kwh，节约1,410.88吨标准煤，减少污染排放1,169.99吨碳粉尘、4,288.56吨二氧化碳、129.04吨二氧化硫、64.52吨氮氧化物；</w:t>
          </w:r>
        </w:p>
        <w:p w:rsidR="004A3868" w:rsidRDefault="003F1AB5">
          <w:pPr>
            <w:pStyle w:val="afff1"/>
            <w:ind w:firstLine="420"/>
            <w:rPr>
              <w:szCs w:val="21"/>
            </w:rPr>
          </w:pPr>
          <w:r>
            <w:rPr>
              <w:rFonts w:hint="eastAsia"/>
              <w:szCs w:val="21"/>
            </w:rPr>
            <w:t>（</w:t>
          </w:r>
          <w:r>
            <w:rPr>
              <w:szCs w:val="21"/>
            </w:rPr>
            <w:t>2）2023年建成投运的5MW/16.40MWh储能项目已实现调峰用电303.64</w:t>
          </w:r>
          <w:r>
            <w:rPr>
              <w:rFonts w:hint="eastAsia"/>
              <w:szCs w:val="21"/>
            </w:rPr>
            <w:t>万</w:t>
          </w:r>
          <w:r>
            <w:rPr>
              <w:szCs w:val="21"/>
            </w:rPr>
            <w:t>kwh，在企业能源成本节约、用电负荷缓解、电网削峰填谷、降低电网冲击、设备寿命延长、用电持续稳定等方面多有成效。</w:t>
          </w:r>
        </w:p>
        <w:p w:rsidR="004A3868" w:rsidRDefault="003F1AB5">
          <w:pPr>
            <w:pStyle w:val="afff1"/>
            <w:ind w:firstLine="420"/>
            <w:rPr>
              <w:szCs w:val="21"/>
            </w:rPr>
          </w:pPr>
          <w:r>
            <w:rPr>
              <w:rFonts w:hint="eastAsia"/>
              <w:szCs w:val="21"/>
            </w:rPr>
            <w:t>（</w:t>
          </w:r>
          <w:r>
            <w:rPr>
              <w:szCs w:val="21"/>
            </w:rPr>
            <w:t>3）预计2024年光伏年发电量达到750万kwh，可节约2,460吨标准煤，减少污染排放2,040吨碳粉尘、7,478吨二氧化碳、225吨二氧化硫和113吨氮氧化物。</w:t>
          </w:r>
        </w:p>
      </w:sdtContent>
    </w:sdt>
    <w:p w:rsidR="004A3868" w:rsidRDefault="003F1AB5">
      <w:pPr>
        <w:pStyle w:val="2"/>
        <w:numPr>
          <w:ilvl w:val="0"/>
          <w:numId w:val="29"/>
        </w:numPr>
      </w:pPr>
      <w:r>
        <w:t>社会责任工作情况</w:t>
      </w:r>
    </w:p>
    <w:p w:rsidR="004A3868" w:rsidRDefault="003F1AB5">
      <w:pPr>
        <w:pStyle w:val="Style127"/>
        <w:numPr>
          <w:ilvl w:val="0"/>
          <w:numId w:val="32"/>
        </w:numPr>
      </w:pPr>
      <w:r>
        <w:rPr>
          <w:rFonts w:hint="eastAsia"/>
        </w:rPr>
        <w:t>是否单独披露社会责任报告、可持续发展报告或</w:t>
      </w:r>
      <w:r>
        <w:rPr>
          <w:rFonts w:hint="eastAsia"/>
        </w:rPr>
        <w:t>ESG</w:t>
      </w:r>
      <w:r>
        <w:rPr>
          <w:rFonts w:hint="eastAsia"/>
        </w:rPr>
        <w:t>报告</w:t>
      </w:r>
    </w:p>
    <w:sdt>
      <w:sdtPr>
        <w:rPr>
          <w:sz w:val="21"/>
          <w:szCs w:val="21"/>
        </w:rPr>
        <w:alias w:val="是否适用：是否单独披露社会责任报告、可持续发展报告或ESG报告[双击切换]"/>
        <w:tag w:val="_GBC_9e7dd53d4e6f44ea9f272442eb9babac"/>
        <w:id w:val="-9440411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32"/>
        </w:numPr>
      </w:pPr>
      <w:r>
        <w:rPr>
          <w:rFonts w:hint="eastAsia"/>
        </w:rPr>
        <w:t>社会责任工作具体情况</w:t>
      </w:r>
    </w:p>
    <w:sdt>
      <w:sdtPr>
        <w:rPr>
          <w:sz w:val="21"/>
          <w:szCs w:val="21"/>
        </w:rPr>
        <w:alias w:val="是否适用：社会责任工作具体情况[双击切换]"/>
        <w:tag w:val="_GBC_2bbbff88e2744d6dbb21a0a502bf51cf"/>
        <w:id w:val="158179206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tbl>
      <w:tblPr>
        <w:tblStyle w:val="Style74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41"/>
        <w:gridCol w:w="2279"/>
        <w:gridCol w:w="3603"/>
      </w:tblGrid>
      <w:tr w:rsidR="004A3868">
        <w:trPr>
          <w:trHeight w:val="397"/>
          <w:jc w:val="center"/>
        </w:trPr>
        <w:sdt>
          <w:sdtPr>
            <w:rPr>
              <w:rFonts w:hint="eastAsia"/>
            </w:rPr>
            <w:tag w:val="_PLD_8ccd1f20d787452283cca30b8be75dc8"/>
            <w:id w:val="-641279485"/>
          </w:sdtPr>
          <w:sdtEndPr/>
          <w:sdtContent>
            <w:tc>
              <w:tcPr>
                <w:tcW w:w="1666" w:type="pct"/>
                <w:shd w:val="clear" w:color="auto" w:fill="auto"/>
                <w:vAlign w:val="center"/>
              </w:tcPr>
              <w:p w:rsidR="004A3868" w:rsidRDefault="003F1AB5">
                <w:pPr>
                  <w:pStyle w:val="afffb"/>
                </w:pPr>
                <w:r>
                  <w:rPr>
                    <w:rFonts w:hint="eastAsia"/>
                  </w:rPr>
                  <w:t>对外捐赠、公益项目</w:t>
                </w:r>
              </w:p>
            </w:tc>
          </w:sdtContent>
        </w:sdt>
        <w:sdt>
          <w:sdtPr>
            <w:rPr>
              <w:rFonts w:hint="eastAsia"/>
            </w:rPr>
            <w:tag w:val="_PLD_8451b9cc95c641c39056391d3348179e"/>
            <w:id w:val="-57868874"/>
          </w:sdtPr>
          <w:sdtEndPr/>
          <w:sdtContent>
            <w:tc>
              <w:tcPr>
                <w:tcW w:w="1291" w:type="pct"/>
                <w:shd w:val="clear" w:color="auto" w:fill="auto"/>
                <w:vAlign w:val="center"/>
              </w:tcPr>
              <w:p w:rsidR="004A3868" w:rsidRDefault="003F1AB5">
                <w:pPr>
                  <w:pStyle w:val="afffb"/>
                </w:pPr>
                <w:r>
                  <w:rPr>
                    <w:rFonts w:hint="eastAsia"/>
                  </w:rPr>
                  <w:t>数量/内容</w:t>
                </w:r>
              </w:p>
            </w:tc>
          </w:sdtContent>
        </w:sdt>
        <w:sdt>
          <w:sdtPr>
            <w:rPr>
              <w:rFonts w:hint="eastAsia"/>
            </w:rPr>
            <w:tag w:val="_PLD_681dc2272e304ef499f420c283e82d02"/>
            <w:id w:val="-1928103116"/>
          </w:sdtPr>
          <w:sdtEndPr/>
          <w:sdtContent>
            <w:tc>
              <w:tcPr>
                <w:tcW w:w="2042" w:type="pct"/>
                <w:shd w:val="clear" w:color="auto" w:fill="auto"/>
                <w:vAlign w:val="center"/>
              </w:tcPr>
              <w:p w:rsidR="004A3868" w:rsidRDefault="003F1AB5">
                <w:pPr>
                  <w:pStyle w:val="afffb"/>
                </w:pPr>
                <w:r>
                  <w:rPr>
                    <w:rFonts w:hint="eastAsia"/>
                  </w:rPr>
                  <w:t>情况说明</w:t>
                </w:r>
              </w:p>
            </w:tc>
          </w:sdtContent>
        </w:sdt>
      </w:tr>
      <w:tr w:rsidR="004A3868">
        <w:trPr>
          <w:trHeight w:val="397"/>
          <w:jc w:val="center"/>
        </w:trPr>
        <w:tc>
          <w:tcPr>
            <w:tcW w:w="1666" w:type="pct"/>
            <w:shd w:val="clear" w:color="auto" w:fill="auto"/>
            <w:vAlign w:val="center"/>
          </w:tcPr>
          <w:p w:rsidR="004A3868" w:rsidRDefault="003F1AB5">
            <w:pPr>
              <w:pStyle w:val="afff9"/>
            </w:pPr>
            <w:r>
              <w:rPr>
                <w:rFonts w:hint="eastAsia"/>
              </w:rPr>
              <w:t>总投入（万元）</w:t>
            </w:r>
          </w:p>
        </w:tc>
        <w:tc>
          <w:tcPr>
            <w:tcW w:w="1291" w:type="pct"/>
            <w:shd w:val="clear" w:color="auto" w:fill="auto"/>
            <w:vAlign w:val="center"/>
          </w:tcPr>
          <w:p w:rsidR="004A3868" w:rsidRDefault="003F1AB5">
            <w:pPr>
              <w:pStyle w:val="afff7"/>
            </w:pPr>
            <w:r>
              <w:t>275.70</w:t>
            </w:r>
          </w:p>
        </w:tc>
        <w:tc>
          <w:tcPr>
            <w:tcW w:w="2042" w:type="pct"/>
            <w:shd w:val="clear" w:color="auto" w:fill="auto"/>
            <w:vAlign w:val="center"/>
          </w:tcPr>
          <w:p w:rsidR="004A3868" w:rsidRDefault="003F1AB5">
            <w:pPr>
              <w:pStyle w:val="33"/>
            </w:pPr>
            <w:r>
              <w:rPr>
                <w:rFonts w:hint="eastAsia"/>
              </w:rPr>
              <w:t>-</w:t>
            </w:r>
          </w:p>
        </w:tc>
      </w:tr>
      <w:tr w:rsidR="004A3868">
        <w:trPr>
          <w:trHeight w:val="397"/>
          <w:jc w:val="center"/>
        </w:trPr>
        <w:tc>
          <w:tcPr>
            <w:tcW w:w="1666" w:type="pct"/>
            <w:shd w:val="clear" w:color="auto" w:fill="auto"/>
            <w:vAlign w:val="center"/>
          </w:tcPr>
          <w:p w:rsidR="004A3868" w:rsidRDefault="003F1AB5">
            <w:pPr>
              <w:pStyle w:val="afff9"/>
            </w:pPr>
            <w:r>
              <w:t xml:space="preserve">    </w:t>
            </w:r>
            <w:r>
              <w:rPr>
                <w:rFonts w:hint="eastAsia"/>
              </w:rPr>
              <w:t>其中：资金（万元）</w:t>
            </w:r>
          </w:p>
        </w:tc>
        <w:tc>
          <w:tcPr>
            <w:tcW w:w="1291" w:type="pct"/>
            <w:shd w:val="clear" w:color="auto" w:fill="auto"/>
            <w:vAlign w:val="center"/>
          </w:tcPr>
          <w:p w:rsidR="004A3868" w:rsidRDefault="003F1AB5">
            <w:pPr>
              <w:pStyle w:val="afff7"/>
            </w:pPr>
            <w:r>
              <w:t>275.70</w:t>
            </w:r>
          </w:p>
        </w:tc>
        <w:tc>
          <w:tcPr>
            <w:tcW w:w="2042" w:type="pct"/>
            <w:shd w:val="clear" w:color="auto" w:fill="auto"/>
            <w:vAlign w:val="center"/>
          </w:tcPr>
          <w:p w:rsidR="004A3868" w:rsidRDefault="003F1AB5">
            <w:pPr>
              <w:pStyle w:val="afff9"/>
            </w:pPr>
            <w:r>
              <w:rPr>
                <w:rFonts w:hint="eastAsia"/>
              </w:rPr>
              <w:t>重庆市丰都教育奖励扶助基金会</w:t>
            </w:r>
            <w:r>
              <w:t>50</w:t>
            </w:r>
            <w:r>
              <w:t>万元，重庆市慈善总会定向捐赠</w:t>
            </w:r>
            <w:r>
              <w:t>225</w:t>
            </w:r>
            <w:r>
              <w:t>万元，重庆市长寿区慈善会</w:t>
            </w:r>
            <w:r>
              <w:t>0.7</w:t>
            </w:r>
            <w:r>
              <w:t>万元。</w:t>
            </w:r>
          </w:p>
        </w:tc>
      </w:tr>
      <w:tr w:rsidR="004A3868">
        <w:trPr>
          <w:trHeight w:val="397"/>
          <w:jc w:val="center"/>
        </w:trPr>
        <w:tc>
          <w:tcPr>
            <w:tcW w:w="1666" w:type="pct"/>
            <w:shd w:val="clear" w:color="auto" w:fill="auto"/>
            <w:vAlign w:val="center"/>
          </w:tcPr>
          <w:p w:rsidR="004A3868" w:rsidRDefault="003F1AB5">
            <w:pPr>
              <w:pStyle w:val="afff9"/>
            </w:pPr>
            <w:r>
              <w:rPr>
                <w:rFonts w:hint="eastAsia"/>
              </w:rPr>
              <w:t xml:space="preserve"> </w:t>
            </w:r>
            <w:r>
              <w:t xml:space="preserve">   </w:t>
            </w:r>
            <w:r>
              <w:rPr>
                <w:rFonts w:hint="eastAsia"/>
              </w:rPr>
              <w:t>物资折款（万元）</w:t>
            </w:r>
          </w:p>
        </w:tc>
        <w:tc>
          <w:tcPr>
            <w:tcW w:w="1291" w:type="pct"/>
            <w:shd w:val="clear" w:color="auto" w:fill="auto"/>
            <w:vAlign w:val="center"/>
          </w:tcPr>
          <w:p w:rsidR="004A3868" w:rsidRDefault="003F1AB5">
            <w:pPr>
              <w:pStyle w:val="afff9"/>
            </w:pPr>
            <w:r>
              <w:rPr>
                <w:rFonts w:hint="eastAsia"/>
              </w:rPr>
              <w:t>不适用</w:t>
            </w:r>
          </w:p>
        </w:tc>
        <w:tc>
          <w:tcPr>
            <w:tcW w:w="2042" w:type="pct"/>
            <w:shd w:val="clear" w:color="auto" w:fill="auto"/>
            <w:vAlign w:val="center"/>
          </w:tcPr>
          <w:p w:rsidR="004A3868" w:rsidRDefault="003F1AB5">
            <w:pPr>
              <w:pStyle w:val="33"/>
            </w:pPr>
            <w:r>
              <w:t>-</w:t>
            </w:r>
          </w:p>
        </w:tc>
      </w:tr>
      <w:tr w:rsidR="004A3868">
        <w:trPr>
          <w:trHeight w:val="397"/>
          <w:jc w:val="center"/>
        </w:trPr>
        <w:tc>
          <w:tcPr>
            <w:tcW w:w="1666" w:type="pct"/>
            <w:shd w:val="clear" w:color="auto" w:fill="auto"/>
            <w:vAlign w:val="center"/>
          </w:tcPr>
          <w:p w:rsidR="004A3868" w:rsidRDefault="003F1AB5">
            <w:pPr>
              <w:pStyle w:val="afff9"/>
            </w:pPr>
            <w:r>
              <w:rPr>
                <w:rFonts w:hint="eastAsia"/>
              </w:rPr>
              <w:lastRenderedPageBreak/>
              <w:t>惠及人数（人）</w:t>
            </w:r>
          </w:p>
        </w:tc>
        <w:tc>
          <w:tcPr>
            <w:tcW w:w="1291" w:type="pct"/>
            <w:shd w:val="clear" w:color="auto" w:fill="auto"/>
            <w:vAlign w:val="center"/>
          </w:tcPr>
          <w:p w:rsidR="004A3868" w:rsidRDefault="003F1AB5">
            <w:pPr>
              <w:pStyle w:val="afff9"/>
            </w:pPr>
            <w:r>
              <w:rPr>
                <w:rFonts w:hint="eastAsia"/>
              </w:rPr>
              <w:t>不适用</w:t>
            </w:r>
          </w:p>
        </w:tc>
        <w:tc>
          <w:tcPr>
            <w:tcW w:w="2042" w:type="pct"/>
            <w:shd w:val="clear" w:color="auto" w:fill="auto"/>
            <w:vAlign w:val="center"/>
          </w:tcPr>
          <w:p w:rsidR="004A3868" w:rsidRDefault="003F1AB5">
            <w:pPr>
              <w:pStyle w:val="33"/>
            </w:pPr>
            <w:r>
              <w:t>-</w:t>
            </w:r>
          </w:p>
        </w:tc>
      </w:tr>
    </w:tbl>
    <w:p w:rsidR="004A3868" w:rsidRDefault="004A3868">
      <w:pPr>
        <w:rPr>
          <w:sz w:val="21"/>
          <w:szCs w:val="21"/>
        </w:rPr>
      </w:pPr>
    </w:p>
    <w:p w:rsidR="004A3868" w:rsidRDefault="003F1AB5">
      <w:pPr>
        <w:rPr>
          <w:sz w:val="21"/>
          <w:szCs w:val="21"/>
        </w:rPr>
      </w:pPr>
      <w:r>
        <w:rPr>
          <w:rFonts w:hint="eastAsia"/>
          <w:sz w:val="21"/>
          <w:szCs w:val="21"/>
        </w:rPr>
        <w:t>具体说明</w:t>
      </w:r>
    </w:p>
    <w:sdt>
      <w:sdtPr>
        <w:rPr>
          <w:rFonts w:hint="eastAsia"/>
          <w:sz w:val="21"/>
          <w:szCs w:val="21"/>
        </w:rPr>
        <w:alias w:val="是否适用：社会责任工作情况[双击切换]"/>
        <w:tag w:val="_GBC_193e5fab56724eddabaa8d0d74a4b129"/>
        <w:id w:val="-96095753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2"/>
        <w:numPr>
          <w:ilvl w:val="0"/>
          <w:numId w:val="29"/>
        </w:numPr>
      </w:pPr>
      <w:r>
        <w:rPr>
          <w:rFonts w:hint="eastAsia"/>
        </w:rPr>
        <w:t>巩固拓展脱贫攻坚成果、乡村振兴等工作具体情况</w:t>
      </w:r>
    </w:p>
    <w:sdt>
      <w:sdtPr>
        <w:rPr>
          <w:sz w:val="21"/>
          <w:szCs w:val="21"/>
        </w:rPr>
        <w:alias w:val="是否适用：巩固拓展脱贫攻坚成果、乡村振兴工作具体情况[双击切换]"/>
        <w:tag w:val="_GBC_94f5c59c87964f1f83743f3f44109e91"/>
        <w:id w:val="-2146190085"/>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sz w:val="21"/>
          <w:szCs w:val="21"/>
        </w:rPr>
        <w:t>具体说明</w:t>
      </w:r>
    </w:p>
    <w:sdt>
      <w:sdtPr>
        <w:rPr>
          <w:sz w:val="21"/>
          <w:szCs w:val="21"/>
        </w:rPr>
        <w:alias w:val="是否适用：巩固拓展脱贫攻坚成果、乡村振兴等工作具体情况其他说明[双击切换]"/>
        <w:tag w:val="_GBC_da0a87234d174e509f00e24b4a8320dc"/>
        <w:id w:val="1618032677"/>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4A3868">
      <w:pPr>
        <w:pStyle w:val="Style331"/>
        <w:rPr>
          <w:sz w:val="21"/>
          <w:szCs w:val="21"/>
        </w:rPr>
      </w:pPr>
    </w:p>
    <w:p w:rsidR="004A3868" w:rsidRDefault="004A3868">
      <w:pPr>
        <w:sectPr w:rsidR="004A3868">
          <w:pgSz w:w="11906" w:h="16838"/>
          <w:pgMar w:top="1525" w:right="1276" w:bottom="1440" w:left="1797" w:header="851" w:footer="992" w:gutter="0"/>
          <w:cols w:space="425"/>
          <w:docGrid w:linePitch="312"/>
        </w:sectPr>
      </w:pPr>
    </w:p>
    <w:bookmarkEnd w:id="60"/>
    <w:p w:rsidR="004A3868" w:rsidRDefault="004A3868">
      <w:pPr>
        <w:pStyle w:val="Style331"/>
      </w:pPr>
    </w:p>
    <w:p w:rsidR="004A3868" w:rsidRDefault="003F1AB5">
      <w:pPr>
        <w:pStyle w:val="1"/>
      </w:pPr>
      <w:bookmarkStart w:id="62" w:name="_Toc164947205"/>
      <w:bookmarkStart w:id="63" w:name="_Hlk90554245"/>
      <w:r>
        <w:rPr>
          <w:rFonts w:hint="eastAsia"/>
        </w:rPr>
        <w:t>重要事项</w:t>
      </w:r>
      <w:bookmarkEnd w:id="62"/>
    </w:p>
    <w:p w:rsidR="004A3868" w:rsidRDefault="003F1AB5">
      <w:pPr>
        <w:pStyle w:val="2"/>
        <w:numPr>
          <w:ilvl w:val="0"/>
          <w:numId w:val="33"/>
        </w:numPr>
      </w:pPr>
      <w:r>
        <w:rPr>
          <w:rFonts w:hint="eastAsia"/>
        </w:rPr>
        <w:t>承诺事项履行情况</w:t>
      </w:r>
    </w:p>
    <w:p w:rsidR="004A3868" w:rsidRDefault="003F1AB5">
      <w:pPr>
        <w:pStyle w:val="Style127"/>
        <w:numPr>
          <w:ilvl w:val="1"/>
          <w:numId w:val="34"/>
        </w:numPr>
      </w:pPr>
      <w:r>
        <w:rPr>
          <w:rFonts w:hint="eastAsia"/>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801583549"/>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890"/>
        <w:gridCol w:w="1123"/>
        <w:gridCol w:w="2218"/>
        <w:gridCol w:w="1206"/>
        <w:gridCol w:w="1237"/>
        <w:gridCol w:w="1237"/>
        <w:gridCol w:w="1217"/>
        <w:gridCol w:w="1217"/>
        <w:gridCol w:w="1403"/>
        <w:gridCol w:w="1115"/>
      </w:tblGrid>
      <w:tr w:rsidR="004A3868">
        <w:trPr>
          <w:trHeight w:val="397"/>
          <w:jc w:val="center"/>
        </w:trPr>
        <w:sdt>
          <w:sdtPr>
            <w:tag w:val="_PLD_415cfb23b46b41fba9f0b895a1088fd6"/>
            <w:id w:val="1828312392"/>
          </w:sdtPr>
          <w:sdtEndPr/>
          <w:sdtContent>
            <w:tc>
              <w:tcPr>
                <w:tcW w:w="682" w:type="pct"/>
                <w:shd w:val="clear" w:color="auto" w:fill="auto"/>
                <w:vAlign w:val="center"/>
              </w:tcPr>
              <w:p w:rsidR="004A3868" w:rsidRDefault="003F1AB5">
                <w:pPr>
                  <w:pStyle w:val="afffb"/>
                </w:pPr>
                <w:r>
                  <w:rPr>
                    <w:rFonts w:hint="eastAsia"/>
                  </w:rPr>
                  <w:t>承诺背景</w:t>
                </w:r>
              </w:p>
            </w:tc>
          </w:sdtContent>
        </w:sdt>
        <w:sdt>
          <w:sdtPr>
            <w:tag w:val="_PLD_6d89eb5533974f2f9b788e2563589a7c"/>
            <w:id w:val="-1524708486"/>
          </w:sdtPr>
          <w:sdtEndPr/>
          <w:sdtContent>
            <w:tc>
              <w:tcPr>
                <w:tcW w:w="405" w:type="pct"/>
                <w:shd w:val="clear" w:color="auto" w:fill="auto"/>
                <w:vAlign w:val="center"/>
              </w:tcPr>
              <w:p w:rsidR="004A3868" w:rsidRDefault="003F1AB5">
                <w:pPr>
                  <w:pStyle w:val="afffb"/>
                </w:pPr>
                <w:r>
                  <w:rPr>
                    <w:rFonts w:hint="eastAsia"/>
                  </w:rPr>
                  <w:t>承诺</w:t>
                </w:r>
              </w:p>
              <w:p w:rsidR="004A3868" w:rsidRDefault="003F1AB5">
                <w:pPr>
                  <w:pStyle w:val="afffb"/>
                </w:pPr>
                <w:r>
                  <w:rPr>
                    <w:rFonts w:hint="eastAsia"/>
                  </w:rPr>
                  <w:t>类型</w:t>
                </w:r>
              </w:p>
            </w:tc>
          </w:sdtContent>
        </w:sdt>
        <w:sdt>
          <w:sdtPr>
            <w:tag w:val="_PLD_4e3459cf954648c5ade489d7f239c9b2"/>
            <w:id w:val="1866405913"/>
          </w:sdtPr>
          <w:sdtEndPr/>
          <w:sdtContent>
            <w:tc>
              <w:tcPr>
                <w:tcW w:w="800" w:type="pct"/>
                <w:shd w:val="clear" w:color="auto" w:fill="auto"/>
                <w:vAlign w:val="center"/>
              </w:tcPr>
              <w:p w:rsidR="004A3868" w:rsidRDefault="003F1AB5">
                <w:pPr>
                  <w:pStyle w:val="afffb"/>
                </w:pPr>
                <w:r>
                  <w:rPr>
                    <w:rFonts w:hint="eastAsia"/>
                  </w:rPr>
                  <w:t>承诺方</w:t>
                </w:r>
              </w:p>
            </w:tc>
          </w:sdtContent>
        </w:sdt>
        <w:sdt>
          <w:sdtPr>
            <w:tag w:val="_PLD_b7ba969a5a9f484b969e33829f8fee27"/>
            <w:id w:val="-713197930"/>
          </w:sdtPr>
          <w:sdtEndPr/>
          <w:sdtContent>
            <w:tc>
              <w:tcPr>
                <w:tcW w:w="435" w:type="pct"/>
                <w:shd w:val="clear" w:color="auto" w:fill="auto"/>
                <w:vAlign w:val="center"/>
              </w:tcPr>
              <w:p w:rsidR="004A3868" w:rsidRDefault="003F1AB5">
                <w:pPr>
                  <w:pStyle w:val="afffb"/>
                </w:pPr>
                <w:r>
                  <w:rPr>
                    <w:rFonts w:hint="eastAsia"/>
                  </w:rPr>
                  <w:t>承诺</w:t>
                </w:r>
              </w:p>
              <w:p w:rsidR="004A3868" w:rsidRDefault="003F1AB5">
                <w:pPr>
                  <w:pStyle w:val="afffb"/>
                </w:pPr>
                <w:r>
                  <w:rPr>
                    <w:rFonts w:hint="eastAsia"/>
                  </w:rPr>
                  <w:t>内容</w:t>
                </w:r>
              </w:p>
            </w:tc>
          </w:sdtContent>
        </w:sdt>
        <w:sdt>
          <w:sdtPr>
            <w:rPr>
              <w:rFonts w:hint="eastAsia"/>
            </w:rPr>
            <w:tag w:val="_PLD_080af5a89fc040bc90935cec09ab2cd1"/>
            <w:id w:val="-1559623402"/>
          </w:sdtPr>
          <w:sdtEndPr/>
          <w:sdtContent>
            <w:tc>
              <w:tcPr>
                <w:tcW w:w="446" w:type="pct"/>
                <w:vAlign w:val="center"/>
              </w:tcPr>
              <w:p w:rsidR="004A3868" w:rsidRDefault="003F1AB5">
                <w:pPr>
                  <w:pStyle w:val="afffb"/>
                </w:pPr>
                <w:r>
                  <w:rPr>
                    <w:rFonts w:hint="eastAsia"/>
                  </w:rPr>
                  <w:t>承诺时间</w:t>
                </w:r>
              </w:p>
            </w:tc>
          </w:sdtContent>
        </w:sdt>
        <w:sdt>
          <w:sdtPr>
            <w:tag w:val="_PLD_81953845df7c406091c017485ffe89d0"/>
            <w:id w:val="-735477727"/>
          </w:sdtPr>
          <w:sdtEndPr/>
          <w:sdtContent>
            <w:tc>
              <w:tcPr>
                <w:tcW w:w="446" w:type="pct"/>
                <w:shd w:val="clear" w:color="auto" w:fill="auto"/>
                <w:vAlign w:val="center"/>
              </w:tcPr>
              <w:p w:rsidR="004A3868" w:rsidRDefault="003F1AB5">
                <w:pPr>
                  <w:pStyle w:val="afffb"/>
                </w:pPr>
                <w:r>
                  <w:rPr>
                    <w:rFonts w:hint="eastAsia"/>
                  </w:rPr>
                  <w:t>是否有履行期限</w:t>
                </w:r>
              </w:p>
            </w:tc>
          </w:sdtContent>
        </w:sdt>
        <w:sdt>
          <w:sdtPr>
            <w:rPr>
              <w:rFonts w:hint="eastAsia"/>
            </w:rPr>
            <w:tag w:val="_PLD_95bd18790c864943ab7728a2218411a4"/>
            <w:id w:val="-811632511"/>
          </w:sdtPr>
          <w:sdtEndPr/>
          <w:sdtContent>
            <w:tc>
              <w:tcPr>
                <w:tcW w:w="439" w:type="pct"/>
                <w:vAlign w:val="center"/>
              </w:tcPr>
              <w:p w:rsidR="004A3868" w:rsidRDefault="003F1AB5">
                <w:pPr>
                  <w:pStyle w:val="afffb"/>
                </w:pPr>
                <w:r>
                  <w:rPr>
                    <w:rFonts w:hint="eastAsia"/>
                  </w:rPr>
                  <w:t>承诺期限</w:t>
                </w:r>
              </w:p>
            </w:tc>
          </w:sdtContent>
        </w:sdt>
        <w:sdt>
          <w:sdtPr>
            <w:tag w:val="_PLD_f70c8d8e3e374db7a8e212809462bcc0"/>
            <w:id w:val="1049880925"/>
          </w:sdtPr>
          <w:sdtEndPr/>
          <w:sdtContent>
            <w:tc>
              <w:tcPr>
                <w:tcW w:w="439" w:type="pct"/>
                <w:shd w:val="clear" w:color="auto" w:fill="auto"/>
                <w:vAlign w:val="center"/>
              </w:tcPr>
              <w:p w:rsidR="004A3868" w:rsidRDefault="003F1AB5">
                <w:pPr>
                  <w:pStyle w:val="afffb"/>
                </w:pPr>
                <w:r>
                  <w:rPr>
                    <w:rFonts w:hint="eastAsia"/>
                  </w:rPr>
                  <w:t>是否及时严格履行</w:t>
                </w:r>
              </w:p>
            </w:tc>
          </w:sdtContent>
        </w:sdt>
        <w:sdt>
          <w:sdtPr>
            <w:tag w:val="_PLD_30da9c1a74564266bdab010410b3cfc4"/>
            <w:id w:val="-287819020"/>
          </w:sdtPr>
          <w:sdtEndPr/>
          <w:sdtContent>
            <w:tc>
              <w:tcPr>
                <w:tcW w:w="506" w:type="pct"/>
                <w:shd w:val="clear" w:color="auto" w:fill="auto"/>
                <w:vAlign w:val="center"/>
              </w:tcPr>
              <w:p w:rsidR="004A3868" w:rsidRDefault="003F1AB5">
                <w:pPr>
                  <w:pStyle w:val="afffb"/>
                </w:pPr>
                <w:r>
                  <w:rPr>
                    <w:rFonts w:hint="eastAsia"/>
                  </w:rPr>
                  <w:t>如未能及时履行应说明未完成履行的具体原因</w:t>
                </w:r>
              </w:p>
            </w:tc>
          </w:sdtContent>
        </w:sdt>
        <w:sdt>
          <w:sdtPr>
            <w:tag w:val="_PLD_885166d72adc442aaa68aa0f496582ae"/>
            <w:id w:val="-328371124"/>
          </w:sdtPr>
          <w:sdtEndPr/>
          <w:sdtContent>
            <w:tc>
              <w:tcPr>
                <w:tcW w:w="403" w:type="pct"/>
                <w:shd w:val="clear" w:color="auto" w:fill="auto"/>
                <w:vAlign w:val="center"/>
              </w:tcPr>
              <w:p w:rsidR="004A3868" w:rsidRDefault="003F1AB5">
                <w:pPr>
                  <w:pStyle w:val="afffb"/>
                </w:pPr>
                <w:r>
                  <w:rPr>
                    <w:rFonts w:hint="eastAsia"/>
                  </w:rPr>
                  <w:t>如未能及时履行应说明下一步计划</w:t>
                </w:r>
              </w:p>
            </w:tc>
          </w:sdtContent>
        </w:sdt>
      </w:tr>
      <w:tr w:rsidR="004A3868">
        <w:trPr>
          <w:trHeight w:val="397"/>
          <w:jc w:val="center"/>
        </w:trPr>
        <w:tc>
          <w:tcPr>
            <w:tcW w:w="682" w:type="pct"/>
            <w:shd w:val="clear" w:color="auto" w:fill="auto"/>
            <w:vAlign w:val="center"/>
          </w:tcPr>
          <w:p w:rsidR="004A3868" w:rsidRDefault="003F1AB5">
            <w:pPr>
              <w:pStyle w:val="afff9"/>
            </w:pPr>
            <w:r>
              <w:rPr>
                <w:rFonts w:hint="eastAsia"/>
              </w:rPr>
              <w:t>与首次公开发行相关的承诺</w:t>
            </w:r>
          </w:p>
        </w:tc>
        <w:sdt>
          <w:sdtPr>
            <w:alias w:val="与首次公开发行相关的承诺-承诺类型"/>
            <w:tag w:val="_GBC_544118bad2864ee8b5a42608e3d695de"/>
            <w:id w:val="-51445662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5" w:type="pct"/>
                <w:shd w:val="clear" w:color="auto" w:fill="auto"/>
                <w:vAlign w:val="center"/>
              </w:tcPr>
              <w:p w:rsidR="004A3868" w:rsidRDefault="003F1AB5">
                <w:pPr>
                  <w:pStyle w:val="afff9"/>
                  <w:rPr>
                    <w:color w:val="FFC000"/>
                  </w:rPr>
                </w:pPr>
                <w:r>
                  <w:t>股份限售</w:t>
                </w:r>
              </w:p>
            </w:tc>
          </w:sdtContent>
        </w:sdt>
        <w:tc>
          <w:tcPr>
            <w:tcW w:w="800" w:type="pct"/>
            <w:shd w:val="clear" w:color="auto" w:fill="auto"/>
            <w:vAlign w:val="center"/>
          </w:tcPr>
          <w:p w:rsidR="004A3868" w:rsidRDefault="003F1AB5">
            <w:pPr>
              <w:pStyle w:val="afff9"/>
            </w:pPr>
            <w:r>
              <w:rPr>
                <w:rFonts w:hint="eastAsia"/>
              </w:rPr>
              <w:t>公司上市前全体股东</w:t>
            </w:r>
          </w:p>
        </w:tc>
        <w:tc>
          <w:tcPr>
            <w:tcW w:w="435" w:type="pct"/>
            <w:shd w:val="clear" w:color="auto" w:fill="auto"/>
            <w:vAlign w:val="center"/>
          </w:tcPr>
          <w:p w:rsidR="004A3868" w:rsidRDefault="003F1AB5">
            <w:pPr>
              <w:pStyle w:val="afff9"/>
            </w:pPr>
            <w:r>
              <w:rPr>
                <w:rFonts w:hint="eastAsia"/>
              </w:rPr>
              <w:t>股份锁定的承诺，具体详见注</w:t>
            </w:r>
            <w:r>
              <w:rPr>
                <w:rFonts w:hint="eastAsia"/>
              </w:rPr>
              <w:t>1</w:t>
            </w:r>
          </w:p>
        </w:tc>
        <w:tc>
          <w:tcPr>
            <w:tcW w:w="446" w:type="pct"/>
            <w:vAlign w:val="center"/>
          </w:tcPr>
          <w:p w:rsidR="004A3868" w:rsidRDefault="003F1AB5">
            <w:pPr>
              <w:pStyle w:val="afff9"/>
            </w:pPr>
            <w:r>
              <w:rPr>
                <w:rFonts w:hint="eastAsia"/>
              </w:rPr>
              <w:t>注</w:t>
            </w:r>
            <w:r>
              <w:rPr>
                <w:rFonts w:hint="eastAsia"/>
              </w:rPr>
              <w:t>1</w:t>
            </w:r>
          </w:p>
        </w:tc>
        <w:sdt>
          <w:sdtPr>
            <w:alias w:val="与首次公开发行相关的承诺-是否有履行期限"/>
            <w:tag w:val="_GBC_2596a53d17dc47239c6d6c13d352aafe"/>
            <w:id w:val="-917401866"/>
            <w:comboBox>
              <w:listItem w:displayText="是" w:value="true"/>
              <w:listItem w:displayText="否" w:value="false"/>
            </w:comboBox>
          </w:sdtPr>
          <w:sdtEndPr/>
          <w:sdtContent>
            <w:tc>
              <w:tcPr>
                <w:tcW w:w="446" w:type="pct"/>
                <w:shd w:val="clear" w:color="auto" w:fill="auto"/>
                <w:vAlign w:val="center"/>
              </w:tcPr>
              <w:p w:rsidR="004A3868" w:rsidRDefault="003F1AB5">
                <w:pPr>
                  <w:pStyle w:val="afff9"/>
                  <w:rPr>
                    <w:color w:val="FFC000"/>
                  </w:rPr>
                </w:pPr>
                <w:r>
                  <w:t>是</w:t>
                </w:r>
              </w:p>
            </w:tc>
          </w:sdtContent>
        </w:sdt>
        <w:tc>
          <w:tcPr>
            <w:tcW w:w="439" w:type="pct"/>
            <w:vAlign w:val="center"/>
          </w:tcPr>
          <w:p w:rsidR="004A3868" w:rsidRDefault="003F1AB5">
            <w:pPr>
              <w:pStyle w:val="afff9"/>
            </w:pPr>
            <w:r>
              <w:rPr>
                <w:rFonts w:hint="eastAsia"/>
              </w:rPr>
              <w:t>注</w:t>
            </w:r>
            <w:r>
              <w:rPr>
                <w:rFonts w:hint="eastAsia"/>
              </w:rPr>
              <w:t>1</w:t>
            </w:r>
          </w:p>
        </w:tc>
        <w:tc>
          <w:tcPr>
            <w:tcW w:w="439" w:type="pct"/>
            <w:shd w:val="clear" w:color="auto" w:fill="auto"/>
            <w:vAlign w:val="center"/>
          </w:tcPr>
          <w:p w:rsidR="004A3868" w:rsidRDefault="00B34370">
            <w:pPr>
              <w:pStyle w:val="afff9"/>
              <w:rPr>
                <w:color w:val="FFC000"/>
              </w:rPr>
            </w:pPr>
            <w:sdt>
              <w:sdtPr>
                <w:alias w:val="与首次公开发行相关的承诺-是否及时严格履行"/>
                <w:tag w:val="_GBC_2cce12aeffd3453e80032e4cdeee78ec"/>
                <w:id w:val="1984506113"/>
                <w:comboBox>
                  <w:listItem w:displayText="是" w:value="true"/>
                  <w:listItem w:displayText="否" w:value="false"/>
                </w:comboBox>
              </w:sdtPr>
              <w:sdtEndPr/>
              <w:sdtContent>
                <w:r w:rsidR="003F1AB5">
                  <w:t>是</w:t>
                </w:r>
              </w:sdtContent>
            </w:sdt>
          </w:p>
        </w:tc>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r w:rsidR="004A3868">
        <w:trPr>
          <w:trHeight w:val="397"/>
          <w:jc w:val="center"/>
        </w:trPr>
        <w:tc>
          <w:tcPr>
            <w:tcW w:w="682" w:type="pct"/>
            <w:vMerge w:val="restart"/>
            <w:shd w:val="clear" w:color="auto" w:fill="auto"/>
            <w:vAlign w:val="center"/>
          </w:tcPr>
          <w:p w:rsidR="004A3868" w:rsidRDefault="004A3868">
            <w:pPr>
              <w:pStyle w:val="afff9"/>
            </w:pPr>
          </w:p>
        </w:tc>
        <w:sdt>
          <w:sdtPr>
            <w:alias w:val="与再融资相关的承诺-承诺类型"/>
            <w:tag w:val="_GBC_43b8e587b05f41abb7a4e371ebc768a4"/>
            <w:id w:val="156461187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5" w:type="pct"/>
                <w:shd w:val="clear" w:color="auto" w:fill="auto"/>
                <w:vAlign w:val="center"/>
              </w:tcPr>
              <w:p w:rsidR="004A3868" w:rsidRDefault="003F1AB5">
                <w:pPr>
                  <w:pStyle w:val="afff9"/>
                </w:pPr>
                <w:r>
                  <w:t>其他</w:t>
                </w:r>
              </w:p>
            </w:tc>
          </w:sdtContent>
        </w:sdt>
        <w:tc>
          <w:tcPr>
            <w:tcW w:w="800" w:type="pct"/>
            <w:shd w:val="clear" w:color="auto" w:fill="auto"/>
            <w:vAlign w:val="center"/>
          </w:tcPr>
          <w:p w:rsidR="004A3868" w:rsidRDefault="003F1AB5">
            <w:pPr>
              <w:pStyle w:val="afff9"/>
            </w:pPr>
            <w:r>
              <w:rPr>
                <w:rFonts w:hint="eastAsia"/>
              </w:rPr>
              <w:t>杨泽民、秦惠兰、杨耀、杨秦、杨厚群、皮天彬、秦勇、隆志钢、杨小林和平潭普思广和一号股权投资合伙企业（有限合伙）</w:t>
            </w:r>
          </w:p>
        </w:tc>
        <w:tc>
          <w:tcPr>
            <w:tcW w:w="435" w:type="pct"/>
            <w:shd w:val="clear" w:color="auto" w:fill="auto"/>
            <w:vAlign w:val="center"/>
          </w:tcPr>
          <w:p w:rsidR="004A3868" w:rsidRDefault="003F1AB5">
            <w:pPr>
              <w:pStyle w:val="afff9"/>
            </w:pPr>
            <w:r>
              <w:rPr>
                <w:rFonts w:hint="eastAsia"/>
              </w:rPr>
              <w:t>5%</w:t>
            </w:r>
            <w:r>
              <w:rPr>
                <w:rFonts w:hint="eastAsia"/>
              </w:rPr>
              <w:t>以上股东的减持意向承诺，详见注</w:t>
            </w:r>
            <w:r>
              <w:rPr>
                <w:rFonts w:hint="eastAsia"/>
              </w:rPr>
              <w:t>2</w:t>
            </w:r>
          </w:p>
        </w:tc>
        <w:tc>
          <w:tcPr>
            <w:tcW w:w="446" w:type="pct"/>
            <w:vAlign w:val="center"/>
          </w:tcPr>
          <w:p w:rsidR="004A3868" w:rsidRDefault="003F1AB5">
            <w:pPr>
              <w:pStyle w:val="afff9"/>
            </w:pPr>
            <w:r>
              <w:rPr>
                <w:rFonts w:hint="eastAsia"/>
              </w:rPr>
              <w:t>注</w:t>
            </w:r>
            <w:r>
              <w:rPr>
                <w:rFonts w:hint="eastAsia"/>
              </w:rPr>
              <w:t>2</w:t>
            </w:r>
          </w:p>
        </w:tc>
        <w:sdt>
          <w:sdtPr>
            <w:alias w:val="与再融资相关的承诺-是否有履行期限"/>
            <w:tag w:val="_GBC_1745ddad9b514e55a80744937652a72d"/>
            <w:id w:val="-266626588"/>
            <w:comboBox>
              <w:listItem w:displayText="是" w:value="true"/>
              <w:listItem w:displayText="否" w:value="false"/>
            </w:comboBox>
          </w:sdtPr>
          <w:sdtEndPr/>
          <w:sdtContent>
            <w:tc>
              <w:tcPr>
                <w:tcW w:w="446" w:type="pct"/>
                <w:shd w:val="clear" w:color="auto" w:fill="auto"/>
                <w:vAlign w:val="center"/>
              </w:tcPr>
              <w:p w:rsidR="004A3868" w:rsidRDefault="003F1AB5">
                <w:pPr>
                  <w:pStyle w:val="afff9"/>
                </w:pPr>
                <w:r>
                  <w:t>是</w:t>
                </w:r>
              </w:p>
            </w:tc>
          </w:sdtContent>
        </w:sdt>
        <w:tc>
          <w:tcPr>
            <w:tcW w:w="439" w:type="pct"/>
            <w:vAlign w:val="center"/>
          </w:tcPr>
          <w:p w:rsidR="004A3868" w:rsidRDefault="003F1AB5">
            <w:pPr>
              <w:pStyle w:val="afff9"/>
            </w:pPr>
            <w:r>
              <w:rPr>
                <w:rFonts w:hint="eastAsia"/>
              </w:rPr>
              <w:t>注</w:t>
            </w:r>
            <w:r>
              <w:rPr>
                <w:rFonts w:hint="eastAsia"/>
              </w:rPr>
              <w:t>2</w:t>
            </w:r>
          </w:p>
        </w:tc>
        <w:sdt>
          <w:sdtPr>
            <w:alias w:val="与再融资相关的承诺-是否及时严格履行"/>
            <w:tag w:val="_GBC_987e1eea05fb4e60a59f5e8c16ae8c38"/>
            <w:id w:val="594135696"/>
            <w:comboBox>
              <w:listItem w:displayText="是" w:value="true"/>
              <w:listItem w:displayText="否" w:value="false"/>
            </w:comboBox>
          </w:sdtPr>
          <w:sdtEndPr/>
          <w:sdtContent>
            <w:tc>
              <w:tcPr>
                <w:tcW w:w="439" w:type="pct"/>
                <w:shd w:val="clear" w:color="auto" w:fill="auto"/>
                <w:vAlign w:val="center"/>
              </w:tcPr>
              <w:p w:rsidR="004A3868" w:rsidRDefault="003F1AB5">
                <w:pPr>
                  <w:pStyle w:val="afff9"/>
                </w:pPr>
                <w:r>
                  <w:t>是</w:t>
                </w:r>
              </w:p>
            </w:tc>
          </w:sdtContent>
        </w:sdt>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r w:rsidR="004A3868">
        <w:trPr>
          <w:trHeight w:val="397"/>
          <w:jc w:val="center"/>
        </w:trPr>
        <w:tc>
          <w:tcPr>
            <w:tcW w:w="682" w:type="pct"/>
            <w:vMerge/>
            <w:shd w:val="clear" w:color="auto" w:fill="auto"/>
            <w:vAlign w:val="center"/>
          </w:tcPr>
          <w:p w:rsidR="004A3868" w:rsidRDefault="004A3868">
            <w:pPr>
              <w:pStyle w:val="afff9"/>
            </w:pPr>
          </w:p>
        </w:tc>
        <w:sdt>
          <w:sdtPr>
            <w:alias w:val="与再融资相关的承诺-承诺类型"/>
            <w:tag w:val="_GBC_43b8e587b05f41abb7a4e371ebc768a4"/>
            <w:id w:val="136509479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5" w:type="pct"/>
                <w:shd w:val="clear" w:color="auto" w:fill="auto"/>
                <w:vAlign w:val="center"/>
              </w:tcPr>
              <w:p w:rsidR="004A3868" w:rsidRDefault="003F1AB5">
                <w:pPr>
                  <w:pStyle w:val="afff9"/>
                </w:pPr>
                <w:r>
                  <w:t>其他</w:t>
                </w:r>
              </w:p>
            </w:tc>
          </w:sdtContent>
        </w:sdt>
        <w:tc>
          <w:tcPr>
            <w:tcW w:w="800" w:type="pct"/>
            <w:shd w:val="clear" w:color="auto" w:fill="auto"/>
            <w:vAlign w:val="center"/>
          </w:tcPr>
          <w:p w:rsidR="004A3868" w:rsidRDefault="003F1AB5">
            <w:pPr>
              <w:pStyle w:val="afff9"/>
            </w:pPr>
            <w:r>
              <w:rPr>
                <w:rFonts w:hint="eastAsia"/>
              </w:rPr>
              <w:t>公司、杨泽民、秦惠兰、杨耀、杨秦、董事、高级管理人员</w:t>
            </w:r>
          </w:p>
        </w:tc>
        <w:tc>
          <w:tcPr>
            <w:tcW w:w="435" w:type="pct"/>
            <w:shd w:val="clear" w:color="auto" w:fill="auto"/>
            <w:vAlign w:val="center"/>
          </w:tcPr>
          <w:p w:rsidR="004A3868" w:rsidRDefault="003F1AB5">
            <w:pPr>
              <w:pStyle w:val="afff9"/>
            </w:pPr>
            <w:r>
              <w:rPr>
                <w:rFonts w:hint="eastAsia"/>
              </w:rPr>
              <w:t>摊薄即期回报采取填补措施的承诺，详见注</w:t>
            </w:r>
            <w:r>
              <w:rPr>
                <w:rFonts w:hint="eastAsia"/>
              </w:rPr>
              <w:t>3</w:t>
            </w:r>
          </w:p>
        </w:tc>
        <w:tc>
          <w:tcPr>
            <w:tcW w:w="446" w:type="pct"/>
            <w:vAlign w:val="center"/>
          </w:tcPr>
          <w:p w:rsidR="004A3868" w:rsidRDefault="003F1AB5">
            <w:pPr>
              <w:pStyle w:val="afff9"/>
            </w:pPr>
            <w:r>
              <w:rPr>
                <w:rFonts w:hint="eastAsia"/>
              </w:rPr>
              <w:t>注</w:t>
            </w:r>
            <w:r>
              <w:rPr>
                <w:rFonts w:hint="eastAsia"/>
              </w:rPr>
              <w:t>3</w:t>
            </w:r>
          </w:p>
        </w:tc>
        <w:sdt>
          <w:sdtPr>
            <w:alias w:val="与再融资相关的承诺-是否有履行期限"/>
            <w:tag w:val="_GBC_1745ddad9b514e55a80744937652a72d"/>
            <w:id w:val="-2080963247"/>
            <w:comboBox>
              <w:listItem w:displayText="是" w:value="true"/>
              <w:listItem w:displayText="否" w:value="false"/>
            </w:comboBox>
          </w:sdtPr>
          <w:sdtEndPr/>
          <w:sdtContent>
            <w:tc>
              <w:tcPr>
                <w:tcW w:w="446" w:type="pct"/>
                <w:shd w:val="clear" w:color="auto" w:fill="auto"/>
                <w:vAlign w:val="center"/>
              </w:tcPr>
              <w:p w:rsidR="004A3868" w:rsidRDefault="003F1AB5">
                <w:pPr>
                  <w:pStyle w:val="afff9"/>
                </w:pPr>
                <w:r>
                  <w:t>否</w:t>
                </w:r>
              </w:p>
            </w:tc>
          </w:sdtContent>
        </w:sdt>
        <w:tc>
          <w:tcPr>
            <w:tcW w:w="439" w:type="pct"/>
            <w:vAlign w:val="center"/>
          </w:tcPr>
          <w:p w:rsidR="004A3868" w:rsidRDefault="003F1AB5">
            <w:pPr>
              <w:pStyle w:val="afff9"/>
            </w:pPr>
            <w:r>
              <w:rPr>
                <w:rFonts w:hint="eastAsia"/>
              </w:rPr>
              <w:t>注</w:t>
            </w:r>
            <w:r>
              <w:rPr>
                <w:rFonts w:hint="eastAsia"/>
              </w:rPr>
              <w:t>3</w:t>
            </w:r>
          </w:p>
        </w:tc>
        <w:sdt>
          <w:sdtPr>
            <w:alias w:val="与再融资相关的承诺-是否及时严格履行"/>
            <w:tag w:val="_GBC_987e1eea05fb4e60a59f5e8c16ae8c38"/>
            <w:id w:val="1363176115"/>
            <w:comboBox>
              <w:listItem w:displayText="是" w:value="true"/>
              <w:listItem w:displayText="否" w:value="false"/>
            </w:comboBox>
          </w:sdtPr>
          <w:sdtEndPr/>
          <w:sdtContent>
            <w:tc>
              <w:tcPr>
                <w:tcW w:w="439" w:type="pct"/>
                <w:shd w:val="clear" w:color="auto" w:fill="auto"/>
                <w:vAlign w:val="center"/>
              </w:tcPr>
              <w:p w:rsidR="004A3868" w:rsidRDefault="003F1AB5">
                <w:pPr>
                  <w:pStyle w:val="afff9"/>
                </w:pPr>
                <w:r>
                  <w:t>是</w:t>
                </w:r>
              </w:p>
            </w:tc>
          </w:sdtContent>
        </w:sdt>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r w:rsidR="004A3868">
        <w:trPr>
          <w:trHeight w:val="397"/>
          <w:jc w:val="center"/>
        </w:trPr>
        <w:tc>
          <w:tcPr>
            <w:tcW w:w="682" w:type="pct"/>
            <w:shd w:val="clear" w:color="auto" w:fill="auto"/>
            <w:vAlign w:val="center"/>
          </w:tcPr>
          <w:p w:rsidR="004A3868" w:rsidRDefault="004A3868">
            <w:pPr>
              <w:pStyle w:val="afff9"/>
            </w:pPr>
          </w:p>
        </w:tc>
        <w:tc>
          <w:tcPr>
            <w:tcW w:w="405" w:type="pct"/>
            <w:shd w:val="clear" w:color="auto" w:fill="auto"/>
            <w:vAlign w:val="center"/>
          </w:tcPr>
          <w:p w:rsidR="004A3868" w:rsidRDefault="003F1AB5">
            <w:pPr>
              <w:pStyle w:val="afff9"/>
            </w:pPr>
            <w:r>
              <w:rPr>
                <w:rFonts w:hint="eastAsia"/>
              </w:rPr>
              <w:t>其他</w:t>
            </w:r>
          </w:p>
        </w:tc>
        <w:tc>
          <w:tcPr>
            <w:tcW w:w="800" w:type="pct"/>
            <w:shd w:val="clear" w:color="auto" w:fill="auto"/>
            <w:vAlign w:val="center"/>
          </w:tcPr>
          <w:p w:rsidR="004A3868" w:rsidRDefault="003F1AB5">
            <w:pPr>
              <w:pStyle w:val="afff9"/>
            </w:pPr>
            <w:r>
              <w:rPr>
                <w:rFonts w:hint="eastAsia"/>
              </w:rPr>
              <w:t>杨泽民、秦惠兰、杨耀、杨秦</w:t>
            </w:r>
          </w:p>
        </w:tc>
        <w:tc>
          <w:tcPr>
            <w:tcW w:w="435" w:type="pct"/>
            <w:shd w:val="clear" w:color="auto" w:fill="auto"/>
            <w:vAlign w:val="center"/>
          </w:tcPr>
          <w:p w:rsidR="004A3868" w:rsidRDefault="003F1AB5">
            <w:pPr>
              <w:pStyle w:val="afff9"/>
            </w:pPr>
            <w:r>
              <w:rPr>
                <w:rFonts w:hint="eastAsia"/>
              </w:rPr>
              <w:t>避免同业竞争的承诺，详见注</w:t>
            </w:r>
            <w:r>
              <w:rPr>
                <w:rFonts w:hint="eastAsia"/>
              </w:rPr>
              <w:t>4</w:t>
            </w:r>
          </w:p>
        </w:tc>
        <w:tc>
          <w:tcPr>
            <w:tcW w:w="446" w:type="pct"/>
            <w:vAlign w:val="center"/>
          </w:tcPr>
          <w:p w:rsidR="004A3868" w:rsidRDefault="003F1AB5">
            <w:pPr>
              <w:pStyle w:val="afff9"/>
            </w:pPr>
            <w:r>
              <w:rPr>
                <w:rFonts w:hint="eastAsia"/>
              </w:rPr>
              <w:t>注</w:t>
            </w:r>
            <w:r>
              <w:rPr>
                <w:rFonts w:hint="eastAsia"/>
              </w:rPr>
              <w:t>4</w:t>
            </w:r>
          </w:p>
        </w:tc>
        <w:tc>
          <w:tcPr>
            <w:tcW w:w="446" w:type="pct"/>
            <w:shd w:val="clear" w:color="auto" w:fill="auto"/>
            <w:vAlign w:val="center"/>
          </w:tcPr>
          <w:p w:rsidR="004A3868" w:rsidRDefault="003F1AB5">
            <w:pPr>
              <w:pStyle w:val="afff9"/>
            </w:pPr>
            <w:r>
              <w:rPr>
                <w:rFonts w:hint="eastAsia"/>
              </w:rPr>
              <w:t>否</w:t>
            </w:r>
          </w:p>
        </w:tc>
        <w:tc>
          <w:tcPr>
            <w:tcW w:w="439" w:type="pct"/>
            <w:vAlign w:val="center"/>
          </w:tcPr>
          <w:p w:rsidR="004A3868" w:rsidRDefault="003F1AB5">
            <w:pPr>
              <w:pStyle w:val="afff9"/>
            </w:pPr>
            <w:r>
              <w:rPr>
                <w:rFonts w:hint="eastAsia"/>
              </w:rPr>
              <w:t>注</w:t>
            </w:r>
            <w:r>
              <w:rPr>
                <w:rFonts w:hint="eastAsia"/>
              </w:rPr>
              <w:t>4</w:t>
            </w:r>
          </w:p>
        </w:tc>
        <w:tc>
          <w:tcPr>
            <w:tcW w:w="439" w:type="pct"/>
            <w:shd w:val="clear" w:color="auto" w:fill="auto"/>
            <w:vAlign w:val="center"/>
          </w:tcPr>
          <w:p w:rsidR="004A3868" w:rsidRDefault="003F1AB5">
            <w:pPr>
              <w:pStyle w:val="afff9"/>
            </w:pPr>
            <w:r>
              <w:rPr>
                <w:rFonts w:hint="eastAsia"/>
              </w:rPr>
              <w:t>是</w:t>
            </w:r>
          </w:p>
        </w:tc>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r w:rsidR="004A3868">
        <w:trPr>
          <w:trHeight w:val="397"/>
          <w:jc w:val="center"/>
        </w:trPr>
        <w:tc>
          <w:tcPr>
            <w:tcW w:w="682" w:type="pct"/>
            <w:shd w:val="clear" w:color="auto" w:fill="auto"/>
            <w:vAlign w:val="center"/>
          </w:tcPr>
          <w:p w:rsidR="004A3868" w:rsidRDefault="004A3868">
            <w:pPr>
              <w:pStyle w:val="afff9"/>
            </w:pPr>
          </w:p>
        </w:tc>
        <w:tc>
          <w:tcPr>
            <w:tcW w:w="405" w:type="pct"/>
            <w:shd w:val="clear" w:color="auto" w:fill="auto"/>
            <w:vAlign w:val="center"/>
          </w:tcPr>
          <w:p w:rsidR="004A3868" w:rsidRDefault="004A3868">
            <w:pPr>
              <w:pStyle w:val="afff9"/>
            </w:pPr>
          </w:p>
        </w:tc>
        <w:tc>
          <w:tcPr>
            <w:tcW w:w="800" w:type="pct"/>
            <w:shd w:val="clear" w:color="auto" w:fill="auto"/>
            <w:vAlign w:val="center"/>
          </w:tcPr>
          <w:p w:rsidR="004A3868" w:rsidRDefault="003F1AB5">
            <w:pPr>
              <w:pStyle w:val="afff9"/>
            </w:pPr>
            <w:r>
              <w:rPr>
                <w:rFonts w:hint="eastAsia"/>
              </w:rPr>
              <w:t>杨泽民、秦惠兰、杨耀、杨秦、平潭普思广和一号股权投资合伙企业</w:t>
            </w:r>
            <w:r>
              <w:rPr>
                <w:rFonts w:hint="eastAsia"/>
              </w:rPr>
              <w:lastRenderedPageBreak/>
              <w:t>（有限合伙）和董监高</w:t>
            </w:r>
          </w:p>
        </w:tc>
        <w:tc>
          <w:tcPr>
            <w:tcW w:w="435" w:type="pct"/>
            <w:shd w:val="clear" w:color="auto" w:fill="auto"/>
            <w:vAlign w:val="center"/>
          </w:tcPr>
          <w:p w:rsidR="004A3868" w:rsidRDefault="003F1AB5">
            <w:pPr>
              <w:pStyle w:val="afff9"/>
            </w:pPr>
            <w:r>
              <w:rPr>
                <w:rFonts w:hint="eastAsia"/>
              </w:rPr>
              <w:lastRenderedPageBreak/>
              <w:t>规范和减少关联交易的承诺，详见注</w:t>
            </w:r>
            <w:r>
              <w:rPr>
                <w:rFonts w:hint="eastAsia"/>
              </w:rPr>
              <w:t>5</w:t>
            </w:r>
          </w:p>
        </w:tc>
        <w:tc>
          <w:tcPr>
            <w:tcW w:w="446" w:type="pct"/>
            <w:vAlign w:val="center"/>
          </w:tcPr>
          <w:p w:rsidR="004A3868" w:rsidRDefault="003F1AB5">
            <w:pPr>
              <w:pStyle w:val="afff9"/>
            </w:pPr>
            <w:r>
              <w:rPr>
                <w:rFonts w:hint="eastAsia"/>
              </w:rPr>
              <w:t>注</w:t>
            </w:r>
            <w:r>
              <w:rPr>
                <w:rFonts w:hint="eastAsia"/>
              </w:rPr>
              <w:t>5</w:t>
            </w:r>
          </w:p>
        </w:tc>
        <w:tc>
          <w:tcPr>
            <w:tcW w:w="446" w:type="pct"/>
            <w:shd w:val="clear" w:color="auto" w:fill="auto"/>
            <w:vAlign w:val="center"/>
          </w:tcPr>
          <w:p w:rsidR="004A3868" w:rsidRDefault="003F1AB5">
            <w:pPr>
              <w:pStyle w:val="afff9"/>
            </w:pPr>
            <w:r>
              <w:rPr>
                <w:rFonts w:hint="eastAsia"/>
              </w:rPr>
              <w:t>否</w:t>
            </w:r>
          </w:p>
        </w:tc>
        <w:tc>
          <w:tcPr>
            <w:tcW w:w="439" w:type="pct"/>
            <w:vAlign w:val="center"/>
          </w:tcPr>
          <w:p w:rsidR="004A3868" w:rsidRDefault="003F1AB5">
            <w:pPr>
              <w:pStyle w:val="afff9"/>
            </w:pPr>
            <w:r>
              <w:rPr>
                <w:rFonts w:hint="eastAsia"/>
              </w:rPr>
              <w:t>注</w:t>
            </w:r>
            <w:r>
              <w:rPr>
                <w:rFonts w:hint="eastAsia"/>
              </w:rPr>
              <w:t>5</w:t>
            </w:r>
          </w:p>
        </w:tc>
        <w:tc>
          <w:tcPr>
            <w:tcW w:w="439" w:type="pct"/>
            <w:shd w:val="clear" w:color="auto" w:fill="auto"/>
            <w:vAlign w:val="center"/>
          </w:tcPr>
          <w:p w:rsidR="004A3868" w:rsidRDefault="003F1AB5">
            <w:pPr>
              <w:pStyle w:val="afff9"/>
            </w:pPr>
            <w:r>
              <w:rPr>
                <w:rFonts w:hint="eastAsia"/>
              </w:rPr>
              <w:t>是</w:t>
            </w:r>
          </w:p>
        </w:tc>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r w:rsidR="004A3868">
        <w:trPr>
          <w:trHeight w:val="397"/>
          <w:jc w:val="center"/>
        </w:trPr>
        <w:tc>
          <w:tcPr>
            <w:tcW w:w="682" w:type="pct"/>
            <w:shd w:val="clear" w:color="auto" w:fill="auto"/>
            <w:vAlign w:val="center"/>
          </w:tcPr>
          <w:p w:rsidR="004A3868" w:rsidRDefault="004A3868">
            <w:pPr>
              <w:pStyle w:val="afff9"/>
            </w:pPr>
          </w:p>
        </w:tc>
        <w:tc>
          <w:tcPr>
            <w:tcW w:w="405" w:type="pct"/>
            <w:shd w:val="clear" w:color="auto" w:fill="auto"/>
            <w:vAlign w:val="center"/>
          </w:tcPr>
          <w:p w:rsidR="004A3868" w:rsidRDefault="004A3868">
            <w:pPr>
              <w:pStyle w:val="afff9"/>
            </w:pPr>
          </w:p>
        </w:tc>
        <w:tc>
          <w:tcPr>
            <w:tcW w:w="800" w:type="pct"/>
            <w:shd w:val="clear" w:color="auto" w:fill="auto"/>
            <w:vAlign w:val="center"/>
          </w:tcPr>
          <w:p w:rsidR="004A3868" w:rsidRDefault="003F1AB5">
            <w:pPr>
              <w:pStyle w:val="afff9"/>
            </w:pPr>
            <w:r>
              <w:rPr>
                <w:rFonts w:hint="eastAsia"/>
              </w:rPr>
              <w:t>杨泽民、秦惠兰、杨耀、杨秦</w:t>
            </w:r>
          </w:p>
        </w:tc>
        <w:tc>
          <w:tcPr>
            <w:tcW w:w="435" w:type="pct"/>
            <w:shd w:val="clear" w:color="auto" w:fill="auto"/>
            <w:vAlign w:val="center"/>
          </w:tcPr>
          <w:p w:rsidR="004A3868" w:rsidRDefault="003F1AB5">
            <w:pPr>
              <w:pStyle w:val="afff9"/>
            </w:pPr>
            <w:r>
              <w:rPr>
                <w:rFonts w:hint="eastAsia"/>
              </w:rPr>
              <w:t>避免资金占用的承诺，详见注</w:t>
            </w:r>
            <w:r>
              <w:rPr>
                <w:rFonts w:hint="eastAsia"/>
              </w:rPr>
              <w:t>6</w:t>
            </w:r>
          </w:p>
        </w:tc>
        <w:tc>
          <w:tcPr>
            <w:tcW w:w="446" w:type="pct"/>
            <w:vAlign w:val="center"/>
          </w:tcPr>
          <w:p w:rsidR="004A3868" w:rsidRDefault="003F1AB5">
            <w:pPr>
              <w:pStyle w:val="afff9"/>
            </w:pPr>
            <w:r>
              <w:rPr>
                <w:rFonts w:hint="eastAsia"/>
              </w:rPr>
              <w:t>注</w:t>
            </w:r>
            <w:r>
              <w:rPr>
                <w:rFonts w:hint="eastAsia"/>
              </w:rPr>
              <w:t>6</w:t>
            </w:r>
          </w:p>
        </w:tc>
        <w:tc>
          <w:tcPr>
            <w:tcW w:w="446" w:type="pct"/>
            <w:shd w:val="clear" w:color="auto" w:fill="auto"/>
            <w:vAlign w:val="center"/>
          </w:tcPr>
          <w:p w:rsidR="004A3868" w:rsidRDefault="003F1AB5">
            <w:pPr>
              <w:pStyle w:val="afff9"/>
            </w:pPr>
            <w:r>
              <w:rPr>
                <w:rFonts w:hint="eastAsia"/>
              </w:rPr>
              <w:t>否</w:t>
            </w:r>
          </w:p>
        </w:tc>
        <w:tc>
          <w:tcPr>
            <w:tcW w:w="439" w:type="pct"/>
            <w:vAlign w:val="center"/>
          </w:tcPr>
          <w:p w:rsidR="004A3868" w:rsidRDefault="003F1AB5">
            <w:pPr>
              <w:pStyle w:val="afff9"/>
            </w:pPr>
            <w:r>
              <w:rPr>
                <w:rFonts w:hint="eastAsia"/>
              </w:rPr>
              <w:t>注</w:t>
            </w:r>
            <w:r>
              <w:rPr>
                <w:rFonts w:hint="eastAsia"/>
              </w:rPr>
              <w:t>6</w:t>
            </w:r>
          </w:p>
        </w:tc>
        <w:tc>
          <w:tcPr>
            <w:tcW w:w="439" w:type="pct"/>
            <w:shd w:val="clear" w:color="auto" w:fill="auto"/>
            <w:vAlign w:val="center"/>
          </w:tcPr>
          <w:p w:rsidR="004A3868" w:rsidRDefault="003F1AB5">
            <w:pPr>
              <w:pStyle w:val="afff9"/>
            </w:pPr>
            <w:r>
              <w:rPr>
                <w:rFonts w:hint="eastAsia"/>
              </w:rPr>
              <w:t>是</w:t>
            </w:r>
          </w:p>
        </w:tc>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r w:rsidR="004A3868">
        <w:trPr>
          <w:trHeight w:val="397"/>
          <w:jc w:val="center"/>
        </w:trPr>
        <w:tc>
          <w:tcPr>
            <w:tcW w:w="682" w:type="pct"/>
            <w:vMerge w:val="restart"/>
            <w:shd w:val="clear" w:color="auto" w:fill="auto"/>
            <w:vAlign w:val="center"/>
          </w:tcPr>
          <w:p w:rsidR="004A3868" w:rsidRDefault="004A3868">
            <w:pPr>
              <w:pStyle w:val="afff9"/>
            </w:pPr>
          </w:p>
        </w:tc>
        <w:sdt>
          <w:sdtPr>
            <w:alias w:val="与股权激励相关的承诺-承诺类型"/>
            <w:tag w:val="_GBC_b3b2a00ff7c04b688da9576999b52e5f"/>
            <w:id w:val="-147236035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5" w:type="pct"/>
                <w:shd w:val="clear" w:color="auto" w:fill="auto"/>
                <w:vAlign w:val="center"/>
              </w:tcPr>
              <w:p w:rsidR="004A3868" w:rsidRDefault="003F1AB5">
                <w:pPr>
                  <w:pStyle w:val="afff9"/>
                  <w:rPr>
                    <w:color w:val="FFC000"/>
                  </w:rPr>
                </w:pPr>
                <w:r>
                  <w:rPr>
                    <w:rFonts w:hint="eastAsia"/>
                  </w:rPr>
                  <w:t xml:space="preserve">　</w:t>
                </w:r>
              </w:p>
            </w:tc>
          </w:sdtContent>
        </w:sdt>
        <w:tc>
          <w:tcPr>
            <w:tcW w:w="800" w:type="pct"/>
            <w:shd w:val="clear" w:color="auto" w:fill="auto"/>
            <w:vAlign w:val="center"/>
          </w:tcPr>
          <w:p w:rsidR="004A3868" w:rsidRDefault="003F1AB5">
            <w:pPr>
              <w:pStyle w:val="afff9"/>
            </w:pPr>
            <w:r>
              <w:rPr>
                <w:rFonts w:hint="eastAsia"/>
              </w:rPr>
              <w:t>公司、杨泽民、秦惠兰、杨耀、杨秦</w:t>
            </w:r>
          </w:p>
        </w:tc>
        <w:tc>
          <w:tcPr>
            <w:tcW w:w="435" w:type="pct"/>
            <w:shd w:val="clear" w:color="auto" w:fill="auto"/>
            <w:vAlign w:val="center"/>
          </w:tcPr>
          <w:p w:rsidR="004A3868" w:rsidRDefault="003F1AB5">
            <w:pPr>
              <w:pStyle w:val="afff9"/>
            </w:pPr>
            <w:r>
              <w:rPr>
                <w:rFonts w:hint="eastAsia"/>
              </w:rPr>
              <w:t>股份回购和股份购回的措施和承诺，详见注</w:t>
            </w:r>
            <w:r>
              <w:rPr>
                <w:rFonts w:hint="eastAsia"/>
              </w:rPr>
              <w:t>7</w:t>
            </w:r>
          </w:p>
        </w:tc>
        <w:tc>
          <w:tcPr>
            <w:tcW w:w="446" w:type="pct"/>
            <w:vAlign w:val="center"/>
          </w:tcPr>
          <w:p w:rsidR="004A3868" w:rsidRDefault="003F1AB5">
            <w:pPr>
              <w:pStyle w:val="afff9"/>
            </w:pPr>
            <w:r>
              <w:rPr>
                <w:rFonts w:hint="eastAsia"/>
              </w:rPr>
              <w:t>注</w:t>
            </w:r>
            <w:r>
              <w:rPr>
                <w:rFonts w:hint="eastAsia"/>
              </w:rPr>
              <w:t>7</w:t>
            </w:r>
          </w:p>
        </w:tc>
        <w:sdt>
          <w:sdtPr>
            <w:alias w:val="与股权激励相关的承诺-是否有履行期限"/>
            <w:tag w:val="_GBC_77b169145d3945b6a0448bfb2bc38ddb"/>
            <w:id w:val="1517417586"/>
            <w:comboBox>
              <w:listItem w:displayText="是" w:value="true"/>
              <w:listItem w:displayText="否" w:value="false"/>
            </w:comboBox>
          </w:sdtPr>
          <w:sdtEndPr/>
          <w:sdtContent>
            <w:tc>
              <w:tcPr>
                <w:tcW w:w="446" w:type="pct"/>
                <w:shd w:val="clear" w:color="auto" w:fill="auto"/>
                <w:vAlign w:val="center"/>
              </w:tcPr>
              <w:p w:rsidR="004A3868" w:rsidRDefault="003F1AB5">
                <w:pPr>
                  <w:pStyle w:val="afff9"/>
                  <w:rPr>
                    <w:color w:val="FFC000"/>
                  </w:rPr>
                </w:pPr>
                <w:r>
                  <w:t>否</w:t>
                </w:r>
              </w:p>
            </w:tc>
          </w:sdtContent>
        </w:sdt>
        <w:tc>
          <w:tcPr>
            <w:tcW w:w="439" w:type="pct"/>
            <w:vAlign w:val="center"/>
          </w:tcPr>
          <w:p w:rsidR="004A3868" w:rsidRDefault="003F1AB5">
            <w:pPr>
              <w:pStyle w:val="afff9"/>
            </w:pPr>
            <w:r>
              <w:rPr>
                <w:rFonts w:hint="eastAsia"/>
              </w:rPr>
              <w:t>注</w:t>
            </w:r>
            <w:r>
              <w:rPr>
                <w:rFonts w:hint="eastAsia"/>
              </w:rPr>
              <w:t>7</w:t>
            </w:r>
          </w:p>
        </w:tc>
        <w:sdt>
          <w:sdtPr>
            <w:alias w:val="与股权激励相关的承诺-是否及时严格履行"/>
            <w:tag w:val="_GBC_d922e431561945e08082de206e96048f"/>
            <w:id w:val="689337935"/>
            <w:comboBox>
              <w:listItem w:displayText="是" w:value="true"/>
              <w:listItem w:displayText="否" w:value="false"/>
            </w:comboBox>
          </w:sdtPr>
          <w:sdtEndPr/>
          <w:sdtContent>
            <w:tc>
              <w:tcPr>
                <w:tcW w:w="439" w:type="pct"/>
                <w:shd w:val="clear" w:color="auto" w:fill="auto"/>
                <w:vAlign w:val="center"/>
              </w:tcPr>
              <w:p w:rsidR="004A3868" w:rsidRDefault="003F1AB5">
                <w:pPr>
                  <w:pStyle w:val="afff9"/>
                  <w:rPr>
                    <w:color w:val="FFC000"/>
                  </w:rPr>
                </w:pPr>
                <w:r>
                  <w:t>是</w:t>
                </w:r>
              </w:p>
            </w:tc>
          </w:sdtContent>
        </w:sdt>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r w:rsidR="004A3868">
        <w:trPr>
          <w:trHeight w:val="397"/>
          <w:jc w:val="center"/>
        </w:trPr>
        <w:tc>
          <w:tcPr>
            <w:tcW w:w="682" w:type="pct"/>
            <w:vMerge/>
            <w:shd w:val="clear" w:color="auto" w:fill="auto"/>
            <w:vAlign w:val="center"/>
          </w:tcPr>
          <w:p w:rsidR="004A3868" w:rsidRDefault="004A3868">
            <w:pPr>
              <w:pStyle w:val="afff9"/>
            </w:pPr>
          </w:p>
        </w:tc>
        <w:sdt>
          <w:sdtPr>
            <w:alias w:val="与股权激励相关的承诺-承诺类型"/>
            <w:tag w:val="_GBC_b3b2a00ff7c04b688da9576999b52e5f"/>
            <w:id w:val="33511971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05" w:type="pct"/>
                <w:shd w:val="clear" w:color="auto" w:fill="auto"/>
                <w:vAlign w:val="center"/>
              </w:tcPr>
              <w:p w:rsidR="004A3868" w:rsidRDefault="003F1AB5">
                <w:pPr>
                  <w:pStyle w:val="afff9"/>
                  <w:rPr>
                    <w:color w:val="FFC000"/>
                  </w:rPr>
                </w:pPr>
                <w:r>
                  <w:rPr>
                    <w:rFonts w:hint="eastAsia"/>
                  </w:rPr>
                  <w:t xml:space="preserve">　</w:t>
                </w:r>
              </w:p>
            </w:tc>
          </w:sdtContent>
        </w:sdt>
        <w:tc>
          <w:tcPr>
            <w:tcW w:w="800" w:type="pct"/>
            <w:shd w:val="clear" w:color="auto" w:fill="auto"/>
            <w:vAlign w:val="center"/>
          </w:tcPr>
          <w:p w:rsidR="004A3868" w:rsidRDefault="003F1AB5">
            <w:pPr>
              <w:pStyle w:val="afff9"/>
            </w:pPr>
            <w:r>
              <w:rPr>
                <w:rFonts w:hint="eastAsia"/>
              </w:rPr>
              <w:t>公司、杨泽民、秦惠兰、杨耀、杨秦、平潭普思广和一号股权投资合伙企业（有限合伙）、董监高</w:t>
            </w:r>
          </w:p>
        </w:tc>
        <w:tc>
          <w:tcPr>
            <w:tcW w:w="435" w:type="pct"/>
            <w:shd w:val="clear" w:color="auto" w:fill="auto"/>
            <w:vAlign w:val="center"/>
          </w:tcPr>
          <w:p w:rsidR="004A3868" w:rsidRDefault="003F1AB5">
            <w:pPr>
              <w:pStyle w:val="afff9"/>
            </w:pPr>
            <w:r>
              <w:rPr>
                <w:rFonts w:hint="eastAsia"/>
              </w:rPr>
              <w:t>未履行承诺的约束措施的承诺，详见注</w:t>
            </w:r>
            <w:r>
              <w:rPr>
                <w:rFonts w:hint="eastAsia"/>
              </w:rPr>
              <w:t>8</w:t>
            </w:r>
          </w:p>
        </w:tc>
        <w:tc>
          <w:tcPr>
            <w:tcW w:w="446" w:type="pct"/>
            <w:vAlign w:val="center"/>
          </w:tcPr>
          <w:p w:rsidR="004A3868" w:rsidRDefault="003F1AB5">
            <w:pPr>
              <w:pStyle w:val="afff9"/>
            </w:pPr>
            <w:r>
              <w:rPr>
                <w:rFonts w:hint="eastAsia"/>
              </w:rPr>
              <w:t>注</w:t>
            </w:r>
            <w:r>
              <w:rPr>
                <w:rFonts w:hint="eastAsia"/>
              </w:rPr>
              <w:t>8</w:t>
            </w:r>
          </w:p>
        </w:tc>
        <w:sdt>
          <w:sdtPr>
            <w:alias w:val="与股权激励相关的承诺-是否有履行期限"/>
            <w:tag w:val="_GBC_77b169145d3945b6a0448bfb2bc38ddb"/>
            <w:id w:val="106322946"/>
            <w:comboBox>
              <w:listItem w:displayText="是" w:value="true"/>
              <w:listItem w:displayText="否" w:value="false"/>
            </w:comboBox>
          </w:sdtPr>
          <w:sdtEndPr/>
          <w:sdtContent>
            <w:tc>
              <w:tcPr>
                <w:tcW w:w="446" w:type="pct"/>
                <w:shd w:val="clear" w:color="auto" w:fill="auto"/>
                <w:vAlign w:val="center"/>
              </w:tcPr>
              <w:p w:rsidR="004A3868" w:rsidRDefault="003F1AB5">
                <w:pPr>
                  <w:pStyle w:val="afff9"/>
                  <w:rPr>
                    <w:color w:val="FFC000"/>
                  </w:rPr>
                </w:pPr>
                <w:r>
                  <w:t>否</w:t>
                </w:r>
              </w:p>
            </w:tc>
          </w:sdtContent>
        </w:sdt>
        <w:tc>
          <w:tcPr>
            <w:tcW w:w="439" w:type="pct"/>
            <w:vAlign w:val="center"/>
          </w:tcPr>
          <w:p w:rsidR="004A3868" w:rsidRDefault="003F1AB5">
            <w:pPr>
              <w:pStyle w:val="afff9"/>
            </w:pPr>
            <w:r>
              <w:rPr>
                <w:rFonts w:hint="eastAsia"/>
              </w:rPr>
              <w:t>注</w:t>
            </w:r>
            <w:r>
              <w:rPr>
                <w:rFonts w:hint="eastAsia"/>
              </w:rPr>
              <w:t>8</w:t>
            </w:r>
          </w:p>
        </w:tc>
        <w:sdt>
          <w:sdtPr>
            <w:alias w:val="与股权激励相关的承诺-是否及时严格履行"/>
            <w:tag w:val="_GBC_d922e431561945e08082de206e96048f"/>
            <w:id w:val="27854748"/>
            <w:comboBox>
              <w:listItem w:displayText="是" w:value="true"/>
              <w:listItem w:displayText="否" w:value="false"/>
            </w:comboBox>
          </w:sdtPr>
          <w:sdtEndPr/>
          <w:sdtContent>
            <w:tc>
              <w:tcPr>
                <w:tcW w:w="439" w:type="pct"/>
                <w:shd w:val="clear" w:color="auto" w:fill="auto"/>
                <w:vAlign w:val="center"/>
              </w:tcPr>
              <w:p w:rsidR="004A3868" w:rsidRDefault="003F1AB5">
                <w:pPr>
                  <w:pStyle w:val="afff9"/>
                  <w:rPr>
                    <w:color w:val="FFC000"/>
                  </w:rPr>
                </w:pPr>
                <w:r>
                  <w:t>是</w:t>
                </w:r>
              </w:p>
            </w:tc>
          </w:sdtContent>
        </w:sdt>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r w:rsidR="004A3868">
        <w:trPr>
          <w:trHeight w:val="397"/>
          <w:jc w:val="center"/>
        </w:trPr>
        <w:tc>
          <w:tcPr>
            <w:tcW w:w="682" w:type="pct"/>
            <w:shd w:val="clear" w:color="auto" w:fill="auto"/>
            <w:vAlign w:val="center"/>
          </w:tcPr>
          <w:p w:rsidR="004A3868" w:rsidRDefault="004A3868">
            <w:pPr>
              <w:pStyle w:val="afff9"/>
            </w:pPr>
          </w:p>
        </w:tc>
        <w:tc>
          <w:tcPr>
            <w:tcW w:w="405" w:type="pct"/>
            <w:shd w:val="clear" w:color="auto" w:fill="auto"/>
            <w:vAlign w:val="center"/>
          </w:tcPr>
          <w:p w:rsidR="004A3868" w:rsidRDefault="004A3868">
            <w:pPr>
              <w:pStyle w:val="afff9"/>
            </w:pPr>
          </w:p>
        </w:tc>
        <w:tc>
          <w:tcPr>
            <w:tcW w:w="800" w:type="pct"/>
            <w:shd w:val="clear" w:color="auto" w:fill="auto"/>
            <w:vAlign w:val="center"/>
          </w:tcPr>
          <w:p w:rsidR="004A3868" w:rsidRDefault="003F1AB5">
            <w:pPr>
              <w:pStyle w:val="afff9"/>
            </w:pPr>
            <w:r>
              <w:rPr>
                <w:rFonts w:hint="eastAsia"/>
              </w:rPr>
              <w:t>公司、杨泽民、秦惠兰、董事（不含独立董事）、高级管理人员</w:t>
            </w:r>
          </w:p>
        </w:tc>
        <w:tc>
          <w:tcPr>
            <w:tcW w:w="435" w:type="pct"/>
            <w:shd w:val="clear" w:color="auto" w:fill="auto"/>
            <w:vAlign w:val="center"/>
          </w:tcPr>
          <w:p w:rsidR="004A3868" w:rsidRDefault="003F1AB5">
            <w:pPr>
              <w:pStyle w:val="afff9"/>
            </w:pPr>
            <w:r>
              <w:rPr>
                <w:rFonts w:hint="eastAsia"/>
              </w:rPr>
              <w:t>稳定股价及相应约束措施的承诺，详见注</w:t>
            </w:r>
            <w:r>
              <w:rPr>
                <w:rFonts w:hint="eastAsia"/>
              </w:rPr>
              <w:t>9</w:t>
            </w:r>
          </w:p>
        </w:tc>
        <w:tc>
          <w:tcPr>
            <w:tcW w:w="446" w:type="pct"/>
            <w:vAlign w:val="center"/>
          </w:tcPr>
          <w:p w:rsidR="004A3868" w:rsidRDefault="003F1AB5">
            <w:pPr>
              <w:pStyle w:val="afff9"/>
            </w:pPr>
            <w:r>
              <w:rPr>
                <w:rFonts w:hint="eastAsia"/>
              </w:rPr>
              <w:t>注</w:t>
            </w:r>
            <w:r>
              <w:rPr>
                <w:rFonts w:hint="eastAsia"/>
              </w:rPr>
              <w:t>9</w:t>
            </w:r>
          </w:p>
        </w:tc>
        <w:tc>
          <w:tcPr>
            <w:tcW w:w="446" w:type="pct"/>
            <w:shd w:val="clear" w:color="auto" w:fill="auto"/>
            <w:vAlign w:val="center"/>
          </w:tcPr>
          <w:p w:rsidR="004A3868" w:rsidRDefault="003F1AB5">
            <w:pPr>
              <w:pStyle w:val="afff9"/>
            </w:pPr>
            <w:r>
              <w:rPr>
                <w:rFonts w:hint="eastAsia"/>
              </w:rPr>
              <w:t>是</w:t>
            </w:r>
          </w:p>
        </w:tc>
        <w:tc>
          <w:tcPr>
            <w:tcW w:w="439" w:type="pct"/>
            <w:vAlign w:val="center"/>
          </w:tcPr>
          <w:p w:rsidR="004A3868" w:rsidRDefault="003F1AB5">
            <w:pPr>
              <w:pStyle w:val="afff9"/>
            </w:pPr>
            <w:r>
              <w:rPr>
                <w:rFonts w:hint="eastAsia"/>
              </w:rPr>
              <w:t>注</w:t>
            </w:r>
            <w:r>
              <w:rPr>
                <w:rFonts w:hint="eastAsia"/>
              </w:rPr>
              <w:t>9</w:t>
            </w:r>
          </w:p>
        </w:tc>
        <w:tc>
          <w:tcPr>
            <w:tcW w:w="439" w:type="pct"/>
            <w:shd w:val="clear" w:color="auto" w:fill="auto"/>
            <w:vAlign w:val="center"/>
          </w:tcPr>
          <w:p w:rsidR="004A3868" w:rsidRDefault="003F1AB5">
            <w:pPr>
              <w:pStyle w:val="afff9"/>
            </w:pPr>
            <w:r>
              <w:rPr>
                <w:rFonts w:hint="eastAsia"/>
              </w:rPr>
              <w:t>是</w:t>
            </w:r>
          </w:p>
        </w:tc>
        <w:tc>
          <w:tcPr>
            <w:tcW w:w="506" w:type="pct"/>
            <w:shd w:val="clear" w:color="auto" w:fill="auto"/>
            <w:vAlign w:val="center"/>
          </w:tcPr>
          <w:p w:rsidR="004A3868" w:rsidRDefault="003F1AB5">
            <w:pPr>
              <w:pStyle w:val="afff9"/>
            </w:pPr>
            <w:r>
              <w:rPr>
                <w:rFonts w:hint="eastAsia"/>
              </w:rPr>
              <w:t>不适用</w:t>
            </w:r>
          </w:p>
        </w:tc>
        <w:tc>
          <w:tcPr>
            <w:tcW w:w="403" w:type="pct"/>
            <w:shd w:val="clear" w:color="auto" w:fill="auto"/>
            <w:vAlign w:val="center"/>
          </w:tcPr>
          <w:p w:rsidR="004A3868" w:rsidRDefault="003F1AB5">
            <w:pPr>
              <w:pStyle w:val="afff9"/>
            </w:pPr>
            <w:r>
              <w:rPr>
                <w:rFonts w:hint="eastAsia"/>
              </w:rPr>
              <w:t>不适用</w:t>
            </w:r>
          </w:p>
        </w:tc>
      </w:tr>
    </w:tbl>
    <w:p w:rsidR="004A3868" w:rsidRDefault="003F1AB5">
      <w:pPr>
        <w:pStyle w:val="afff1"/>
        <w:ind w:firstLine="420"/>
        <w:rPr>
          <w:szCs w:val="21"/>
        </w:rPr>
      </w:pPr>
      <w:r>
        <w:rPr>
          <w:rFonts w:hint="eastAsia"/>
          <w:szCs w:val="21"/>
        </w:rPr>
        <w:t>注1：关于股份锁定的承诺</w:t>
      </w:r>
    </w:p>
    <w:p w:rsidR="004A3868" w:rsidRDefault="003F1AB5">
      <w:pPr>
        <w:pStyle w:val="afff1"/>
        <w:ind w:firstLine="420"/>
        <w:rPr>
          <w:szCs w:val="21"/>
        </w:rPr>
      </w:pPr>
      <w:r>
        <w:rPr>
          <w:rFonts w:hint="eastAsia"/>
          <w:szCs w:val="21"/>
        </w:rPr>
        <w:t>1、公司控股股东、实际控制人、董事长、总经理杨泽民，公司股东、董事、公司实际控制人一致行动人杨厚群，公司股东、公司实际控制人一致行动人皮天彬分别承诺：</w:t>
      </w:r>
    </w:p>
    <w:p w:rsidR="004A3868" w:rsidRDefault="003F1AB5">
      <w:pPr>
        <w:pStyle w:val="afff1"/>
        <w:ind w:firstLine="420"/>
        <w:rPr>
          <w:szCs w:val="21"/>
        </w:rPr>
      </w:pPr>
      <w:r>
        <w:rPr>
          <w:rFonts w:hint="eastAsia"/>
          <w:szCs w:val="21"/>
        </w:rPr>
        <w:t>“1、自公司股票上市之日起36个月内，不转让或者委托他人管理本人直接和间接持有的公司公开发行股票前已发行的股份，也不提议由公司回购本人直接或间接持有的公司公开发行股票前已发行的股份。</w:t>
      </w:r>
    </w:p>
    <w:p w:rsidR="004A3868" w:rsidRDefault="003F1AB5">
      <w:pPr>
        <w:pStyle w:val="afff1"/>
        <w:ind w:firstLine="420"/>
        <w:rPr>
          <w:szCs w:val="21"/>
        </w:rPr>
      </w:pPr>
      <w:r>
        <w:rPr>
          <w:rFonts w:hint="eastAsia"/>
          <w:szCs w:val="21"/>
        </w:rPr>
        <w:t>2、本人所持公司上述股份在锁定期满后两年内减持的，减持价格不低于发行价。公司上市后6个月内如公司股票连续20个交易日的收盘价均低于发行价，或者上市后6个月期末（如该日不是交易日，则为该日后第一个交易日）收盘价低于发行价，本人所持上述股份的锁定期限自动延长6个月。在延长锁定期内，本人不转让或者委托他人管理本人直接或者间接持有的公司首次公开发行股票前已发行的股份，也不提议由公司回购该等股份。</w:t>
      </w:r>
    </w:p>
    <w:p w:rsidR="004A3868" w:rsidRDefault="003F1AB5">
      <w:pPr>
        <w:pStyle w:val="afff1"/>
        <w:ind w:firstLine="420"/>
        <w:rPr>
          <w:szCs w:val="21"/>
        </w:rPr>
      </w:pPr>
      <w:r>
        <w:rPr>
          <w:rFonts w:hint="eastAsia"/>
          <w:szCs w:val="21"/>
        </w:rPr>
        <w:lastRenderedPageBreak/>
        <w:t>上述发行价指公司首次公开发行股票的发行价格，如果因派发现金红利、送股、转增股本、增发新股等原因进行除权、除息的，则按照相关规定作除权、除息处理。</w:t>
      </w:r>
    </w:p>
    <w:p w:rsidR="004A3868" w:rsidRDefault="003F1AB5">
      <w:pPr>
        <w:pStyle w:val="afff1"/>
        <w:ind w:firstLine="420"/>
        <w:rPr>
          <w:szCs w:val="21"/>
        </w:rPr>
      </w:pPr>
      <w:r>
        <w:rPr>
          <w:rFonts w:hint="eastAsia"/>
          <w:szCs w:val="21"/>
        </w:rPr>
        <w:t>3、在上述锁定期满后，在本人担任公司董事或高级管理人员期间，本人将向公司申报所持有的公司股份及其变动情况，在任职期间每年转让的公司股份不超过本人持有的公司股份总数的25%；在任期届满前离职的，在本人就任时确定的任期内和任期届满后6个月内，遵守下列限制性规定：（1）每年转让的公司股份不超过本人持有的公司股份总数的25%；（2）自本人离职之日起6个月内，不转让本人持有的公司股份。</w:t>
      </w:r>
    </w:p>
    <w:p w:rsidR="004A3868" w:rsidRDefault="003F1AB5">
      <w:pPr>
        <w:pStyle w:val="afff1"/>
        <w:ind w:firstLine="420"/>
        <w:rPr>
          <w:szCs w:val="21"/>
        </w:rPr>
      </w:pPr>
      <w:r>
        <w:rPr>
          <w:rFonts w:hint="eastAsia"/>
          <w:szCs w:val="21"/>
        </w:rPr>
        <w:t>4、本人不会因职务变更、离职等原因而拒绝履行上述承诺。</w:t>
      </w:r>
    </w:p>
    <w:p w:rsidR="004A3868" w:rsidRDefault="003F1AB5">
      <w:pPr>
        <w:pStyle w:val="afff1"/>
        <w:ind w:firstLine="420"/>
        <w:rPr>
          <w:szCs w:val="21"/>
        </w:rPr>
      </w:pPr>
      <w:r>
        <w:rPr>
          <w:rFonts w:hint="eastAsia"/>
          <w:szCs w:val="21"/>
        </w:rPr>
        <w:t>5、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rsidR="004A3868" w:rsidRDefault="003F1AB5">
      <w:pPr>
        <w:pStyle w:val="afff1"/>
        <w:ind w:firstLine="420"/>
        <w:rPr>
          <w:szCs w:val="21"/>
        </w:rPr>
      </w:pPr>
      <w:r>
        <w:rPr>
          <w:rFonts w:hint="eastAsia"/>
          <w:szCs w:val="21"/>
        </w:rPr>
        <w:t>2、公司控股股东、实际控制人秦惠兰，公司持股5%以上股东、实际控制人杨耀、杨秦，公司实际控制人一致行动人秦勇、杨小林、隆志钢分别承诺：</w:t>
      </w:r>
    </w:p>
    <w:p w:rsidR="004A3868" w:rsidRDefault="003F1AB5">
      <w:pPr>
        <w:pStyle w:val="afff1"/>
        <w:ind w:firstLine="420"/>
        <w:rPr>
          <w:szCs w:val="21"/>
        </w:rPr>
      </w:pPr>
      <w:r>
        <w:rPr>
          <w:rFonts w:hint="eastAsia"/>
          <w:szCs w:val="21"/>
        </w:rPr>
        <w:t>“1、自公司股票上市之日起36个月内，不转让或者委托他人管理本人直接和间接持有的公司公开发行股票前已发行的股份，也不提议由公司回购本人直接或间接持有的公司公开发行股票前已发行的股份。</w:t>
      </w:r>
    </w:p>
    <w:p w:rsidR="004A3868" w:rsidRDefault="003F1AB5">
      <w:pPr>
        <w:pStyle w:val="afff1"/>
        <w:ind w:firstLine="420"/>
        <w:rPr>
          <w:szCs w:val="21"/>
        </w:rPr>
      </w:pPr>
      <w:r>
        <w:rPr>
          <w:rFonts w:hint="eastAsia"/>
          <w:szCs w:val="21"/>
        </w:rPr>
        <w:t>2、本人所持公司上述股份在锁定期满后两年内减持的，减持价格不低于发行价。公司上市后6个月内如公司股票连续20个交易日的收盘价均低于发行价，或者上市后6个月期末（如该日不是交易日，则为该日后第一个交易日）收盘价低于发行价，本人所持上述股份的锁定期限自动延长6个月。在延长锁定期内，本人不转让或者委托他人管理本人直接或者间接持有的公司首次公开发行股票前已发行的股份，也不提议由公司回购该等股份。</w:t>
      </w:r>
    </w:p>
    <w:p w:rsidR="004A3868" w:rsidRDefault="003F1AB5">
      <w:pPr>
        <w:pStyle w:val="afff1"/>
        <w:ind w:firstLine="420"/>
        <w:rPr>
          <w:szCs w:val="21"/>
        </w:rPr>
      </w:pPr>
      <w:r>
        <w:rPr>
          <w:rFonts w:hint="eastAsia"/>
          <w:szCs w:val="21"/>
        </w:rPr>
        <w:t>上述发行价指公司首次公开发行股票的发行价格，如果因派发现金红利、送股、转增股本、增发新股等原因进行除权、除息的，则按照相关规定作除权、除息处理。</w:t>
      </w:r>
    </w:p>
    <w:p w:rsidR="004A3868" w:rsidRDefault="003F1AB5">
      <w:pPr>
        <w:pStyle w:val="afff1"/>
        <w:ind w:firstLine="420"/>
        <w:rPr>
          <w:szCs w:val="21"/>
        </w:rPr>
      </w:pPr>
      <w:r>
        <w:rPr>
          <w:rFonts w:hint="eastAsia"/>
          <w:szCs w:val="21"/>
        </w:rPr>
        <w:lastRenderedPageBreak/>
        <w:t>3、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rsidR="004A3868" w:rsidRDefault="003F1AB5">
      <w:pPr>
        <w:pStyle w:val="afff1"/>
        <w:ind w:firstLine="420"/>
        <w:rPr>
          <w:szCs w:val="21"/>
        </w:rPr>
      </w:pPr>
      <w:r>
        <w:rPr>
          <w:rFonts w:hint="eastAsia"/>
          <w:szCs w:val="21"/>
        </w:rPr>
        <w:t>3、公司持股董事、高级管理人员分别承诺：</w:t>
      </w:r>
    </w:p>
    <w:p w:rsidR="004A3868" w:rsidRDefault="003F1AB5">
      <w:pPr>
        <w:pStyle w:val="afff1"/>
        <w:ind w:firstLine="420"/>
        <w:rPr>
          <w:szCs w:val="21"/>
        </w:rPr>
      </w:pPr>
      <w:r>
        <w:rPr>
          <w:rFonts w:hint="eastAsia"/>
          <w:szCs w:val="21"/>
        </w:rPr>
        <w:t>“1、自公司股票上市之日起12个月内，不转让或者委托他人管理本人持有的公司公开发行股票前已发行的股份，也不提议由公司回购本人持有的公司公开发行股票前已发行的股份。</w:t>
      </w:r>
    </w:p>
    <w:p w:rsidR="004A3868" w:rsidRDefault="003F1AB5">
      <w:pPr>
        <w:pStyle w:val="afff1"/>
        <w:ind w:firstLine="420"/>
        <w:rPr>
          <w:szCs w:val="21"/>
        </w:rPr>
      </w:pPr>
      <w:r>
        <w:rPr>
          <w:rFonts w:hint="eastAsia"/>
          <w:szCs w:val="21"/>
        </w:rPr>
        <w:t>2、本人所持公司上述股份在锁定期满后两年内减持的，减持价格不低于发行价。公司上市后6个月内如公司股票连续20个交易日的收盘价均低于发行价，或者上市后6个月期末（如该日不是交易日，则为该日后第一个交易日）收盘价低于发行价，本人所持上述股份的锁定期限自动延长6个月。在延长锁定期内，本人不转让或者委托他人管理本人持有的公司首次公开发行股票前已发行的股份，也不提议由公司回购该等股份。</w:t>
      </w:r>
    </w:p>
    <w:p w:rsidR="004A3868" w:rsidRDefault="003F1AB5">
      <w:pPr>
        <w:pStyle w:val="afff1"/>
        <w:ind w:firstLine="420"/>
        <w:rPr>
          <w:szCs w:val="21"/>
        </w:rPr>
      </w:pPr>
      <w:r>
        <w:rPr>
          <w:rFonts w:hint="eastAsia"/>
          <w:szCs w:val="21"/>
        </w:rPr>
        <w:t>上述发行价指公司首次公开发行股票的发行价格，如果因派发现金红利、送股、转增股本、增发新股等原因进行除权、除息的，则按照相关规定作除权、除息处理。</w:t>
      </w:r>
    </w:p>
    <w:p w:rsidR="004A3868" w:rsidRDefault="003F1AB5">
      <w:pPr>
        <w:pStyle w:val="afff1"/>
        <w:ind w:firstLine="420"/>
        <w:rPr>
          <w:szCs w:val="21"/>
        </w:rPr>
      </w:pPr>
      <w:r>
        <w:rPr>
          <w:rFonts w:hint="eastAsia"/>
          <w:szCs w:val="21"/>
        </w:rPr>
        <w:t>3、在上述锁定期满后，在本人担任公司董事或高级管理人员期间，本人将向公司申报所持有的公司股份及其变动情况，在任职期间每年转让的公司股份不超过本人持有的公司股份总数的25%；在任期届满前离职的，在本人就任时确定的任期内和任期届满后6个月内，遵守下列限制性规定：（1）每年转让的公司股份不超过本人持有的公司股份总数的25%；（2）自本人离职之日起6个月内，不转让本人持有的公司股份。</w:t>
      </w:r>
    </w:p>
    <w:p w:rsidR="004A3868" w:rsidRDefault="003F1AB5">
      <w:pPr>
        <w:pStyle w:val="afff1"/>
        <w:ind w:firstLine="420"/>
        <w:rPr>
          <w:szCs w:val="21"/>
        </w:rPr>
      </w:pPr>
      <w:r>
        <w:rPr>
          <w:rFonts w:hint="eastAsia"/>
          <w:szCs w:val="21"/>
        </w:rPr>
        <w:t>4、本人不会因职务变更、离职等原因而拒绝履行上述承诺。</w:t>
      </w:r>
    </w:p>
    <w:p w:rsidR="004A3868" w:rsidRDefault="003F1AB5">
      <w:pPr>
        <w:pStyle w:val="afff1"/>
        <w:ind w:firstLine="420"/>
        <w:rPr>
          <w:szCs w:val="21"/>
        </w:rPr>
      </w:pPr>
      <w:r>
        <w:rPr>
          <w:rFonts w:hint="eastAsia"/>
          <w:szCs w:val="21"/>
        </w:rPr>
        <w:t>5、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rsidR="004A3868" w:rsidRDefault="003F1AB5">
      <w:pPr>
        <w:pStyle w:val="afff1"/>
        <w:ind w:firstLine="420"/>
        <w:rPr>
          <w:szCs w:val="21"/>
        </w:rPr>
      </w:pPr>
      <w:r>
        <w:rPr>
          <w:rFonts w:hint="eastAsia"/>
          <w:szCs w:val="21"/>
        </w:rPr>
        <w:lastRenderedPageBreak/>
        <w:t>4、重庆长寿经济技术开发区开发投资集团有限公司承诺：</w:t>
      </w:r>
    </w:p>
    <w:p w:rsidR="004A3868" w:rsidRDefault="003F1AB5">
      <w:pPr>
        <w:pStyle w:val="afff1"/>
        <w:ind w:firstLine="420"/>
        <w:rPr>
          <w:szCs w:val="21"/>
        </w:rPr>
      </w:pPr>
      <w:r>
        <w:rPr>
          <w:rFonts w:hint="eastAsia"/>
          <w:szCs w:val="21"/>
        </w:rPr>
        <w:t>“1、自公司股票上市之日起12个月内且本公司取得公司股份之日起36个月内，不转让或者委托他人管理本公司直接和间接持有的公司公开发行股票前已发行的股份，也不提议由公司回购本公司直接或间接持有的公司公开发行股票前已发行的股份。</w:t>
      </w:r>
    </w:p>
    <w:p w:rsidR="004A3868" w:rsidRDefault="003F1AB5">
      <w:pPr>
        <w:pStyle w:val="afff1"/>
        <w:ind w:firstLine="420"/>
        <w:rPr>
          <w:szCs w:val="21"/>
        </w:rPr>
      </w:pPr>
      <w:r>
        <w:rPr>
          <w:rFonts w:hint="eastAsia"/>
          <w:szCs w:val="21"/>
        </w:rPr>
        <w:t>2、法律、行政法规、中国证监会行政规章、证券交易所业务规则及其他规范性文件对本公司转让公司股份存在其他限制的，本公司承诺同意一并遵守。在本公司持股期间，若股份锁定和减持的法律、法规、规范性文件、政策及证券监管机构的要求发生变化，则本公司愿意自动适用变更后的法律、法规、规范性文件、政策及证券监管机构的要求。”</w:t>
      </w:r>
    </w:p>
    <w:p w:rsidR="004A3868" w:rsidRDefault="003F1AB5">
      <w:pPr>
        <w:pStyle w:val="afff1"/>
        <w:ind w:firstLine="420"/>
        <w:rPr>
          <w:szCs w:val="21"/>
        </w:rPr>
      </w:pPr>
      <w:r>
        <w:rPr>
          <w:rFonts w:hint="eastAsia"/>
          <w:szCs w:val="21"/>
        </w:rPr>
        <w:t>5、除上述已出具承诺函的股东需按照承诺情况履行股份锁定义务外，根据《公司法》第141条规定，公司上市前的其他股东持有的公司股份，自公司股票在上海证券交易所主板上市交易之日起12个月内不得转让。</w:t>
      </w:r>
    </w:p>
    <w:p w:rsidR="004A3868" w:rsidRDefault="003F1AB5">
      <w:pPr>
        <w:pStyle w:val="afff1"/>
        <w:ind w:firstLine="420"/>
        <w:rPr>
          <w:szCs w:val="21"/>
        </w:rPr>
      </w:pPr>
      <w:r>
        <w:rPr>
          <w:rFonts w:hint="eastAsia"/>
          <w:szCs w:val="21"/>
        </w:rPr>
        <w:t>注2：关于持股5%以上股东的减持意向承诺</w:t>
      </w:r>
    </w:p>
    <w:p w:rsidR="004A3868" w:rsidRDefault="003F1AB5">
      <w:pPr>
        <w:pStyle w:val="afff1"/>
        <w:ind w:firstLine="420"/>
        <w:rPr>
          <w:szCs w:val="21"/>
        </w:rPr>
      </w:pPr>
      <w:r>
        <w:rPr>
          <w:rFonts w:hint="eastAsia"/>
          <w:szCs w:val="21"/>
        </w:rPr>
        <w:t>1、公司控股股东、实际控制人杨泽民、秦惠兰，公司持股5%以上股东、实际控制人杨耀、杨秦，公司实际控制人一致行动人杨厚群、秦勇、杨小林、皮天彬、隆志钢分别承诺：</w:t>
      </w:r>
    </w:p>
    <w:p w:rsidR="004A3868" w:rsidRDefault="003F1AB5">
      <w:pPr>
        <w:pStyle w:val="afff1"/>
        <w:ind w:firstLine="420"/>
        <w:rPr>
          <w:szCs w:val="21"/>
        </w:rPr>
      </w:pPr>
      <w:r>
        <w:rPr>
          <w:rFonts w:hint="eastAsia"/>
          <w:szCs w:val="21"/>
        </w:rPr>
        <w:t>“1、本人持续看好公司业务前景，拟长期持有公司股票。</w:t>
      </w:r>
    </w:p>
    <w:p w:rsidR="004A3868" w:rsidRDefault="003F1AB5">
      <w:pPr>
        <w:pStyle w:val="afff1"/>
        <w:ind w:firstLine="420"/>
        <w:rPr>
          <w:szCs w:val="21"/>
        </w:rPr>
      </w:pPr>
      <w:r>
        <w:rPr>
          <w:rFonts w:hint="eastAsia"/>
          <w:szCs w:val="21"/>
        </w:rPr>
        <w:t>2、减持前提：如果在锁定期满后拟减持股票的，将认真遵守中国证监会、证券交易所关于股东减持的相关规定，结合公司稳定股价、开展经营、资本运作的需要，审慎制定股票减持计划，在股票锁定期满后逐步减持，且不违反在公司首次公开发行时所作出的公开承诺。</w:t>
      </w:r>
    </w:p>
    <w:p w:rsidR="004A3868" w:rsidRDefault="003F1AB5">
      <w:pPr>
        <w:pStyle w:val="afff1"/>
        <w:ind w:firstLine="420"/>
        <w:rPr>
          <w:szCs w:val="21"/>
        </w:rPr>
      </w:pPr>
      <w:r>
        <w:rPr>
          <w:rFonts w:hint="eastAsia"/>
          <w:szCs w:val="21"/>
        </w:rPr>
        <w:t>3、减持方式：本人减持所持有的公司股份的方式应符合届时适用的相关法律、法规、规章及规范性文件的规定，包括但不限于二级市场集中竞价交易、大宗交易、协议转让等。</w:t>
      </w:r>
    </w:p>
    <w:p w:rsidR="004A3868" w:rsidRDefault="003F1AB5">
      <w:pPr>
        <w:pStyle w:val="afff1"/>
        <w:ind w:firstLine="420"/>
        <w:rPr>
          <w:szCs w:val="21"/>
        </w:rPr>
      </w:pPr>
      <w:r>
        <w:rPr>
          <w:rFonts w:hint="eastAsia"/>
          <w:szCs w:val="21"/>
        </w:rPr>
        <w:t>4、减持价格：本人所持股票在锁定期满后两年内减持的，减持价格不低于公司首次公开发行股票时的发行价，若公司自股票上市至本人减持前有派息、送股、资本公积金转增股本、增发、配股等除权、除息事项，减持价格下限和股份数将相应进行调整。若本人所持股票在锁定期满后两年内减持价</w:t>
      </w:r>
      <w:r>
        <w:rPr>
          <w:rFonts w:hint="eastAsia"/>
          <w:szCs w:val="21"/>
        </w:rPr>
        <w:lastRenderedPageBreak/>
        <w:t>格低于发行价的，则减持价格与发行价之间的差额由公司在现金分红时从本人应获得分配的当年及以后年度的现金分红中予以先行扣除，且扣除的现金分红归公司所有。</w:t>
      </w:r>
    </w:p>
    <w:p w:rsidR="004A3868" w:rsidRDefault="003F1AB5">
      <w:pPr>
        <w:pStyle w:val="afff1"/>
        <w:ind w:firstLine="420"/>
        <w:rPr>
          <w:szCs w:val="21"/>
        </w:rPr>
      </w:pPr>
      <w:r>
        <w:rPr>
          <w:rFonts w:hint="eastAsia"/>
          <w:szCs w:val="21"/>
        </w:rPr>
        <w:t>5、减持公告：本人通过集中竞价交易方式减持的，应在首次卖出股份的15个交易日前向证券交易所报告备案减持计划，并予以公告。但届时本人持有公司股份比例低于5%时除外。本人通过其他方式减持公司股票，将提前3个交易日，并按照证券监管机构、证券交易所届时适用的规则及时、准确地履行信息披露义务。</w:t>
      </w:r>
    </w:p>
    <w:p w:rsidR="004A3868" w:rsidRDefault="003F1AB5">
      <w:pPr>
        <w:pStyle w:val="afff1"/>
        <w:ind w:firstLine="420"/>
        <w:rPr>
          <w:szCs w:val="21"/>
        </w:rPr>
      </w:pPr>
      <w:r>
        <w:rPr>
          <w:rFonts w:hint="eastAsia"/>
          <w:szCs w:val="21"/>
        </w:rPr>
        <w:t>6、除上述限制外，本次发行上市后本人所持有公司股份的持股变动及申报工作将严格遵守《中华人民共和国公司法》《上海证券交易所股票上市规则》《上海证券交易所上市公司股东及董事、监事、高级管理人员减持股份实施细则》及其他法律、行政法规及规范性文件的相关规定。</w:t>
      </w:r>
    </w:p>
    <w:p w:rsidR="004A3868" w:rsidRDefault="003F1AB5">
      <w:pPr>
        <w:pStyle w:val="afff1"/>
        <w:ind w:firstLine="420"/>
        <w:rPr>
          <w:szCs w:val="21"/>
        </w:rPr>
      </w:pPr>
      <w:r>
        <w:rPr>
          <w:rFonts w:hint="eastAsia"/>
          <w:szCs w:val="21"/>
        </w:rPr>
        <w:t>7、本人如未履行上述减持意向的承诺事项，将在公司股东大会及中国证监会指定的披露媒体上公开说明未履行承诺的具体原因并向公司的其他股东和社会公众投资者道歉；因违反上述承诺减持股票获得的收益归公司所有。”</w:t>
      </w:r>
    </w:p>
    <w:p w:rsidR="004A3868" w:rsidRDefault="003F1AB5">
      <w:pPr>
        <w:pStyle w:val="afff1"/>
        <w:ind w:firstLine="420"/>
        <w:rPr>
          <w:szCs w:val="21"/>
        </w:rPr>
      </w:pPr>
      <w:r>
        <w:rPr>
          <w:rFonts w:hint="eastAsia"/>
          <w:szCs w:val="21"/>
        </w:rPr>
        <w:t>2、公司持股5%以上股东平潭普思广和一号股权投资合伙企业（有限合伙）承诺：</w:t>
      </w:r>
    </w:p>
    <w:p w:rsidR="004A3868" w:rsidRDefault="003F1AB5">
      <w:pPr>
        <w:pStyle w:val="afff1"/>
        <w:ind w:firstLine="420"/>
        <w:rPr>
          <w:szCs w:val="21"/>
        </w:rPr>
      </w:pPr>
      <w:r>
        <w:rPr>
          <w:rFonts w:hint="eastAsia"/>
          <w:szCs w:val="21"/>
        </w:rPr>
        <w:t>“1、本企业所持公司股票在锁定期满后两年内，本企业将根据自身需要选择法律、法规规定的方式减持，减持股份数量最高可至本企业持有公司股份总数的100%。</w:t>
      </w:r>
    </w:p>
    <w:p w:rsidR="004A3868" w:rsidRDefault="003F1AB5">
      <w:pPr>
        <w:pStyle w:val="afff1"/>
        <w:ind w:firstLine="420"/>
        <w:rPr>
          <w:szCs w:val="21"/>
        </w:rPr>
      </w:pPr>
      <w:r>
        <w:rPr>
          <w:rFonts w:hint="eastAsia"/>
          <w:szCs w:val="21"/>
        </w:rPr>
        <w:t>2、减持前提：如果在锁定期满后拟减持股票的，将认真遵守中国证监会、证券交易所关于股东减持的相关规定，结合公司稳定股价、开展经营、资本运作的需要，审慎制定股票减持计划，在股票锁定期满后逐步减持，且不违反在公司首次公开发行时所作出的公开承诺。</w:t>
      </w:r>
    </w:p>
    <w:p w:rsidR="004A3868" w:rsidRDefault="003F1AB5">
      <w:pPr>
        <w:pStyle w:val="afff1"/>
        <w:ind w:firstLine="420"/>
        <w:rPr>
          <w:szCs w:val="21"/>
        </w:rPr>
      </w:pPr>
      <w:r>
        <w:rPr>
          <w:rFonts w:hint="eastAsia"/>
          <w:szCs w:val="21"/>
        </w:rPr>
        <w:t>3、减持方式：本企业减持所持有的公司股份的方式应符合届时适用的相关法律、法规、规章及规范性文件的规定，包括但不限于二级市场集中竞价交易、大宗交易、协议转让等。</w:t>
      </w:r>
    </w:p>
    <w:p w:rsidR="004A3868" w:rsidRDefault="003F1AB5">
      <w:pPr>
        <w:pStyle w:val="afff1"/>
        <w:ind w:firstLine="420"/>
        <w:rPr>
          <w:szCs w:val="21"/>
        </w:rPr>
      </w:pPr>
      <w:r>
        <w:rPr>
          <w:rFonts w:hint="eastAsia"/>
          <w:szCs w:val="21"/>
        </w:rPr>
        <w:t>4、减持价格：本人所持股票在锁定期满后两年内减持的，减持价格不低于公司首次公开发行股票时的发行价，若公司自股票上市至本企业减持前有派息、送股、资本公积金转增股本、增发、配股等除权、除息事项，减持价格下限和股份数将相应进行调整。若本企业所持股票在锁定期满后两年内减</w:t>
      </w:r>
      <w:r>
        <w:rPr>
          <w:rFonts w:hint="eastAsia"/>
          <w:szCs w:val="21"/>
        </w:rPr>
        <w:lastRenderedPageBreak/>
        <w:t>持价格低于发行价的，则减持价格与发行价之间的差额由公司在现金分红时从本企业应获得分配的当年及以后年度的现金分红中予以先行扣除，且扣除的现金分红归公司所有。</w:t>
      </w:r>
    </w:p>
    <w:p w:rsidR="004A3868" w:rsidRDefault="003F1AB5">
      <w:pPr>
        <w:pStyle w:val="afff1"/>
        <w:ind w:firstLine="420"/>
        <w:rPr>
          <w:szCs w:val="21"/>
        </w:rPr>
      </w:pPr>
      <w:r>
        <w:rPr>
          <w:rFonts w:hint="eastAsia"/>
          <w:szCs w:val="21"/>
        </w:rPr>
        <w:t>5、减持公告：本企业通过集中竞价交易方式减持的，应在首次卖出股份的15个交易日前向证券交易所报告备案减持计划，并予以公告。但届时本企业持有公司股份比例低于5%时除外。本企业通过其他方式减持公司股票，将提前3个交易日，并按照证券监管机构、证券交易所届时适用的规则及时、准确地履行信息披露义务。</w:t>
      </w:r>
    </w:p>
    <w:p w:rsidR="004A3868" w:rsidRDefault="003F1AB5">
      <w:pPr>
        <w:pStyle w:val="afff1"/>
        <w:ind w:firstLine="420"/>
        <w:rPr>
          <w:szCs w:val="21"/>
        </w:rPr>
      </w:pPr>
      <w:r>
        <w:rPr>
          <w:rFonts w:hint="eastAsia"/>
          <w:szCs w:val="21"/>
        </w:rPr>
        <w:t>6、除上述限制外，本次发行上市后本企业所持有公司股份的持股变动及申报工作将严格遵守《中华人民共和国公司法》《上海证券交易所股票上市规则》《上海证券交易所上市公司股东及董事、监事、高级管理人员减持股份实施细则》及其他法律、行政法规及规范性文件的相关规定。</w:t>
      </w:r>
    </w:p>
    <w:p w:rsidR="004A3868" w:rsidRDefault="003F1AB5">
      <w:pPr>
        <w:pStyle w:val="afff1"/>
        <w:ind w:firstLine="420"/>
        <w:rPr>
          <w:szCs w:val="21"/>
        </w:rPr>
      </w:pPr>
      <w:r>
        <w:rPr>
          <w:rFonts w:hint="eastAsia"/>
          <w:szCs w:val="21"/>
        </w:rPr>
        <w:t>7、本企业如未履行上述减持意向的承诺事项，将在公司股东大会及中国证监会指定的披露媒体上公开说明未履行承诺的具体原因并向公司的其他股东和社会公众投资者道歉；因违反上述承诺减持股票获得的收益归公司所有。”</w:t>
      </w:r>
    </w:p>
    <w:p w:rsidR="004A3868" w:rsidRDefault="003F1AB5">
      <w:pPr>
        <w:pStyle w:val="afff1"/>
        <w:ind w:firstLine="420"/>
        <w:rPr>
          <w:szCs w:val="21"/>
        </w:rPr>
      </w:pPr>
      <w:r>
        <w:rPr>
          <w:rFonts w:hint="eastAsia"/>
          <w:szCs w:val="21"/>
        </w:rPr>
        <w:t>注3：关于摊薄即期回报采取填补措施的承诺</w:t>
      </w:r>
    </w:p>
    <w:p w:rsidR="004A3868" w:rsidRDefault="003F1AB5">
      <w:pPr>
        <w:pStyle w:val="afff1"/>
        <w:ind w:firstLine="420"/>
        <w:rPr>
          <w:szCs w:val="21"/>
        </w:rPr>
      </w:pPr>
      <w:r>
        <w:rPr>
          <w:rFonts w:hint="eastAsia"/>
          <w:szCs w:val="21"/>
        </w:rPr>
        <w:t>1、公司承诺：</w:t>
      </w:r>
    </w:p>
    <w:p w:rsidR="004A3868" w:rsidRDefault="003F1AB5">
      <w:pPr>
        <w:pStyle w:val="afff1"/>
        <w:ind w:firstLine="420"/>
        <w:rPr>
          <w:szCs w:val="21"/>
        </w:rPr>
      </w:pPr>
      <w:r>
        <w:rPr>
          <w:rFonts w:hint="eastAsia"/>
          <w:szCs w:val="21"/>
        </w:rPr>
        <w:t>“1、迅速提升公司整体实力，扩大公司业务规模</w:t>
      </w:r>
    </w:p>
    <w:p w:rsidR="004A3868" w:rsidRDefault="003F1AB5">
      <w:pPr>
        <w:pStyle w:val="afff1"/>
        <w:ind w:firstLine="420"/>
        <w:rPr>
          <w:szCs w:val="21"/>
        </w:rPr>
      </w:pPr>
      <w:r>
        <w:rPr>
          <w:rFonts w:hint="eastAsia"/>
          <w:szCs w:val="21"/>
        </w:rPr>
        <w:t>公司首次公开发行股票并上市完成后，公司的总资产将大幅度增加，抗风险能力和综合实力明显增强，市场价值明显提升。公司将借助资本市场和良好的发展机遇，不断拓展公司主营业务规模，充分发挥公司在客户忠诚度领域的优势地位，推动公司持续、健康、稳定的发展。</w:t>
      </w:r>
    </w:p>
    <w:p w:rsidR="004A3868" w:rsidRDefault="003F1AB5">
      <w:pPr>
        <w:pStyle w:val="afff1"/>
        <w:ind w:firstLine="420"/>
        <w:rPr>
          <w:szCs w:val="21"/>
        </w:rPr>
      </w:pPr>
      <w:r>
        <w:rPr>
          <w:rFonts w:hint="eastAsia"/>
          <w:szCs w:val="21"/>
        </w:rPr>
        <w:t>2、全面提升公司管理水平，提高资金使用效率</w:t>
      </w:r>
    </w:p>
    <w:p w:rsidR="004A3868" w:rsidRDefault="003F1AB5">
      <w:pPr>
        <w:pStyle w:val="afff1"/>
        <w:ind w:firstLine="420"/>
        <w:rPr>
          <w:szCs w:val="21"/>
        </w:rPr>
      </w:pPr>
      <w:r>
        <w:rPr>
          <w:rFonts w:hint="eastAsia"/>
          <w:szCs w:val="21"/>
        </w:rPr>
        <w:t>公司将采取措施努力提高运营效率，加强预算管理，控制公司的各项费用支出，提升资金使用效率，全面有效地控制公司经营和管理风险，提升公司的经营效率和盈利能力。此外，公司将积极完善薪酬和激励机制，引进市场优秀人才，最大限度的激发员工工作的积极性，充分提升员工创新意识，发挥员工的创造力。通过以上措施，公司将全面提升公司的运营效率，降低成本，进一步提升公司的经营业绩。</w:t>
      </w:r>
    </w:p>
    <w:p w:rsidR="004A3868" w:rsidRDefault="003F1AB5">
      <w:pPr>
        <w:pStyle w:val="afff1"/>
        <w:ind w:firstLine="420"/>
        <w:rPr>
          <w:szCs w:val="21"/>
        </w:rPr>
      </w:pPr>
      <w:r>
        <w:rPr>
          <w:rFonts w:hint="eastAsia"/>
          <w:szCs w:val="21"/>
        </w:rPr>
        <w:lastRenderedPageBreak/>
        <w:t>3、加快募集资金投资项目建设，加强募集资金管理</w:t>
      </w:r>
    </w:p>
    <w:p w:rsidR="004A3868" w:rsidRDefault="003F1AB5">
      <w:pPr>
        <w:pStyle w:val="afff1"/>
        <w:ind w:firstLine="420"/>
        <w:rPr>
          <w:szCs w:val="21"/>
        </w:rPr>
      </w:pPr>
      <w:r>
        <w:rPr>
          <w:rFonts w:hint="eastAsia"/>
          <w:szCs w:val="21"/>
        </w:rPr>
        <w:t>公司本次发行募集资金投资项目符合国家产业政策和公司的发展战略，具有良好的市场前景和经济效益。公司将结合自身的实际情况和需要，积极实施募集资金投资项目建设，争取早日建成并实现预期效益，增强以后年度的股东回报，降低本次发行导致的股东即期回报被摊薄的风险。公司将严格按照上海证券交易所关于募集资金管理的相关规定，将募集资金存放于董事会指定的专项账户，专户存储，专款专用，严格规范募集资金的管理和使用，保障募集资金得到充分、有效的利用。</w:t>
      </w:r>
    </w:p>
    <w:p w:rsidR="004A3868" w:rsidRDefault="003F1AB5">
      <w:pPr>
        <w:pStyle w:val="afff1"/>
        <w:ind w:firstLine="420"/>
        <w:rPr>
          <w:szCs w:val="21"/>
        </w:rPr>
      </w:pPr>
      <w:r>
        <w:rPr>
          <w:rFonts w:hint="eastAsia"/>
          <w:szCs w:val="21"/>
        </w:rPr>
        <w:t>4、完善利润分配机制，强化投资者回报</w:t>
      </w:r>
    </w:p>
    <w:p w:rsidR="004A3868" w:rsidRDefault="003F1AB5">
      <w:pPr>
        <w:pStyle w:val="afff1"/>
        <w:ind w:firstLine="420"/>
        <w:rPr>
          <w:szCs w:val="21"/>
        </w:rPr>
      </w:pPr>
      <w:r>
        <w:rPr>
          <w:rFonts w:hint="eastAsia"/>
          <w:szCs w:val="21"/>
        </w:rPr>
        <w:t>公司已根据中国证监会的相关规定制定了《重庆望变电气（集团）股份有限公司上市后三年股东分红回报规划》，明确了分红的原则、形式、条件、比例、决策程序和机制等，建立了较为完善的利润分配制度。未来，公司将进一步按照中国证监会的要求和公司自身的实际情况完善利润分配机制，强化投资者回报。”</w:t>
      </w:r>
    </w:p>
    <w:p w:rsidR="004A3868" w:rsidRDefault="003F1AB5">
      <w:pPr>
        <w:pStyle w:val="afff1"/>
        <w:ind w:firstLine="420"/>
        <w:rPr>
          <w:szCs w:val="21"/>
        </w:rPr>
      </w:pPr>
      <w:r>
        <w:rPr>
          <w:rFonts w:hint="eastAsia"/>
          <w:szCs w:val="21"/>
        </w:rPr>
        <w:t>2、公司控股股东、实际控制人、董事长、总经理杨泽民承诺：</w:t>
      </w:r>
    </w:p>
    <w:p w:rsidR="004A3868" w:rsidRDefault="003F1AB5">
      <w:pPr>
        <w:pStyle w:val="afff1"/>
        <w:ind w:firstLine="420"/>
        <w:rPr>
          <w:szCs w:val="21"/>
        </w:rPr>
      </w:pPr>
      <w:r>
        <w:rPr>
          <w:rFonts w:hint="eastAsia"/>
          <w:szCs w:val="21"/>
        </w:rPr>
        <w:t>“1、承诺将严格执行关于上市公司治理的各项法律、法规、规章制度，保护公司和公众利益，加强公司独立性，完善公司治理，不越权干预公司经营管理活动；2、承诺不以任何方式侵占公司利益；3、不无偿或以不公平条件向其他单位或者个人输送利益，也不采用其他方式损害公司利益；4、对职务消费行为进行约束；5、不动用公司资产从事与履行职责无关的投资、消费活动；6、在自身职责和权限范围内，全力促使公司董事会或者薪酬与考核委员会制定的薪酬制度与公司填补回报措施的执行情况相挂钩，并对公司董事会和股东大会审议的相关议案投票赞成（如有表决权）；7、如果公司未来拟实施股权激励，在自身职责和权限范围内，全力促使公司拟公布的股权激励行权条件与公司填补回报措施的执行情况相挂钩，并对公司董事会和股东大会审议的相关议案投票赞成（如有表决权）；8、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作出新的规定，以符合中国证监会及证券交易所的要求；9、全面、完整、及时履行公司制定的有关填补被摊薄即期回报措施以及公司对此作出的任何有关填补被摊薄即期回报措施的承诺；10、若本人违反前述承诺或拒不履行前述承诺的，本人将在公司股东大会及中国证监会指定媒体上公开说明未履行承诺的具体原因并向股</w:t>
      </w:r>
      <w:r>
        <w:rPr>
          <w:rFonts w:hint="eastAsia"/>
          <w:szCs w:val="21"/>
        </w:rPr>
        <w:lastRenderedPageBreak/>
        <w:t>东和社会公众投资者道歉；对公司或其他股东造成损失的，本人将依法给予赔偿；11、若上述承诺适用的法律、法规、规范性文件、政策及证券监管机构的要求发生变化，则本人愿意自动适用变更后的法律、法规、规范性文件、政策及证券监管机构的要求。”</w:t>
      </w:r>
    </w:p>
    <w:p w:rsidR="004A3868" w:rsidRDefault="003F1AB5">
      <w:pPr>
        <w:pStyle w:val="afff1"/>
        <w:ind w:firstLine="420"/>
        <w:rPr>
          <w:szCs w:val="21"/>
        </w:rPr>
      </w:pPr>
      <w:r>
        <w:rPr>
          <w:rFonts w:hint="eastAsia"/>
          <w:szCs w:val="21"/>
        </w:rPr>
        <w:t>3、公司控股股东、实际控制人秦惠兰，公司实际控制人杨耀、杨秦分别承诺：</w:t>
      </w:r>
    </w:p>
    <w:p w:rsidR="004A3868" w:rsidRDefault="003F1AB5">
      <w:pPr>
        <w:pStyle w:val="afff1"/>
        <w:ind w:firstLine="420"/>
        <w:rPr>
          <w:szCs w:val="21"/>
        </w:rPr>
      </w:pPr>
      <w:r>
        <w:rPr>
          <w:rFonts w:hint="eastAsia"/>
          <w:szCs w:val="21"/>
        </w:rPr>
        <w:t>“1、承诺将严格执行关于上市公司治理的各项法律、法规、规章制度，保护公司和公众利益，加强公司独立性，完善公司治理，不越权干预公司经营管理活动；2、承诺不以任何方式侵占公司利益；3、若本人违反前述承诺或拒不履行前述承诺的，本人将在公司股东大会及中国证监会指定媒体上公开说明未履行承诺的具体原因并向股东和社会公众投资者道歉；对公司或其他股东造成损失的，本人将依法给予赔偿；4、若上述承诺适用的法律、法规、规范性文件、政策及证券监管机构的要求发生变化，则本人愿意自动适用变更后的法律、法规、规范性文件、政策及证券监管机构的要求。”</w:t>
      </w:r>
    </w:p>
    <w:p w:rsidR="004A3868" w:rsidRDefault="003F1AB5">
      <w:pPr>
        <w:pStyle w:val="afff1"/>
        <w:ind w:firstLine="420"/>
        <w:rPr>
          <w:szCs w:val="21"/>
        </w:rPr>
      </w:pPr>
      <w:r>
        <w:rPr>
          <w:rFonts w:hint="eastAsia"/>
          <w:szCs w:val="21"/>
        </w:rPr>
        <w:t>4、公司全体董事（杨泽民除外）、高级管理人员分别承诺：</w:t>
      </w:r>
    </w:p>
    <w:p w:rsidR="004A3868" w:rsidRDefault="003F1AB5">
      <w:pPr>
        <w:pStyle w:val="afff1"/>
        <w:ind w:firstLine="420"/>
        <w:rPr>
          <w:szCs w:val="21"/>
        </w:rPr>
      </w:pPr>
      <w:r>
        <w:rPr>
          <w:rFonts w:hint="eastAsia"/>
          <w:szCs w:val="21"/>
        </w:rPr>
        <w:t>“1、不无偿或以不公平条件向其他单位或者个人输送利益，也不采用其他方式损害公司利益；2、对职务消费行为进行约束；3、不动用公司资产从事与履行职责无关的投资、消费活动；4、在自身职责和权限范围内，全力促使公司董事会或者薪酬与考核委员会制定的薪酬制度与公司填补回报措施的执行情况相挂钩，并对公司董事会和股东大会审议的相关议案投票赞成（如有表决权）；5、如果公司未来拟实施股权激励，在自身职责和权限范围内，全力促使公司拟公布的股权激励行权条件与公司填补回报措施的执行情况相挂钩，并对公司董事会和股东大会审议的相关议案投票赞成（如有表决权）；6、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作出新的规定，以符合中国证监会及证券交易所的要求；7、全面、完整、及时履行公司制定的有关填补被摊薄即期回报措施以及公司对此作出的任何有关填补被摊薄即期回报措施的承诺。</w:t>
      </w:r>
    </w:p>
    <w:p w:rsidR="004A3868" w:rsidRDefault="003F1AB5">
      <w:pPr>
        <w:pStyle w:val="afff1"/>
        <w:ind w:firstLine="420"/>
        <w:rPr>
          <w:szCs w:val="21"/>
        </w:rPr>
      </w:pPr>
      <w:r>
        <w:rPr>
          <w:rFonts w:hint="eastAsia"/>
          <w:szCs w:val="21"/>
        </w:rPr>
        <w:t>如违反上述承诺或拒不履行上述承诺，本人同意按照中国证监会和证券交易所等证券监管机构制定或发布的有关规定、规则，对本人作出相关处罚或采取相关管理措施。”</w:t>
      </w:r>
    </w:p>
    <w:p w:rsidR="004A3868" w:rsidRDefault="003F1AB5">
      <w:pPr>
        <w:pStyle w:val="afff1"/>
        <w:ind w:firstLine="420"/>
        <w:rPr>
          <w:szCs w:val="21"/>
        </w:rPr>
      </w:pPr>
      <w:r>
        <w:rPr>
          <w:rFonts w:hint="eastAsia"/>
          <w:szCs w:val="21"/>
        </w:rPr>
        <w:t>注4：关于避免同业竞争的承诺</w:t>
      </w:r>
    </w:p>
    <w:p w:rsidR="004A3868" w:rsidRDefault="003F1AB5">
      <w:pPr>
        <w:pStyle w:val="afff1"/>
        <w:ind w:firstLine="420"/>
        <w:rPr>
          <w:szCs w:val="21"/>
        </w:rPr>
      </w:pPr>
      <w:r>
        <w:rPr>
          <w:rFonts w:hint="eastAsia"/>
          <w:szCs w:val="21"/>
        </w:rPr>
        <w:t>公司控股股东、实际控制人杨泽民、秦惠兰，公司实际控制人杨耀、杨秦分别承诺：</w:t>
      </w:r>
    </w:p>
    <w:p w:rsidR="004A3868" w:rsidRDefault="003F1AB5">
      <w:pPr>
        <w:pStyle w:val="afff1"/>
        <w:ind w:firstLine="420"/>
        <w:rPr>
          <w:szCs w:val="21"/>
        </w:rPr>
      </w:pPr>
      <w:r>
        <w:rPr>
          <w:rFonts w:hint="eastAsia"/>
          <w:szCs w:val="21"/>
        </w:rPr>
        <w:lastRenderedPageBreak/>
        <w:t>“1、本人及本人所控制的其他企业目前没有以任何形式于中国境内和境外从事与望变电气及其控制企业所从事的主营业务构成或可能构成直接或间接竞争关系的业务或活动。</w:t>
      </w:r>
    </w:p>
    <w:p w:rsidR="004A3868" w:rsidRDefault="003F1AB5">
      <w:pPr>
        <w:pStyle w:val="afff1"/>
        <w:ind w:firstLine="420"/>
        <w:rPr>
          <w:szCs w:val="21"/>
        </w:rPr>
      </w:pPr>
      <w:r>
        <w:rPr>
          <w:rFonts w:hint="eastAsia"/>
          <w:szCs w:val="21"/>
        </w:rPr>
        <w:t>2、自本承诺函签署之日起，本人及本人所控制的其他企业在中国境内和境外将继续不直接或间接从事或参与对望变电气及其控制企业从事的主营业务构成直接或间接竞争关系的业务或活动。</w:t>
      </w:r>
    </w:p>
    <w:p w:rsidR="004A3868" w:rsidRDefault="003F1AB5">
      <w:pPr>
        <w:pStyle w:val="afff1"/>
        <w:ind w:firstLine="420"/>
        <w:rPr>
          <w:szCs w:val="21"/>
        </w:rPr>
      </w:pPr>
      <w:r>
        <w:rPr>
          <w:rFonts w:hint="eastAsia"/>
          <w:szCs w:val="21"/>
        </w:rPr>
        <w:t>3、对本人直接或间接控制的其他企业，本人将通过各公司的股东（大）会、董事会（执行董事）等公司治理机制和派出机构及人员（包括但不限于董事、高级管理人员）敦促该等企业履行本承诺项下的义务，并愿意对违反上述承诺而给望变电气或其控制企业造成的经济损失承担赔偿责任。</w:t>
      </w:r>
    </w:p>
    <w:p w:rsidR="004A3868" w:rsidRDefault="003F1AB5">
      <w:pPr>
        <w:pStyle w:val="afff1"/>
        <w:ind w:firstLine="420"/>
        <w:rPr>
          <w:szCs w:val="21"/>
        </w:rPr>
      </w:pPr>
      <w:r>
        <w:rPr>
          <w:rFonts w:hint="eastAsia"/>
          <w:szCs w:val="21"/>
        </w:rPr>
        <w:t>4、本人保证不为自身或者他人谋取属于望变电气或其控制企业的商业机会，自营或者为他人经营与望变电气或其控制企业从事的主营业务。如从任何第三方获得的商业机会与望变电气或其控制企业经营的主营业务构成竞争或可能构成竞争，本人将立即通知望变电气，并应促成将该商业机会让予望变电气及其控制企业或采用任何其他可以被监管部门所认可的方案，以最终排除本承诺人对该等商业机会所涉及资产/股权/业务之实际管理、运营权，从而避免与望变电气及其控制企业所从事主营业务形成同业竞争的情况。</w:t>
      </w:r>
    </w:p>
    <w:p w:rsidR="004A3868" w:rsidRDefault="003F1AB5">
      <w:pPr>
        <w:pStyle w:val="afff1"/>
        <w:ind w:firstLine="420"/>
        <w:rPr>
          <w:szCs w:val="21"/>
        </w:rPr>
      </w:pPr>
      <w:r>
        <w:rPr>
          <w:rFonts w:hint="eastAsia"/>
          <w:szCs w:val="21"/>
        </w:rPr>
        <w:t>5、本人保证有权签署本承诺函，且本承诺函一经本人签署，即对本人构成有效的、合法的、具有约束力的责任。本承诺函所载承诺事项在本人作为望变电气控股股东/实际控制人期间持续有效，且不可撤销。如违反以上承诺，本人愿意承担由此产生的全部责任，充分赔偿或补偿由此给望变电气及其控制企业造成的所有直接或间接损失。”</w:t>
      </w:r>
    </w:p>
    <w:p w:rsidR="004A3868" w:rsidRDefault="003F1AB5">
      <w:pPr>
        <w:pStyle w:val="afff1"/>
        <w:ind w:firstLine="420"/>
        <w:rPr>
          <w:szCs w:val="21"/>
        </w:rPr>
      </w:pPr>
      <w:r>
        <w:rPr>
          <w:rFonts w:hint="eastAsia"/>
          <w:szCs w:val="21"/>
        </w:rPr>
        <w:t>注5：关于规范和减少关联交易的承诺</w:t>
      </w:r>
    </w:p>
    <w:p w:rsidR="004A3868" w:rsidRDefault="003F1AB5">
      <w:pPr>
        <w:pStyle w:val="afff1"/>
        <w:ind w:firstLine="420"/>
        <w:rPr>
          <w:szCs w:val="21"/>
        </w:rPr>
      </w:pPr>
      <w:r>
        <w:rPr>
          <w:rFonts w:hint="eastAsia"/>
          <w:szCs w:val="21"/>
        </w:rPr>
        <w:t>1、公司控股股东、实际控制人杨泽民、秦惠兰，公司实际控制人杨耀、杨秦分别承诺：</w:t>
      </w:r>
    </w:p>
    <w:p w:rsidR="004A3868" w:rsidRDefault="003F1AB5">
      <w:pPr>
        <w:pStyle w:val="afff1"/>
        <w:ind w:firstLine="420"/>
        <w:rPr>
          <w:szCs w:val="21"/>
        </w:rPr>
      </w:pPr>
      <w:r>
        <w:rPr>
          <w:rFonts w:hint="eastAsia"/>
          <w:szCs w:val="21"/>
        </w:rPr>
        <w:t>“1、本人控制的其他企业与公司及其控股子公司之间不存在严重影响独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4A3868" w:rsidRDefault="003F1AB5">
      <w:pPr>
        <w:pStyle w:val="afff1"/>
        <w:ind w:firstLine="420"/>
        <w:rPr>
          <w:szCs w:val="21"/>
        </w:rPr>
      </w:pPr>
      <w:r>
        <w:rPr>
          <w:rFonts w:hint="eastAsia"/>
          <w:szCs w:val="21"/>
        </w:rPr>
        <w:lastRenderedPageBreak/>
        <w:t>2、不利用自身对望变电气的重大影响，谋求望变电气在业务合作等方面给予本人及本人所控制的企业优于市场第三方的权利或与望变电气达成交易的优先权利。</w:t>
      </w:r>
    </w:p>
    <w:p w:rsidR="004A3868" w:rsidRDefault="003F1AB5">
      <w:pPr>
        <w:pStyle w:val="afff1"/>
        <w:ind w:firstLine="420"/>
        <w:rPr>
          <w:szCs w:val="21"/>
        </w:rPr>
      </w:pPr>
      <w:r>
        <w:rPr>
          <w:rFonts w:hint="eastAsia"/>
          <w:szCs w:val="21"/>
        </w:rPr>
        <w:t>3、不利用自身对望变电气的重大影响公司的独立性，保证不利用关联交易非法转移公司的资金、利润、谋取其他任何不正当利益或使公司承担任何不正当的义务。</w:t>
      </w:r>
    </w:p>
    <w:p w:rsidR="004A3868" w:rsidRDefault="003F1AB5">
      <w:pPr>
        <w:pStyle w:val="afff1"/>
        <w:ind w:firstLine="420"/>
        <w:rPr>
          <w:szCs w:val="21"/>
        </w:rPr>
      </w:pPr>
      <w:r>
        <w:rPr>
          <w:rFonts w:hint="eastAsia"/>
          <w:szCs w:val="21"/>
        </w:rPr>
        <w:t>4、本人保证有权签署本承诺函，且本承诺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rsidR="004A3868" w:rsidRDefault="003F1AB5">
      <w:pPr>
        <w:pStyle w:val="afff1"/>
        <w:ind w:firstLine="420"/>
        <w:rPr>
          <w:szCs w:val="21"/>
        </w:rPr>
      </w:pPr>
      <w:r>
        <w:rPr>
          <w:rFonts w:hint="eastAsia"/>
          <w:szCs w:val="21"/>
        </w:rPr>
        <w:t>2、公司持股5%以上股东普思广和承诺：</w:t>
      </w:r>
    </w:p>
    <w:p w:rsidR="004A3868" w:rsidRDefault="003F1AB5">
      <w:pPr>
        <w:pStyle w:val="afff1"/>
        <w:ind w:firstLine="420"/>
        <w:rPr>
          <w:szCs w:val="21"/>
        </w:rPr>
      </w:pPr>
      <w:r>
        <w:rPr>
          <w:rFonts w:hint="eastAsia"/>
          <w:szCs w:val="21"/>
        </w:rPr>
        <w:t>“1、本企业控制的其他企业与公司及其控股子公司之间不存在严重影响独立性或者显失公平的关联交易；本企业及本企业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4A3868" w:rsidRDefault="003F1AB5">
      <w:pPr>
        <w:pStyle w:val="afff1"/>
        <w:ind w:firstLine="420"/>
        <w:rPr>
          <w:szCs w:val="21"/>
        </w:rPr>
      </w:pPr>
      <w:r>
        <w:rPr>
          <w:rFonts w:hint="eastAsia"/>
          <w:szCs w:val="21"/>
        </w:rPr>
        <w:t>2、不利用自身对望变电气的重大影响，谋求望变电气在业务合作等方面给予本企业及本企业所控制的企业优于市场第三方的权利或与望变电气达成交易的优先权利。</w:t>
      </w:r>
    </w:p>
    <w:p w:rsidR="004A3868" w:rsidRDefault="003F1AB5">
      <w:pPr>
        <w:pStyle w:val="afff1"/>
        <w:ind w:firstLine="420"/>
        <w:rPr>
          <w:szCs w:val="21"/>
        </w:rPr>
      </w:pPr>
      <w:r>
        <w:rPr>
          <w:rFonts w:hint="eastAsia"/>
          <w:szCs w:val="21"/>
        </w:rPr>
        <w:t>3、不利用自身对望变电气的重大影响影响公司的独立性，保证不利用关联交易非法转移公司的资金、利润、谋取其他任何不正当利益或使公司承担任何不正当的义务。</w:t>
      </w:r>
    </w:p>
    <w:p w:rsidR="004A3868" w:rsidRDefault="003F1AB5">
      <w:pPr>
        <w:pStyle w:val="afff1"/>
        <w:ind w:firstLine="420"/>
        <w:rPr>
          <w:szCs w:val="21"/>
        </w:rPr>
      </w:pPr>
      <w:r>
        <w:rPr>
          <w:rFonts w:hint="eastAsia"/>
          <w:szCs w:val="21"/>
        </w:rPr>
        <w:t>4、本企业保证有权签署本承诺函，且本承诺函一经本企业签署，即依上述所述前提对本企业构成有效的、合法的、具有约束力的责任，且依上述所述前提持续有效，不可撤销。若由于本企业的上述承诺与实际不符给公司或其投资人造成损失的，本企业将依法承担相应的法律责任。”</w:t>
      </w:r>
    </w:p>
    <w:p w:rsidR="004A3868" w:rsidRDefault="003F1AB5">
      <w:pPr>
        <w:pStyle w:val="afff1"/>
        <w:ind w:firstLine="420"/>
        <w:rPr>
          <w:szCs w:val="21"/>
        </w:rPr>
      </w:pPr>
      <w:r>
        <w:rPr>
          <w:rFonts w:hint="eastAsia"/>
          <w:szCs w:val="21"/>
        </w:rPr>
        <w:t>3、公司全体董事、监事、高级管理人员承诺：</w:t>
      </w:r>
    </w:p>
    <w:p w:rsidR="004A3868" w:rsidRDefault="003F1AB5">
      <w:pPr>
        <w:pStyle w:val="afff1"/>
        <w:ind w:firstLine="420"/>
        <w:rPr>
          <w:szCs w:val="21"/>
        </w:rPr>
      </w:pPr>
      <w:r>
        <w:rPr>
          <w:rFonts w:hint="eastAsia"/>
          <w:szCs w:val="21"/>
        </w:rPr>
        <w:t>“1、本人控制的其他企业与公司及其控股子公司之间不存在严重影响独立性或者显失公平的关联交易；本人及本人控制的其他企业将尽量减少并避</w:t>
      </w:r>
      <w:r>
        <w:rPr>
          <w:rFonts w:hint="eastAsia"/>
          <w:szCs w:val="21"/>
        </w:rPr>
        <w:lastRenderedPageBreak/>
        <w:t>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4A3868" w:rsidRDefault="003F1AB5">
      <w:pPr>
        <w:pStyle w:val="afff1"/>
        <w:ind w:firstLine="420"/>
        <w:rPr>
          <w:szCs w:val="21"/>
        </w:rPr>
      </w:pPr>
      <w:r>
        <w:rPr>
          <w:rFonts w:hint="eastAsia"/>
          <w:szCs w:val="21"/>
        </w:rPr>
        <w:t>2、不利用自身对望变电气的重大影响，谋求望变电气在业务合作等方面给予本人及本人所控制的企业优于市场第三方的权利或与望变电气达成交易的优先权利。</w:t>
      </w:r>
    </w:p>
    <w:p w:rsidR="004A3868" w:rsidRDefault="003F1AB5">
      <w:pPr>
        <w:pStyle w:val="afff1"/>
        <w:ind w:firstLine="420"/>
        <w:rPr>
          <w:szCs w:val="21"/>
        </w:rPr>
      </w:pPr>
      <w:r>
        <w:rPr>
          <w:rFonts w:hint="eastAsia"/>
          <w:szCs w:val="21"/>
        </w:rPr>
        <w:t>3、不利用自身对望变电气的重大影响公司的独立性，保证不利用关联交易非法转移公司的资金、利润、谋取其他任何不正当利益或使公司承担任何不正当的义务。</w:t>
      </w:r>
    </w:p>
    <w:p w:rsidR="004A3868" w:rsidRDefault="003F1AB5">
      <w:pPr>
        <w:pStyle w:val="afff1"/>
        <w:ind w:firstLine="420"/>
        <w:rPr>
          <w:szCs w:val="21"/>
        </w:rPr>
      </w:pPr>
      <w:r>
        <w:rPr>
          <w:rFonts w:hint="eastAsia"/>
          <w:szCs w:val="21"/>
        </w:rPr>
        <w:t>4、本人保证有权签署本承诺函，且本承诺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rsidR="004A3868" w:rsidRDefault="003F1AB5">
      <w:pPr>
        <w:pStyle w:val="afff1"/>
        <w:ind w:firstLine="420"/>
        <w:rPr>
          <w:szCs w:val="21"/>
        </w:rPr>
      </w:pPr>
      <w:r>
        <w:rPr>
          <w:rFonts w:hint="eastAsia"/>
          <w:szCs w:val="21"/>
        </w:rPr>
        <w:t>注6：关于避免资金占用的承诺</w:t>
      </w:r>
    </w:p>
    <w:p w:rsidR="004A3868" w:rsidRDefault="003F1AB5">
      <w:pPr>
        <w:pStyle w:val="afff1"/>
        <w:ind w:firstLine="420"/>
        <w:rPr>
          <w:szCs w:val="21"/>
        </w:rPr>
      </w:pPr>
      <w:r>
        <w:rPr>
          <w:rFonts w:hint="eastAsia"/>
          <w:szCs w:val="21"/>
        </w:rPr>
        <w:t>公司控股股东、实际控制人杨泽民、秦惠兰，公司实际控制人杨耀、杨秦分别承诺：</w:t>
      </w:r>
    </w:p>
    <w:p w:rsidR="004A3868" w:rsidRDefault="003F1AB5">
      <w:pPr>
        <w:pStyle w:val="afff1"/>
        <w:ind w:firstLine="420"/>
        <w:rPr>
          <w:szCs w:val="21"/>
        </w:rPr>
      </w:pPr>
      <w:r>
        <w:rPr>
          <w:rFonts w:hint="eastAsia"/>
          <w:szCs w:val="21"/>
        </w:rPr>
        <w:t>“1、截至本承诺函出具之日，本人及本人直接或间接控制的企业（以下简称‘本人控制的企业’）不存在占用望变电气及其子公司资金的情况。</w:t>
      </w:r>
    </w:p>
    <w:p w:rsidR="004A3868" w:rsidRDefault="003F1AB5">
      <w:pPr>
        <w:pStyle w:val="afff1"/>
        <w:ind w:firstLine="420"/>
        <w:rPr>
          <w:szCs w:val="21"/>
        </w:rPr>
      </w:pPr>
      <w:r>
        <w:rPr>
          <w:rFonts w:hint="eastAsia"/>
          <w:szCs w:val="21"/>
        </w:rPr>
        <w:t>2、自本承诺函出具之日起，本人及本人控制的企业将不以借款、代偿债务、代垫款项或其他任何方式占用望变电气及其子公司的资金，且将严格遵守法律、法规关于上市公司法人治理的相关规定，避免与望变电气及其子公司发生与正常生产经营无关的资金往来。</w:t>
      </w:r>
    </w:p>
    <w:p w:rsidR="004A3868" w:rsidRDefault="003F1AB5">
      <w:pPr>
        <w:pStyle w:val="afff1"/>
        <w:ind w:firstLine="420"/>
        <w:rPr>
          <w:szCs w:val="21"/>
        </w:rPr>
      </w:pPr>
      <w:r>
        <w:rPr>
          <w:rFonts w:hint="eastAsia"/>
          <w:szCs w:val="21"/>
        </w:rPr>
        <w:t>3、若本人违反本承诺函给望变电气造成损失的，本人愿意承担由此产生的全部责任，充分赔偿或补偿由此给望变电气造成的所有直接或间接损失。”</w:t>
      </w:r>
    </w:p>
    <w:p w:rsidR="004A3868" w:rsidRDefault="003F1AB5">
      <w:pPr>
        <w:pStyle w:val="afff1"/>
        <w:ind w:firstLine="420"/>
        <w:rPr>
          <w:szCs w:val="21"/>
        </w:rPr>
      </w:pPr>
      <w:r>
        <w:rPr>
          <w:rFonts w:hint="eastAsia"/>
          <w:szCs w:val="21"/>
        </w:rPr>
        <w:t>注7：关于股份回购和股份购回的措施和承诺</w:t>
      </w:r>
    </w:p>
    <w:p w:rsidR="004A3868" w:rsidRDefault="003F1AB5">
      <w:pPr>
        <w:pStyle w:val="afff1"/>
        <w:ind w:firstLine="420"/>
        <w:rPr>
          <w:szCs w:val="21"/>
        </w:rPr>
      </w:pPr>
      <w:r>
        <w:rPr>
          <w:rFonts w:hint="eastAsia"/>
          <w:szCs w:val="21"/>
        </w:rPr>
        <w:t>1、公司承诺：</w:t>
      </w:r>
    </w:p>
    <w:p w:rsidR="004A3868" w:rsidRDefault="003F1AB5">
      <w:pPr>
        <w:pStyle w:val="afff1"/>
        <w:ind w:firstLine="420"/>
        <w:rPr>
          <w:szCs w:val="21"/>
        </w:rPr>
      </w:pPr>
      <w:r>
        <w:rPr>
          <w:rFonts w:hint="eastAsia"/>
          <w:szCs w:val="21"/>
        </w:rPr>
        <w:t>“1、启动股份回购及购回措施的条件本次公开发行完成后，如本次公开发行的招股说明书及其他申报文件被中国证监会、证券交易所或司法机关认定为有虚假记载、误导性陈述或者重大遗漏的，对判断发行人是否符合法律规定的发行条件构成重大且实质性影响的，公司将依法从投资者手中回购及</w:t>
      </w:r>
      <w:r>
        <w:rPr>
          <w:rFonts w:hint="eastAsia"/>
          <w:szCs w:val="21"/>
        </w:rPr>
        <w:lastRenderedPageBreak/>
        <w:t>购回本次公开发行的股票以及转让的限售股。</w:t>
      </w:r>
    </w:p>
    <w:p w:rsidR="004A3868" w:rsidRDefault="003F1AB5">
      <w:pPr>
        <w:pStyle w:val="afff1"/>
        <w:ind w:firstLine="420"/>
        <w:rPr>
          <w:szCs w:val="21"/>
        </w:rPr>
      </w:pPr>
      <w:r>
        <w:rPr>
          <w:rFonts w:hint="eastAsia"/>
          <w:szCs w:val="21"/>
        </w:rPr>
        <w:t>2、股份回购及购回措施的启动程序</w:t>
      </w:r>
    </w:p>
    <w:p w:rsidR="004A3868" w:rsidRDefault="003F1AB5">
      <w:pPr>
        <w:pStyle w:val="afff1"/>
        <w:ind w:firstLine="420"/>
        <w:rPr>
          <w:szCs w:val="21"/>
        </w:rPr>
      </w:pPr>
      <w:r>
        <w:rPr>
          <w:rFonts w:hint="eastAsia"/>
          <w:szCs w:val="21"/>
        </w:rPr>
        <w:t>（1）若上述情形发生于公司本次公开发行的新股已完成发行但未上市交易的阶段内，则公司将于上述情形发生之日起5个工作日内，将本次公开发行的募集资金，按照发行价并加算银行同期存款利息返还已缴纳股票申购款的投资者。</w:t>
      </w:r>
    </w:p>
    <w:p w:rsidR="004A3868" w:rsidRDefault="003F1AB5">
      <w:pPr>
        <w:pStyle w:val="afff1"/>
        <w:ind w:firstLine="420"/>
        <w:rPr>
          <w:szCs w:val="21"/>
        </w:rPr>
      </w:pPr>
      <w:r>
        <w:rPr>
          <w:rFonts w:hint="eastAsia"/>
          <w:szCs w:val="21"/>
        </w:rPr>
        <w:t>（2）若上述情形发生于公司本次公开发行的新股已完成上市交易之后，公司董事会将在中国证监会或其他有权部门依法对上述事实作出最终认定或处罚决定后10个工作日内，制订股份回购方案并提交股东大会审议批准，依法回购本次公开发行的全部新股，按照发行价格加新股上市日至回购日期间的同期银行活期存款利息，或不低于中国证监会对公司招股说明书及其他信息披露材料存在虚假记载、误导性陈述或者重大遗漏问题进行立案稽查之日前30个交易日公司股票的每日加权平均价格的算术平均值（公司如有分红、派息、送股、资本公积金转增股本、配股等除权除息事项，前述价格应相应调整），或中国证监会认可的其他价格，通过证券交易所交易系统回购公司本次公开发行的全部新股。</w:t>
      </w:r>
    </w:p>
    <w:p w:rsidR="004A3868" w:rsidRDefault="003F1AB5">
      <w:pPr>
        <w:pStyle w:val="afff1"/>
        <w:ind w:firstLine="420"/>
        <w:rPr>
          <w:szCs w:val="21"/>
        </w:rPr>
      </w:pPr>
      <w:r>
        <w:rPr>
          <w:rFonts w:hint="eastAsia"/>
          <w:szCs w:val="21"/>
        </w:rPr>
        <w:t>（3）当公司未来涉及股份回购时，公司应同时遵守中国证监会及证券交易所等证券监管机构的相关规定。</w:t>
      </w:r>
    </w:p>
    <w:p w:rsidR="004A3868" w:rsidRDefault="003F1AB5">
      <w:pPr>
        <w:pStyle w:val="afff1"/>
        <w:ind w:firstLine="420"/>
        <w:rPr>
          <w:szCs w:val="21"/>
        </w:rPr>
      </w:pPr>
      <w:r>
        <w:rPr>
          <w:rFonts w:hint="eastAsia"/>
          <w:szCs w:val="21"/>
        </w:rPr>
        <w:t>3、约束措施</w:t>
      </w:r>
    </w:p>
    <w:p w:rsidR="004A3868" w:rsidRDefault="003F1AB5">
      <w:pPr>
        <w:pStyle w:val="afff1"/>
        <w:ind w:firstLine="420"/>
        <w:rPr>
          <w:szCs w:val="21"/>
        </w:rPr>
      </w:pPr>
      <w:r>
        <w:rPr>
          <w:rFonts w:hint="eastAsia"/>
          <w:szCs w:val="21"/>
        </w:rPr>
        <w:t>（1）公司将严格履行在本次发行时已作出的关于股份回购、购回措施的相应承诺。</w:t>
      </w:r>
    </w:p>
    <w:p w:rsidR="004A3868" w:rsidRDefault="003F1AB5">
      <w:pPr>
        <w:pStyle w:val="afff1"/>
        <w:ind w:firstLine="420"/>
        <w:rPr>
          <w:szCs w:val="21"/>
        </w:rPr>
      </w:pPr>
      <w:r>
        <w:rPr>
          <w:rFonts w:hint="eastAsia"/>
          <w:szCs w:val="21"/>
        </w:rPr>
        <w:t>（2）公司自愿接受中国证监会及证券交易所等证券监管机构对股份回购、购回预案的制定、实施等进行监督，并承担法律责任。在启动股份回购、购回措施的条件满足时，如果公司未采取上述股份回购、购回的具体措施的，公司承诺接受以下约束措施：</w:t>
      </w:r>
    </w:p>
    <w:p w:rsidR="004A3868" w:rsidRDefault="003F1AB5">
      <w:pPr>
        <w:pStyle w:val="afff1"/>
        <w:ind w:firstLine="420"/>
        <w:rPr>
          <w:szCs w:val="21"/>
        </w:rPr>
      </w:pPr>
      <w:r>
        <w:rPr>
          <w:rFonts w:hint="eastAsia"/>
          <w:szCs w:val="21"/>
        </w:rPr>
        <w:t>1）在中国证监会指定媒体上公开说明承诺未能履行、无法履行或无法按期履行的具体原因，并提出补充承诺或替代承诺，以尽可能保护投资者的权益。</w:t>
      </w:r>
    </w:p>
    <w:p w:rsidR="004A3868" w:rsidRDefault="003F1AB5">
      <w:pPr>
        <w:pStyle w:val="afff1"/>
        <w:ind w:firstLine="420"/>
        <w:rPr>
          <w:szCs w:val="21"/>
        </w:rPr>
      </w:pPr>
      <w:r>
        <w:rPr>
          <w:rFonts w:hint="eastAsia"/>
          <w:szCs w:val="21"/>
        </w:rPr>
        <w:t>2）因未能履行该项承诺造成投资者损失的，公司将依据证券监管部门或司法机关认定的方式及金额进行赔偿。”</w:t>
      </w:r>
    </w:p>
    <w:p w:rsidR="004A3868" w:rsidRDefault="003F1AB5">
      <w:pPr>
        <w:pStyle w:val="afff1"/>
        <w:ind w:firstLine="420"/>
        <w:rPr>
          <w:szCs w:val="21"/>
        </w:rPr>
      </w:pPr>
      <w:r>
        <w:rPr>
          <w:rFonts w:hint="eastAsia"/>
          <w:szCs w:val="21"/>
        </w:rPr>
        <w:t>2、公司实际控制人杨泽民、秦惠兰、杨耀、杨秦分别承诺：</w:t>
      </w:r>
    </w:p>
    <w:p w:rsidR="004A3868" w:rsidRDefault="003F1AB5">
      <w:pPr>
        <w:pStyle w:val="afff1"/>
        <w:ind w:firstLine="420"/>
        <w:rPr>
          <w:szCs w:val="21"/>
        </w:rPr>
      </w:pPr>
      <w:r>
        <w:rPr>
          <w:rFonts w:hint="eastAsia"/>
          <w:szCs w:val="21"/>
        </w:rPr>
        <w:lastRenderedPageBreak/>
        <w:t>“1、本次公开发行完成后，如本次公开发行的招股说明书及其他申报文件被中国证监会、证券交易所或司法机关认定为有虚假记载、误导性陈述或者重大遗漏的，对判断发行人是否符合法律规定的发行条件构成重大且实质性影响的，则本人承诺将极力督促望变电气依法从投资者手中回购及购回本次公开发行的股票以及转让的限售股。</w:t>
      </w:r>
    </w:p>
    <w:p w:rsidR="004A3868" w:rsidRDefault="003F1AB5">
      <w:pPr>
        <w:pStyle w:val="afff1"/>
        <w:ind w:firstLine="420"/>
        <w:rPr>
          <w:szCs w:val="21"/>
        </w:rPr>
      </w:pPr>
      <w:r>
        <w:rPr>
          <w:rFonts w:hint="eastAsia"/>
          <w:szCs w:val="21"/>
        </w:rPr>
        <w:t>2、若中国证监会或其他有权部门认定招股说明书及其他信息披露材料所载之内容存在任何虚假记载、误导性陈述或者重大遗漏之情形，致使投资者在证券交易中遭受损失的，本人将依据证券监管部门或司法机关认定的方式及金额进行赔偿。”</w:t>
      </w:r>
    </w:p>
    <w:p w:rsidR="004A3868" w:rsidRDefault="003F1AB5">
      <w:pPr>
        <w:pStyle w:val="afff1"/>
        <w:ind w:firstLine="420"/>
        <w:rPr>
          <w:szCs w:val="21"/>
        </w:rPr>
      </w:pPr>
      <w:r>
        <w:rPr>
          <w:rFonts w:hint="eastAsia"/>
          <w:szCs w:val="21"/>
        </w:rPr>
        <w:t>注8：关于未履行承诺的约束措施的承诺</w:t>
      </w:r>
    </w:p>
    <w:p w:rsidR="004A3868" w:rsidRDefault="003F1AB5">
      <w:pPr>
        <w:pStyle w:val="afff1"/>
        <w:ind w:firstLine="420"/>
        <w:rPr>
          <w:szCs w:val="21"/>
        </w:rPr>
      </w:pPr>
      <w:r>
        <w:rPr>
          <w:rFonts w:hint="eastAsia"/>
          <w:szCs w:val="21"/>
        </w:rPr>
        <w:t>1、公司承诺：</w:t>
      </w:r>
    </w:p>
    <w:p w:rsidR="004A3868" w:rsidRDefault="003F1AB5">
      <w:pPr>
        <w:pStyle w:val="afff1"/>
        <w:ind w:firstLine="420"/>
        <w:rPr>
          <w:szCs w:val="21"/>
        </w:rPr>
      </w:pPr>
      <w:r>
        <w:rPr>
          <w:rFonts w:hint="eastAsia"/>
          <w:szCs w:val="21"/>
        </w:rPr>
        <w:t>“1、本公司在招股说明书中公开作出的相关承诺中已经包含约束措施的，则以该等承诺中的约束措施为准；若本公司违反该等承诺，本公司同意采取该等承诺中已经明确的约束措施；</w:t>
      </w:r>
    </w:p>
    <w:p w:rsidR="004A3868" w:rsidRDefault="003F1AB5">
      <w:pPr>
        <w:pStyle w:val="afff1"/>
        <w:ind w:firstLine="420"/>
        <w:rPr>
          <w:szCs w:val="21"/>
        </w:rPr>
      </w:pPr>
      <w:r>
        <w:rPr>
          <w:rFonts w:hint="eastAsia"/>
          <w:szCs w:val="21"/>
        </w:rPr>
        <w:t>2、本公司在招股说明书中公开作出的相关承诺未包含约束措施的，如本公司非因不可抗力原因导致未能履行公开承诺事项的，需提出新的承诺（相关承诺需按法律、法规、公司章程的规定履行相关审批程序）并接受如下约束措施，直至新的承诺履行完毕或相应补救措施实施完毕：</w:t>
      </w:r>
    </w:p>
    <w:p w:rsidR="004A3868" w:rsidRDefault="003F1AB5">
      <w:pPr>
        <w:pStyle w:val="afff1"/>
        <w:ind w:firstLine="420"/>
        <w:rPr>
          <w:szCs w:val="21"/>
        </w:rPr>
      </w:pPr>
      <w:r>
        <w:rPr>
          <w:rFonts w:hint="eastAsia"/>
          <w:szCs w:val="21"/>
        </w:rPr>
        <w:t>（1）本公司将在股东大会及中国证监会指定报刊上公开说明未履行承诺的具体原因并向股东和社会公众投资者道歉；</w:t>
      </w:r>
    </w:p>
    <w:p w:rsidR="004A3868" w:rsidRDefault="003F1AB5">
      <w:pPr>
        <w:pStyle w:val="afff1"/>
        <w:ind w:firstLine="420"/>
        <w:rPr>
          <w:szCs w:val="21"/>
        </w:rPr>
      </w:pPr>
      <w:r>
        <w:rPr>
          <w:rFonts w:hint="eastAsia"/>
          <w:szCs w:val="21"/>
        </w:rPr>
        <w:t>（2）及时、充分披露相关承诺未能履行、确已无法履行或无法按期履行的具体原因；</w:t>
      </w:r>
    </w:p>
    <w:p w:rsidR="004A3868" w:rsidRDefault="003F1AB5">
      <w:pPr>
        <w:pStyle w:val="afff1"/>
        <w:ind w:firstLine="420"/>
        <w:rPr>
          <w:szCs w:val="21"/>
        </w:rPr>
      </w:pPr>
      <w:r>
        <w:rPr>
          <w:rFonts w:hint="eastAsia"/>
          <w:szCs w:val="21"/>
        </w:rPr>
        <w:t>（3）对该等未履行承诺的行为负有个人责任的董事、监事、高级管理人员调减或停发薪酬或津贴；</w:t>
      </w:r>
    </w:p>
    <w:p w:rsidR="004A3868" w:rsidRDefault="003F1AB5">
      <w:pPr>
        <w:pStyle w:val="afff1"/>
        <w:ind w:firstLine="420"/>
        <w:rPr>
          <w:szCs w:val="21"/>
        </w:rPr>
      </w:pPr>
      <w:r>
        <w:rPr>
          <w:rFonts w:hint="eastAsia"/>
          <w:szCs w:val="21"/>
        </w:rPr>
        <w:t>（4）向投资者提出补充承诺或替代承诺，以尽可能保护投资者的权益；并同意将上述补充承诺或替代承诺提交股东大会审议；</w:t>
      </w:r>
    </w:p>
    <w:p w:rsidR="004A3868" w:rsidRDefault="003F1AB5">
      <w:pPr>
        <w:pStyle w:val="afff1"/>
        <w:ind w:firstLine="420"/>
        <w:rPr>
          <w:szCs w:val="21"/>
        </w:rPr>
      </w:pPr>
      <w:r>
        <w:rPr>
          <w:rFonts w:hint="eastAsia"/>
          <w:szCs w:val="21"/>
        </w:rPr>
        <w:t>（5）如违反相关承诺给投资者造成损失的，将依法赔偿投资者的损失。如该等已违反的承诺仍可继续履行，本公司将继续履行该等承诺。”</w:t>
      </w:r>
    </w:p>
    <w:p w:rsidR="004A3868" w:rsidRDefault="003F1AB5">
      <w:pPr>
        <w:pStyle w:val="afff1"/>
        <w:ind w:firstLine="420"/>
        <w:rPr>
          <w:szCs w:val="21"/>
        </w:rPr>
      </w:pPr>
      <w:r>
        <w:rPr>
          <w:rFonts w:hint="eastAsia"/>
          <w:szCs w:val="21"/>
        </w:rPr>
        <w:t>2、公司实际控制人杨泽民、秦惠兰、杨耀、杨秦，持股5%以上股东平潭普思广和一号股权投资合伙企业（有限合伙），全体董事、监事、高级管理人员分别承诺：</w:t>
      </w:r>
    </w:p>
    <w:p w:rsidR="004A3868" w:rsidRDefault="003F1AB5">
      <w:pPr>
        <w:pStyle w:val="afff1"/>
        <w:ind w:firstLine="420"/>
        <w:rPr>
          <w:szCs w:val="21"/>
        </w:rPr>
      </w:pPr>
      <w:r>
        <w:rPr>
          <w:rFonts w:hint="eastAsia"/>
          <w:szCs w:val="21"/>
        </w:rPr>
        <w:lastRenderedPageBreak/>
        <w:t>“1、本人在招股说明书中公开作出的相关承诺中已经包含约束措施的，则以该等承诺中的约束措施为准；若本人违反该等承诺，本人同意采取该等承诺中已经明确的约束措施；</w:t>
      </w:r>
    </w:p>
    <w:p w:rsidR="004A3868" w:rsidRDefault="003F1AB5">
      <w:pPr>
        <w:pStyle w:val="afff1"/>
        <w:ind w:firstLine="420"/>
        <w:rPr>
          <w:szCs w:val="21"/>
        </w:rPr>
      </w:pPr>
      <w:r>
        <w:rPr>
          <w:rFonts w:hint="eastAsia"/>
          <w:szCs w:val="21"/>
        </w:rPr>
        <w:t>2、本人在招股说明书中公开作出的相关承诺未包含约束措施的，如本人非因不可抗力原因导致未能履行公开承诺事项的，需提出新的承诺（相关承诺需按法律、法规、公司章程的规定履行相关审批程序）并接受如下约束措施，直至新的承诺履行完毕或相应补救措施实施完毕：</w:t>
      </w:r>
    </w:p>
    <w:p w:rsidR="004A3868" w:rsidRDefault="003F1AB5">
      <w:pPr>
        <w:pStyle w:val="afff1"/>
        <w:ind w:firstLine="420"/>
        <w:rPr>
          <w:szCs w:val="21"/>
        </w:rPr>
      </w:pPr>
      <w:r>
        <w:rPr>
          <w:rFonts w:hint="eastAsia"/>
          <w:szCs w:val="21"/>
        </w:rPr>
        <w:t>（1）本人将在股东大会及中国证监会指定报刊上公开说明未履行承诺的具体原因并向股东和社会公众投资者道歉；</w:t>
      </w:r>
    </w:p>
    <w:p w:rsidR="004A3868" w:rsidRDefault="003F1AB5">
      <w:pPr>
        <w:pStyle w:val="afff1"/>
        <w:ind w:firstLine="420"/>
        <w:rPr>
          <w:szCs w:val="21"/>
        </w:rPr>
      </w:pPr>
      <w:r>
        <w:rPr>
          <w:rFonts w:hint="eastAsia"/>
          <w:szCs w:val="21"/>
        </w:rPr>
        <w:t>（2）及时、充分披露相关承诺未能履行、确已无法履行或无法按期履行的具体原因；</w:t>
      </w:r>
    </w:p>
    <w:p w:rsidR="004A3868" w:rsidRDefault="003F1AB5">
      <w:pPr>
        <w:pStyle w:val="afff1"/>
        <w:ind w:firstLine="420"/>
        <w:rPr>
          <w:szCs w:val="21"/>
        </w:rPr>
      </w:pPr>
      <w:r>
        <w:rPr>
          <w:rFonts w:hint="eastAsia"/>
          <w:szCs w:val="21"/>
        </w:rPr>
        <w:t>（3）如本人未能履行相关承诺事项，公司有权在前述事项发生之日起10个交易日内，停止对本人进行现金分红，并停发本人应在公司领取的薪酬、津贴（如有），直至本人履行相关承诺；</w:t>
      </w:r>
    </w:p>
    <w:p w:rsidR="004A3868" w:rsidRDefault="003F1AB5">
      <w:pPr>
        <w:pStyle w:val="afff1"/>
        <w:ind w:firstLine="420"/>
        <w:rPr>
          <w:szCs w:val="21"/>
        </w:rPr>
      </w:pPr>
      <w:r>
        <w:rPr>
          <w:rFonts w:hint="eastAsia"/>
          <w:szCs w:val="21"/>
        </w:rPr>
        <w:t>（4）不转让直接或间接持有的发行人的股份（如持有）。因继承、被强制执行、上市公司重组、为履行保护投资者利益承诺等必须转股的情形除外；</w:t>
      </w:r>
    </w:p>
    <w:p w:rsidR="004A3868" w:rsidRDefault="003F1AB5">
      <w:pPr>
        <w:pStyle w:val="afff1"/>
        <w:ind w:firstLine="420"/>
        <w:rPr>
          <w:szCs w:val="21"/>
        </w:rPr>
      </w:pPr>
      <w:r>
        <w:rPr>
          <w:rFonts w:hint="eastAsia"/>
          <w:szCs w:val="21"/>
        </w:rPr>
        <w:t>（5）向投资者提出补充承诺或替代承诺，以尽可能保护投资者的权益；并同意将上述补充承诺或替代承诺提交股东大会审议；</w:t>
      </w:r>
    </w:p>
    <w:p w:rsidR="004A3868" w:rsidRDefault="003F1AB5">
      <w:pPr>
        <w:pStyle w:val="afff1"/>
        <w:ind w:firstLine="420"/>
        <w:rPr>
          <w:szCs w:val="21"/>
        </w:rPr>
      </w:pPr>
      <w:r>
        <w:rPr>
          <w:rFonts w:hint="eastAsia"/>
          <w:szCs w:val="21"/>
        </w:rPr>
        <w:t>（6）如违反相关承诺给投资者造成损失的，将依法赔偿投资者的损失。如该等已违反的承诺仍可继续履行，本人将继续履行该等承诺。”</w:t>
      </w:r>
    </w:p>
    <w:p w:rsidR="004A3868" w:rsidRDefault="003F1AB5">
      <w:pPr>
        <w:pStyle w:val="afff1"/>
        <w:ind w:firstLine="420"/>
        <w:rPr>
          <w:szCs w:val="21"/>
        </w:rPr>
      </w:pPr>
      <w:r>
        <w:rPr>
          <w:rFonts w:hint="eastAsia"/>
          <w:szCs w:val="21"/>
        </w:rPr>
        <w:t>注9：稳定股价及相应约束措施的承诺</w:t>
      </w:r>
    </w:p>
    <w:p w:rsidR="004A3868" w:rsidRDefault="003F1AB5">
      <w:pPr>
        <w:pStyle w:val="afff1"/>
        <w:ind w:firstLine="420"/>
        <w:rPr>
          <w:szCs w:val="21"/>
        </w:rPr>
      </w:pPr>
      <w:r>
        <w:rPr>
          <w:rFonts w:hint="eastAsia"/>
          <w:szCs w:val="21"/>
        </w:rPr>
        <w:t>1.公司承诺</w:t>
      </w:r>
    </w:p>
    <w:p w:rsidR="004A3868" w:rsidRDefault="003F1AB5">
      <w:pPr>
        <w:pStyle w:val="afff1"/>
        <w:ind w:firstLine="420"/>
        <w:rPr>
          <w:szCs w:val="21"/>
        </w:rPr>
      </w:pPr>
      <w:r>
        <w:rPr>
          <w:rFonts w:hint="eastAsia"/>
          <w:szCs w:val="21"/>
        </w:rPr>
        <w:t>“自公司股票上市之日起3年内，当公司股票连续20个交易日的收盘价均低于公司最近一期经审计的每股净资产时，应实施相关稳定股价的措施。</w:t>
      </w:r>
    </w:p>
    <w:p w:rsidR="004A3868" w:rsidRDefault="003F1AB5">
      <w:pPr>
        <w:pStyle w:val="afff1"/>
        <w:ind w:firstLine="420"/>
        <w:rPr>
          <w:szCs w:val="21"/>
        </w:rPr>
      </w:pPr>
      <w:r>
        <w:rPr>
          <w:rFonts w:hint="eastAsia"/>
          <w:szCs w:val="21"/>
        </w:rPr>
        <w:t>公司将提示及督促公司的控股股东、董事、高级管理人员（包括公司现任董事、高级管理人员，以及在本预案承诺签署时尚未就任的或者未来新选举或聘任的董事、高级管理人员）严格履行在公司首次公开发行股票并上市时公司、控股股东、董事、高级管理人员已作出的关于股价稳定措施的相应承诺。本公司将通过合法自有资金履行股份回购义务，同时保证回购结果不会导致本公司的股权分布不符合上市条件。</w:t>
      </w:r>
    </w:p>
    <w:p w:rsidR="004A3868" w:rsidRDefault="003F1AB5">
      <w:pPr>
        <w:pStyle w:val="afff1"/>
        <w:ind w:firstLine="420"/>
        <w:rPr>
          <w:szCs w:val="21"/>
        </w:rPr>
      </w:pPr>
      <w:r>
        <w:rPr>
          <w:rFonts w:hint="eastAsia"/>
          <w:szCs w:val="21"/>
        </w:rPr>
        <w:lastRenderedPageBreak/>
        <w:t>若公司违反上市后三年内稳定股价预案中的承诺，则公司应：(1)在公司股东大会及中国证监会指定媒体上公开说明未履行承诺的具体原因并向股东和社会公众投资者道歉，并提出补充承诺或替代承诺，以尽可能保护投资者的权益；(2)因未能履行该项承诺造成投资者损失的，公司将依法向投资者进行赔偿。”</w:t>
      </w:r>
    </w:p>
    <w:p w:rsidR="004A3868" w:rsidRDefault="003F1AB5">
      <w:pPr>
        <w:pStyle w:val="afff1"/>
        <w:ind w:firstLine="420"/>
        <w:rPr>
          <w:szCs w:val="21"/>
        </w:rPr>
      </w:pPr>
      <w:r>
        <w:rPr>
          <w:rFonts w:hint="eastAsia"/>
          <w:szCs w:val="21"/>
        </w:rPr>
        <w:t>2、控股股东承诺</w:t>
      </w:r>
    </w:p>
    <w:p w:rsidR="004A3868" w:rsidRDefault="003F1AB5">
      <w:pPr>
        <w:pStyle w:val="afff1"/>
        <w:ind w:firstLine="420"/>
        <w:rPr>
          <w:szCs w:val="21"/>
        </w:rPr>
      </w:pPr>
      <w:r>
        <w:rPr>
          <w:rFonts w:hint="eastAsia"/>
          <w:szCs w:val="21"/>
        </w:rPr>
        <w:t>“自公司股票上市之日起3年内，当公司股票连续20个交易日的收盘价均低于公司最近一期经审计的每股净资产时，且因(1)公司无法实施回购股票或回购股票议案未获得公司股东大会批准；（2）公司虽实施股票回购计划但仍未满足“公司股票连续3个交易日的收盘价均已高于最近一期经审计的每股净资产”之条件时，控股股东将在符合《上市公司收购管理办法》及中国证监会相关规定的前提下增持公司股票。</w:t>
      </w:r>
    </w:p>
    <w:p w:rsidR="004A3868" w:rsidRDefault="003F1AB5">
      <w:pPr>
        <w:pStyle w:val="afff1"/>
        <w:ind w:firstLine="420"/>
        <w:rPr>
          <w:szCs w:val="21"/>
        </w:rPr>
      </w:pPr>
      <w:r>
        <w:rPr>
          <w:rFonts w:hint="eastAsia"/>
          <w:szCs w:val="21"/>
        </w:rPr>
        <w:t>若本人/本公司违反上市后三年内稳定股价预案中的承诺，则控股股东应：（1）在公司股东大会及中国证监会指定媒体上公开说明未履行承诺的具体原因并向其他股东和社会公众投资者道歉，并提出补充承诺或者替代承诺，以尽可能保护投资者的权益；（2）控股股东所持限售股锁定期自期满后延长六个月，并将其在最近一个会计年度从公司分得的税后现金股利返还给公司。如未按期返还，公司可以从之后发放的现金股利中扣发，直至扣减金额累计达到应履行稳定股价义务的最近一个会计年度从公司已分得的税后现金股利总额。”</w:t>
      </w:r>
    </w:p>
    <w:p w:rsidR="004A3868" w:rsidRDefault="003F1AB5">
      <w:pPr>
        <w:pStyle w:val="afff1"/>
        <w:ind w:firstLine="420"/>
        <w:rPr>
          <w:szCs w:val="21"/>
        </w:rPr>
      </w:pPr>
      <w:r>
        <w:rPr>
          <w:rFonts w:hint="eastAsia"/>
          <w:szCs w:val="21"/>
        </w:rPr>
        <w:t>3、董事（不含独立董事，下同）、高级管理人员承诺：</w:t>
      </w:r>
    </w:p>
    <w:p w:rsidR="004A3868" w:rsidRDefault="003F1AB5">
      <w:pPr>
        <w:pStyle w:val="afff1"/>
        <w:ind w:firstLine="420"/>
        <w:rPr>
          <w:szCs w:val="21"/>
        </w:rPr>
      </w:pPr>
      <w:r>
        <w:rPr>
          <w:rFonts w:hint="eastAsia"/>
          <w:szCs w:val="21"/>
        </w:rPr>
        <w:t>“在公司控股股东增持公司股票方案实施完成后，如公司股票仍未满足“公司股票连续3个交易日的收盘价均已高于公司最近一期经审计的每股净资产”之条件，并且董事和高级管理人员增持公司股票不会致使公司将不满足法定上市条件或促使控股股东履行要约收购义务时，董事或高级管理人员将在控股股东增持公司股票方案实施完成后90日内增持公司股票。</w:t>
      </w:r>
    </w:p>
    <w:p w:rsidR="004A3868" w:rsidRDefault="003F1AB5">
      <w:pPr>
        <w:pStyle w:val="afff1"/>
        <w:ind w:firstLine="420"/>
        <w:rPr>
          <w:szCs w:val="21"/>
        </w:rPr>
      </w:pPr>
      <w:r>
        <w:rPr>
          <w:rFonts w:hint="eastAsia"/>
          <w:szCs w:val="21"/>
        </w:rPr>
        <w:t>在公司控股股东增持公司股票方案实施完成后，如公司股票仍未满足“公司股票连续3个交易日的收盘价均已高于公司最近一期经审计的每股净资产”之条件，并且董事和高级管理人员增持公司股票不会致使公司将不满足法定上市条件或促使控股股东履行要约收购义务时，董事或高级管理人员将在控股股东增持公司股票方案实施完成后90日内增持公司股票。</w:t>
      </w:r>
    </w:p>
    <w:p w:rsidR="004A3868" w:rsidRDefault="003F1AB5">
      <w:pPr>
        <w:pStyle w:val="afff1"/>
        <w:ind w:firstLine="420"/>
        <w:rPr>
          <w:szCs w:val="21"/>
        </w:rPr>
      </w:pPr>
      <w:r>
        <w:rPr>
          <w:rFonts w:hint="eastAsia"/>
          <w:szCs w:val="21"/>
        </w:rPr>
        <w:t>若本人违反上市后三年内稳定股价预案中的承诺，则应：（1）在公司股东大会及中国证监会指定媒体上公开说明未履行承诺的具体原因并向股东和</w:t>
      </w:r>
      <w:r>
        <w:rPr>
          <w:rFonts w:hint="eastAsia"/>
          <w:szCs w:val="21"/>
        </w:rPr>
        <w:lastRenderedPageBreak/>
        <w:t>社会公众投资者道歉，并提出补充承诺或替代承诺，以尽可能保护投资者的权益；（2）公司应当自本人未能履行稳定股价承诺当月起，扣减本人每月税后薪酬的20%，直至累计扣减金额达到应履行稳定股价义务的最近一个会计年度从公司已获得税后薪酬的20%。”</w:t>
      </w:r>
    </w:p>
    <w:p w:rsidR="004A3868" w:rsidRDefault="004A3868">
      <w:pPr>
        <w:pStyle w:val="Style124"/>
      </w:pPr>
    </w:p>
    <w:p w:rsidR="004A3868" w:rsidRDefault="004A3868">
      <w:pPr>
        <w:sectPr w:rsidR="004A3868">
          <w:pgSz w:w="16838" w:h="11906" w:orient="landscape"/>
          <w:pgMar w:top="1797" w:right="1525" w:bottom="1276" w:left="1440" w:header="855" w:footer="992" w:gutter="0"/>
          <w:cols w:space="425"/>
          <w:docGrid w:linePitch="312"/>
        </w:sectPr>
      </w:pPr>
    </w:p>
    <w:p w:rsidR="004A3868" w:rsidRDefault="004A3868">
      <w:pPr>
        <w:pStyle w:val="Style124"/>
      </w:pPr>
    </w:p>
    <w:p w:rsidR="004A3868" w:rsidRDefault="003F1AB5">
      <w:pPr>
        <w:pStyle w:val="Style127"/>
        <w:numPr>
          <w:ilvl w:val="1"/>
          <w:numId w:val="34"/>
        </w:numPr>
      </w:pPr>
      <w:r>
        <w:t>公司资产或项目存在盈利预测，且报告期仍处在盈利预测期间，公司就资产或项目</w:t>
      </w:r>
    </w:p>
    <w:p w:rsidR="004A3868" w:rsidRDefault="003F1AB5">
      <w:pPr>
        <w:rPr>
          <w:sz w:val="21"/>
          <w:szCs w:val="21"/>
        </w:rPr>
      </w:pPr>
      <w:r>
        <w:rPr>
          <w:rFonts w:hint="eastAsia"/>
          <w:sz w:val="21"/>
          <w:szCs w:val="21"/>
        </w:rPr>
        <w:t>是否达到原盈利预测及其原因作出说明</w:t>
      </w:r>
    </w:p>
    <w:sdt>
      <w:sdtPr>
        <w:alias w:val="是否适用：公司就资产或项目是否达到原盈利预测及其原因作出说明"/>
        <w:tag w:val="_GBC_f8fa889013a24cb79a6ed52423d2c5a8"/>
        <w:id w:val="658197116"/>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□已达到 </w:instrText>
          </w:r>
          <w:r>
            <w:fldChar w:fldCharType="end"/>
          </w:r>
          <w:r>
            <w:fldChar w:fldCharType="begin"/>
          </w:r>
          <w:r>
            <w:rPr>
              <w:rFonts w:hint="eastAsia"/>
            </w:rPr>
            <w:instrText xml:space="preserve"> MACROBUTTON  SnrToggleCheckbox □未达到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7"/>
        <w:numPr>
          <w:ilvl w:val="1"/>
          <w:numId w:val="34"/>
        </w:numPr>
      </w:pPr>
      <w:r>
        <w:rPr>
          <w:rFonts w:hint="eastAsia"/>
        </w:rPr>
        <w:t>业绩承诺的完成情况及其对商誉减值测试的影响</w:t>
      </w:r>
    </w:p>
    <w:bookmarkStart w:id="64" w:name="_Hlk533667690"/>
    <w:p w:rsidR="004A3868" w:rsidRDefault="00B34370">
      <w:pPr>
        <w:pStyle w:val="Style124"/>
      </w:pPr>
      <w:sdt>
        <w:sdtPr>
          <w:rPr>
            <w:rFonts w:hint="eastAsia"/>
            <w:b/>
          </w:rPr>
          <w:alias w:val="是否适用：承诺事项-商誉减值测试的影响[双击切换]"/>
          <w:tag w:val="_GBC_659442fc24654f8db642f18c0532cf99"/>
          <w:id w:val="-1201777239"/>
          <w:placeholder>
            <w:docPart w:val="GBC22222222222222222222222222222"/>
          </w:placeholder>
        </w:sdtPr>
        <w:sdtEndPr/>
        <w:sdtContent>
          <w:r w:rsidR="003F1AB5">
            <w:fldChar w:fldCharType="begin"/>
          </w:r>
          <w:r w:rsidR="003F1AB5">
            <w:instrText xml:space="preserve"> 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bookmarkEnd w:id="64"/>
    </w:p>
    <w:p w:rsidR="004A3868" w:rsidRDefault="004A3868">
      <w:pPr>
        <w:sectPr w:rsidR="004A3868">
          <w:pgSz w:w="11906" w:h="16838"/>
          <w:pgMar w:top="1525" w:right="1276" w:bottom="1440" w:left="1797" w:header="855" w:footer="992" w:gutter="0"/>
          <w:cols w:space="425"/>
          <w:docGrid w:linePitch="312"/>
        </w:sectPr>
      </w:pPr>
    </w:p>
    <w:p w:rsidR="004A3868" w:rsidRDefault="004A3868">
      <w:pPr>
        <w:pStyle w:val="Style124"/>
      </w:pPr>
    </w:p>
    <w:p w:rsidR="004A3868" w:rsidRDefault="003F1AB5">
      <w:pPr>
        <w:pStyle w:val="2"/>
        <w:numPr>
          <w:ilvl w:val="0"/>
          <w:numId w:val="33"/>
        </w:numPr>
      </w:pPr>
      <w:r>
        <w:rPr>
          <w:rFonts w:hint="eastAsia"/>
        </w:rPr>
        <w:t>报</w:t>
      </w:r>
      <w:r>
        <w:t>告期内</w:t>
      </w:r>
      <w:r>
        <w:rPr>
          <w:rFonts w:hint="eastAsia"/>
        </w:rPr>
        <w:t>控股股东及其他关联方非经营性占用资金情况</w:t>
      </w:r>
    </w:p>
    <w:bookmarkStart w:id="65" w:name="_Hlk89336052" w:displacedByCustomXml="next"/>
    <w:sdt>
      <w:sdtPr>
        <w:alias w:val="是否适用：资金被占用情况及清欠进展情况[双击切换]"/>
        <w:tag w:val="_GBC_a94958949e0846929a78a71186526204"/>
        <w:id w:val="2112855898"/>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2"/>
        <w:numPr>
          <w:ilvl w:val="0"/>
          <w:numId w:val="33"/>
        </w:numPr>
      </w:pPr>
      <w:bookmarkStart w:id="66" w:name="_Hlk74646364"/>
      <w:r>
        <w:rPr>
          <w:rFonts w:hint="eastAsia"/>
        </w:rPr>
        <w:t>违规担保情况</w:t>
      </w:r>
    </w:p>
    <w:bookmarkStart w:id="67" w:name="_Hlk74646365" w:displacedByCustomXml="next"/>
    <w:bookmarkEnd w:id="67" w:displacedByCustomXml="next"/>
    <w:bookmarkEnd w:id="66" w:displacedByCustomXml="next"/>
    <w:bookmarkEnd w:id="65" w:displacedByCustomXml="next"/>
    <w:bookmarkStart w:id="68" w:name="_Hlk89337011" w:displacedByCustomXml="next"/>
    <w:sdt>
      <w:sdtPr>
        <w:alias w:val="是否适用：违规担保情况[双击切换]"/>
        <w:tag w:val="_GBC_b2d16e23c066427a800b40aaa053bc8e"/>
        <w:id w:val="-1810705130"/>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4A3868">
      <w:pPr>
        <w:sectPr w:rsidR="004A3868">
          <w:pgSz w:w="16838" w:h="11906" w:orient="landscape"/>
          <w:pgMar w:top="1797" w:right="1525" w:bottom="1276" w:left="1440" w:header="855" w:footer="992" w:gutter="0"/>
          <w:cols w:space="425"/>
          <w:docGrid w:linePitch="312"/>
        </w:sectPr>
      </w:pPr>
      <w:bookmarkStart w:id="69" w:name="_Hlk74646368"/>
    </w:p>
    <w:p w:rsidR="004A3868" w:rsidRDefault="003F1AB5">
      <w:pPr>
        <w:pStyle w:val="2"/>
        <w:numPr>
          <w:ilvl w:val="0"/>
          <w:numId w:val="33"/>
        </w:numPr>
      </w:pPr>
      <w:r>
        <w:rPr>
          <w:rFonts w:hint="eastAsia"/>
        </w:rPr>
        <w:lastRenderedPageBreak/>
        <w:t>公司董事会对会计师事务所“非标准意见审计报告”的说明</w:t>
      </w:r>
    </w:p>
    <w:bookmarkEnd w:id="68"/>
    <w:bookmarkEnd w:id="69"/>
    <w:p w:rsidR="004A3868" w:rsidRDefault="00B34370">
      <w:pPr>
        <w:pStyle w:val="Style124"/>
      </w:pPr>
      <w:sdt>
        <w:sdtPr>
          <w:alias w:val="是否适用：董事会对会计师事务所非标准审计报告的说明[双击切换]"/>
          <w:tag w:val="_GBC_81f7a662b6a641d8aadb05b1cb176ecf"/>
          <w:id w:val="604152893"/>
          <w:placeholder>
            <w:docPart w:val="GBC22222222222222222222222222222"/>
          </w:placeholder>
        </w:sdtPr>
        <w:sdtEndPr/>
        <w:sdtContent>
          <w:r w:rsidR="003F1AB5">
            <w:fldChar w:fldCharType="begin"/>
          </w:r>
          <w:r w:rsidR="003F1AB5">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2"/>
        <w:numPr>
          <w:ilvl w:val="0"/>
          <w:numId w:val="33"/>
        </w:numPr>
      </w:pPr>
      <w:r>
        <w:rPr>
          <w:rFonts w:hint="eastAsia"/>
        </w:rPr>
        <w:t>公司对会计政策、会计估计变更或重大会计差错更正原因和影响的分析说明</w:t>
      </w:r>
    </w:p>
    <w:p w:rsidR="004A3868" w:rsidRDefault="003F1AB5">
      <w:pPr>
        <w:pStyle w:val="Style127"/>
        <w:numPr>
          <w:ilvl w:val="0"/>
          <w:numId w:val="35"/>
        </w:numPr>
      </w:pPr>
      <w:r>
        <w:rPr>
          <w:rFonts w:hint="eastAsia"/>
        </w:rPr>
        <w:t>公司对会计政策、会计估计变更原因及影响的分析说明</w:t>
      </w:r>
    </w:p>
    <w:sdt>
      <w:sdtPr>
        <w:rPr>
          <w:rFonts w:hint="eastAsia"/>
          <w:highlight w:val="yellow"/>
        </w:rPr>
        <w:alias w:val="是否适用：公司对会计政策、会计估计更正的原因及影响[双击切换]"/>
        <w:tag w:val="_GBC_af0d7b808dd9452c873bbe81905062f6"/>
        <w:id w:val="527602963"/>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35"/>
        </w:numPr>
      </w:pPr>
      <w:r>
        <w:rPr>
          <w:rFonts w:hint="eastAsia"/>
        </w:rPr>
        <w:t>公司对重大会计差错更正原因及影响的分析说明</w:t>
      </w:r>
    </w:p>
    <w:sdt>
      <w:sdtPr>
        <w:rPr>
          <w:rFonts w:hint="eastAsia"/>
          <w:sz w:val="21"/>
          <w:szCs w:val="21"/>
        </w:rPr>
        <w:alias w:val="是否适用：公司对重大会计差错更正的原因及影响[双击切换]"/>
        <w:tag w:val="_GBC_20433825c59a4e308939a2a08d3b64f5"/>
        <w:id w:val="1238834703"/>
        <w:placeholder>
          <w:docPart w:val="GBC22222222222222222222222222222"/>
        </w:placeholder>
      </w:sdtPr>
      <w:sdtEndPr>
        <w:rPr>
          <w:highlight w:val="yellow"/>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35"/>
        </w:numPr>
      </w:pPr>
      <w:r>
        <w:t>与前任会计师事务所进行的沟通情况</w:t>
      </w:r>
    </w:p>
    <w:sdt>
      <w:sdtPr>
        <w:rPr>
          <w:rFonts w:hint="eastAsia"/>
          <w:sz w:val="21"/>
          <w:szCs w:val="21"/>
          <w:highlight w:val="yellow"/>
        </w:rPr>
        <w:alias w:val="是否适用：与前任会计师事务所进行的沟通情况[双击切换]"/>
        <w:tag w:val="_GBC_eac5a093c5584c5699f0b1b4b2cc9124"/>
        <w:id w:val="2060283066"/>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35"/>
        </w:numPr>
      </w:pPr>
      <w:r>
        <w:rPr>
          <w:rFonts w:hint="eastAsia"/>
        </w:rPr>
        <w:t>审批程序及</w:t>
      </w:r>
      <w:r>
        <w:t>其他说明</w:t>
      </w:r>
    </w:p>
    <w:sdt>
      <w:sdtPr>
        <w:rPr>
          <w:rFonts w:hint="eastAsia"/>
          <w:sz w:val="21"/>
          <w:szCs w:val="21"/>
        </w:rPr>
        <w:alias w:val="是否适用：审批程序及其他说明[双击切换]"/>
        <w:tag w:val="_GBC_f59e5141b9f74a2badb652a198d25993"/>
        <w:id w:val="2030983288"/>
        <w:placeholder>
          <w:docPart w:val="GBC22222222222222222222222222222"/>
        </w:placeholder>
      </w:sdtPr>
      <w:sdtEndPr>
        <w:rPr>
          <w:highlight w:val="yellow"/>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2"/>
        <w:numPr>
          <w:ilvl w:val="0"/>
          <w:numId w:val="33"/>
        </w:numPr>
      </w:pPr>
      <w:r>
        <w:t>聘任、解聘会计师事务所情况</w:t>
      </w:r>
    </w:p>
    <w:p w:rsidR="004A3868" w:rsidRDefault="003F1AB5">
      <w:pPr>
        <w:jc w:val="right"/>
        <w:rPr>
          <w:sz w:val="21"/>
          <w:szCs w:val="21"/>
        </w:rPr>
      </w:pPr>
      <w:r>
        <w:rPr>
          <w:rFonts w:hint="eastAsia"/>
          <w:sz w:val="21"/>
          <w:szCs w:val="21"/>
        </w:rPr>
        <w:t>单位：</w:t>
      </w:r>
      <w:bookmarkStart w:id="70" w:name="_Hlk40535695"/>
      <w:sdt>
        <w:sdtPr>
          <w:rPr>
            <w:rFonts w:hint="eastAsia"/>
            <w:sz w:val="21"/>
            <w:szCs w:val="21"/>
          </w:rPr>
          <w:alias w:val="单位：聘任、解聘会计师事务所情况"/>
          <w:tag w:val="_GBC_26e166c9302c4cd6aef51526fb663693"/>
          <w:id w:val="13936122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万元</w:t>
          </w:r>
        </w:sdtContent>
      </w:sdt>
      <w:r>
        <w:rPr>
          <w:rFonts w:hint="eastAsia"/>
          <w:sz w:val="21"/>
          <w:szCs w:val="21"/>
        </w:rPr>
        <w:t xml:space="preserve">  币种：</w:t>
      </w:r>
      <w:sdt>
        <w:sdtPr>
          <w:rPr>
            <w:rFonts w:hint="eastAsia"/>
            <w:sz w:val="21"/>
            <w:szCs w:val="21"/>
          </w:rPr>
          <w:alias w:val="币种：聘任、解聘会计师事务所情况"/>
          <w:tag w:val="_GBC_7dcaa3c6f2b646e695b35f062316b1bc"/>
          <w:id w:val="1227386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6"/>
        <w:tblW w:w="5000" w:type="pct"/>
        <w:jc w:val="center"/>
        <w:tblInd w:w="0" w:type="dxa"/>
        <w:tblLayout w:type="fixed"/>
        <w:tblCellMar>
          <w:right w:w="28" w:type="dxa"/>
        </w:tblCellMar>
        <w:tblLook w:val="04A0" w:firstRow="1" w:lastRow="0" w:firstColumn="1" w:lastColumn="0" w:noHBand="0" w:noVBand="1"/>
      </w:tblPr>
      <w:tblGrid>
        <w:gridCol w:w="4400"/>
        <w:gridCol w:w="4423"/>
      </w:tblGrid>
      <w:tr w:rsidR="004A3868">
        <w:trPr>
          <w:trHeight w:val="397"/>
          <w:jc w:val="center"/>
        </w:trPr>
        <w:tc>
          <w:tcPr>
            <w:tcW w:w="4400" w:type="dxa"/>
            <w:vAlign w:val="center"/>
          </w:tcPr>
          <w:p w:rsidR="004A3868" w:rsidRDefault="004A3868">
            <w:pPr>
              <w:rPr>
                <w:sz w:val="21"/>
                <w:szCs w:val="21"/>
              </w:rPr>
            </w:pPr>
          </w:p>
        </w:tc>
        <w:sdt>
          <w:sdtPr>
            <w:tag w:val="_PLD_364aa8d2f946450c8e3aa85ae050a07e"/>
            <w:id w:val="-1943524346"/>
          </w:sdtPr>
          <w:sdtEndPr/>
          <w:sdtContent>
            <w:tc>
              <w:tcPr>
                <w:tcW w:w="4423" w:type="dxa"/>
                <w:vAlign w:val="center"/>
              </w:tcPr>
              <w:p w:rsidR="004A3868" w:rsidRDefault="003F1AB5">
                <w:pPr>
                  <w:pStyle w:val="afffb"/>
                </w:pPr>
                <w:r>
                  <w:rPr>
                    <w:rFonts w:hint="eastAsia"/>
                  </w:rPr>
                  <w:t>现聘任</w:t>
                </w:r>
              </w:p>
            </w:tc>
          </w:sdtContent>
        </w:sdt>
      </w:tr>
      <w:tr w:rsidR="004A3868">
        <w:trPr>
          <w:trHeight w:val="397"/>
          <w:jc w:val="center"/>
        </w:trPr>
        <w:tc>
          <w:tcPr>
            <w:tcW w:w="4400" w:type="dxa"/>
            <w:vAlign w:val="center"/>
          </w:tcPr>
          <w:p w:rsidR="004A3868" w:rsidRDefault="003F1AB5">
            <w:pPr>
              <w:pStyle w:val="afff9"/>
            </w:pPr>
            <w:r>
              <w:rPr>
                <w:rFonts w:hint="eastAsia"/>
              </w:rPr>
              <w:t>境内会计师事务所名称</w:t>
            </w:r>
          </w:p>
        </w:tc>
        <w:tc>
          <w:tcPr>
            <w:tcW w:w="4423" w:type="dxa"/>
            <w:vAlign w:val="center"/>
          </w:tcPr>
          <w:p w:rsidR="004A3868" w:rsidRDefault="003F1AB5">
            <w:pPr>
              <w:pStyle w:val="afffb"/>
            </w:pPr>
            <w:r>
              <w:rPr>
                <w:rFonts w:hint="eastAsia"/>
              </w:rPr>
              <w:t>大华会计师事务所（特殊普通合伙）</w:t>
            </w:r>
          </w:p>
        </w:tc>
      </w:tr>
      <w:tr w:rsidR="004A3868">
        <w:trPr>
          <w:trHeight w:val="397"/>
          <w:jc w:val="center"/>
        </w:trPr>
        <w:tc>
          <w:tcPr>
            <w:tcW w:w="4400" w:type="dxa"/>
            <w:vAlign w:val="center"/>
          </w:tcPr>
          <w:p w:rsidR="004A3868" w:rsidRDefault="003F1AB5">
            <w:pPr>
              <w:pStyle w:val="afff9"/>
            </w:pPr>
            <w:r>
              <w:rPr>
                <w:rFonts w:hint="eastAsia"/>
              </w:rPr>
              <w:t>境内会计师事务所报酬</w:t>
            </w:r>
          </w:p>
        </w:tc>
        <w:tc>
          <w:tcPr>
            <w:tcW w:w="4423" w:type="dxa"/>
            <w:vAlign w:val="center"/>
          </w:tcPr>
          <w:p w:rsidR="004A3868" w:rsidRDefault="003F1AB5">
            <w:pPr>
              <w:pStyle w:val="afffb"/>
            </w:pPr>
            <w:r>
              <w:t>115</w:t>
            </w:r>
          </w:p>
        </w:tc>
      </w:tr>
      <w:tr w:rsidR="004A3868">
        <w:trPr>
          <w:trHeight w:val="397"/>
          <w:jc w:val="center"/>
        </w:trPr>
        <w:tc>
          <w:tcPr>
            <w:tcW w:w="4400" w:type="dxa"/>
            <w:vAlign w:val="center"/>
          </w:tcPr>
          <w:p w:rsidR="004A3868" w:rsidRDefault="003F1AB5">
            <w:pPr>
              <w:pStyle w:val="afff9"/>
            </w:pPr>
            <w:r>
              <w:rPr>
                <w:rFonts w:hint="eastAsia"/>
              </w:rPr>
              <w:t>境内会计师事务所审计年限</w:t>
            </w:r>
          </w:p>
        </w:tc>
        <w:tc>
          <w:tcPr>
            <w:tcW w:w="4423" w:type="dxa"/>
            <w:vAlign w:val="center"/>
          </w:tcPr>
          <w:p w:rsidR="004A3868" w:rsidRDefault="003F1AB5">
            <w:pPr>
              <w:pStyle w:val="afffb"/>
            </w:pPr>
            <w:r>
              <w:rPr>
                <w:rFonts w:hint="eastAsia"/>
              </w:rPr>
              <w:t>5年</w:t>
            </w:r>
          </w:p>
        </w:tc>
      </w:tr>
      <w:tr w:rsidR="004A3868">
        <w:trPr>
          <w:trHeight w:val="397"/>
          <w:jc w:val="center"/>
        </w:trPr>
        <w:tc>
          <w:tcPr>
            <w:tcW w:w="4400" w:type="dxa"/>
            <w:vAlign w:val="center"/>
          </w:tcPr>
          <w:p w:rsidR="004A3868" w:rsidRDefault="003F1AB5">
            <w:pPr>
              <w:pStyle w:val="afff9"/>
            </w:pPr>
            <w:r>
              <w:rPr>
                <w:rFonts w:hint="eastAsia"/>
              </w:rPr>
              <w:t>境内会计师事务所注册会计师姓名</w:t>
            </w:r>
          </w:p>
        </w:tc>
        <w:tc>
          <w:tcPr>
            <w:tcW w:w="4423" w:type="dxa"/>
            <w:vAlign w:val="center"/>
          </w:tcPr>
          <w:p w:rsidR="004A3868" w:rsidRDefault="003F1AB5">
            <w:pPr>
              <w:pStyle w:val="afffb"/>
            </w:pPr>
            <w:r>
              <w:rPr>
                <w:rFonts w:hint="eastAsia"/>
              </w:rPr>
              <w:t>王庆莲、邱尔杰</w:t>
            </w:r>
          </w:p>
        </w:tc>
      </w:tr>
      <w:tr w:rsidR="004A3868">
        <w:trPr>
          <w:trHeight w:val="397"/>
          <w:jc w:val="center"/>
        </w:trPr>
        <w:tc>
          <w:tcPr>
            <w:tcW w:w="4400" w:type="dxa"/>
            <w:vAlign w:val="center"/>
          </w:tcPr>
          <w:p w:rsidR="004A3868" w:rsidRDefault="003F1AB5">
            <w:pPr>
              <w:pStyle w:val="afff9"/>
            </w:pPr>
            <w:r>
              <w:rPr>
                <w:rFonts w:hint="eastAsia"/>
              </w:rPr>
              <w:t>境内会计师事务所注册会计师审计服务的累计年限</w:t>
            </w:r>
          </w:p>
        </w:tc>
        <w:tc>
          <w:tcPr>
            <w:tcW w:w="4423" w:type="dxa"/>
            <w:vAlign w:val="center"/>
          </w:tcPr>
          <w:p w:rsidR="004A3868" w:rsidRDefault="003F1AB5">
            <w:pPr>
              <w:pStyle w:val="afffb"/>
            </w:pPr>
            <w:r>
              <w:rPr>
                <w:rFonts w:hint="eastAsia"/>
              </w:rPr>
              <w:t>王庆莲</w:t>
            </w:r>
            <w:r>
              <w:t xml:space="preserve"> 5 年、邱尔杰2 年</w:t>
            </w:r>
          </w:p>
        </w:tc>
      </w:tr>
    </w:tbl>
    <w:p w:rsidR="004A3868" w:rsidRDefault="004A3868">
      <w:pPr>
        <w:rPr>
          <w:highlight w:val="yellow"/>
        </w:rPr>
      </w:pPr>
    </w:p>
    <w:tbl>
      <w:tblPr>
        <w:tblStyle w:val="g6"/>
        <w:tblW w:w="5000" w:type="pct"/>
        <w:jc w:val="center"/>
        <w:tblInd w:w="0" w:type="dxa"/>
        <w:tblLayout w:type="fixed"/>
        <w:tblCellMar>
          <w:right w:w="28" w:type="dxa"/>
        </w:tblCellMar>
        <w:tblLook w:val="04A0" w:firstRow="1" w:lastRow="0" w:firstColumn="1" w:lastColumn="0" w:noHBand="0" w:noVBand="1"/>
      </w:tblPr>
      <w:tblGrid>
        <w:gridCol w:w="2940"/>
        <w:gridCol w:w="2941"/>
        <w:gridCol w:w="2942"/>
      </w:tblGrid>
      <w:tr w:rsidR="004A3868">
        <w:trPr>
          <w:trHeight w:val="397"/>
          <w:jc w:val="center"/>
        </w:trPr>
        <w:tc>
          <w:tcPr>
            <w:tcW w:w="2940" w:type="dxa"/>
            <w:vAlign w:val="center"/>
          </w:tcPr>
          <w:p w:rsidR="004A3868" w:rsidRDefault="004A3868">
            <w:pPr>
              <w:pStyle w:val="afffb"/>
            </w:pPr>
          </w:p>
        </w:tc>
        <w:sdt>
          <w:sdtPr>
            <w:tag w:val="_PLD_c9ec27d8a8454f91bb769203a75df4b3"/>
            <w:id w:val="576799548"/>
          </w:sdtPr>
          <w:sdtEndPr/>
          <w:sdtContent>
            <w:tc>
              <w:tcPr>
                <w:tcW w:w="2941" w:type="dxa"/>
                <w:vAlign w:val="center"/>
              </w:tcPr>
              <w:p w:rsidR="004A3868" w:rsidRDefault="003F1AB5">
                <w:pPr>
                  <w:pStyle w:val="afffb"/>
                </w:pPr>
                <w:r>
                  <w:rPr>
                    <w:rFonts w:hint="eastAsia"/>
                  </w:rPr>
                  <w:t>名称</w:t>
                </w:r>
              </w:p>
            </w:tc>
          </w:sdtContent>
        </w:sdt>
        <w:sdt>
          <w:sdtPr>
            <w:tag w:val="_PLD_ae4e80c7f64046dcb42116bfa53b53af"/>
            <w:id w:val="-1389960486"/>
          </w:sdtPr>
          <w:sdtEndPr/>
          <w:sdtContent>
            <w:tc>
              <w:tcPr>
                <w:tcW w:w="2942" w:type="dxa"/>
                <w:vAlign w:val="center"/>
              </w:tcPr>
              <w:p w:rsidR="004A3868" w:rsidRDefault="003F1AB5">
                <w:pPr>
                  <w:pStyle w:val="afffb"/>
                </w:pPr>
                <w:r>
                  <w:rPr>
                    <w:rFonts w:hint="eastAsia"/>
                  </w:rPr>
                  <w:t>报酬</w:t>
                </w:r>
              </w:p>
            </w:tc>
          </w:sdtContent>
        </w:sdt>
      </w:tr>
      <w:tr w:rsidR="004A3868">
        <w:trPr>
          <w:trHeight w:val="397"/>
          <w:jc w:val="center"/>
        </w:trPr>
        <w:tc>
          <w:tcPr>
            <w:tcW w:w="2940" w:type="dxa"/>
            <w:vAlign w:val="center"/>
          </w:tcPr>
          <w:p w:rsidR="004A3868" w:rsidRDefault="003F1AB5">
            <w:pPr>
              <w:pStyle w:val="afff9"/>
            </w:pPr>
            <w:r>
              <w:rPr>
                <w:rFonts w:hint="eastAsia"/>
              </w:rPr>
              <w:t>内部控制审计会计师事务所</w:t>
            </w:r>
          </w:p>
        </w:tc>
        <w:tc>
          <w:tcPr>
            <w:tcW w:w="2941" w:type="dxa"/>
            <w:vAlign w:val="center"/>
          </w:tcPr>
          <w:p w:rsidR="004A3868" w:rsidRDefault="003F1AB5">
            <w:pPr>
              <w:pStyle w:val="afff9"/>
            </w:pPr>
            <w:r>
              <w:rPr>
                <w:rFonts w:hint="eastAsia"/>
              </w:rPr>
              <w:t>大华会计师事务所（特殊普通合伙）</w:t>
            </w:r>
          </w:p>
        </w:tc>
        <w:tc>
          <w:tcPr>
            <w:tcW w:w="2942" w:type="dxa"/>
            <w:vAlign w:val="center"/>
          </w:tcPr>
          <w:p w:rsidR="004A3868" w:rsidRDefault="003F1AB5">
            <w:pPr>
              <w:pStyle w:val="afffb"/>
            </w:pPr>
            <w:r>
              <w:t>25</w:t>
            </w:r>
          </w:p>
        </w:tc>
      </w:tr>
      <w:bookmarkEnd w:id="70"/>
    </w:tbl>
    <w:p w:rsidR="004A3868" w:rsidRDefault="004A3868">
      <w:pPr>
        <w:rPr>
          <w:highlight w:val="yellow"/>
        </w:rPr>
      </w:pPr>
    </w:p>
    <w:p w:rsidR="004A3868" w:rsidRDefault="003F1AB5">
      <w:pPr>
        <w:rPr>
          <w:sz w:val="21"/>
          <w:szCs w:val="21"/>
        </w:rPr>
      </w:pPr>
      <w:r>
        <w:rPr>
          <w:sz w:val="21"/>
          <w:szCs w:val="21"/>
        </w:rPr>
        <w:t>聘任、解聘会计师事务所的情况说明</w:t>
      </w:r>
    </w:p>
    <w:sdt>
      <w:sdtPr>
        <w:rPr>
          <w:sz w:val="21"/>
          <w:szCs w:val="21"/>
        </w:rPr>
        <w:alias w:val="是否适用：聘任、解聘会计师事务所情况[双击切换]"/>
        <w:tag w:val="_GBC_376f0811302240c0a118add2061458b6"/>
        <w:id w:val="514191942"/>
        <w:placeholder>
          <w:docPart w:val="GBC22222222222222222222222222222"/>
        </w:placeholder>
      </w:sdtPr>
      <w:sdtEndPr/>
      <w:sdtContent>
        <w:p w:rsidR="004A3868" w:rsidRDefault="003F1AB5">
          <w:pPr>
            <w:rPr>
              <w:sz w:val="21"/>
              <w:szCs w:val="21"/>
            </w:rPr>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 w:val="21"/>
          <w:szCs w:val="21"/>
        </w:rPr>
        <w:alias w:val="聘任、解聘会计师事务所情况说明"/>
        <w:tag w:val="_GBC_efccae536add449ea09208e1185e3711"/>
        <w:id w:val="-574049317"/>
        <w:placeholder>
          <w:docPart w:val="GBC22222222222222222222222222222"/>
        </w:placeholder>
      </w:sdtPr>
      <w:sdtEndPr>
        <w:rPr>
          <w:rStyle w:val="afff2"/>
        </w:rPr>
      </w:sdtEndPr>
      <w:sdtContent>
        <w:p w:rsidR="004A3868" w:rsidRDefault="003F1AB5">
          <w:pPr>
            <w:ind w:firstLineChars="200" w:firstLine="420"/>
            <w:rPr>
              <w:rStyle w:val="afff2"/>
              <w:szCs w:val="21"/>
            </w:rPr>
          </w:pPr>
          <w:r>
            <w:rPr>
              <w:rStyle w:val="afff2"/>
              <w:szCs w:val="21"/>
            </w:rPr>
            <w:t>2023年3月29日</w:t>
          </w:r>
          <w:r>
            <w:rPr>
              <w:rStyle w:val="afff2"/>
              <w:rFonts w:hint="eastAsia"/>
              <w:szCs w:val="21"/>
            </w:rPr>
            <w:t>公司</w:t>
          </w:r>
          <w:r>
            <w:rPr>
              <w:rStyle w:val="afff2"/>
              <w:szCs w:val="21"/>
            </w:rPr>
            <w:t>召开第三届董事会第</w:t>
          </w:r>
          <w:r>
            <w:rPr>
              <w:rStyle w:val="afff2"/>
              <w:rFonts w:hint="eastAsia"/>
              <w:szCs w:val="21"/>
            </w:rPr>
            <w:t>十五</w:t>
          </w:r>
          <w:r>
            <w:rPr>
              <w:rStyle w:val="afff2"/>
              <w:szCs w:val="21"/>
            </w:rPr>
            <w:t>次会议，2023年4月</w:t>
          </w:r>
          <w:r>
            <w:rPr>
              <w:rStyle w:val="afff2"/>
              <w:rFonts w:hint="eastAsia"/>
              <w:szCs w:val="21"/>
            </w:rPr>
            <w:t>1</w:t>
          </w:r>
          <w:r>
            <w:rPr>
              <w:rStyle w:val="afff2"/>
              <w:szCs w:val="21"/>
            </w:rPr>
            <w:t>9日召开2022年度股东大会审议通过了《关于续聘会计师事务所的议案》，同意聘任大华会计师事务所(特殊普通合伙)为公司提供 2023年度相关审计服务，聘请期限自2022年度股东大会通过之日起至 2023年度股东大会之日止。</w:t>
          </w:r>
        </w:p>
      </w:sdtContent>
    </w:sdt>
    <w:p w:rsidR="004A3868" w:rsidRDefault="003F1AB5">
      <w:pPr>
        <w:rPr>
          <w:sz w:val="21"/>
          <w:szCs w:val="21"/>
        </w:rPr>
      </w:pPr>
      <w:r>
        <w:rPr>
          <w:sz w:val="21"/>
          <w:szCs w:val="21"/>
        </w:rPr>
        <w:t>审计期间改聘会计师事务所的情况说明</w:t>
      </w:r>
    </w:p>
    <w:sdt>
      <w:sdtPr>
        <w:rPr>
          <w:rFonts w:hint="eastAsia"/>
          <w:sz w:val="21"/>
          <w:szCs w:val="21"/>
        </w:rPr>
        <w:alias w:val="是否适用：审计期间改聘会计师事务所的情况说明[双击切换]"/>
        <w:tag w:val="_GBC_34c57619e2904c83a8840614e4e5d5d0"/>
        <w:id w:val="1276914570"/>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审计费用较上一年度下降20%以上（含20%）的情况说明</w:t>
      </w:r>
    </w:p>
    <w:sdt>
      <w:sdtPr>
        <w:rPr>
          <w:rFonts w:hint="eastAsia"/>
          <w:sz w:val="21"/>
          <w:szCs w:val="21"/>
        </w:rPr>
        <w:alias w:val="是否适用：审计费用较上一年度下降20%以上（含20%）的情况说明[双击切换]"/>
        <w:tag w:val="_GBC_1b0fa24aa1d645e2aa2ab2a0fe7c67ab"/>
        <w:id w:val="-1561163886"/>
        <w:placeholder>
          <w:docPart w:val="GBC22222222222222222222222222222"/>
        </w:placeholder>
      </w:sdtPr>
      <w:sdtEndPr/>
      <w:sdtContent>
        <w:p w:rsidR="004A3868" w:rsidRDefault="003F1AB5">
          <w:pPr>
            <w:pStyle w:val="Style331"/>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4A3868">
      <w:pPr>
        <w:pStyle w:val="Style331"/>
        <w:rPr>
          <w:sz w:val="21"/>
          <w:szCs w:val="21"/>
        </w:rPr>
      </w:pPr>
    </w:p>
    <w:p w:rsidR="004A3868" w:rsidRDefault="003F1AB5">
      <w:pPr>
        <w:pStyle w:val="2"/>
        <w:numPr>
          <w:ilvl w:val="0"/>
          <w:numId w:val="33"/>
        </w:numPr>
      </w:pPr>
      <w:r>
        <w:lastRenderedPageBreak/>
        <w:t>面临</w:t>
      </w:r>
      <w:r>
        <w:rPr>
          <w:rFonts w:hint="eastAsia"/>
        </w:rPr>
        <w:t>退</w:t>
      </w:r>
      <w:r>
        <w:t>市风险的情况</w:t>
      </w:r>
    </w:p>
    <w:p w:rsidR="004A3868" w:rsidRDefault="003F1AB5">
      <w:pPr>
        <w:pStyle w:val="Style127"/>
        <w:numPr>
          <w:ilvl w:val="0"/>
          <w:numId w:val="36"/>
        </w:numPr>
      </w:pPr>
      <w:r>
        <w:rPr>
          <w:rFonts w:hint="eastAsia"/>
        </w:rPr>
        <w:t>导</w:t>
      </w:r>
      <w:r>
        <w:t>致</w:t>
      </w:r>
      <w:r>
        <w:rPr>
          <w:rFonts w:hint="eastAsia"/>
        </w:rPr>
        <w:t>退市风险警示</w:t>
      </w:r>
      <w:r>
        <w:t>的原因</w:t>
      </w:r>
    </w:p>
    <w:sdt>
      <w:sdtPr>
        <w:rPr>
          <w:rFonts w:hint="eastAsia"/>
        </w:rPr>
        <w:alias w:val="是否适用：导致暂停上市的原因[双击切换]"/>
        <w:tag w:val="_GBC_5be6e6fabf4849c7b63c5d08ac7706e1"/>
        <w:id w:val="1072320140"/>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
        <w:numPr>
          <w:ilvl w:val="0"/>
          <w:numId w:val="36"/>
        </w:numPr>
      </w:pPr>
      <w:r>
        <w:rPr>
          <w:rFonts w:hint="eastAsia"/>
        </w:rPr>
        <w:t>公司拟采取的应对措施</w:t>
      </w:r>
    </w:p>
    <w:sdt>
      <w:sdtPr>
        <w:alias w:val="是否适用：公司拟采取的措施[双击切换]"/>
        <w:tag w:val="_GBC_8656f473b4d943fe8fa1477037f607c5"/>
        <w:id w:val="-1355021445"/>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
        <w:numPr>
          <w:ilvl w:val="0"/>
          <w:numId w:val="36"/>
        </w:numPr>
      </w:pPr>
      <w:r>
        <w:rPr>
          <w:rFonts w:hint="eastAsia"/>
        </w:rPr>
        <w:t>面临终止上市的情况和原因</w:t>
      </w:r>
    </w:p>
    <w:bookmarkStart w:id="71" w:name="_Hlk89346186" w:displacedByCustomXml="next"/>
    <w:sdt>
      <w:sdtPr>
        <w:rPr>
          <w:rFonts w:hint="eastAsia"/>
        </w:rPr>
        <w:alias w:val="是否适用：面临终止上市的情况和原因 [双击切换]"/>
        <w:tag w:val="_GBC_36002fff87954035b149cfd20b1790d5"/>
        <w:id w:val="-508444983"/>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71"/>
    <w:p w:rsidR="004A3868" w:rsidRDefault="003F1AB5">
      <w:pPr>
        <w:pStyle w:val="2"/>
        <w:numPr>
          <w:ilvl w:val="0"/>
          <w:numId w:val="33"/>
        </w:numPr>
      </w:pPr>
      <w:r>
        <w:t>破产重整相关事项</w:t>
      </w:r>
    </w:p>
    <w:sdt>
      <w:sdtPr>
        <w:alias w:val="是否适用：破产重整相关事项[双击切换]"/>
        <w:tag w:val="_GBC_5840a694c2a04f98893394e6da3bc9cc"/>
        <w:id w:val="-2093311514"/>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2"/>
        <w:numPr>
          <w:ilvl w:val="0"/>
          <w:numId w:val="33"/>
        </w:numPr>
      </w:pPr>
      <w:r>
        <w:t>重大诉讼、仲裁事项</w:t>
      </w:r>
    </w:p>
    <w:sdt>
      <w:sdtPr>
        <w:alias w:val="本年度公司有无重大诉讼、仲裁事项"/>
        <w:tag w:val="_GBC_b7d97a978491465ca563fa610688ebef"/>
        <w:id w:val="1558741110"/>
        <w:placeholder>
          <w:docPart w:val="GBC22222222222222222222222222222"/>
        </w:placeholder>
      </w:sdtPr>
      <w:sdtEndPr/>
      <w:sdtContent>
        <w:p w:rsidR="004A3868" w:rsidRDefault="003F1AB5">
          <w:pPr>
            <w:pStyle w:val="Style124"/>
          </w:pPr>
          <w:r>
            <w:fldChar w:fldCharType="begin"/>
          </w:r>
          <w:r>
            <w:instrText xml:space="preserve"> MACROBUTTON  SnrToggleCheckbox □本年度公司有重大诉讼、仲裁事项 </w:instrText>
          </w:r>
          <w:r>
            <w:fldChar w:fldCharType="end"/>
          </w:r>
          <w:r>
            <w:fldChar w:fldCharType="begin"/>
          </w:r>
          <w:r>
            <w:instrText xml:space="preserve"> MACROBUTTON  SnrToggleCheckbox √本年度公司无重大诉讼、仲裁事项 </w:instrText>
          </w:r>
          <w:r>
            <w:fldChar w:fldCharType="end"/>
          </w:r>
          <w:r>
            <w:rPr>
              <w:rFonts w:hint="eastAsia"/>
            </w:rPr>
            <w:t>】</w:t>
          </w:r>
        </w:p>
      </w:sdtContent>
    </w:sdt>
    <w:p w:rsidR="004A3868" w:rsidRDefault="003F1AB5">
      <w:pPr>
        <w:pStyle w:val="2"/>
        <w:numPr>
          <w:ilvl w:val="0"/>
          <w:numId w:val="33"/>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723282921"/>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2"/>
        <w:numPr>
          <w:ilvl w:val="0"/>
          <w:numId w:val="33"/>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702830628"/>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2"/>
        <w:numPr>
          <w:ilvl w:val="0"/>
          <w:numId w:val="33"/>
        </w:numPr>
      </w:pPr>
      <w:r>
        <w:rPr>
          <w:rFonts w:hint="eastAsia"/>
        </w:rPr>
        <w:t>重大关联交易</w:t>
      </w:r>
    </w:p>
    <w:p w:rsidR="004A3868" w:rsidRDefault="003F1AB5">
      <w:pPr>
        <w:pStyle w:val="Style127"/>
        <w:numPr>
          <w:ilvl w:val="2"/>
          <w:numId w:val="4"/>
        </w:numPr>
      </w:pPr>
      <w:bookmarkStart w:id="72" w:name="_Toc342565953"/>
      <w:bookmarkStart w:id="73" w:name="_Toc342491961"/>
      <w:r>
        <w:rPr>
          <w:rFonts w:hint="eastAsia"/>
        </w:rPr>
        <w:t>与日常经营相关的关联交易</w:t>
      </w:r>
      <w:bookmarkEnd w:id="72"/>
      <w:bookmarkEnd w:id="73"/>
    </w:p>
    <w:p w:rsidR="004A3868" w:rsidRDefault="003F1AB5">
      <w:pPr>
        <w:pStyle w:val="4"/>
        <w:numPr>
          <w:ilvl w:val="2"/>
          <w:numId w:val="37"/>
        </w:numPr>
        <w:rPr>
          <w:szCs w:val="21"/>
        </w:rPr>
      </w:pPr>
      <w:r>
        <w:rPr>
          <w:szCs w:val="21"/>
        </w:rPr>
        <w:t>已在临时公告披露且后续实施无进展或变化的事项</w:t>
      </w:r>
    </w:p>
    <w:sdt>
      <w:sdtPr>
        <w:rPr>
          <w:sz w:val="21"/>
          <w:szCs w:val="21"/>
          <w:highlight w:val="yellow"/>
        </w:rPr>
        <w:alias w:val="是否适用：已在临时公告披露且后续实施无进展或变化的事项_与日常经营相关的关联交易[双击切换]"/>
        <w:tag w:val="_GBC_6194ac6d54054fcc9f40dc3e35772780"/>
        <w:id w:val="-974976743"/>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2"/>
          <w:numId w:val="37"/>
        </w:numPr>
        <w:rPr>
          <w:szCs w:val="21"/>
        </w:rPr>
      </w:pPr>
      <w:r>
        <w:rPr>
          <w:szCs w:val="21"/>
        </w:rPr>
        <w:t>已在临时公告披露，但有后续实施的进展或变化的事项</w:t>
      </w:r>
    </w:p>
    <w:sdt>
      <w:sdtPr>
        <w:rPr>
          <w:rFonts w:hint="eastAsia"/>
          <w:sz w:val="21"/>
          <w:szCs w:val="21"/>
          <w:highlight w:val="yellow"/>
        </w:rPr>
        <w:alias w:val="是否适用：已在临时公告披露，但有后续实施的进展或变化的事项_与日常经营相关的关联交易[双击切换]"/>
        <w:tag w:val="_GBC_19ed12f3e7b5456b8509a0a5457f26b3"/>
        <w:id w:val="1498843401"/>
        <w:placeholder>
          <w:docPart w:val="GBC22222222222222222222222222222"/>
        </w:placeholder>
      </w:sdtPr>
      <w:sdtEndPr>
        <w:rPr>
          <w:highlight w:val="none"/>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rPr>
        <w:alias w:val="与日常经营相关的关联交易事项已在临时报告披露，后续实施的进展或变化"/>
        <w:tag w:val="_GBC_5fbfc287aede44a486960ae219233887"/>
        <w:id w:val="-1733225473"/>
        <w:placeholder>
          <w:docPart w:val="DE24EA7F95EE4C5BBDCD249E4BE0A1FE"/>
        </w:placeholder>
      </w:sdtPr>
      <w:sdtEndPr>
        <w:rPr>
          <w:highlight w:val="yellow"/>
        </w:rPr>
      </w:sdtEndPr>
      <w:sdtContent>
        <w:p w:rsidR="004A3868" w:rsidRDefault="003F1AB5">
          <w:pPr>
            <w:rPr>
              <w:rStyle w:val="afffa"/>
            </w:rPr>
          </w:pPr>
          <w:r>
            <w:t xml:space="preserve">                                                             </w:t>
          </w:r>
          <w:r>
            <w:rPr>
              <w:rStyle w:val="afffa"/>
            </w:rPr>
            <w:t xml:space="preserve"> </w:t>
          </w:r>
          <w:r>
            <w:rPr>
              <w:rStyle w:val="afffa"/>
              <w:rFonts w:hint="eastAsia"/>
            </w:rPr>
            <w:t>单位：万元</w:t>
          </w:r>
        </w:p>
        <w:tbl>
          <w:tblPr>
            <w:tblW w:w="8779" w:type="dxa"/>
            <w:tblLook w:val="04A0" w:firstRow="1" w:lastRow="0" w:firstColumn="1" w:lastColumn="0" w:noHBand="0" w:noVBand="1"/>
          </w:tblPr>
          <w:tblGrid>
            <w:gridCol w:w="1146"/>
            <w:gridCol w:w="687"/>
            <w:gridCol w:w="1134"/>
            <w:gridCol w:w="1134"/>
            <w:gridCol w:w="1559"/>
            <w:gridCol w:w="1134"/>
            <w:gridCol w:w="1325"/>
            <w:gridCol w:w="660"/>
          </w:tblGrid>
          <w:tr w:rsidR="004A3868">
            <w:trPr>
              <w:trHeight w:val="1985"/>
            </w:trPr>
            <w:tc>
              <w:tcPr>
                <w:tcW w:w="114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A3868" w:rsidRDefault="003F1AB5">
                <w:pPr>
                  <w:pStyle w:val="afffb"/>
                </w:pPr>
                <w:r>
                  <w:rPr>
                    <w:rFonts w:hint="eastAsia"/>
                  </w:rPr>
                  <w:t>关联交易方</w:t>
                </w:r>
              </w:p>
            </w:tc>
            <w:tc>
              <w:tcPr>
                <w:tcW w:w="687" w:type="dxa"/>
                <w:tcBorders>
                  <w:top w:val="single" w:sz="8" w:space="0" w:color="000000"/>
                  <w:left w:val="nil"/>
                  <w:bottom w:val="single" w:sz="8" w:space="0" w:color="000000"/>
                  <w:right w:val="single" w:sz="8" w:space="0" w:color="000000"/>
                </w:tcBorders>
                <w:shd w:val="clear" w:color="auto" w:fill="auto"/>
                <w:vAlign w:val="center"/>
              </w:tcPr>
              <w:p w:rsidR="004A3868" w:rsidRDefault="003F1AB5">
                <w:pPr>
                  <w:pStyle w:val="afffb"/>
                </w:pPr>
                <w:r>
                  <w:rPr>
                    <w:rFonts w:hint="eastAsia"/>
                  </w:rPr>
                  <w:t>关联关系</w:t>
                </w:r>
              </w:p>
            </w:tc>
            <w:tc>
              <w:tcPr>
                <w:tcW w:w="1134" w:type="dxa"/>
                <w:tcBorders>
                  <w:top w:val="single" w:sz="8" w:space="0" w:color="000000"/>
                  <w:left w:val="nil"/>
                  <w:bottom w:val="single" w:sz="8" w:space="0" w:color="000000"/>
                  <w:right w:val="single" w:sz="8" w:space="0" w:color="000000"/>
                </w:tcBorders>
                <w:shd w:val="clear" w:color="auto" w:fill="auto"/>
                <w:vAlign w:val="center"/>
              </w:tcPr>
              <w:p w:rsidR="004A3868" w:rsidRDefault="003F1AB5">
                <w:pPr>
                  <w:pStyle w:val="afffb"/>
                </w:pPr>
                <w:r>
                  <w:rPr>
                    <w:rFonts w:hint="eastAsia"/>
                  </w:rPr>
                  <w:t>关联交易类型</w:t>
                </w:r>
              </w:p>
            </w:tc>
            <w:tc>
              <w:tcPr>
                <w:tcW w:w="1134" w:type="dxa"/>
                <w:tcBorders>
                  <w:top w:val="single" w:sz="8" w:space="0" w:color="000000"/>
                  <w:left w:val="nil"/>
                  <w:bottom w:val="single" w:sz="8" w:space="0" w:color="000000"/>
                  <w:right w:val="single" w:sz="8" w:space="0" w:color="000000"/>
                </w:tcBorders>
                <w:shd w:val="clear" w:color="auto" w:fill="auto"/>
                <w:vAlign w:val="center"/>
              </w:tcPr>
              <w:p w:rsidR="004A3868" w:rsidRDefault="003F1AB5">
                <w:pPr>
                  <w:pStyle w:val="afffb"/>
                </w:pPr>
                <w:r>
                  <w:rPr>
                    <w:rFonts w:hint="eastAsia"/>
                  </w:rPr>
                  <w:t>关联交易内容</w:t>
                </w:r>
              </w:p>
            </w:tc>
            <w:tc>
              <w:tcPr>
                <w:tcW w:w="1559" w:type="dxa"/>
                <w:tcBorders>
                  <w:top w:val="single" w:sz="8" w:space="0" w:color="000000"/>
                  <w:left w:val="nil"/>
                  <w:bottom w:val="single" w:sz="8" w:space="0" w:color="000000"/>
                  <w:right w:val="single" w:sz="8" w:space="0" w:color="000000"/>
                </w:tcBorders>
                <w:shd w:val="clear" w:color="auto" w:fill="auto"/>
                <w:vAlign w:val="center"/>
              </w:tcPr>
              <w:p w:rsidR="004A3868" w:rsidRDefault="003F1AB5">
                <w:pPr>
                  <w:pStyle w:val="afffb"/>
                </w:pPr>
                <w:r>
                  <w:rPr>
                    <w:rFonts w:hint="eastAsia"/>
                  </w:rPr>
                  <w:t>关联交易定价原则</w:t>
                </w:r>
              </w:p>
            </w:tc>
            <w:tc>
              <w:tcPr>
                <w:tcW w:w="1134" w:type="dxa"/>
                <w:tcBorders>
                  <w:top w:val="single" w:sz="8" w:space="0" w:color="000000"/>
                  <w:left w:val="nil"/>
                  <w:bottom w:val="single" w:sz="8" w:space="0" w:color="000000"/>
                  <w:right w:val="single" w:sz="8" w:space="0" w:color="000000"/>
                </w:tcBorders>
                <w:shd w:val="clear" w:color="auto" w:fill="auto"/>
                <w:vAlign w:val="center"/>
              </w:tcPr>
              <w:p w:rsidR="004A3868" w:rsidRDefault="003F1AB5">
                <w:pPr>
                  <w:pStyle w:val="afffb"/>
                </w:pPr>
                <w:r>
                  <w:rPr>
                    <w:rFonts w:hint="eastAsia"/>
                  </w:rPr>
                  <w:t>关联交易金额</w:t>
                </w:r>
              </w:p>
            </w:tc>
            <w:tc>
              <w:tcPr>
                <w:tcW w:w="1325" w:type="dxa"/>
                <w:tcBorders>
                  <w:top w:val="single" w:sz="8" w:space="0" w:color="000000"/>
                  <w:left w:val="nil"/>
                  <w:bottom w:val="single" w:sz="8" w:space="0" w:color="000000"/>
                  <w:right w:val="single" w:sz="8" w:space="0" w:color="000000"/>
                </w:tcBorders>
                <w:shd w:val="clear" w:color="auto" w:fill="auto"/>
                <w:vAlign w:val="center"/>
              </w:tcPr>
              <w:p w:rsidR="004A3868" w:rsidRDefault="003F1AB5">
                <w:pPr>
                  <w:pStyle w:val="afffb"/>
                </w:pPr>
                <w:r>
                  <w:rPr>
                    <w:rFonts w:hint="eastAsia"/>
                  </w:rPr>
                  <w:t>占同类交易金额的比例（%）</w:t>
                </w:r>
              </w:p>
            </w:tc>
            <w:tc>
              <w:tcPr>
                <w:tcW w:w="660" w:type="dxa"/>
                <w:tcBorders>
                  <w:top w:val="single" w:sz="8" w:space="0" w:color="000000"/>
                  <w:left w:val="nil"/>
                  <w:bottom w:val="single" w:sz="8" w:space="0" w:color="000000"/>
                  <w:right w:val="single" w:sz="8" w:space="0" w:color="000000"/>
                </w:tcBorders>
                <w:shd w:val="clear" w:color="auto" w:fill="auto"/>
                <w:vAlign w:val="center"/>
              </w:tcPr>
              <w:p w:rsidR="004A3868" w:rsidRDefault="003F1AB5">
                <w:pPr>
                  <w:pStyle w:val="afffb"/>
                </w:pPr>
                <w:r>
                  <w:rPr>
                    <w:rFonts w:hint="eastAsia"/>
                  </w:rPr>
                  <w:t>关联交易结算方式</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四川明珠电工材料有限责任公司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购买商品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采购原材料</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5,591.42</w:t>
                </w:r>
              </w:p>
            </w:tc>
            <w:tc>
              <w:tcPr>
                <w:tcW w:w="1325" w:type="dxa"/>
                <w:tcBorders>
                  <w:top w:val="single" w:sz="8" w:space="0" w:color="000000"/>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3.</w:t>
                </w:r>
                <w:r>
                  <w:t>30</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重庆能投长寿经开区售电有限公司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购买商品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3.21</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0.02</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lastRenderedPageBreak/>
                  <w:t>重庆圣耀电力工程有限责任公司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购买商品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采购原材料</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10.62</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0.01</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重庆圣耀电力工程有限责任公司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接受劳务</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180.51</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0.91</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879"/>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黔南都能汽车服务有限公司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购买商品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2.66</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w:t>
                </w:r>
                <w:r>
                  <w:t>.01</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黔南都能开发有限公司龙里分公司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输配电及控制设备</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4</w:t>
                </w:r>
                <w:r>
                  <w:t>27.65</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0.3</w:t>
                </w:r>
                <w:r>
                  <w:t>2</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黔南都能开发有限公司龙里分公司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t>7.47</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w:t>
                </w:r>
                <w:r>
                  <w:t>01</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879"/>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黔南都能开发有限公司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输配电及控制设备</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23.45</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0.02</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福泉市金山电力开发有限责任公司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16.49</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1.01</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879"/>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独山鑫源实业开发有限公司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输配电及控制设备</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2.96</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w:t>
                </w:r>
                <w:r>
                  <w:t>.00</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瓮安县明辉水电开发有限公司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2.27</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0.0</w:t>
                </w:r>
                <w:r>
                  <w:t>0</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879"/>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黔南州都能售电有限公司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0.22</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w:t>
                </w:r>
                <w:r>
                  <w:t>.00</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重庆能投长寿经开区售电有限公司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输配电及控制设备</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99.42</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0.07</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重庆能投长寿经开区售电有限公司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t>30.64</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w:t>
                </w:r>
                <w:r>
                  <w:t>02</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lastRenderedPageBreak/>
                  <w:t>重庆圣耀电力工程有限责任公司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输配电及控制设备</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873.92</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w:t>
                </w:r>
                <w:r>
                  <w:t>65</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1167"/>
            </w:trPr>
            <w:tc>
              <w:tcPr>
                <w:tcW w:w="1146" w:type="dxa"/>
                <w:tcBorders>
                  <w:top w:val="nil"/>
                  <w:left w:val="single" w:sz="8" w:space="0" w:color="000000"/>
                  <w:bottom w:val="single" w:sz="8" w:space="0" w:color="000000"/>
                  <w:right w:val="single" w:sz="8" w:space="0" w:color="000000"/>
                </w:tcBorders>
                <w:shd w:val="clear" w:color="auto" w:fill="auto"/>
                <w:vAlign w:val="center"/>
              </w:tcPr>
              <w:p w:rsidR="004A3868" w:rsidRDefault="003F1AB5">
                <w:pPr>
                  <w:pStyle w:val="afff9"/>
                </w:pPr>
                <w:r>
                  <w:rPr>
                    <w:rFonts w:hint="eastAsia"/>
                  </w:rPr>
                  <w:t>重庆圣耀电力工程有限责任公司</w:t>
                </w:r>
              </w:p>
            </w:tc>
            <w:tc>
              <w:tcPr>
                <w:tcW w:w="687"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销售商品</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其他</w:t>
                </w:r>
              </w:p>
            </w:tc>
            <w:tc>
              <w:tcPr>
                <w:tcW w:w="1559" w:type="dxa"/>
                <w:tcBorders>
                  <w:top w:val="nil"/>
                  <w:left w:val="nil"/>
                  <w:bottom w:val="single" w:sz="8" w:space="0" w:color="000000"/>
                  <w:right w:val="single" w:sz="8" w:space="0" w:color="000000"/>
                </w:tcBorders>
                <w:shd w:val="clear" w:color="auto" w:fill="auto"/>
                <w:vAlign w:val="center"/>
              </w:tcPr>
              <w:p w:rsidR="004A3868" w:rsidRDefault="003F1AB5">
                <w:pPr>
                  <w:pStyle w:val="afff9"/>
                </w:pPr>
                <w:r>
                  <w:rPr>
                    <w:rFonts w:hint="eastAsia"/>
                  </w:rPr>
                  <w:t>参照市场价格协商确定</w:t>
                </w:r>
              </w:p>
            </w:tc>
            <w:tc>
              <w:tcPr>
                <w:tcW w:w="1134"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t>4.28</w:t>
                </w:r>
              </w:p>
            </w:tc>
            <w:tc>
              <w:tcPr>
                <w:tcW w:w="1325"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0</w:t>
                </w:r>
                <w:r>
                  <w:t>.00</w:t>
                </w:r>
              </w:p>
            </w:tc>
            <w:tc>
              <w:tcPr>
                <w:tcW w:w="660" w:type="dxa"/>
                <w:tcBorders>
                  <w:top w:val="nil"/>
                  <w:left w:val="nil"/>
                  <w:bottom w:val="single" w:sz="8" w:space="0" w:color="000000"/>
                  <w:right w:val="single" w:sz="8" w:space="0" w:color="000000"/>
                </w:tcBorders>
                <w:shd w:val="clear" w:color="auto" w:fill="auto"/>
                <w:vAlign w:val="center"/>
              </w:tcPr>
              <w:p w:rsidR="004A3868" w:rsidRDefault="003F1AB5">
                <w:pPr>
                  <w:pStyle w:val="afff7"/>
                </w:pPr>
                <w:r>
                  <w:rPr>
                    <w:rFonts w:hint="eastAsia"/>
                  </w:rPr>
                  <w:t>银行转账</w:t>
                </w:r>
              </w:p>
            </w:tc>
          </w:tr>
          <w:tr w:rsidR="004A3868">
            <w:trPr>
              <w:trHeight w:val="318"/>
            </w:trPr>
            <w:tc>
              <w:tcPr>
                <w:tcW w:w="4101" w:type="dxa"/>
                <w:gridSpan w:val="4"/>
                <w:tcBorders>
                  <w:top w:val="nil"/>
                  <w:left w:val="single" w:sz="8" w:space="0" w:color="000000"/>
                  <w:bottom w:val="single" w:sz="8" w:space="0" w:color="000000"/>
                  <w:right w:val="single" w:sz="8" w:space="0" w:color="000000"/>
                </w:tcBorders>
                <w:shd w:val="clear" w:color="auto" w:fill="auto"/>
                <w:vAlign w:val="center"/>
              </w:tcPr>
              <w:p w:rsidR="004A3868" w:rsidRDefault="003F1AB5">
                <w:pPr>
                  <w:widowControl/>
                  <w:rPr>
                    <w:color w:val="000000"/>
                    <w:sz w:val="20"/>
                    <w:szCs w:val="20"/>
                  </w:rPr>
                </w:pPr>
                <w:r>
                  <w:rPr>
                    <w:rFonts w:hint="eastAsia"/>
                    <w:color w:val="000000"/>
                    <w:sz w:val="20"/>
                    <w:szCs w:val="20"/>
                  </w:rPr>
                  <w:t>合计</w:t>
                </w:r>
              </w:p>
            </w:tc>
            <w:tc>
              <w:tcPr>
                <w:tcW w:w="1559" w:type="dxa"/>
                <w:tcBorders>
                  <w:top w:val="nil"/>
                  <w:left w:val="nil"/>
                  <w:bottom w:val="single" w:sz="8" w:space="0" w:color="000000"/>
                  <w:right w:val="single" w:sz="8" w:space="0" w:color="000000"/>
                </w:tcBorders>
                <w:shd w:val="clear" w:color="auto" w:fill="auto"/>
              </w:tcPr>
              <w:p w:rsidR="004A3868" w:rsidRDefault="003F1AB5">
                <w:pPr>
                  <w:widowControl/>
                  <w:rPr>
                    <w:color w:val="000000"/>
                    <w:sz w:val="20"/>
                    <w:szCs w:val="20"/>
                  </w:rPr>
                </w:pPr>
                <w:r>
                  <w:rPr>
                    <w:rFonts w:hint="eastAsia"/>
                    <w:color w:val="000000"/>
                    <w:sz w:val="20"/>
                    <w:szCs w:val="20"/>
                  </w:rPr>
                  <w:t>/</w:t>
                </w:r>
              </w:p>
            </w:tc>
            <w:tc>
              <w:tcPr>
                <w:tcW w:w="1134" w:type="dxa"/>
                <w:tcBorders>
                  <w:top w:val="nil"/>
                  <w:left w:val="nil"/>
                  <w:bottom w:val="single" w:sz="8" w:space="0" w:color="000000"/>
                  <w:right w:val="single" w:sz="8" w:space="0" w:color="000000"/>
                </w:tcBorders>
                <w:shd w:val="clear" w:color="auto" w:fill="auto"/>
              </w:tcPr>
              <w:p w:rsidR="004A3868" w:rsidRDefault="003F1AB5">
                <w:pPr>
                  <w:pStyle w:val="afff7"/>
                </w:pPr>
                <w:r>
                  <w:t>7,277.18</w:t>
                </w:r>
              </w:p>
            </w:tc>
            <w:tc>
              <w:tcPr>
                <w:tcW w:w="1325" w:type="dxa"/>
                <w:tcBorders>
                  <w:top w:val="nil"/>
                  <w:left w:val="nil"/>
                  <w:bottom w:val="single" w:sz="8" w:space="0" w:color="000000"/>
                  <w:right w:val="single" w:sz="8" w:space="0" w:color="000000"/>
                </w:tcBorders>
                <w:shd w:val="clear" w:color="auto" w:fill="auto"/>
              </w:tcPr>
              <w:p w:rsidR="004A3868" w:rsidRDefault="003F1AB5">
                <w:pPr>
                  <w:pStyle w:val="afff7"/>
                </w:pPr>
                <w:r>
                  <w:rPr>
                    <w:rFonts w:hint="eastAsia"/>
                  </w:rPr>
                  <w:t>/</w:t>
                </w:r>
              </w:p>
            </w:tc>
            <w:tc>
              <w:tcPr>
                <w:tcW w:w="660" w:type="dxa"/>
                <w:tcBorders>
                  <w:top w:val="nil"/>
                  <w:left w:val="nil"/>
                  <w:bottom w:val="single" w:sz="8" w:space="0" w:color="000000"/>
                  <w:right w:val="single" w:sz="8" w:space="0" w:color="000000"/>
                </w:tcBorders>
                <w:shd w:val="clear" w:color="auto" w:fill="auto"/>
              </w:tcPr>
              <w:p w:rsidR="004A3868" w:rsidRDefault="003F1AB5">
                <w:pPr>
                  <w:pStyle w:val="afff7"/>
                </w:pPr>
                <w:r>
                  <w:rPr>
                    <w:rFonts w:hint="eastAsia"/>
                  </w:rPr>
                  <w:t>/</w:t>
                </w:r>
              </w:p>
            </w:tc>
          </w:tr>
        </w:tbl>
        <w:p w:rsidR="004A3868" w:rsidRDefault="00B34370">
          <w:pPr>
            <w:rPr>
              <w:highlight w:val="yellow"/>
            </w:rPr>
          </w:pPr>
        </w:p>
      </w:sdtContent>
    </w:sdt>
    <w:p w:rsidR="004A3868" w:rsidRDefault="003F1AB5">
      <w:pPr>
        <w:pStyle w:val="4"/>
        <w:numPr>
          <w:ilvl w:val="2"/>
          <w:numId w:val="37"/>
        </w:numPr>
      </w:pPr>
      <w:r>
        <w:rPr>
          <w:rFonts w:hint="eastAsia"/>
        </w:rPr>
        <w:t>临时公告未披露的事项</w:t>
      </w:r>
    </w:p>
    <w:sdt>
      <w:sdtPr>
        <w:rPr>
          <w:highlight w:val="yellow"/>
        </w:rPr>
        <w:alias w:val="是否适用：与日常经营相关的关联交易_临时公告未披露的事项[双击切换]"/>
        <w:tag w:val="_GBC_3f1135e0d6d440e6a4af283441bd65d2"/>
        <w:id w:val="-2099327493"/>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2"/>
          <w:numId w:val="4"/>
        </w:numPr>
        <w:rPr>
          <w:rFonts w:ascii="宋体" w:hAnsi="宋体"/>
        </w:rPr>
      </w:pPr>
      <w:r>
        <w:t>资产</w:t>
      </w:r>
      <w:r>
        <w:rPr>
          <w:rFonts w:hint="eastAsia"/>
        </w:rPr>
        <w:t>或股权</w:t>
      </w:r>
      <w:r>
        <w:t>收购、出售发生的关联交易</w:t>
      </w:r>
    </w:p>
    <w:p w:rsidR="004A3868" w:rsidRDefault="003F1AB5">
      <w:pPr>
        <w:pStyle w:val="4"/>
        <w:numPr>
          <w:ilvl w:val="0"/>
          <w:numId w:val="38"/>
        </w:numPr>
      </w:pPr>
      <w:r>
        <w:t>已在临时公告披露且后续实施无进展或变化的事项</w:t>
      </w:r>
    </w:p>
    <w:sdt>
      <w:sdtPr>
        <w:rPr>
          <w:highlight w:val="yellow"/>
        </w:rPr>
        <w:alias w:val="是否适用：已在临时公告披露且后续实施无进展或变化的事项_资产或股权收购、出售发生的关联交易[双击切换]"/>
        <w:tag w:val="_GBC_543ebf3bec89495c98a461a0509a331d"/>
        <w:id w:val="-632936083"/>
        <w:lock w:val="sdtLocked"/>
        <w:placeholder>
          <w:docPart w:val="GBC22222222222222222222222222222"/>
        </w:placeholder>
      </w:sdtPr>
      <w:sdtEndPr/>
      <w:sdtContent>
        <w:p w:rsidR="004A3868" w:rsidRDefault="003F1AB5">
          <w:pPr>
            <w:rPr>
              <w:highlight w:val="yellow"/>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tbl>
      <w:tblPr>
        <w:tblStyle w:val="aff5"/>
        <w:tblW w:w="5000" w:type="pct"/>
        <w:jc w:val="center"/>
        <w:tblLayout w:type="fixed"/>
        <w:tblCellMar>
          <w:left w:w="0" w:type="dxa"/>
          <w:right w:w="28" w:type="dxa"/>
        </w:tblCellMar>
        <w:tblLook w:val="04A0" w:firstRow="1" w:lastRow="0" w:firstColumn="1" w:lastColumn="0" w:noHBand="0" w:noVBand="1"/>
      </w:tblPr>
      <w:tblGrid>
        <w:gridCol w:w="4411"/>
        <w:gridCol w:w="4412"/>
      </w:tblGrid>
      <w:tr w:rsidR="004A3868">
        <w:trPr>
          <w:trHeight w:val="397"/>
          <w:jc w:val="center"/>
        </w:trPr>
        <w:sdt>
          <w:sdtPr>
            <w:tag w:val="_PLD_1188ee45227d45f381d6f25e86478458"/>
            <w:id w:val="2117323418"/>
            <w:lock w:val="sdtLocked"/>
          </w:sdtPr>
          <w:sdtEndPr/>
          <w:sdtContent>
            <w:tc>
              <w:tcPr>
                <w:tcW w:w="2500" w:type="pct"/>
                <w:vAlign w:val="center"/>
              </w:tcPr>
              <w:p w:rsidR="004A3868" w:rsidRDefault="003F1AB5">
                <w:pPr>
                  <w:pStyle w:val="afffb"/>
                </w:pPr>
                <w:r>
                  <w:t>事项概述</w:t>
                </w:r>
              </w:p>
            </w:tc>
          </w:sdtContent>
        </w:sdt>
        <w:sdt>
          <w:sdtPr>
            <w:tag w:val="_PLD_0c44a61d6566427086931bb8189dad89"/>
            <w:id w:val="-573513468"/>
            <w:lock w:val="sdtLocked"/>
          </w:sdtPr>
          <w:sdtEndPr/>
          <w:sdtContent>
            <w:tc>
              <w:tcPr>
                <w:tcW w:w="2500" w:type="pct"/>
                <w:vAlign w:val="center"/>
              </w:tcPr>
              <w:p w:rsidR="004A3868" w:rsidRDefault="003F1AB5">
                <w:pPr>
                  <w:pStyle w:val="afffb"/>
                </w:pPr>
                <w:r>
                  <w:t>查询索引</w:t>
                </w:r>
              </w:p>
            </w:tc>
          </w:sdtContent>
        </w:sdt>
      </w:tr>
      <w:sdt>
        <w:sdtPr>
          <w:rPr>
            <w:rFonts w:hint="eastAsia"/>
          </w:rPr>
          <w:alias w:val="资产收购、出售发生的关联交易事项已在临时报告披露且后续实施无进展或变化的"/>
          <w:tag w:val="_TUP_a8756654617345fbb9d5c990ec64bc7e"/>
          <w:id w:val="-1228984310"/>
          <w:lock w:val="sdtLocked"/>
          <w:placeholder>
            <w:docPart w:val="850E60BC6A764AF6AF0D2E55C2EFD297"/>
          </w:placeholder>
        </w:sdtPr>
        <w:sdtEndPr/>
        <w:sdtContent>
          <w:tr w:rsidR="004A3868">
            <w:trPr>
              <w:trHeight w:val="397"/>
              <w:jc w:val="center"/>
            </w:trPr>
            <w:tc>
              <w:tcPr>
                <w:tcW w:w="2500" w:type="pct"/>
                <w:vAlign w:val="center"/>
              </w:tcPr>
              <w:p w:rsidR="004A3868" w:rsidRDefault="003F1AB5">
                <w:pPr>
                  <w:pStyle w:val="afffb"/>
                </w:pPr>
                <w:r>
                  <w:rPr>
                    <w:rFonts w:hint="eastAsia"/>
                  </w:rPr>
                  <w:t>收购控股子公司黔南望江剩余</w:t>
                </w:r>
                <w:r>
                  <w:t>40%股权</w:t>
                </w:r>
              </w:p>
            </w:tc>
            <w:tc>
              <w:tcPr>
                <w:tcW w:w="2500" w:type="pct"/>
                <w:vAlign w:val="center"/>
              </w:tcPr>
              <w:p w:rsidR="004A3868" w:rsidRDefault="003F1AB5">
                <w:pPr>
                  <w:pStyle w:val="afffb"/>
                </w:pPr>
                <w:r>
                  <w:rPr>
                    <w:rFonts w:hint="eastAsia"/>
                  </w:rPr>
                  <w:t>《关于收购子公司股权暨关联交易的公告》（公告编号：</w:t>
                </w:r>
                <w:r>
                  <w:t>2023-034）</w:t>
                </w:r>
              </w:p>
            </w:tc>
          </w:tr>
        </w:sdtContent>
      </w:sdt>
    </w:tbl>
    <w:p w:rsidR="004A3868" w:rsidRDefault="003F1AB5">
      <w:pPr>
        <w:pStyle w:val="4"/>
        <w:numPr>
          <w:ilvl w:val="0"/>
          <w:numId w:val="38"/>
        </w:numPr>
      </w:pPr>
      <w:r>
        <w:t>已在临时公告披露，但有后续实施的进展或变化的事项</w:t>
      </w:r>
    </w:p>
    <w:bookmarkStart w:id="74" w:name="_Hlk90309315" w:displacedByCustomXml="next"/>
    <w:sdt>
      <w:sdtPr>
        <w:rPr>
          <w:rFonts w:hint="eastAsia"/>
          <w:highlight w:val="yellow"/>
        </w:rPr>
        <w:alias w:val="是否适用：已在临时公告披露，但有后续实施的进展或变化的事项_资产或股权收购、出售发生的关联交易[双击切换]"/>
        <w:tag w:val="_GBC_f85ce314be044952b84cb0c7825e3be3"/>
        <w:id w:val="1293788760"/>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74"/>
    <w:p w:rsidR="004A3868" w:rsidRDefault="003F1AB5">
      <w:pPr>
        <w:pStyle w:val="4"/>
        <w:numPr>
          <w:ilvl w:val="0"/>
          <w:numId w:val="38"/>
        </w:numPr>
      </w:pPr>
      <w:r>
        <w:t>临时公告未披露的事项</w:t>
      </w:r>
    </w:p>
    <w:sdt>
      <w:sdtPr>
        <w:rPr>
          <w:highlight w:val="yellow"/>
        </w:rPr>
        <w:alias w:val="是否适用：资产收购、出售发生的关联交易_临时公告未披露的事项[双击切换]"/>
        <w:tag w:val="_GBC_c2403e21caad4498842c2f1cf3384c0d"/>
        <w:id w:val="-414552931"/>
        <w:lock w:val="sdtLocked"/>
        <w:placeholder>
          <w:docPart w:val="GBC22222222222222222222222222222"/>
        </w:placeholder>
      </w:sdtPr>
      <w:sdtEndPr/>
      <w:sdtContent>
        <w:p w:rsidR="004A3868" w:rsidRDefault="003F1AB5">
          <w:pPr>
            <w:rPr>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38"/>
        </w:numPr>
      </w:pPr>
      <w:r>
        <w:rPr>
          <w:rFonts w:hint="eastAsia"/>
        </w:rPr>
        <w:t>涉及业绩约定的，应当披露报告期内的业绩实现情况</w:t>
      </w:r>
    </w:p>
    <w:sdt>
      <w:sdtPr>
        <w:rPr>
          <w:rFonts w:hint="eastAsia"/>
          <w:highlight w:val="yellow"/>
        </w:rPr>
        <w:alias w:val="是否适用：涉及业绩约定的，应当披露报告期内的业绩实现情况[双击切换]"/>
        <w:tag w:val="_GBC_fa913cf2ab9c4bd9bb424b63073fb9b5"/>
        <w:id w:val="758335664"/>
        <w:lock w:val="sdtLocked"/>
        <w:placeholder>
          <w:docPart w:val="GBC22222222222222222222222222222"/>
        </w:placeholder>
      </w:sdtPr>
      <w:sdtEndPr/>
      <w:sdtContent>
        <w:p w:rsidR="004A3868" w:rsidRDefault="003F1AB5">
          <w:pPr>
            <w:rPr>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2"/>
          <w:numId w:val="4"/>
        </w:numPr>
      </w:pPr>
      <w:r>
        <w:t>共同对外投资的重大关联交易</w:t>
      </w:r>
    </w:p>
    <w:p w:rsidR="004A3868" w:rsidRDefault="003F1AB5">
      <w:pPr>
        <w:pStyle w:val="4"/>
        <w:numPr>
          <w:ilvl w:val="0"/>
          <w:numId w:val="39"/>
        </w:numPr>
      </w:pPr>
      <w:r>
        <w:t>已在临时公告披露且后续实施无进展或变化的事项</w:t>
      </w:r>
    </w:p>
    <w:sdt>
      <w:sdtPr>
        <w:rPr>
          <w:highlight w:val="yellow"/>
        </w:rPr>
        <w:alias w:val="是否适用：已在临时公告披露且后续实施无进展或变化的事项_共同对外投资的重大关联交易[双击切换]"/>
        <w:tag w:val="_GBC_7eea3c6d3d6245c4a1388637f61fccce"/>
        <w:id w:val="-326283652"/>
        <w:lock w:val="sdtLocked"/>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39"/>
        </w:numPr>
        <w:rPr>
          <w:szCs w:val="21"/>
        </w:rPr>
      </w:pPr>
      <w:r>
        <w:rPr>
          <w:szCs w:val="21"/>
        </w:rPr>
        <w:t>已在临时公告披露，但有后续实施的进展或变化的事项</w:t>
      </w:r>
    </w:p>
    <w:sdt>
      <w:sdtPr>
        <w:rPr>
          <w:rFonts w:hint="eastAsia"/>
          <w:sz w:val="21"/>
          <w:szCs w:val="21"/>
          <w:highlight w:val="yellow"/>
        </w:rPr>
        <w:alias w:val="是否适用：已在临时公告披露，但有后续实施的进展或变化的事项_共同对外投资的重大关联交易[双击切换]"/>
        <w:tag w:val="_GBC_5d21c9b653cf41df993294ab4dfbca74"/>
        <w:id w:val="966626320"/>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39"/>
        </w:numPr>
        <w:rPr>
          <w:szCs w:val="21"/>
        </w:rPr>
      </w:pPr>
      <w:r>
        <w:rPr>
          <w:szCs w:val="21"/>
        </w:rPr>
        <w:t>临时公告未披露的事项</w:t>
      </w:r>
    </w:p>
    <w:sdt>
      <w:sdtPr>
        <w:rPr>
          <w:sz w:val="21"/>
          <w:szCs w:val="21"/>
          <w:highlight w:val="yellow"/>
        </w:rPr>
        <w:alias w:val="是否适用：共同对外投资的重大关联交易_临时公告未披露的事项[双击切换]"/>
        <w:tag w:val="_GBC_0a8e93fe81464e209d3619d1be6a3349"/>
        <w:id w:val="-154266852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2"/>
          <w:numId w:val="4"/>
        </w:numPr>
      </w:pPr>
      <w:r>
        <w:rPr>
          <w:rFonts w:hint="eastAsia"/>
        </w:rPr>
        <w:t>关联债权债务往来</w:t>
      </w:r>
    </w:p>
    <w:p w:rsidR="004A3868" w:rsidRDefault="003F1AB5">
      <w:pPr>
        <w:pStyle w:val="4"/>
        <w:numPr>
          <w:ilvl w:val="0"/>
          <w:numId w:val="40"/>
        </w:numPr>
        <w:rPr>
          <w:szCs w:val="21"/>
        </w:rPr>
      </w:pPr>
      <w:r>
        <w:rPr>
          <w:szCs w:val="21"/>
        </w:rPr>
        <w:t>已在临时公告披露且后续实施无进展或变化的事项</w:t>
      </w:r>
    </w:p>
    <w:sdt>
      <w:sdtPr>
        <w:rPr>
          <w:sz w:val="21"/>
          <w:szCs w:val="21"/>
          <w:highlight w:val="yellow"/>
        </w:rPr>
        <w:alias w:val="是否适用：已在临时公告披露且后续实施无进展或变化的事项_关联债权债务往来[双击切换]"/>
        <w:tag w:val="_GBC_7465d4a4508a455591694c4e59f1f59b"/>
        <w:id w:val="580106349"/>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0"/>
        </w:numPr>
        <w:rPr>
          <w:szCs w:val="21"/>
        </w:rPr>
      </w:pPr>
      <w:r>
        <w:rPr>
          <w:szCs w:val="21"/>
        </w:rPr>
        <w:t>已在临时公告披露，但有后续实施的进展或变化的事项</w:t>
      </w:r>
    </w:p>
    <w:sdt>
      <w:sdtPr>
        <w:rPr>
          <w:rFonts w:hint="eastAsia"/>
          <w:sz w:val="21"/>
          <w:szCs w:val="21"/>
          <w:highlight w:val="yellow"/>
        </w:rPr>
        <w:alias w:val="是否适用：已在临时公告披露，但有后续实施的进展或变化的事项_关联债权债务往来[双击切换]"/>
        <w:tag w:val="_GBC_fe8fc12ee5c547d690bcc3fb3f1f4e32"/>
        <w:id w:val="-1783018689"/>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0"/>
        </w:numPr>
      </w:pPr>
      <w:r>
        <w:rPr>
          <w:rFonts w:hint="eastAsia"/>
        </w:rPr>
        <w:lastRenderedPageBreak/>
        <w:t>临时公告未披露的事项</w:t>
      </w:r>
    </w:p>
    <w:sdt>
      <w:sdtPr>
        <w:rPr>
          <w:highlight w:val="yellow"/>
        </w:rPr>
        <w:alias w:val="是否适用：关联债权债务往来_临时公告未披露的事项[双击切换]"/>
        <w:tag w:val="_GBC_d9a88c6705ef48d49848c2b93cb503f2"/>
        <w:id w:val="193043459"/>
        <w:lock w:val="sdtLocked"/>
        <w:placeholder>
          <w:docPart w:val="GBC22222222222222222222222222222"/>
        </w:placeholder>
      </w:sdtPr>
      <w:sdtEndPr>
        <w:rPr>
          <w:sz w:val="21"/>
          <w:szCs w:val="21"/>
        </w:rPr>
      </w:sdtEndPr>
      <w:sdtContent>
        <w:p w:rsidR="004A3868" w:rsidRDefault="003F1AB5">
          <w:pPr>
            <w:rPr>
              <w:rFonts w:asciiTheme="minorEastAsia" w:hAnsiTheme="minorEastAsia"/>
              <w:sz w:val="21"/>
              <w:szCs w:val="21"/>
              <w:highlight w:val="yellow"/>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2"/>
          <w:numId w:val="4"/>
        </w:numPr>
      </w:pPr>
      <w:bookmarkStart w:id="75" w:name="_Hlk89346519"/>
      <w:bookmarkStart w:id="76" w:name="_Hlk89953756"/>
      <w:r>
        <w:t>公司与存在关联关系的财务公司、公司控股财务公司与关联方之间的金融业务</w:t>
      </w:r>
    </w:p>
    <w:sdt>
      <w:sdtPr>
        <w:rPr>
          <w:sz w:val="21"/>
          <w:szCs w:val="21"/>
          <w:highlight w:val="yellow"/>
        </w:rPr>
        <w:alias w:val="是否适用：公司与存在关联关系的财务公司、公司控股财务公司与关联方之间的金融业务 [双击切换]"/>
        <w:tag w:val="_GBC_5a345568387542318c17a9fa2dcc2dbc"/>
        <w:id w:val="2043703975"/>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1"/>
        </w:numPr>
        <w:rPr>
          <w:szCs w:val="21"/>
        </w:rPr>
      </w:pPr>
      <w:r>
        <w:rPr>
          <w:rFonts w:hint="eastAsia"/>
          <w:szCs w:val="21"/>
        </w:rPr>
        <w:t>存款业务</w:t>
      </w:r>
    </w:p>
    <w:sdt>
      <w:sdtPr>
        <w:rPr>
          <w:sz w:val="21"/>
          <w:szCs w:val="21"/>
          <w:highlight w:val="yellow"/>
        </w:rPr>
        <w:alias w:val="是否适用：存款业务[双击切换]"/>
        <w:tag w:val="_GBC_f91d5ba8911645af92109a1b977343e2"/>
        <w:id w:val="-685911632"/>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1"/>
        </w:numPr>
        <w:rPr>
          <w:szCs w:val="21"/>
        </w:rPr>
      </w:pPr>
      <w:r>
        <w:rPr>
          <w:rFonts w:hint="eastAsia"/>
          <w:szCs w:val="21"/>
        </w:rPr>
        <w:t>贷款业务</w:t>
      </w:r>
    </w:p>
    <w:sdt>
      <w:sdtPr>
        <w:rPr>
          <w:sz w:val="21"/>
          <w:szCs w:val="21"/>
          <w:highlight w:val="yellow"/>
        </w:rPr>
        <w:alias w:val="是否适用：贷款业务[双击切换]"/>
        <w:tag w:val="_GBC_c6196556cf0343eb8e53770deb1ab020"/>
        <w:id w:val="-1127539267"/>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1"/>
        </w:numPr>
        <w:rPr>
          <w:szCs w:val="21"/>
        </w:rPr>
      </w:pPr>
      <w:r>
        <w:rPr>
          <w:szCs w:val="21"/>
        </w:rPr>
        <w:t>授信业务或其他金融业务</w:t>
      </w:r>
    </w:p>
    <w:bookmarkStart w:id="77" w:name="_Hlk41316014" w:displacedByCustomXml="next"/>
    <w:sdt>
      <w:sdtPr>
        <w:rPr>
          <w:rFonts w:hint="eastAsia"/>
          <w:sz w:val="21"/>
          <w:szCs w:val="21"/>
          <w:highlight w:val="yellow"/>
        </w:rPr>
        <w:alias w:val="是否适用：授信业务或其他金融业务[双击切换]"/>
        <w:tag w:val="_GBC_2f9c3833f7e34ead9932532e40fbb1b9"/>
        <w:id w:val="446276631"/>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77"/>
    <w:p w:rsidR="004A3868" w:rsidRDefault="003F1AB5">
      <w:pPr>
        <w:pStyle w:val="4"/>
        <w:numPr>
          <w:ilvl w:val="0"/>
          <w:numId w:val="41"/>
        </w:numPr>
        <w:rPr>
          <w:szCs w:val="21"/>
        </w:rPr>
      </w:pPr>
      <w:r>
        <w:rPr>
          <w:szCs w:val="21"/>
        </w:rPr>
        <w:t>其他说明</w:t>
      </w:r>
    </w:p>
    <w:bookmarkStart w:id="78" w:name="_Hlk41316022" w:displacedByCustomXml="next"/>
    <w:sdt>
      <w:sdtPr>
        <w:rPr>
          <w:sz w:val="21"/>
          <w:szCs w:val="21"/>
          <w:highlight w:val="yellow"/>
        </w:rPr>
        <w:alias w:val="是否适用：公司与存在关联关系的财务公司、公司控股财务公司与关联方之间的金融业务的其他说明[双击切换]"/>
        <w:tag w:val="_GBC_ff93404f5d40495f9fc89732d74edc89"/>
        <w:id w:val="1578166272"/>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75"/>
    <w:bookmarkEnd w:id="78"/>
    <w:p w:rsidR="004A3868" w:rsidRDefault="003F1AB5">
      <w:pPr>
        <w:pStyle w:val="Style127"/>
        <w:numPr>
          <w:ilvl w:val="2"/>
          <w:numId w:val="4"/>
        </w:numPr>
      </w:pPr>
      <w:r>
        <w:rPr>
          <w:rFonts w:hint="eastAsia"/>
        </w:rPr>
        <w:t>其他</w:t>
      </w:r>
    </w:p>
    <w:bookmarkEnd w:id="76" w:displacedByCustomXml="next"/>
    <w:sdt>
      <w:sdtPr>
        <w:rPr>
          <w:rFonts w:asciiTheme="minorEastAsia" w:eastAsiaTheme="minorEastAsia" w:hAnsiTheme="minorEastAsia" w:hint="eastAsia"/>
          <w:sz w:val="21"/>
          <w:szCs w:val="21"/>
          <w:highlight w:val="yellow"/>
        </w:rPr>
        <w:alias w:val="是否适用：重大关联交易其他说明[双击切换]"/>
        <w:tag w:val="_GBC_49b04883b7a84a83b6a8bfec05cbb445"/>
        <w:id w:val="-1037426649"/>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2"/>
        <w:numPr>
          <w:ilvl w:val="0"/>
          <w:numId w:val="33"/>
        </w:numPr>
      </w:pPr>
      <w:r>
        <w:rPr>
          <w:rFonts w:hint="eastAsia"/>
        </w:rPr>
        <w:t>重大合同及其履行情况</w:t>
      </w:r>
    </w:p>
    <w:p w:rsidR="004A3868" w:rsidRDefault="003F1AB5">
      <w:pPr>
        <w:pStyle w:val="Style127"/>
        <w:numPr>
          <w:ilvl w:val="0"/>
          <w:numId w:val="42"/>
        </w:numPr>
      </w:pPr>
      <w:r>
        <w:t>托管、承包、租赁事项</w:t>
      </w:r>
    </w:p>
    <w:p w:rsidR="004A3868" w:rsidRDefault="003F1AB5">
      <w:pPr>
        <w:pStyle w:val="4"/>
        <w:numPr>
          <w:ilvl w:val="0"/>
          <w:numId w:val="43"/>
        </w:numPr>
        <w:rPr>
          <w:szCs w:val="21"/>
        </w:rPr>
      </w:pPr>
      <w:r>
        <w:rPr>
          <w:rFonts w:hint="eastAsia"/>
          <w:szCs w:val="21"/>
        </w:rPr>
        <w:t>托管情况</w:t>
      </w:r>
    </w:p>
    <w:sdt>
      <w:sdtPr>
        <w:rPr>
          <w:sz w:val="21"/>
          <w:szCs w:val="21"/>
          <w:highlight w:val="yellow"/>
        </w:rPr>
        <w:alias w:val="是否适用：托管情况[双击切换]"/>
        <w:tag w:val="_GBC_f528f5eedb9346f6b0fbdbe3967882e7"/>
        <w:id w:val="-1159767601"/>
        <w:lock w:val="sdtLocked"/>
        <w:placeholder>
          <w:docPart w:val="GBC22222222222222222222222222222"/>
        </w:placeholder>
      </w:sdtPr>
      <w:sdtEndPr/>
      <w:sdtContent>
        <w:p w:rsidR="004A3868" w:rsidRDefault="003F1AB5">
          <w:pPr>
            <w:rPr>
              <w:sz w:val="21"/>
              <w:szCs w:val="21"/>
              <w:shd w:val="pct10" w:color="auto" w:fill="FFFFFF"/>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3"/>
        </w:numPr>
        <w:rPr>
          <w:szCs w:val="21"/>
        </w:rPr>
      </w:pPr>
      <w:r>
        <w:rPr>
          <w:szCs w:val="21"/>
        </w:rPr>
        <w:t>承包情况</w:t>
      </w:r>
    </w:p>
    <w:sdt>
      <w:sdtPr>
        <w:rPr>
          <w:sz w:val="21"/>
          <w:szCs w:val="21"/>
          <w:highlight w:val="yellow"/>
        </w:rPr>
        <w:alias w:val="是否适用：承包情况[双击切换]"/>
        <w:tag w:val="_GBC_ef45025eb2d84c78907511abec2bd222"/>
        <w:id w:val="-111859906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3"/>
        </w:numPr>
        <w:rPr>
          <w:szCs w:val="21"/>
        </w:rPr>
      </w:pPr>
      <w:r>
        <w:rPr>
          <w:szCs w:val="21"/>
        </w:rPr>
        <w:t>租赁情况</w:t>
      </w:r>
    </w:p>
    <w:sdt>
      <w:sdtPr>
        <w:rPr>
          <w:sz w:val="21"/>
          <w:szCs w:val="21"/>
          <w:highlight w:val="yellow"/>
        </w:rPr>
        <w:alias w:val="是否适用：租赁情况[双击切换]"/>
        <w:tag w:val="_GBC_c1d0d78a63af4d48a7427277c2db3ac5"/>
        <w:id w:val="-153987596"/>
        <w:lock w:val="sdtLocked"/>
        <w:placeholder>
          <w:docPart w:val="GBC22222222222222222222222222222"/>
        </w:placeholder>
      </w:sdtPr>
      <w:sdtEndPr/>
      <w:sdtContent>
        <w:p w:rsidR="004A3868" w:rsidRDefault="003F1AB5">
          <w:pPr>
            <w:rPr>
              <w:sz w:val="21"/>
              <w:szCs w:val="21"/>
              <w:shd w:val="pct10" w:color="auto" w:fill="FFFFFF"/>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4A3868">
      <w:pPr>
        <w:rPr>
          <w:sz w:val="21"/>
          <w:szCs w:val="21"/>
          <w:shd w:val="pct10" w:color="auto" w:fill="FFFFFF"/>
        </w:rPr>
      </w:pPr>
    </w:p>
    <w:p w:rsidR="004A3868" w:rsidRDefault="004A3868">
      <w:pPr>
        <w:rPr>
          <w:highlight w:val="yellow"/>
          <w:shd w:val="pct10" w:color="auto" w:fill="FFFFFF"/>
        </w:rPr>
        <w:sectPr w:rsidR="004A3868">
          <w:pgSz w:w="11906" w:h="16838"/>
          <w:pgMar w:top="1525" w:right="1276" w:bottom="1440" w:left="1797" w:header="855" w:footer="992" w:gutter="0"/>
          <w:cols w:space="425"/>
          <w:docGrid w:linePitch="312"/>
        </w:sectPr>
      </w:pPr>
    </w:p>
    <w:p w:rsidR="004A3868" w:rsidRDefault="003F1AB5">
      <w:pPr>
        <w:pStyle w:val="Style127"/>
        <w:numPr>
          <w:ilvl w:val="0"/>
          <w:numId w:val="42"/>
        </w:numPr>
      </w:pPr>
      <w:bookmarkStart w:id="79" w:name="_Toc342565974"/>
      <w:bookmarkStart w:id="80" w:name="_Toc342491982"/>
      <w:bookmarkStart w:id="81" w:name="OLE_LINK3"/>
      <w:bookmarkStart w:id="82" w:name="OLE_LINK2"/>
      <w:r>
        <w:rPr>
          <w:rFonts w:hint="eastAsia"/>
        </w:rPr>
        <w:lastRenderedPageBreak/>
        <w:t>担保情况</w:t>
      </w:r>
      <w:bookmarkEnd w:id="79"/>
      <w:bookmarkEnd w:id="80"/>
    </w:p>
    <w:bookmarkEnd w:id="82" w:displacedByCustomXml="next"/>
    <w:bookmarkEnd w:id="81" w:displacedByCustomXml="next"/>
    <w:sdt>
      <w:sdtPr>
        <w:alias w:val="是否适用：担保情况[双击切换]"/>
        <w:tag w:val="_GBC_b799a3ac65f846e088fcfb2dd2591ede"/>
        <w:id w:val="-1097321617"/>
        <w:lock w:val="contentLocked"/>
        <w:placeholder>
          <w:docPart w:val="GBC22222222222222222222222222222"/>
        </w:placeholder>
      </w:sdtPr>
      <w:sdtEndPr/>
      <w:sdtContent>
        <w:p w:rsidR="004A3868" w:rsidRDefault="003F1AB5">
          <w:pPr>
            <w:pStyle w:val="Style842"/>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1"/>
        <w:ind w:firstLineChars="5600" w:firstLine="11760"/>
        <w:rPr>
          <w:rStyle w:val="Char0"/>
        </w:rPr>
      </w:pPr>
      <w:r>
        <w:rPr>
          <w:rStyle w:val="Char0"/>
          <w:rFonts w:hint="eastAsia"/>
        </w:rPr>
        <w:t>单位</w:t>
      </w:r>
      <w:r>
        <w:rPr>
          <w:rStyle w:val="Char0"/>
        </w:rPr>
        <w:t>:</w:t>
      </w:r>
      <w:sdt>
        <w:sdtPr>
          <w:rPr>
            <w:rStyle w:val="Char0"/>
          </w:rPr>
          <w:alias w:val="单位：担保情况"/>
          <w:tag w:val="_GBC_c5b429695c6d4556a9d11f55a5e736d3"/>
          <w:id w:val="-20578521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0"/>
          </w:rPr>
        </w:sdtEndPr>
        <w:sdtContent>
          <w:r>
            <w:rPr>
              <w:rStyle w:val="Char0"/>
            </w:rPr>
            <w:t>万元</w:t>
          </w:r>
        </w:sdtContent>
      </w:sdt>
      <w:r>
        <w:rPr>
          <w:rStyle w:val="Char0"/>
          <w:rFonts w:hint="eastAsia"/>
        </w:rPr>
        <w:t>币种</w:t>
      </w:r>
      <w:r>
        <w:rPr>
          <w:rStyle w:val="Char0"/>
        </w:rPr>
        <w:t>:</w:t>
      </w:r>
      <w:sdt>
        <w:sdtPr>
          <w:rPr>
            <w:rStyle w:val="Char0"/>
          </w:rPr>
          <w:alias w:val="币种：担保情况"/>
          <w:tag w:val="_GBC_bbefcb25022447d5a0413d1c31ffdf65"/>
          <w:id w:val="-1559396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0"/>
          </w:rPr>
        </w:sdtEndPr>
        <w:sdtContent>
          <w:r>
            <w:rPr>
              <w:rStyle w:val="Char0"/>
            </w:rPr>
            <w:t>人民币</w:t>
          </w:r>
        </w:sdtContent>
      </w:sdt>
    </w:p>
    <w:tbl>
      <w:tblPr>
        <w:tblStyle w:val="Style740"/>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30" w:type="dxa"/>
        </w:tblCellMar>
        <w:tblLook w:val="04A0" w:firstRow="1" w:lastRow="0" w:firstColumn="1" w:lastColumn="0" w:noHBand="0" w:noVBand="1"/>
      </w:tblPr>
      <w:tblGrid>
        <w:gridCol w:w="878"/>
        <w:gridCol w:w="918"/>
        <w:gridCol w:w="912"/>
        <w:gridCol w:w="1018"/>
        <w:gridCol w:w="915"/>
        <w:gridCol w:w="915"/>
        <w:gridCol w:w="391"/>
        <w:gridCol w:w="518"/>
        <w:gridCol w:w="915"/>
        <w:gridCol w:w="915"/>
        <w:gridCol w:w="915"/>
        <w:gridCol w:w="912"/>
        <w:gridCol w:w="1018"/>
        <w:gridCol w:w="912"/>
        <w:gridCol w:w="915"/>
        <w:gridCol w:w="896"/>
      </w:tblGrid>
      <w:tr w:rsidR="004A3868">
        <w:trPr>
          <w:trHeight w:val="397"/>
          <w:jc w:val="center"/>
        </w:trPr>
        <w:bookmarkStart w:id="83" w:name="_Hlk89953992" w:displacedByCustomXml="next"/>
        <w:sdt>
          <w:sdtPr>
            <w:rPr>
              <w:sz w:val="21"/>
              <w:szCs w:val="21"/>
            </w:rPr>
            <w:tag w:val="_PLD_47382e1239d84f6f9f6c6d4b5423c108"/>
            <w:id w:val="716622960"/>
          </w:sdtPr>
          <w:sdtEndPr/>
          <w:sdtContent>
            <w:tc>
              <w:tcPr>
                <w:tcW w:w="5000" w:type="pct"/>
                <w:gridSpan w:val="16"/>
                <w:tcBorders>
                  <w:top w:val="single" w:sz="4" w:space="0" w:color="auto"/>
                  <w:bottom w:val="single" w:sz="4" w:space="0" w:color="auto"/>
                </w:tcBorders>
                <w:shd w:val="clear" w:color="auto" w:fill="auto"/>
                <w:vAlign w:val="center"/>
              </w:tcPr>
              <w:p w:rsidR="004A3868" w:rsidRDefault="003F1AB5">
                <w:pPr>
                  <w:rPr>
                    <w:sz w:val="21"/>
                    <w:szCs w:val="21"/>
                  </w:rPr>
                </w:pPr>
                <w:r>
                  <w:rPr>
                    <w:rFonts w:hint="eastAsia"/>
                    <w:sz w:val="21"/>
                    <w:szCs w:val="21"/>
                  </w:rPr>
                  <w:t>公司对外担保情况（不包括对子公司的担保）</w:t>
                </w:r>
              </w:p>
            </w:tc>
          </w:sdtContent>
        </w:sdt>
      </w:tr>
      <w:tr w:rsidR="004A3868">
        <w:trPr>
          <w:trHeight w:val="397"/>
          <w:jc w:val="center"/>
        </w:trPr>
        <w:sdt>
          <w:sdtPr>
            <w:tag w:val="_PLD_09b2f27e560e48058fd68a7522d4a21e"/>
            <w:id w:val="1344212974"/>
          </w:sdtPr>
          <w:sdtEndPr/>
          <w:sdtContent>
            <w:tc>
              <w:tcPr>
                <w:tcW w:w="317" w:type="pct"/>
                <w:tcBorders>
                  <w:top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担保方</w:t>
                </w:r>
              </w:p>
            </w:tc>
          </w:sdtContent>
        </w:sdt>
        <w:sdt>
          <w:sdtPr>
            <w:tag w:val="_PLD_3052f673b3b345d3a7af649302ea170a"/>
            <w:id w:val="1766566357"/>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担保方与上市公司的关系</w:t>
                </w:r>
              </w:p>
            </w:tc>
          </w:sdtContent>
        </w:sdt>
        <w:sdt>
          <w:sdtPr>
            <w:tag w:val="_PLD_fb4029fae7cf48a79a41443b882f9109"/>
            <w:id w:val="-1249106958"/>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被担保方</w:t>
                </w:r>
              </w:p>
            </w:tc>
          </w:sdtContent>
        </w:sdt>
        <w:sdt>
          <w:sdtPr>
            <w:tag w:val="_PLD_f9cf7e1836e34488ac32b6e51fd66dc5"/>
            <w:id w:val="1117951857"/>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担保金额</w:t>
                </w:r>
              </w:p>
            </w:tc>
          </w:sdtContent>
        </w:sdt>
        <w:sdt>
          <w:sdtPr>
            <w:tag w:val="_PLD_2605894e64924e1c948143543497b30d"/>
            <w:id w:val="662285667"/>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担保发生日期</w:t>
                </w:r>
                <w:r>
                  <w:t>(</w:t>
                </w:r>
                <w:r>
                  <w:rPr>
                    <w:rFonts w:hint="eastAsia"/>
                  </w:rPr>
                  <w:t>协议签署日</w:t>
                </w:r>
                <w:r>
                  <w:t>)</w:t>
                </w:r>
              </w:p>
            </w:tc>
          </w:sdtContent>
        </w:sdt>
        <w:sdt>
          <w:sdtPr>
            <w:tag w:val="_PLD_360b2c68827a4d0ca9316c3726b16cc0"/>
            <w:id w:val="482827769"/>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w:t>
                </w:r>
              </w:p>
              <w:p w:rsidR="004A3868" w:rsidRDefault="003F1AB5">
                <w:pPr>
                  <w:pStyle w:val="afffb"/>
                </w:pPr>
                <w:r>
                  <w:rPr>
                    <w:rFonts w:hint="eastAsia"/>
                  </w:rPr>
                  <w:t>起始日</w:t>
                </w:r>
              </w:p>
            </w:tc>
          </w:sdtContent>
        </w:sdt>
        <w:sdt>
          <w:sdtPr>
            <w:tag w:val="_PLD_6e343c1dd4c74b69b0e199f26aa0fc9a"/>
            <w:id w:val="1791559506"/>
          </w:sdtPr>
          <w:sdtEnd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w:t>
                </w:r>
              </w:p>
              <w:p w:rsidR="004A3868" w:rsidRDefault="003F1AB5">
                <w:pPr>
                  <w:pStyle w:val="afffb"/>
                </w:pPr>
                <w:r>
                  <w:rPr>
                    <w:rFonts w:hint="eastAsia"/>
                  </w:rPr>
                  <w:t>到期日</w:t>
                </w:r>
              </w:p>
            </w:tc>
          </w:sdtContent>
        </w:sdt>
        <w:sdt>
          <w:sdtPr>
            <w:tag w:val="_PLD_85aaff970e8f4025937e66f170fc0506"/>
            <w:id w:val="742462194"/>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334270037"/>
            </w:sdtPr>
            <w:sdtEndPr/>
            <w:sdtContent>
              <w:p w:rsidR="004A3868" w:rsidRDefault="003F1AB5">
                <w:pPr>
                  <w:pStyle w:val="afffb"/>
                </w:pPr>
                <w:r>
                  <w:rPr>
                    <w:rFonts w:hint="eastAsia"/>
                  </w:rPr>
                  <w:t>担保物（如有）</w:t>
                </w:r>
              </w:p>
            </w:sdtContent>
          </w:sdt>
        </w:tc>
        <w:sdt>
          <w:sdtPr>
            <w:tag w:val="_PLD_fad806f6aed64969a9f500fc55be69bf"/>
            <w:id w:val="-1291743416"/>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担保是否已经履行完毕</w:t>
                </w:r>
              </w:p>
            </w:tc>
          </w:sdtContent>
        </w:sdt>
        <w:sdt>
          <w:sdtPr>
            <w:tag w:val="_PLD_355a8c82bc68409495d9bf25a926ed62"/>
            <w:id w:val="749466846"/>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担保是否逾期</w:t>
                </w:r>
              </w:p>
            </w:tc>
          </w:sdtContent>
        </w:sdt>
        <w:sdt>
          <w:sdtPr>
            <w:tag w:val="_PLD_e8056176e7db49139234d1df564f5c3a"/>
            <w:id w:val="1618864906"/>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担保逾期金额</w:t>
                </w:r>
              </w:p>
            </w:tc>
          </w:sdtContent>
        </w:sdt>
        <w:sdt>
          <w:sdtPr>
            <w:tag w:val="_PLD_5c3b131124fe44f69e4b80cf09f7c755"/>
            <w:id w:val="1507871711"/>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反担保情况</w:t>
                </w:r>
              </w:p>
            </w:tc>
          </w:sdtContent>
        </w:sdt>
        <w:sdt>
          <w:sdtPr>
            <w:tag w:val="_PLD_5a6bd2cf94e8411b88105a2190c5b4fb"/>
            <w:id w:val="-67582047"/>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是否为关联方担保</w:t>
                </w:r>
              </w:p>
            </w:tc>
          </w:sdtContent>
        </w:sdt>
        <w:sdt>
          <w:sdtPr>
            <w:tag w:val="_PLD_70390fe8c4804a7da41d8a62ace59586"/>
            <w:id w:val="-1027802536"/>
          </w:sdtPr>
          <w:sdtEndPr/>
          <w:sdtContent>
            <w:tc>
              <w:tcPr>
                <w:tcW w:w="323" w:type="pct"/>
                <w:tcBorders>
                  <w:top w:val="single" w:sz="4" w:space="0" w:color="auto"/>
                  <w:left w:val="single" w:sz="4" w:space="0" w:color="auto"/>
                  <w:bottom w:val="single" w:sz="4" w:space="0" w:color="auto"/>
                </w:tcBorders>
                <w:shd w:val="clear" w:color="auto" w:fill="auto"/>
                <w:vAlign w:val="center"/>
              </w:tcPr>
              <w:p w:rsidR="004A3868" w:rsidRDefault="003F1AB5">
                <w:pPr>
                  <w:pStyle w:val="afffb"/>
                </w:pPr>
                <w:r>
                  <w:rPr>
                    <w:rFonts w:hint="eastAsia"/>
                  </w:rPr>
                  <w:t>关联</w:t>
                </w:r>
              </w:p>
              <w:p w:rsidR="004A3868" w:rsidRDefault="003F1AB5">
                <w:pPr>
                  <w:pStyle w:val="afffb"/>
                </w:pPr>
                <w:r>
                  <w:rPr>
                    <w:rFonts w:hint="eastAsia"/>
                  </w:rPr>
                  <w:t>关系</w:t>
                </w:r>
              </w:p>
            </w:tc>
          </w:sdtContent>
        </w:sdt>
      </w:tr>
      <w:tr w:rsidR="004A3868">
        <w:trPr>
          <w:trHeight w:val="397"/>
          <w:jc w:val="center"/>
        </w:trPr>
        <w:tc>
          <w:tcPr>
            <w:tcW w:w="317" w:type="pct"/>
            <w:tcBorders>
              <w:top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w:t>
            </w:r>
          </w:p>
        </w:tc>
        <w:sdt>
          <w:sdtPr>
            <w:rPr>
              <w:rFonts w:hint="eastAsia"/>
              <w:bCs/>
              <w:sz w:val="21"/>
              <w:szCs w:val="21"/>
            </w:rPr>
            <w:alias w:val="担保方与上市公司的关联关系"/>
            <w:tag w:val="_GBC_2e446bc7579a4b2db650f2a8defc57b7"/>
            <w:id w:val="1782536315"/>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color w:val="FFC000"/>
                    <w:sz w:val="21"/>
                    <w:szCs w:val="21"/>
                  </w:rPr>
                </w:pPr>
                <w:r>
                  <w:rPr>
                    <w:rFonts w:hint="eastAsia"/>
                    <w:sz w:val="21"/>
                    <w:szCs w:val="21"/>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w:t>
            </w:r>
          </w:p>
        </w:tc>
        <w:tc>
          <w:tcPr>
            <w:tcW w:w="330"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w:t>
            </w:r>
          </w:p>
        </w:tc>
        <w:tc>
          <w:tcPr>
            <w:tcW w:w="330"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w:t>
            </w:r>
          </w:p>
        </w:tc>
        <w:sdt>
          <w:sdtPr>
            <w:rPr>
              <w:sz w:val="21"/>
              <w:szCs w:val="21"/>
            </w:rPr>
            <w:alias w:val="担保类型"/>
            <w:tag w:val="_GBC_affd72f534db4dbea735ffb69233d55c"/>
            <w:id w:val="-1227138195"/>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color w:val="FFC000"/>
                    <w:sz w:val="21"/>
                    <w:szCs w:val="21"/>
                  </w:rPr>
                </w:pPr>
                <w:r>
                  <w:rPr>
                    <w:rFonts w:hint="eastAsia"/>
                    <w:sz w:val="21"/>
                    <w:szCs w:val="21"/>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rsidR="004A3868" w:rsidRDefault="003F1AB5">
            <w:pPr>
              <w:rPr>
                <w:sz w:val="21"/>
                <w:szCs w:val="21"/>
              </w:rPr>
            </w:pPr>
            <w:r>
              <w:rPr>
                <w:rFonts w:hint="eastAsia"/>
                <w:sz w:val="21"/>
                <w:szCs w:val="21"/>
              </w:rPr>
              <w:t>-</w:t>
            </w:r>
          </w:p>
        </w:tc>
        <w:sdt>
          <w:sdtPr>
            <w:rPr>
              <w:rFonts w:hint="eastAsia"/>
              <w:bCs/>
              <w:sz w:val="21"/>
              <w:szCs w:val="21"/>
            </w:rPr>
            <w:alias w:val="担保是否已经履行完毕"/>
            <w:tag w:val="_GBC_61f81248895641f4b3a03b6d7bf72a1b"/>
            <w:id w:val="-1207872654"/>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color w:val="FFC000"/>
                    <w:sz w:val="21"/>
                    <w:szCs w:val="21"/>
                  </w:rPr>
                </w:pPr>
                <w:r>
                  <w:rPr>
                    <w:rFonts w:hint="eastAsia"/>
                    <w:sz w:val="21"/>
                    <w:szCs w:val="21"/>
                  </w:rPr>
                  <w:t xml:space="preserve">　-</w:t>
                </w:r>
              </w:p>
            </w:tc>
          </w:sdtContent>
        </w:sdt>
        <w:sdt>
          <w:sdtPr>
            <w:rPr>
              <w:rFonts w:hint="eastAsia"/>
              <w:bCs/>
              <w:sz w:val="21"/>
              <w:szCs w:val="21"/>
            </w:rPr>
            <w:alias w:val="担保是否逾期"/>
            <w:tag w:val="_GBC_c6b9d1f792064d3f8a852d307386846b"/>
            <w:id w:val="-1623994042"/>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color w:val="FFC000"/>
                    <w:sz w:val="21"/>
                    <w:szCs w:val="21"/>
                  </w:rPr>
                </w:pPr>
                <w:r>
                  <w:rPr>
                    <w:rFonts w:hint="eastAsia"/>
                    <w:sz w:val="21"/>
                    <w:szCs w:val="21"/>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w:t>
            </w:r>
          </w:p>
        </w:tc>
        <w:sdt>
          <w:sdtPr>
            <w:rPr>
              <w:rFonts w:hint="eastAsia"/>
              <w:bCs/>
              <w:sz w:val="21"/>
              <w:szCs w:val="21"/>
            </w:rPr>
            <w:alias w:val="是否为关联方担保"/>
            <w:tag w:val="_GBC_44554d74636543a7b143039de86b7494"/>
            <w:id w:val="-641733048"/>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color w:val="FFC000"/>
                    <w:sz w:val="21"/>
                    <w:szCs w:val="21"/>
                  </w:rPr>
                </w:pPr>
                <w:r>
                  <w:rPr>
                    <w:rFonts w:hint="eastAsia"/>
                    <w:sz w:val="21"/>
                    <w:szCs w:val="21"/>
                  </w:rPr>
                  <w:t xml:space="preserve">　-</w:t>
                </w:r>
              </w:p>
            </w:tc>
          </w:sdtContent>
        </w:sdt>
        <w:sdt>
          <w:sdtPr>
            <w:rPr>
              <w:sz w:val="21"/>
              <w:szCs w:val="21"/>
            </w:rPr>
            <w:alias w:val="担保中关联方与本公司关系"/>
            <w:tag w:val="_GBC_e5957983376e4a2f82b346d338d10f40"/>
            <w:id w:val="-1492242636"/>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3" w:type="pct"/>
                <w:tcBorders>
                  <w:top w:val="single" w:sz="4" w:space="0" w:color="auto"/>
                  <w:left w:val="single" w:sz="4" w:space="0" w:color="auto"/>
                  <w:bottom w:val="single" w:sz="4" w:space="0" w:color="auto"/>
                </w:tcBorders>
                <w:shd w:val="clear" w:color="auto" w:fill="auto"/>
              </w:tcPr>
              <w:p w:rsidR="004A3868" w:rsidRDefault="003F1AB5">
                <w:pPr>
                  <w:rPr>
                    <w:color w:val="FFC000"/>
                    <w:sz w:val="21"/>
                    <w:szCs w:val="21"/>
                  </w:rPr>
                </w:pPr>
                <w:r>
                  <w:rPr>
                    <w:sz w:val="21"/>
                    <w:szCs w:val="21"/>
                  </w:rPr>
                  <w:t>-</w:t>
                </w:r>
                <w:r>
                  <w:rPr>
                    <w:rFonts w:hint="eastAsia"/>
                    <w:sz w:val="21"/>
                    <w:szCs w:val="21"/>
                  </w:rPr>
                  <w:t xml:space="preserve">　</w:t>
                </w:r>
              </w:p>
            </w:tc>
          </w:sdtContent>
        </w:sdt>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报告期内担保发生额合计（不包括对子公司的担保）</w:t>
            </w:r>
          </w:p>
        </w:tc>
        <w:tc>
          <w:tcPr>
            <w:tcW w:w="2855" w:type="pct"/>
            <w:gridSpan w:val="9"/>
            <w:tcBorders>
              <w:top w:val="single" w:sz="4" w:space="0" w:color="auto"/>
              <w:left w:val="single" w:sz="4" w:space="0" w:color="auto"/>
              <w:bottom w:val="single" w:sz="4" w:space="0" w:color="auto"/>
            </w:tcBorders>
            <w:shd w:val="clear" w:color="auto" w:fill="auto"/>
          </w:tcPr>
          <w:p w:rsidR="004A3868" w:rsidRDefault="004A3868">
            <w:pPr>
              <w:rPr>
                <w:sz w:val="21"/>
                <w:szCs w:val="21"/>
              </w:rPr>
            </w:pPr>
          </w:p>
        </w:tc>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报告期末担保余额合计（</w:t>
            </w:r>
            <w:r>
              <w:t>A</w:t>
            </w:r>
            <w:r>
              <w:rPr>
                <w:rFonts w:hint="eastAsia"/>
              </w:rPr>
              <w:t>）（不包括对子公司的担保）</w:t>
            </w:r>
          </w:p>
        </w:tc>
        <w:tc>
          <w:tcPr>
            <w:tcW w:w="2855" w:type="pct"/>
            <w:gridSpan w:val="9"/>
            <w:tcBorders>
              <w:top w:val="single" w:sz="4" w:space="0" w:color="auto"/>
              <w:left w:val="single" w:sz="4" w:space="0" w:color="auto"/>
              <w:bottom w:val="single" w:sz="4" w:space="0" w:color="auto"/>
            </w:tcBorders>
            <w:shd w:val="clear" w:color="auto" w:fill="auto"/>
          </w:tcPr>
          <w:p w:rsidR="004A3868" w:rsidRDefault="004A3868">
            <w:pPr>
              <w:rPr>
                <w:sz w:val="21"/>
                <w:szCs w:val="21"/>
              </w:rPr>
            </w:pPr>
          </w:p>
        </w:tc>
      </w:tr>
      <w:tr w:rsidR="004A3868">
        <w:trPr>
          <w:trHeight w:val="397"/>
          <w:jc w:val="center"/>
        </w:trPr>
        <w:sdt>
          <w:sdtPr>
            <w:tag w:val="_PLD_0209e1df4d9c45da9415f0566332a134"/>
            <w:id w:val="790790142"/>
          </w:sdtPr>
          <w:sdtEndPr/>
          <w:sdtContent>
            <w:tc>
              <w:tcPr>
                <w:tcW w:w="5000" w:type="pct"/>
                <w:gridSpan w:val="16"/>
                <w:tcBorders>
                  <w:top w:val="single" w:sz="4" w:space="0" w:color="auto"/>
                  <w:bottom w:val="single" w:sz="4" w:space="0" w:color="auto"/>
                </w:tcBorders>
                <w:shd w:val="clear" w:color="auto" w:fill="auto"/>
                <w:vAlign w:val="center"/>
              </w:tcPr>
              <w:p w:rsidR="004A3868" w:rsidRDefault="003F1AB5">
                <w:pPr>
                  <w:pStyle w:val="afff9"/>
                </w:pPr>
                <w:r>
                  <w:rPr>
                    <w:rFonts w:hint="eastAsia"/>
                  </w:rPr>
                  <w:t>公司及其子公司对子公司的担保情况</w:t>
                </w:r>
              </w:p>
            </w:tc>
          </w:sdtContent>
        </w:sdt>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pStyle w:val="afff9"/>
              <w:rPr>
                <w:color w:val="FF0000"/>
              </w:rPr>
            </w:pPr>
            <w:r>
              <w:rPr>
                <w:rFonts w:hint="eastAsia"/>
              </w:rPr>
              <w:t>报告期内对子公司担保发生额合计</w:t>
            </w:r>
          </w:p>
        </w:tc>
        <w:tc>
          <w:tcPr>
            <w:tcW w:w="2855" w:type="pct"/>
            <w:gridSpan w:val="9"/>
            <w:tcBorders>
              <w:top w:val="single" w:sz="4" w:space="0" w:color="auto"/>
              <w:left w:val="single" w:sz="4" w:space="0" w:color="auto"/>
              <w:bottom w:val="single" w:sz="4" w:space="0" w:color="auto"/>
            </w:tcBorders>
            <w:shd w:val="clear" w:color="auto" w:fill="auto"/>
            <w:vAlign w:val="center"/>
          </w:tcPr>
          <w:p w:rsidR="004A3868" w:rsidRDefault="003F1AB5">
            <w:pPr>
              <w:pStyle w:val="afff7"/>
            </w:pPr>
            <w:r>
              <w:t>8,000.00</w:t>
            </w:r>
          </w:p>
        </w:tc>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pStyle w:val="afff9"/>
              <w:rPr>
                <w:color w:val="FF0000"/>
              </w:rPr>
            </w:pPr>
            <w:r>
              <w:rPr>
                <w:rFonts w:hint="eastAsia"/>
              </w:rPr>
              <w:t>报告期末对子公司担保余额合计（</w:t>
            </w:r>
            <w:r>
              <w:t>B</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4A3868" w:rsidRDefault="003F1AB5">
            <w:pPr>
              <w:pStyle w:val="afff7"/>
            </w:pPr>
            <w:r>
              <w:t>5,894.53</w:t>
            </w:r>
          </w:p>
        </w:tc>
      </w:tr>
      <w:tr w:rsidR="004A3868">
        <w:trPr>
          <w:trHeight w:val="397"/>
          <w:jc w:val="center"/>
        </w:trPr>
        <w:sdt>
          <w:sdtPr>
            <w:tag w:val="_PLD_b5d1fceb6fbd4fadb84d698d3eb35967"/>
            <w:id w:val="-1956708453"/>
          </w:sdtPr>
          <w:sdtEndPr/>
          <w:sdtContent>
            <w:tc>
              <w:tcPr>
                <w:tcW w:w="5000" w:type="pct"/>
                <w:gridSpan w:val="16"/>
                <w:tcBorders>
                  <w:top w:val="single" w:sz="4" w:space="0" w:color="auto"/>
                  <w:bottom w:val="single" w:sz="4" w:space="0" w:color="auto"/>
                </w:tcBorders>
                <w:shd w:val="clear" w:color="auto" w:fill="auto"/>
                <w:vAlign w:val="center"/>
              </w:tcPr>
              <w:p w:rsidR="004A3868" w:rsidRDefault="003F1AB5">
                <w:pPr>
                  <w:pStyle w:val="afff9"/>
                </w:pPr>
                <w:r>
                  <w:rPr>
                    <w:rFonts w:hint="eastAsia"/>
                  </w:rPr>
                  <w:t>公司担保总额情况（包括对子公司的担保）</w:t>
                </w:r>
              </w:p>
            </w:tc>
          </w:sdtContent>
        </w:sdt>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担保总额（</w:t>
            </w:r>
            <w:r>
              <w:t>A+B</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tcPr>
          <w:p w:rsidR="004A3868" w:rsidRDefault="003F1AB5">
            <w:pPr>
              <w:pStyle w:val="afff7"/>
            </w:pPr>
            <w:r>
              <w:t>5,894.53</w:t>
            </w:r>
          </w:p>
        </w:tc>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担保总额占公司净资产的比例</w:t>
            </w:r>
            <w:r>
              <w:t>(%)</w:t>
            </w:r>
          </w:p>
        </w:tc>
        <w:tc>
          <w:tcPr>
            <w:tcW w:w="2855" w:type="pct"/>
            <w:gridSpan w:val="9"/>
            <w:tcBorders>
              <w:top w:val="single" w:sz="4" w:space="0" w:color="auto"/>
              <w:left w:val="single" w:sz="4" w:space="0" w:color="auto"/>
              <w:bottom w:val="single" w:sz="4" w:space="0" w:color="auto"/>
            </w:tcBorders>
            <w:shd w:val="clear" w:color="auto" w:fill="auto"/>
          </w:tcPr>
          <w:p w:rsidR="004A3868" w:rsidRDefault="003F1AB5">
            <w:pPr>
              <w:pStyle w:val="afff7"/>
            </w:pPr>
            <w:r>
              <w:t>2.47</w:t>
            </w:r>
          </w:p>
        </w:tc>
      </w:tr>
      <w:tr w:rsidR="004A3868">
        <w:trPr>
          <w:trHeight w:val="397"/>
          <w:jc w:val="center"/>
        </w:trPr>
        <w:sdt>
          <w:sdtPr>
            <w:tag w:val="_PLD_5975855d5ef9445cb4cf0cccb044de3a"/>
            <w:id w:val="974954356"/>
          </w:sdtPr>
          <w:sdtEndPr/>
          <w:sdtContent>
            <w:tc>
              <w:tcPr>
                <w:tcW w:w="5000" w:type="pct"/>
                <w:gridSpan w:val="16"/>
                <w:tcBorders>
                  <w:top w:val="single" w:sz="4" w:space="0" w:color="auto"/>
                  <w:bottom w:val="single" w:sz="4" w:space="0" w:color="auto"/>
                </w:tcBorders>
                <w:shd w:val="clear" w:color="auto" w:fill="auto"/>
              </w:tcPr>
              <w:p w:rsidR="004A3868" w:rsidRDefault="003F1AB5">
                <w:pPr>
                  <w:pStyle w:val="afff9"/>
                </w:pPr>
                <w:r>
                  <w:rPr>
                    <w:rFonts w:hint="eastAsia"/>
                  </w:rPr>
                  <w:t>其中：</w:t>
                </w:r>
              </w:p>
            </w:tc>
          </w:sdtContent>
        </w:sdt>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pStyle w:val="afff9"/>
            </w:pPr>
            <w:r>
              <w:rPr>
                <w:rFonts w:hint="eastAsia"/>
              </w:rPr>
              <w:t>为股东、实际控制人及其关联方提供担保的金额（</w:t>
            </w:r>
            <w:r>
              <w:t>C</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tcPr>
          <w:p w:rsidR="004A3868" w:rsidRDefault="004A3868">
            <w:pPr>
              <w:rPr>
                <w:sz w:val="21"/>
                <w:szCs w:val="21"/>
              </w:rPr>
            </w:pPr>
          </w:p>
        </w:tc>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pStyle w:val="afff9"/>
            </w:pPr>
            <w:r>
              <w:rPr>
                <w:rFonts w:hint="eastAsia"/>
              </w:rPr>
              <w:t>直接或间接为资产负债率超过</w:t>
            </w:r>
            <w:r>
              <w:t>70</w:t>
            </w:r>
            <w:r>
              <w:rPr>
                <w:rFonts w:hint="eastAsia"/>
              </w:rPr>
              <w:t>%</w:t>
            </w:r>
            <w:r>
              <w:rPr>
                <w:rFonts w:hint="eastAsia"/>
              </w:rPr>
              <w:t>的被担保对象提供的债务担保金额（</w:t>
            </w:r>
            <w:r>
              <w:t>D</w:t>
            </w:r>
            <w:r>
              <w:rPr>
                <w:rFonts w:hint="eastAsia"/>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4A3868" w:rsidRDefault="003F1AB5">
            <w:pPr>
              <w:pStyle w:val="afff7"/>
            </w:pPr>
            <w:r>
              <w:t>5,894.53</w:t>
            </w:r>
          </w:p>
        </w:tc>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担保总额超过净资产</w:t>
            </w:r>
            <w:r>
              <w:rPr>
                <w:sz w:val="21"/>
                <w:szCs w:val="21"/>
              </w:rPr>
              <w:t>50</w:t>
            </w:r>
            <w:r>
              <w:rPr>
                <w:rFonts w:hint="eastAsia"/>
                <w:sz w:val="21"/>
                <w:szCs w:val="21"/>
              </w:rPr>
              <w:t>%部分的金额（</w:t>
            </w:r>
            <w:r>
              <w:rPr>
                <w:sz w:val="21"/>
                <w:szCs w:val="21"/>
              </w:rPr>
              <w:t>E</w:t>
            </w:r>
            <w:r>
              <w:rPr>
                <w:rFonts w:hint="eastAsia"/>
                <w:sz w:val="21"/>
                <w:szCs w:val="2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rsidR="004A3868" w:rsidRDefault="004A3868">
            <w:pPr>
              <w:pStyle w:val="afff7"/>
            </w:pPr>
          </w:p>
        </w:tc>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上述三项担保金额合计（</w:t>
            </w:r>
            <w:r>
              <w:rPr>
                <w:sz w:val="21"/>
                <w:szCs w:val="21"/>
              </w:rPr>
              <w:t>C+D+E</w:t>
            </w:r>
            <w:r>
              <w:rPr>
                <w:rFonts w:hint="eastAsia"/>
                <w:sz w:val="21"/>
                <w:szCs w:val="21"/>
              </w:rPr>
              <w:t>）</w:t>
            </w:r>
          </w:p>
        </w:tc>
        <w:tc>
          <w:tcPr>
            <w:tcW w:w="2855" w:type="pct"/>
            <w:gridSpan w:val="9"/>
            <w:tcBorders>
              <w:top w:val="single" w:sz="4" w:space="0" w:color="auto"/>
              <w:left w:val="single" w:sz="4" w:space="0" w:color="auto"/>
              <w:bottom w:val="single" w:sz="4" w:space="0" w:color="auto"/>
            </w:tcBorders>
            <w:shd w:val="clear" w:color="auto" w:fill="auto"/>
          </w:tcPr>
          <w:p w:rsidR="004A3868" w:rsidRDefault="003F1AB5">
            <w:pPr>
              <w:pStyle w:val="afff7"/>
            </w:pPr>
            <w:r>
              <w:t>5,894.53</w:t>
            </w:r>
          </w:p>
        </w:tc>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vAlign w:val="center"/>
          </w:tcPr>
          <w:p w:rsidR="004A3868" w:rsidRDefault="003F1AB5">
            <w:pPr>
              <w:pStyle w:val="ab"/>
            </w:pPr>
            <w:r>
              <w:rPr>
                <w:rFonts w:hint="eastAsia"/>
              </w:rPr>
              <w:lastRenderedPageBreak/>
              <w:t>未到期担保可能承担连带清偿责任说明</w:t>
            </w:r>
          </w:p>
        </w:tc>
        <w:tc>
          <w:tcPr>
            <w:tcW w:w="2855" w:type="pct"/>
            <w:gridSpan w:val="9"/>
            <w:tcBorders>
              <w:top w:val="single" w:sz="4" w:space="0" w:color="auto"/>
              <w:left w:val="single" w:sz="4" w:space="0" w:color="auto"/>
              <w:bottom w:val="single" w:sz="4" w:space="0" w:color="auto"/>
            </w:tcBorders>
            <w:shd w:val="clear" w:color="auto" w:fill="auto"/>
          </w:tcPr>
          <w:p w:rsidR="004A3868" w:rsidRDefault="004A3868">
            <w:pPr>
              <w:pStyle w:val="afff7"/>
            </w:pPr>
          </w:p>
        </w:tc>
      </w:tr>
      <w:tr w:rsidR="004A3868">
        <w:trPr>
          <w:trHeight w:val="397"/>
          <w:jc w:val="center"/>
        </w:trPr>
        <w:tc>
          <w:tcPr>
            <w:tcW w:w="2145" w:type="pct"/>
            <w:gridSpan w:val="7"/>
            <w:tcBorders>
              <w:top w:val="single" w:sz="4" w:space="0" w:color="auto"/>
              <w:bottom w:val="single" w:sz="4" w:space="0" w:color="auto"/>
              <w:right w:val="single" w:sz="4" w:space="0" w:color="auto"/>
            </w:tcBorders>
            <w:shd w:val="clear" w:color="auto" w:fill="auto"/>
          </w:tcPr>
          <w:p w:rsidR="004A3868" w:rsidRDefault="003F1AB5">
            <w:pPr>
              <w:rPr>
                <w:sz w:val="21"/>
                <w:szCs w:val="21"/>
              </w:rPr>
            </w:pPr>
            <w:r>
              <w:rPr>
                <w:rFonts w:hint="eastAsia"/>
                <w:sz w:val="21"/>
                <w:szCs w:val="21"/>
              </w:rPr>
              <w:t>担保情况说明</w:t>
            </w:r>
          </w:p>
        </w:tc>
        <w:tc>
          <w:tcPr>
            <w:tcW w:w="2855" w:type="pct"/>
            <w:gridSpan w:val="9"/>
            <w:tcBorders>
              <w:top w:val="single" w:sz="4" w:space="0" w:color="auto"/>
              <w:left w:val="single" w:sz="4" w:space="0" w:color="auto"/>
              <w:bottom w:val="single" w:sz="4" w:space="0" w:color="auto"/>
            </w:tcBorders>
            <w:shd w:val="clear" w:color="auto" w:fill="auto"/>
          </w:tcPr>
          <w:p w:rsidR="004A3868" w:rsidRDefault="004A3868">
            <w:pPr>
              <w:rPr>
                <w:sz w:val="21"/>
                <w:szCs w:val="21"/>
              </w:rPr>
            </w:pPr>
          </w:p>
        </w:tc>
      </w:tr>
    </w:tbl>
    <w:bookmarkEnd w:id="83"/>
    <w:p w:rsidR="004A3868" w:rsidRDefault="003F1AB5">
      <w:pPr>
        <w:pStyle w:val="Style127"/>
        <w:numPr>
          <w:ilvl w:val="0"/>
          <w:numId w:val="42"/>
        </w:numPr>
      </w:pPr>
      <w:r>
        <w:rPr>
          <w:rFonts w:hint="eastAsia"/>
        </w:rPr>
        <w:t>委托他人进行现金资产管理的情况</w:t>
      </w:r>
    </w:p>
    <w:p w:rsidR="004A3868" w:rsidRDefault="003F1AB5">
      <w:pPr>
        <w:pStyle w:val="4"/>
        <w:numPr>
          <w:ilvl w:val="0"/>
          <w:numId w:val="44"/>
        </w:numPr>
      </w:pPr>
      <w:r>
        <w:rPr>
          <w:rFonts w:hint="eastAsia"/>
        </w:rPr>
        <w:t>委托理财情况</w:t>
      </w:r>
    </w:p>
    <w:p w:rsidR="004A3868" w:rsidRDefault="003F1AB5">
      <w:pPr>
        <w:pStyle w:val="5"/>
        <w:numPr>
          <w:ilvl w:val="0"/>
          <w:numId w:val="45"/>
        </w:numPr>
        <w:ind w:leftChars="0"/>
      </w:pPr>
      <w:r>
        <w:t>委托理财总体情况</w:t>
      </w:r>
    </w:p>
    <w:sdt>
      <w:sdtPr>
        <w:rPr>
          <w:rFonts w:hint="eastAsia"/>
          <w:highlight w:val="yellow"/>
        </w:rPr>
        <w:alias w:val="是否适用：委托理财总体情况[双击切换]"/>
        <w:tag w:val="_GBC_939edce711f74cc3bede852019388a3e"/>
        <w:id w:val="-1883474524"/>
        <w:lock w:val="sdtLocked"/>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rStyle w:val="Char0"/>
          <w:highlight w:val="yellow"/>
        </w:rPr>
      </w:pPr>
      <w:r>
        <w:rPr>
          <w:rStyle w:val="Char0"/>
          <w:rFonts w:hint="eastAsia"/>
        </w:rPr>
        <w:t>单位：</w:t>
      </w:r>
      <w:sdt>
        <w:sdtPr>
          <w:rPr>
            <w:rStyle w:val="Char0"/>
            <w:rFonts w:hint="eastAsia"/>
          </w:rPr>
          <w:alias w:val="单位：委托理财总体情况"/>
          <w:tag w:val="_GBC_995d6d32b0f247b897c1e3683394b78e"/>
          <w:id w:val="1960901937"/>
          <w:lock w:val="sdtLocked"/>
          <w:placeholder>
            <w:docPart w:val="34DE6560592642A09AFAE2BBD29F7F6A"/>
          </w:placeholder>
          <w:comboBox>
            <w:listItem w:displayText="元" w:value="1"/>
            <w:listItem w:displayText="千元" w:value="1000"/>
            <w:listItem w:displayText="万元" w:value="10000"/>
            <w:listItem w:displayText="百万元" w:value="1000000"/>
            <w:listItem w:displayText="亿元" w:value="100000000"/>
          </w:comboBox>
        </w:sdtPr>
        <w:sdtEndPr>
          <w:rPr>
            <w:rStyle w:val="Char0"/>
          </w:rPr>
        </w:sdtEndPr>
        <w:sdtContent>
          <w:r>
            <w:rPr>
              <w:rStyle w:val="Char0"/>
              <w:rFonts w:hint="eastAsia"/>
            </w:rPr>
            <w:t>万元</w:t>
          </w:r>
        </w:sdtContent>
      </w:sdt>
      <w:r>
        <w:rPr>
          <w:rStyle w:val="Char0"/>
          <w:rFonts w:hint="eastAsia"/>
        </w:rPr>
        <w:t>币种：</w:t>
      </w:r>
      <w:sdt>
        <w:sdtPr>
          <w:rPr>
            <w:rStyle w:val="Char0"/>
            <w:rFonts w:hint="eastAsia"/>
          </w:rPr>
          <w:alias w:val="币种：委托理财总体情况"/>
          <w:tag w:val="_GBC_4eea93464f564ac386eb7f3f2731c982"/>
          <w:id w:val="-1027711033"/>
          <w:lock w:val="sdtLocked"/>
          <w:placeholder>
            <w:docPart w:val="34DE6560592642A09AFAE2BBD29F7F6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0"/>
          </w:rPr>
        </w:sdtEndPr>
        <w:sdtContent>
          <w:r>
            <w:rPr>
              <w:rStyle w:val="Char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557"/>
        <w:gridCol w:w="2606"/>
        <w:gridCol w:w="2606"/>
        <w:gridCol w:w="2606"/>
        <w:gridCol w:w="3488"/>
      </w:tblGrid>
      <w:tr w:rsidR="004A3868">
        <w:trPr>
          <w:trHeight w:val="397"/>
          <w:jc w:val="center"/>
        </w:trPr>
        <w:sdt>
          <w:sdtPr>
            <w:rPr>
              <w:rFonts w:hint="eastAsia"/>
              <w:highlight w:val="yellow"/>
            </w:rPr>
            <w:tag w:val="_PLD_adc56e4902a44336b31583f6d92ae8fe"/>
            <w:id w:val="-1429336806"/>
            <w:lock w:val="sdtLocked"/>
          </w:sdtPr>
          <w:sdtEndPr/>
          <w:sdtContent>
            <w:tc>
              <w:tcPr>
                <w:tcW w:w="922" w:type="pct"/>
                <w:shd w:val="clear" w:color="auto" w:fill="auto"/>
                <w:vAlign w:val="center"/>
              </w:tcPr>
              <w:p w:rsidR="004A3868" w:rsidRDefault="003F1AB5">
                <w:pPr>
                  <w:pStyle w:val="afffb"/>
                  <w:rPr>
                    <w:highlight w:val="yellow"/>
                  </w:rPr>
                </w:pPr>
                <w:r>
                  <w:rPr>
                    <w:rFonts w:hint="eastAsia"/>
                  </w:rPr>
                  <w:t>类型</w:t>
                </w:r>
              </w:p>
            </w:tc>
          </w:sdtContent>
        </w:sdt>
        <w:sdt>
          <w:sdtPr>
            <w:rPr>
              <w:rFonts w:hint="eastAsia"/>
              <w:highlight w:val="yellow"/>
            </w:rPr>
            <w:tag w:val="_PLD_1e4b1b71c269470f8c1a8d2bf4482c76"/>
            <w:id w:val="-529255610"/>
            <w:lock w:val="sdtLocked"/>
          </w:sdtPr>
          <w:sdtEndPr/>
          <w:sdtContent>
            <w:tc>
              <w:tcPr>
                <w:tcW w:w="940" w:type="pct"/>
                <w:shd w:val="clear" w:color="auto" w:fill="auto"/>
                <w:vAlign w:val="center"/>
              </w:tcPr>
              <w:p w:rsidR="004A3868" w:rsidRDefault="003F1AB5">
                <w:pPr>
                  <w:pStyle w:val="afffb"/>
                  <w:rPr>
                    <w:highlight w:val="yellow"/>
                  </w:rPr>
                </w:pPr>
                <w:r>
                  <w:rPr>
                    <w:rFonts w:hint="eastAsia"/>
                  </w:rPr>
                  <w:t>资金来源</w:t>
                </w:r>
              </w:p>
            </w:tc>
          </w:sdtContent>
        </w:sdt>
        <w:sdt>
          <w:sdtPr>
            <w:rPr>
              <w:rFonts w:hint="eastAsia"/>
              <w:highlight w:val="yellow"/>
            </w:rPr>
            <w:tag w:val="_PLD_7b0c91758b05423d8c85e6e2043dcc9e"/>
            <w:id w:val="1294801258"/>
            <w:lock w:val="sdtLocked"/>
          </w:sdtPr>
          <w:sdtEndPr/>
          <w:sdtContent>
            <w:tc>
              <w:tcPr>
                <w:tcW w:w="940" w:type="pct"/>
                <w:shd w:val="clear" w:color="auto" w:fill="auto"/>
                <w:vAlign w:val="center"/>
              </w:tcPr>
              <w:p w:rsidR="004A3868" w:rsidRDefault="003F1AB5">
                <w:pPr>
                  <w:pStyle w:val="afffb"/>
                  <w:rPr>
                    <w:highlight w:val="yellow"/>
                  </w:rPr>
                </w:pPr>
                <w:r>
                  <w:rPr>
                    <w:rFonts w:hint="eastAsia"/>
                  </w:rPr>
                  <w:t>发生额</w:t>
                </w:r>
              </w:p>
            </w:tc>
          </w:sdtContent>
        </w:sdt>
        <w:sdt>
          <w:sdtPr>
            <w:rPr>
              <w:rFonts w:hint="eastAsia"/>
              <w:highlight w:val="yellow"/>
            </w:rPr>
            <w:tag w:val="_PLD_c5c1ba65289743f390012a22166fda71"/>
            <w:id w:val="1455132433"/>
            <w:lock w:val="sdtLocked"/>
          </w:sdtPr>
          <w:sdtEndPr/>
          <w:sdtContent>
            <w:tc>
              <w:tcPr>
                <w:tcW w:w="940" w:type="pct"/>
                <w:shd w:val="clear" w:color="auto" w:fill="auto"/>
                <w:vAlign w:val="center"/>
              </w:tcPr>
              <w:p w:rsidR="004A3868" w:rsidRDefault="003F1AB5">
                <w:pPr>
                  <w:pStyle w:val="afffb"/>
                  <w:rPr>
                    <w:highlight w:val="yellow"/>
                  </w:rPr>
                </w:pPr>
                <w:r>
                  <w:rPr>
                    <w:rFonts w:hint="eastAsia"/>
                  </w:rPr>
                  <w:t>未到期余额</w:t>
                </w:r>
              </w:p>
            </w:tc>
          </w:sdtContent>
        </w:sdt>
        <w:sdt>
          <w:sdtPr>
            <w:rPr>
              <w:rFonts w:hint="eastAsia"/>
              <w:highlight w:val="yellow"/>
            </w:rPr>
            <w:tag w:val="_PLD_ac496413cc194196b7b6f3a280315c67"/>
            <w:id w:val="-464129749"/>
            <w:lock w:val="sdtLocked"/>
          </w:sdtPr>
          <w:sdtEndPr/>
          <w:sdtContent>
            <w:tc>
              <w:tcPr>
                <w:tcW w:w="1258" w:type="pct"/>
                <w:shd w:val="clear" w:color="auto" w:fill="auto"/>
                <w:vAlign w:val="center"/>
              </w:tcPr>
              <w:p w:rsidR="004A3868" w:rsidRDefault="003F1AB5">
                <w:pPr>
                  <w:pStyle w:val="afffb"/>
                  <w:rPr>
                    <w:highlight w:val="yellow"/>
                  </w:rPr>
                </w:pPr>
                <w:r>
                  <w:rPr>
                    <w:rFonts w:hint="eastAsia"/>
                  </w:rPr>
                  <w:t>逾期未收回金额</w:t>
                </w:r>
              </w:p>
            </w:tc>
          </w:sdtContent>
        </w:sdt>
      </w:tr>
      <w:tr w:rsidR="004A3868">
        <w:trPr>
          <w:trHeight w:val="397"/>
          <w:jc w:val="center"/>
        </w:trPr>
        <w:sdt>
          <w:sdtPr>
            <w:rPr>
              <w:rFonts w:hint="eastAsia"/>
            </w:rPr>
            <w:alias w:val="委托理财类型"/>
            <w:tag w:val="_GBC_dde0b0799c3d4140ab92a2fd8e9f7e37"/>
            <w:id w:val="1520427795"/>
            <w:lock w:val="sdtLocked"/>
            <w:comboBox>
              <w:listItem w:displayText="银行理财产品" w:value="银行理财产品"/>
              <w:listItem w:displayText="券商理财产品" w:value="券商理财产品"/>
              <w:listItem w:displayText="信托理财产品" w:value="信托理财产品"/>
              <w:listItem w:displayText="公墓基金产品" w:value="公墓基金产品"/>
              <w:listItem w:displayText="私募基金产品" w:value="私募基金产品"/>
              <w:listItem w:displayText="其他" w:value="其他"/>
            </w:comboBox>
          </w:sdtPr>
          <w:sdtEndPr/>
          <w:sdtContent>
            <w:tc>
              <w:tcPr>
                <w:tcW w:w="922" w:type="pct"/>
                <w:shd w:val="clear" w:color="auto" w:fill="auto"/>
                <w:vAlign w:val="center"/>
              </w:tcPr>
              <w:p w:rsidR="004A3868" w:rsidRDefault="003F1AB5">
                <w:pPr>
                  <w:pStyle w:val="afffb"/>
                  <w:rPr>
                    <w:highlight w:val="yellow"/>
                  </w:rPr>
                </w:pPr>
                <w:r>
                  <w:rPr>
                    <w:rFonts w:hint="eastAsia"/>
                  </w:rPr>
                  <w:t>其他</w:t>
                </w:r>
              </w:p>
            </w:tc>
          </w:sdtContent>
        </w:sdt>
        <w:tc>
          <w:tcPr>
            <w:tcW w:w="940" w:type="pct"/>
            <w:shd w:val="clear" w:color="auto" w:fill="auto"/>
            <w:vAlign w:val="center"/>
          </w:tcPr>
          <w:p w:rsidR="004A3868" w:rsidRDefault="003F1AB5">
            <w:pPr>
              <w:pStyle w:val="afffb"/>
              <w:rPr>
                <w:highlight w:val="yellow"/>
              </w:rPr>
            </w:pPr>
            <w:r>
              <w:rPr>
                <w:rFonts w:hint="eastAsia"/>
              </w:rPr>
              <w:t>闲置募集资金</w:t>
            </w:r>
          </w:p>
        </w:tc>
        <w:tc>
          <w:tcPr>
            <w:tcW w:w="940" w:type="pct"/>
            <w:shd w:val="clear" w:color="auto" w:fill="auto"/>
            <w:vAlign w:val="center"/>
          </w:tcPr>
          <w:p w:rsidR="004A3868" w:rsidRDefault="003F1AB5">
            <w:pPr>
              <w:pStyle w:val="afffb"/>
              <w:rPr>
                <w:highlight w:val="yellow"/>
              </w:rPr>
            </w:pPr>
            <w:r>
              <w:t>7,000.00</w:t>
            </w:r>
          </w:p>
        </w:tc>
        <w:tc>
          <w:tcPr>
            <w:tcW w:w="940" w:type="pct"/>
            <w:shd w:val="clear" w:color="auto" w:fill="auto"/>
            <w:vAlign w:val="center"/>
          </w:tcPr>
          <w:p w:rsidR="004A3868" w:rsidRDefault="003F1AB5">
            <w:pPr>
              <w:pStyle w:val="afffb"/>
              <w:rPr>
                <w:highlight w:val="yellow"/>
              </w:rPr>
            </w:pPr>
            <w:r>
              <w:rPr>
                <w:rFonts w:hint="eastAsia"/>
              </w:rPr>
              <w:t>0</w:t>
            </w:r>
          </w:p>
        </w:tc>
        <w:tc>
          <w:tcPr>
            <w:tcW w:w="1258" w:type="pct"/>
            <w:shd w:val="clear" w:color="auto" w:fill="auto"/>
            <w:vAlign w:val="center"/>
          </w:tcPr>
          <w:p w:rsidR="004A3868" w:rsidRDefault="003F1AB5">
            <w:pPr>
              <w:pStyle w:val="afffb"/>
              <w:rPr>
                <w:highlight w:val="yellow"/>
              </w:rPr>
            </w:pPr>
            <w:r>
              <w:rPr>
                <w:rFonts w:hint="eastAsia"/>
              </w:rPr>
              <w:t>0</w:t>
            </w:r>
          </w:p>
        </w:tc>
      </w:tr>
    </w:tbl>
    <w:p w:rsidR="004A3868" w:rsidRDefault="004A3868">
      <w:pPr>
        <w:pStyle w:val="Style842"/>
      </w:pPr>
    </w:p>
    <w:p w:rsidR="004A3868" w:rsidRDefault="003F1AB5">
      <w:pPr>
        <w:rPr>
          <w:sz w:val="21"/>
          <w:szCs w:val="21"/>
        </w:rPr>
      </w:pPr>
      <w:r>
        <w:rPr>
          <w:rFonts w:hint="eastAsia"/>
          <w:sz w:val="21"/>
          <w:szCs w:val="21"/>
        </w:rPr>
        <w:t>其他情况</w:t>
      </w:r>
    </w:p>
    <w:sdt>
      <w:sdtPr>
        <w:rPr>
          <w:rFonts w:hint="eastAsia"/>
          <w:sz w:val="21"/>
          <w:szCs w:val="21"/>
          <w:highlight w:val="yellow"/>
        </w:rPr>
        <w:alias w:val="是否适用：委托理财总体其他情况[双击切换]"/>
        <w:tag w:val="_GBC_4fb72032e5bd4642bf5eb2d83d5ca874"/>
        <w:id w:val="-852646319"/>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5"/>
        <w:numPr>
          <w:ilvl w:val="0"/>
          <w:numId w:val="45"/>
        </w:numPr>
        <w:ind w:leftChars="0"/>
        <w:rPr>
          <w:szCs w:val="21"/>
        </w:rPr>
      </w:pPr>
      <w:r>
        <w:rPr>
          <w:szCs w:val="21"/>
        </w:rPr>
        <w:t>单项委托理财情况</w:t>
      </w:r>
    </w:p>
    <w:sdt>
      <w:sdtPr>
        <w:rPr>
          <w:rFonts w:hint="eastAsia"/>
          <w:highlight w:val="yellow"/>
        </w:rPr>
        <w:alias w:val="是否适用：单项委托理财情况[双击切换]"/>
        <w:tag w:val="_GBC_049960b74e79480d8781c2d7d6a997dc"/>
        <w:id w:val="-658230647"/>
        <w:lock w:val="sdtLocked"/>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highlight w:val="yellow"/>
        </w:rPr>
      </w:pPr>
      <w:r>
        <w:rPr>
          <w:rFonts w:hint="eastAsia"/>
        </w:rPr>
        <w:t>单</w:t>
      </w:r>
      <w:r>
        <w:rPr>
          <w:rStyle w:val="afff6"/>
          <w:rFonts w:hint="eastAsia"/>
        </w:rPr>
        <w:t>位：</w:t>
      </w:r>
      <w:sdt>
        <w:sdtPr>
          <w:rPr>
            <w:rStyle w:val="afff6"/>
            <w:rFonts w:hint="eastAsia"/>
          </w:rPr>
          <w:alias w:val="单位：单项委托理财情况"/>
          <w:tag w:val="_GBC_82d5f3d2ba304514bba23237111a211b"/>
          <w:id w:val="477562"/>
          <w:lock w:val="sdtLocked"/>
          <w:placeholder>
            <w:docPart w:val="A9316230EEAC4C2F8FB019A9D826E29C"/>
          </w:placeholder>
          <w:comboBox>
            <w:listItem w:displayText="元" w:value="1"/>
            <w:listItem w:displayText="千元" w:value="1000"/>
            <w:listItem w:displayText="万元" w:value="10000"/>
            <w:listItem w:displayText="百万元" w:value="1000000"/>
            <w:listItem w:displayText="亿元" w:value="100000000"/>
          </w:comboBox>
        </w:sdtPr>
        <w:sdtEndPr>
          <w:rPr>
            <w:rStyle w:val="afff6"/>
          </w:rPr>
        </w:sdtEndPr>
        <w:sdtContent>
          <w:r>
            <w:rPr>
              <w:rStyle w:val="afff6"/>
              <w:rFonts w:hint="eastAsia"/>
            </w:rPr>
            <w:t>万元</w:t>
          </w:r>
        </w:sdtContent>
      </w:sdt>
      <w:r>
        <w:rPr>
          <w:rStyle w:val="afff6"/>
          <w:rFonts w:hint="eastAsia"/>
        </w:rPr>
        <w:t>币种：</w:t>
      </w:r>
      <w:sdt>
        <w:sdtPr>
          <w:rPr>
            <w:rStyle w:val="afff6"/>
            <w:rFonts w:hint="eastAsia"/>
          </w:rPr>
          <w:alias w:val="币种：单项委托理财情况"/>
          <w:tag w:val="_GBC_1e2db013ad684830a72eacaf2b1319d4"/>
          <w:id w:val="613019005"/>
          <w:lock w:val="sdtLocked"/>
          <w:placeholder>
            <w:docPart w:val="A9316230EEAC4C2F8FB019A9D826E29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afff6"/>
          </w:rPr>
        </w:sdtEndPr>
        <w:sdtContent>
          <w:r>
            <w:rPr>
              <w:rStyle w:val="afff6"/>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816"/>
        <w:gridCol w:w="816"/>
        <w:gridCol w:w="816"/>
        <w:gridCol w:w="816"/>
        <w:gridCol w:w="816"/>
        <w:gridCol w:w="816"/>
        <w:gridCol w:w="816"/>
        <w:gridCol w:w="816"/>
        <w:gridCol w:w="815"/>
        <w:gridCol w:w="815"/>
        <w:gridCol w:w="815"/>
        <w:gridCol w:w="815"/>
        <w:gridCol w:w="815"/>
        <w:gridCol w:w="815"/>
        <w:gridCol w:w="815"/>
        <w:gridCol w:w="815"/>
        <w:gridCol w:w="815"/>
      </w:tblGrid>
      <w:tr w:rsidR="004A3868">
        <w:trPr>
          <w:trHeight w:val="397"/>
          <w:jc w:val="center"/>
        </w:trPr>
        <w:sdt>
          <w:sdtPr>
            <w:rPr>
              <w:rFonts w:hint="eastAsia"/>
              <w:highlight w:val="yellow"/>
            </w:rPr>
            <w:tag w:val="_PLD_14f5b6e156634fb5892dac8ce6409d58"/>
            <w:id w:val="1353371518"/>
            <w:lock w:val="sdtLocked"/>
          </w:sdtPr>
          <w:sdtEndPr/>
          <w:sdtContent>
            <w:tc>
              <w:tcPr>
                <w:tcW w:w="294" w:type="pct"/>
                <w:shd w:val="clear" w:color="auto" w:fill="auto"/>
                <w:vAlign w:val="center"/>
              </w:tcPr>
              <w:p w:rsidR="004A3868" w:rsidRDefault="003F1AB5">
                <w:pPr>
                  <w:pStyle w:val="afffb"/>
                  <w:rPr>
                    <w:highlight w:val="yellow"/>
                  </w:rPr>
                </w:pPr>
                <w:r>
                  <w:rPr>
                    <w:rFonts w:hint="eastAsia"/>
                  </w:rPr>
                  <w:t>受托人</w:t>
                </w:r>
              </w:p>
            </w:tc>
          </w:sdtContent>
        </w:sdt>
        <w:sdt>
          <w:sdtPr>
            <w:rPr>
              <w:rFonts w:hint="eastAsia"/>
              <w:highlight w:val="yellow"/>
            </w:rPr>
            <w:tag w:val="_PLD_93acfc23d8a14834961a198ac3a66b6a"/>
            <w:id w:val="2059198488"/>
            <w:lock w:val="sdtLocked"/>
          </w:sdtPr>
          <w:sdtEndPr/>
          <w:sdtContent>
            <w:tc>
              <w:tcPr>
                <w:tcW w:w="294" w:type="pct"/>
                <w:shd w:val="clear" w:color="auto" w:fill="auto"/>
                <w:vAlign w:val="center"/>
              </w:tcPr>
              <w:p w:rsidR="004A3868" w:rsidRDefault="003F1AB5">
                <w:pPr>
                  <w:pStyle w:val="afffb"/>
                  <w:rPr>
                    <w:highlight w:val="yellow"/>
                  </w:rPr>
                </w:pPr>
                <w:r>
                  <w:rPr>
                    <w:rFonts w:hint="eastAsia"/>
                  </w:rPr>
                  <w:t>委托理财类型</w:t>
                </w:r>
              </w:p>
            </w:tc>
          </w:sdtContent>
        </w:sdt>
        <w:sdt>
          <w:sdtPr>
            <w:rPr>
              <w:rFonts w:hint="eastAsia"/>
              <w:highlight w:val="yellow"/>
            </w:rPr>
            <w:tag w:val="_PLD_e7134c1583a94d2fa0e160ddf15b5b4c"/>
            <w:id w:val="1503167709"/>
            <w:lock w:val="sdtLocked"/>
          </w:sdtPr>
          <w:sdtEndPr/>
          <w:sdtContent>
            <w:tc>
              <w:tcPr>
                <w:tcW w:w="294" w:type="pct"/>
                <w:vAlign w:val="center"/>
              </w:tcPr>
              <w:p w:rsidR="004A3868" w:rsidRDefault="003F1AB5">
                <w:pPr>
                  <w:pStyle w:val="afffb"/>
                  <w:rPr>
                    <w:highlight w:val="yellow"/>
                  </w:rPr>
                </w:pPr>
                <w:r>
                  <w:rPr>
                    <w:rFonts w:hint="eastAsia"/>
                  </w:rPr>
                  <w:t>委托理财金额</w:t>
                </w:r>
              </w:p>
            </w:tc>
          </w:sdtContent>
        </w:sdt>
        <w:sdt>
          <w:sdtPr>
            <w:rPr>
              <w:rFonts w:hint="eastAsia"/>
              <w:highlight w:val="yellow"/>
            </w:rPr>
            <w:tag w:val="_PLD_ad477dfc35a8435789115ccc442a9117"/>
            <w:id w:val="1571147946"/>
            <w:lock w:val="sdtLocked"/>
          </w:sdtPr>
          <w:sdtEndPr/>
          <w:sdtContent>
            <w:tc>
              <w:tcPr>
                <w:tcW w:w="294" w:type="pct"/>
                <w:vAlign w:val="center"/>
              </w:tcPr>
              <w:p w:rsidR="004A3868" w:rsidRDefault="003F1AB5">
                <w:pPr>
                  <w:pStyle w:val="afffb"/>
                  <w:rPr>
                    <w:highlight w:val="yellow"/>
                  </w:rPr>
                </w:pPr>
                <w:r>
                  <w:rPr>
                    <w:rFonts w:hint="eastAsia"/>
                  </w:rPr>
                  <w:t>委托理财起始日期</w:t>
                </w:r>
              </w:p>
            </w:tc>
          </w:sdtContent>
        </w:sdt>
        <w:sdt>
          <w:sdtPr>
            <w:rPr>
              <w:rFonts w:hint="eastAsia"/>
              <w:highlight w:val="yellow"/>
            </w:rPr>
            <w:tag w:val="_PLD_002591ecf02b4c8481c8c7be2351809b"/>
            <w:id w:val="2066597990"/>
            <w:lock w:val="sdtLocked"/>
          </w:sdtPr>
          <w:sdtEndPr/>
          <w:sdtContent>
            <w:tc>
              <w:tcPr>
                <w:tcW w:w="294" w:type="pct"/>
                <w:vAlign w:val="center"/>
              </w:tcPr>
              <w:p w:rsidR="004A3868" w:rsidRDefault="003F1AB5">
                <w:pPr>
                  <w:pStyle w:val="afffb"/>
                  <w:rPr>
                    <w:highlight w:val="yellow"/>
                  </w:rPr>
                </w:pPr>
                <w:r>
                  <w:rPr>
                    <w:rFonts w:hint="eastAsia"/>
                  </w:rPr>
                  <w:t>委托理财终止日期</w:t>
                </w:r>
              </w:p>
            </w:tc>
          </w:sdtContent>
        </w:sdt>
        <w:sdt>
          <w:sdtPr>
            <w:rPr>
              <w:rFonts w:hint="eastAsia"/>
              <w:highlight w:val="yellow"/>
            </w:rPr>
            <w:tag w:val="_PLD_c9804a05df094dd49876b735172aba5e"/>
            <w:id w:val="1348372885"/>
            <w:lock w:val="sdtLocked"/>
          </w:sdtPr>
          <w:sdtEndPr/>
          <w:sdtContent>
            <w:tc>
              <w:tcPr>
                <w:tcW w:w="294" w:type="pct"/>
                <w:vAlign w:val="center"/>
              </w:tcPr>
              <w:p w:rsidR="004A3868" w:rsidRDefault="003F1AB5">
                <w:pPr>
                  <w:pStyle w:val="afffb"/>
                </w:pPr>
                <w:r>
                  <w:rPr>
                    <w:rFonts w:hint="eastAsia"/>
                  </w:rPr>
                  <w:t>资金</w:t>
                </w:r>
              </w:p>
              <w:p w:rsidR="004A3868" w:rsidRDefault="003F1AB5">
                <w:pPr>
                  <w:pStyle w:val="afffb"/>
                  <w:rPr>
                    <w:highlight w:val="yellow"/>
                  </w:rPr>
                </w:pPr>
                <w:r>
                  <w:rPr>
                    <w:rFonts w:hint="eastAsia"/>
                  </w:rPr>
                  <w:t>来源</w:t>
                </w:r>
              </w:p>
            </w:tc>
          </w:sdtContent>
        </w:sdt>
        <w:sdt>
          <w:sdtPr>
            <w:rPr>
              <w:rFonts w:hint="eastAsia"/>
              <w:highlight w:val="yellow"/>
            </w:rPr>
            <w:tag w:val="_PLD_b4c9fbf87c1d4eb6829045d600520814"/>
            <w:id w:val="2092266800"/>
            <w:lock w:val="sdtLocked"/>
          </w:sdtPr>
          <w:sdtEndPr/>
          <w:sdtContent>
            <w:tc>
              <w:tcPr>
                <w:tcW w:w="294" w:type="pct"/>
                <w:vAlign w:val="center"/>
              </w:tcPr>
              <w:p w:rsidR="004A3868" w:rsidRDefault="003F1AB5">
                <w:pPr>
                  <w:pStyle w:val="afffb"/>
                </w:pPr>
                <w:r>
                  <w:rPr>
                    <w:rFonts w:hint="eastAsia"/>
                  </w:rPr>
                  <w:t>资金</w:t>
                </w:r>
              </w:p>
              <w:p w:rsidR="004A3868" w:rsidRDefault="003F1AB5">
                <w:pPr>
                  <w:pStyle w:val="afffb"/>
                  <w:rPr>
                    <w:highlight w:val="yellow"/>
                  </w:rPr>
                </w:pPr>
                <w:r>
                  <w:rPr>
                    <w:rFonts w:hint="eastAsia"/>
                  </w:rPr>
                  <w:t>投向</w:t>
                </w:r>
              </w:p>
            </w:tc>
          </w:sdtContent>
        </w:sdt>
        <w:tc>
          <w:tcPr>
            <w:tcW w:w="294" w:type="pct"/>
            <w:vAlign w:val="center"/>
          </w:tcPr>
          <w:sdt>
            <w:sdtPr>
              <w:rPr>
                <w:rFonts w:hint="eastAsia"/>
                <w:highlight w:val="yellow"/>
              </w:rPr>
              <w:tag w:val="_PLD_c7b61a92374140dda06ad723cf62d0c3"/>
              <w:id w:val="294029392"/>
              <w:lock w:val="sdtLocked"/>
            </w:sdtPr>
            <w:sdtEndPr/>
            <w:sdtContent>
              <w:p w:rsidR="004A3868" w:rsidRDefault="003F1AB5">
                <w:pPr>
                  <w:pStyle w:val="afffb"/>
                  <w:rPr>
                    <w:highlight w:val="yellow"/>
                  </w:rPr>
                </w:pPr>
                <w:r>
                  <w:rPr>
                    <w:rFonts w:hint="eastAsia"/>
                  </w:rPr>
                  <w:t>是否存在受限情形</w:t>
                </w:r>
              </w:p>
            </w:sdtContent>
          </w:sdt>
        </w:tc>
        <w:sdt>
          <w:sdtPr>
            <w:rPr>
              <w:rFonts w:hint="eastAsia"/>
              <w:highlight w:val="yellow"/>
            </w:rPr>
            <w:tag w:val="_PLD_f35c00ec6d5a43dfa043c6f4b30ad337"/>
            <w:id w:val="-1312635053"/>
            <w:lock w:val="sdtLocked"/>
          </w:sdtPr>
          <w:sdtEndPr/>
          <w:sdtContent>
            <w:tc>
              <w:tcPr>
                <w:tcW w:w="294" w:type="pct"/>
                <w:vAlign w:val="center"/>
              </w:tcPr>
              <w:p w:rsidR="004A3868" w:rsidRDefault="003F1AB5">
                <w:pPr>
                  <w:pStyle w:val="afffb"/>
                  <w:rPr>
                    <w:highlight w:val="yellow"/>
                  </w:rPr>
                </w:pPr>
                <w:r>
                  <w:rPr>
                    <w:rFonts w:hint="eastAsia"/>
                  </w:rPr>
                  <w:t>报酬确定方式</w:t>
                </w:r>
              </w:p>
            </w:tc>
          </w:sdtContent>
        </w:sdt>
        <w:sdt>
          <w:sdtPr>
            <w:rPr>
              <w:rFonts w:hint="eastAsia"/>
              <w:highlight w:val="yellow"/>
            </w:rPr>
            <w:tag w:val="_PLD_2779da11c35d456cae577bebcd53f5dc"/>
            <w:id w:val="769823117"/>
            <w:lock w:val="sdtLocked"/>
          </w:sdtPr>
          <w:sdtEndPr/>
          <w:sdtContent>
            <w:tc>
              <w:tcPr>
                <w:tcW w:w="294" w:type="pct"/>
                <w:vAlign w:val="center"/>
              </w:tcPr>
              <w:p w:rsidR="004A3868" w:rsidRDefault="003F1AB5">
                <w:pPr>
                  <w:pStyle w:val="afffb"/>
                </w:pPr>
                <w:r>
                  <w:rPr>
                    <w:rFonts w:hint="eastAsia"/>
                  </w:rPr>
                  <w:t>年化</w:t>
                </w:r>
              </w:p>
              <w:p w:rsidR="004A3868" w:rsidRDefault="003F1AB5">
                <w:pPr>
                  <w:pStyle w:val="afffb"/>
                  <w:rPr>
                    <w:highlight w:val="yellow"/>
                  </w:rPr>
                </w:pPr>
                <w:r>
                  <w:rPr>
                    <w:rFonts w:hint="eastAsia"/>
                  </w:rPr>
                  <w:t>收益率</w:t>
                </w:r>
              </w:p>
            </w:tc>
          </w:sdtContent>
        </w:sdt>
        <w:sdt>
          <w:sdtPr>
            <w:rPr>
              <w:rFonts w:hint="eastAsia"/>
              <w:highlight w:val="yellow"/>
            </w:rPr>
            <w:tag w:val="_PLD_b46ac6ad312c45f699af34e0319e2387"/>
            <w:id w:val="501929809"/>
            <w:lock w:val="sdtLocked"/>
          </w:sdtPr>
          <w:sdtEndPr/>
          <w:sdtContent>
            <w:tc>
              <w:tcPr>
                <w:tcW w:w="294" w:type="pct"/>
                <w:vAlign w:val="center"/>
              </w:tcPr>
              <w:p w:rsidR="004A3868" w:rsidRDefault="003F1AB5">
                <w:pPr>
                  <w:pStyle w:val="afffb"/>
                </w:pPr>
                <w:r>
                  <w:rPr>
                    <w:rFonts w:hint="eastAsia"/>
                  </w:rPr>
                  <w:t>预期收益</w:t>
                </w:r>
              </w:p>
              <w:p w:rsidR="004A3868" w:rsidRDefault="003F1AB5">
                <w:pPr>
                  <w:pStyle w:val="afffb"/>
                  <w:rPr>
                    <w:highlight w:val="yellow"/>
                  </w:rPr>
                </w:pPr>
                <w:r>
                  <w:rPr>
                    <w:rFonts w:hint="eastAsia"/>
                  </w:rPr>
                  <w:t>(如有)</w:t>
                </w:r>
              </w:p>
            </w:tc>
          </w:sdtContent>
        </w:sdt>
        <w:sdt>
          <w:sdtPr>
            <w:rPr>
              <w:rFonts w:hint="eastAsia"/>
              <w:highlight w:val="yellow"/>
            </w:rPr>
            <w:tag w:val="_PLD_03c2dacc44f14a9a9d90e7574bfa5bf5"/>
            <w:id w:val="-1274171497"/>
            <w:lock w:val="sdtLocked"/>
          </w:sdtPr>
          <w:sdtEndPr/>
          <w:sdtContent>
            <w:tc>
              <w:tcPr>
                <w:tcW w:w="294" w:type="pct"/>
                <w:vAlign w:val="center"/>
              </w:tcPr>
              <w:p w:rsidR="004A3868" w:rsidRDefault="003F1AB5">
                <w:pPr>
                  <w:pStyle w:val="afffb"/>
                </w:pPr>
                <w:r>
                  <w:rPr>
                    <w:rFonts w:hint="eastAsia"/>
                  </w:rPr>
                  <w:t>实际</w:t>
                </w:r>
              </w:p>
              <w:p w:rsidR="004A3868" w:rsidRDefault="003F1AB5">
                <w:pPr>
                  <w:pStyle w:val="afffb"/>
                  <w:rPr>
                    <w:highlight w:val="yellow"/>
                  </w:rPr>
                </w:pPr>
                <w:r>
                  <w:rPr>
                    <w:rFonts w:hint="eastAsia"/>
                  </w:rPr>
                  <w:t>收益或损失</w:t>
                </w:r>
              </w:p>
            </w:tc>
          </w:sdtContent>
        </w:sdt>
        <w:sdt>
          <w:sdtPr>
            <w:rPr>
              <w:rFonts w:hint="eastAsia"/>
              <w:highlight w:val="yellow"/>
            </w:rPr>
            <w:tag w:val="_PLD_bffac5bce91c4fd69354fa386ed0bcff"/>
            <w:id w:val="-2017368121"/>
            <w:lock w:val="sdtLocked"/>
          </w:sdtPr>
          <w:sdtEndPr/>
          <w:sdtContent>
            <w:tc>
              <w:tcPr>
                <w:tcW w:w="294" w:type="pct"/>
                <w:vAlign w:val="center"/>
              </w:tcPr>
              <w:p w:rsidR="004A3868" w:rsidRDefault="003F1AB5">
                <w:pPr>
                  <w:pStyle w:val="afffb"/>
                  <w:rPr>
                    <w:highlight w:val="yellow"/>
                  </w:rPr>
                </w:pPr>
                <w:r>
                  <w:rPr>
                    <w:rFonts w:hint="eastAsia"/>
                  </w:rPr>
                  <w:t>未到期金额</w:t>
                </w:r>
              </w:p>
            </w:tc>
          </w:sdtContent>
        </w:sdt>
        <w:sdt>
          <w:sdtPr>
            <w:rPr>
              <w:rFonts w:hint="eastAsia"/>
              <w:highlight w:val="yellow"/>
            </w:rPr>
            <w:tag w:val="_PLD_0d3346d0655948cda53e1af967a327f9"/>
            <w:id w:val="-1748488488"/>
            <w:lock w:val="sdtLocked"/>
          </w:sdtPr>
          <w:sdtEndPr/>
          <w:sdtContent>
            <w:tc>
              <w:tcPr>
                <w:tcW w:w="294" w:type="pct"/>
                <w:vAlign w:val="center"/>
              </w:tcPr>
              <w:p w:rsidR="004A3868" w:rsidRDefault="003F1AB5">
                <w:pPr>
                  <w:pStyle w:val="afffb"/>
                  <w:rPr>
                    <w:highlight w:val="yellow"/>
                  </w:rPr>
                </w:pPr>
                <w:r>
                  <w:rPr>
                    <w:rFonts w:hint="eastAsia"/>
                  </w:rPr>
                  <w:t>逾期未收回金额</w:t>
                </w:r>
              </w:p>
            </w:tc>
          </w:sdtContent>
        </w:sdt>
        <w:sdt>
          <w:sdtPr>
            <w:rPr>
              <w:rFonts w:hint="eastAsia"/>
              <w:highlight w:val="yellow"/>
            </w:rPr>
            <w:tag w:val="_PLD_8dbaffa3692a47b3bf730833b1de0954"/>
            <w:id w:val="1676375835"/>
            <w:lock w:val="sdtLocked"/>
          </w:sdtPr>
          <w:sdtEndPr/>
          <w:sdtContent>
            <w:tc>
              <w:tcPr>
                <w:tcW w:w="294" w:type="pct"/>
                <w:shd w:val="clear" w:color="auto" w:fill="auto"/>
                <w:vAlign w:val="center"/>
              </w:tcPr>
              <w:p w:rsidR="004A3868" w:rsidRDefault="003F1AB5">
                <w:pPr>
                  <w:pStyle w:val="afffb"/>
                  <w:rPr>
                    <w:highlight w:val="yellow"/>
                  </w:rPr>
                </w:pPr>
                <w:r>
                  <w:rPr>
                    <w:rFonts w:hint="eastAsia"/>
                  </w:rPr>
                  <w:t>是否经过法定程序</w:t>
                </w:r>
              </w:p>
            </w:tc>
          </w:sdtContent>
        </w:sdt>
        <w:sdt>
          <w:sdtPr>
            <w:rPr>
              <w:rFonts w:hint="eastAsia"/>
              <w:highlight w:val="yellow"/>
            </w:rPr>
            <w:tag w:val="_PLD_f458c0cb5fa446a0ba74ad130e8a616e"/>
            <w:id w:val="-1778558972"/>
            <w:lock w:val="sdtLocked"/>
          </w:sdtPr>
          <w:sdtEndPr/>
          <w:sdtContent>
            <w:tc>
              <w:tcPr>
                <w:tcW w:w="294" w:type="pct"/>
                <w:shd w:val="clear" w:color="auto" w:fill="auto"/>
                <w:vAlign w:val="center"/>
              </w:tcPr>
              <w:p w:rsidR="004A3868" w:rsidRDefault="003F1AB5">
                <w:pPr>
                  <w:pStyle w:val="afffb"/>
                  <w:rPr>
                    <w:highlight w:val="yellow"/>
                  </w:rPr>
                </w:pPr>
                <w:r>
                  <w:rPr>
                    <w:rFonts w:hint="eastAsia"/>
                  </w:rPr>
                  <w:t>未来是否有委托理财计划</w:t>
                </w:r>
              </w:p>
            </w:tc>
          </w:sdtContent>
        </w:sdt>
        <w:sdt>
          <w:sdtPr>
            <w:rPr>
              <w:rFonts w:hint="eastAsia"/>
              <w:highlight w:val="yellow"/>
            </w:rPr>
            <w:tag w:val="_PLD_19a161ee5fe54116b9305f04220f50cb"/>
            <w:id w:val="-270784416"/>
            <w:lock w:val="sdtLocked"/>
          </w:sdtPr>
          <w:sdtEndPr/>
          <w:sdtContent>
            <w:tc>
              <w:tcPr>
                <w:tcW w:w="294" w:type="pct"/>
                <w:vAlign w:val="center"/>
              </w:tcPr>
              <w:p w:rsidR="004A3868" w:rsidRDefault="003F1AB5">
                <w:pPr>
                  <w:pStyle w:val="afffb"/>
                  <w:rPr>
                    <w:highlight w:val="yellow"/>
                  </w:rPr>
                </w:pPr>
                <w:r>
                  <w:rPr>
                    <w:rFonts w:hint="eastAsia"/>
                  </w:rPr>
                  <w:t>减值准备计提金额(如有)</w:t>
                </w:r>
              </w:p>
            </w:tc>
          </w:sdtContent>
        </w:sdt>
      </w:tr>
      <w:tr w:rsidR="004A3868">
        <w:trPr>
          <w:trHeight w:val="397"/>
          <w:jc w:val="center"/>
        </w:trPr>
        <w:tc>
          <w:tcPr>
            <w:tcW w:w="294" w:type="pct"/>
            <w:shd w:val="clear" w:color="auto" w:fill="auto"/>
            <w:vAlign w:val="center"/>
          </w:tcPr>
          <w:p w:rsidR="004A3868" w:rsidRDefault="003F1AB5">
            <w:pPr>
              <w:pStyle w:val="afff9"/>
              <w:rPr>
                <w:highlight w:val="yellow"/>
              </w:rPr>
            </w:pPr>
            <w:r>
              <w:rPr>
                <w:rFonts w:hint="eastAsia"/>
              </w:rPr>
              <w:t>中信银行重庆分行</w:t>
            </w:r>
          </w:p>
        </w:tc>
        <w:sdt>
          <w:sdtPr>
            <w:rPr>
              <w:rFonts w:hint="eastAsia"/>
            </w:rPr>
            <w:alias w:val="委托理财类型"/>
            <w:tag w:val="_GBC_ad14e046fd7f4ad58bdaa5fba1e90aab"/>
            <w:id w:val="1123190786"/>
            <w:lock w:val="sdtLocked"/>
            <w:comboBox>
              <w:listItem w:displayText="银行理财产品" w:value="银行理财产品"/>
              <w:listItem w:displayText="券商理财产品" w:value="券商理财产品"/>
              <w:listItem w:displayText="信托理财产品" w:value="信托理财产品"/>
              <w:listItem w:displayText="公墓基金产品" w:value="公墓基金产品"/>
              <w:listItem w:displayText="私募基金产品" w:value="私募基金产品"/>
              <w:listItem w:displayText="其他" w:value="其他"/>
            </w:comboBox>
          </w:sdtPr>
          <w:sdtEndPr/>
          <w:sdtContent>
            <w:tc>
              <w:tcPr>
                <w:tcW w:w="294" w:type="pct"/>
                <w:shd w:val="clear" w:color="auto" w:fill="auto"/>
                <w:vAlign w:val="center"/>
              </w:tcPr>
              <w:p w:rsidR="004A3868" w:rsidRDefault="003F1AB5">
                <w:pPr>
                  <w:pStyle w:val="afff9"/>
                  <w:rPr>
                    <w:highlight w:val="yellow"/>
                  </w:rPr>
                </w:pPr>
                <w:r>
                  <w:rPr>
                    <w:rFonts w:hint="eastAsia"/>
                  </w:rPr>
                  <w:t>其他</w:t>
                </w:r>
              </w:p>
            </w:tc>
          </w:sdtContent>
        </w:sdt>
        <w:tc>
          <w:tcPr>
            <w:tcW w:w="294" w:type="pct"/>
            <w:vAlign w:val="center"/>
          </w:tcPr>
          <w:p w:rsidR="004A3868" w:rsidRDefault="003F1AB5">
            <w:pPr>
              <w:pStyle w:val="afff7"/>
              <w:rPr>
                <w:highlight w:val="yellow"/>
              </w:rPr>
            </w:pPr>
            <w:r>
              <w:t>3,000.00</w:t>
            </w:r>
          </w:p>
        </w:tc>
        <w:tc>
          <w:tcPr>
            <w:tcW w:w="294" w:type="pct"/>
            <w:vAlign w:val="center"/>
          </w:tcPr>
          <w:p w:rsidR="004A3868" w:rsidRDefault="003F1AB5">
            <w:pPr>
              <w:pStyle w:val="afff7"/>
              <w:rPr>
                <w:highlight w:val="yellow"/>
              </w:rPr>
            </w:pPr>
            <w:r>
              <w:rPr>
                <w:rFonts w:hint="eastAsia"/>
              </w:rPr>
              <w:t>2</w:t>
            </w:r>
            <w:r>
              <w:t>022/12/12</w:t>
            </w:r>
          </w:p>
        </w:tc>
        <w:tc>
          <w:tcPr>
            <w:tcW w:w="294" w:type="pct"/>
            <w:vAlign w:val="center"/>
          </w:tcPr>
          <w:p w:rsidR="004A3868" w:rsidRDefault="003F1AB5">
            <w:pPr>
              <w:pStyle w:val="afff7"/>
              <w:rPr>
                <w:highlight w:val="yellow"/>
              </w:rPr>
            </w:pPr>
            <w:r>
              <w:rPr>
                <w:rFonts w:hint="eastAsia"/>
              </w:rPr>
              <w:t>2</w:t>
            </w:r>
            <w:r>
              <w:t>023/1/13</w:t>
            </w:r>
          </w:p>
        </w:tc>
        <w:tc>
          <w:tcPr>
            <w:tcW w:w="294" w:type="pct"/>
            <w:vAlign w:val="center"/>
          </w:tcPr>
          <w:p w:rsidR="004A3868" w:rsidRDefault="003F1AB5">
            <w:pPr>
              <w:pStyle w:val="afffb"/>
              <w:rPr>
                <w:highlight w:val="yellow"/>
              </w:rPr>
            </w:pPr>
            <w:r>
              <w:rPr>
                <w:rFonts w:hint="eastAsia"/>
              </w:rPr>
              <w:t>闲置募集资金</w:t>
            </w:r>
          </w:p>
        </w:tc>
        <w:tc>
          <w:tcPr>
            <w:tcW w:w="294" w:type="pct"/>
            <w:vAlign w:val="center"/>
          </w:tcPr>
          <w:p w:rsidR="004A3868" w:rsidRDefault="003F1AB5">
            <w:pPr>
              <w:pStyle w:val="afffb"/>
              <w:rPr>
                <w:highlight w:val="yellow"/>
              </w:rPr>
            </w:pPr>
            <w:r>
              <w:rPr>
                <w:rFonts w:hint="eastAsia"/>
              </w:rPr>
              <w:t>银行</w:t>
            </w:r>
          </w:p>
        </w:tc>
        <w:sdt>
          <w:sdtPr>
            <w:alias w:val="委托理财是否存在受限情形"/>
            <w:tag w:val="_GBC_c00c225fe9af402e8cd487eff0c1bca1"/>
            <w:id w:val="12274001"/>
            <w:lock w:val="sdtLocked"/>
            <w:comboBox>
              <w:listItem w:displayText="是" w:value="是"/>
              <w:listItem w:displayText="否" w:value="否"/>
            </w:comboBox>
          </w:sdtPr>
          <w:sdtEndPr/>
          <w:sdtContent>
            <w:tc>
              <w:tcPr>
                <w:tcW w:w="294" w:type="pct"/>
                <w:vAlign w:val="center"/>
              </w:tcPr>
              <w:p w:rsidR="004A3868" w:rsidRDefault="003F1AB5">
                <w:pPr>
                  <w:pStyle w:val="afffb"/>
                  <w:rPr>
                    <w:highlight w:val="yellow"/>
                  </w:rPr>
                </w:pPr>
                <w:r>
                  <w:t>是</w:t>
                </w:r>
              </w:p>
            </w:tc>
          </w:sdtContent>
        </w:sdt>
        <w:tc>
          <w:tcPr>
            <w:tcW w:w="294" w:type="pct"/>
            <w:vAlign w:val="center"/>
          </w:tcPr>
          <w:p w:rsidR="004A3868" w:rsidRDefault="003F1AB5">
            <w:pPr>
              <w:pStyle w:val="afffb"/>
              <w:rPr>
                <w:highlight w:val="yellow"/>
              </w:rPr>
            </w:pPr>
            <w:r>
              <w:rPr>
                <w:rFonts w:hint="eastAsia"/>
              </w:rPr>
              <w:t>保本浮动收益率</w:t>
            </w:r>
          </w:p>
        </w:tc>
        <w:tc>
          <w:tcPr>
            <w:tcW w:w="294" w:type="pct"/>
            <w:vAlign w:val="center"/>
          </w:tcPr>
          <w:p w:rsidR="004A3868" w:rsidRDefault="003F1AB5">
            <w:pPr>
              <w:pStyle w:val="afffb"/>
              <w:rPr>
                <w:rStyle w:val="affa"/>
                <w:rFonts w:ascii="Times New Roman" w:hAnsi="Times New Roman"/>
                <w:sz w:val="18"/>
                <w:szCs w:val="18"/>
              </w:rPr>
            </w:pPr>
            <w:r>
              <w:rPr>
                <w:rStyle w:val="affa"/>
                <w:rFonts w:ascii="Times New Roman" w:hAnsi="Times New Roman"/>
                <w:sz w:val="18"/>
                <w:szCs w:val="18"/>
              </w:rPr>
              <w:t>1.3-3.1</w:t>
            </w:r>
          </w:p>
        </w:tc>
        <w:tc>
          <w:tcPr>
            <w:tcW w:w="294" w:type="pct"/>
            <w:vAlign w:val="center"/>
          </w:tcPr>
          <w:p w:rsidR="004A3868" w:rsidRDefault="003F1AB5">
            <w:pPr>
              <w:pStyle w:val="afffb"/>
              <w:rPr>
                <w:rStyle w:val="affa"/>
                <w:rFonts w:ascii="Times New Roman" w:hAnsi="Times New Roman"/>
                <w:sz w:val="18"/>
                <w:szCs w:val="18"/>
                <w:highlight w:val="yellow"/>
              </w:rPr>
            </w:pPr>
            <w:r>
              <w:rPr>
                <w:rStyle w:val="affa"/>
                <w:rFonts w:ascii="Times New Roman" w:hAnsi="Times New Roman" w:hint="eastAsia"/>
                <w:sz w:val="18"/>
                <w:szCs w:val="18"/>
              </w:rPr>
              <w:t>3</w:t>
            </w:r>
            <w:r>
              <w:rPr>
                <w:rStyle w:val="affa"/>
                <w:rFonts w:ascii="Times New Roman" w:hAnsi="Times New Roman"/>
                <w:sz w:val="18"/>
                <w:szCs w:val="18"/>
              </w:rPr>
              <w:t>.31</w:t>
            </w:r>
          </w:p>
        </w:tc>
        <w:tc>
          <w:tcPr>
            <w:tcW w:w="294" w:type="pct"/>
            <w:vAlign w:val="center"/>
          </w:tcPr>
          <w:p w:rsidR="004A3868" w:rsidRDefault="003F1AB5">
            <w:pPr>
              <w:pStyle w:val="afffb"/>
              <w:rPr>
                <w:rStyle w:val="affa"/>
                <w:rFonts w:ascii="Times New Roman" w:hAnsi="Times New Roman"/>
                <w:sz w:val="18"/>
                <w:szCs w:val="18"/>
                <w:highlight w:val="yellow"/>
              </w:rPr>
            </w:pPr>
            <w:r>
              <w:rPr>
                <w:rStyle w:val="affa"/>
                <w:rFonts w:ascii="Times New Roman" w:hAnsi="Times New Roman" w:hint="eastAsia"/>
                <w:sz w:val="18"/>
                <w:szCs w:val="18"/>
              </w:rPr>
              <w:t>6</w:t>
            </w:r>
            <w:r>
              <w:rPr>
                <w:rStyle w:val="affa"/>
                <w:rFonts w:ascii="Times New Roman" w:hAnsi="Times New Roman"/>
                <w:sz w:val="18"/>
                <w:szCs w:val="18"/>
              </w:rPr>
              <w:t>.70</w:t>
            </w:r>
          </w:p>
        </w:tc>
        <w:tc>
          <w:tcPr>
            <w:tcW w:w="294" w:type="pct"/>
            <w:vAlign w:val="center"/>
          </w:tcPr>
          <w:p w:rsidR="004A3868" w:rsidRDefault="003F1AB5">
            <w:pPr>
              <w:pStyle w:val="afffb"/>
              <w:rPr>
                <w:rStyle w:val="affa"/>
                <w:rFonts w:ascii="Times New Roman" w:hAnsi="Times New Roman"/>
                <w:sz w:val="18"/>
                <w:szCs w:val="18"/>
                <w:highlight w:val="yellow"/>
              </w:rPr>
            </w:pPr>
            <w:r>
              <w:rPr>
                <w:rStyle w:val="affa"/>
                <w:rFonts w:ascii="Times New Roman" w:hAnsi="Times New Roman" w:hint="eastAsia"/>
                <w:sz w:val="18"/>
                <w:szCs w:val="18"/>
              </w:rPr>
              <w:t>0</w:t>
            </w:r>
          </w:p>
        </w:tc>
        <w:tc>
          <w:tcPr>
            <w:tcW w:w="294" w:type="pct"/>
            <w:vAlign w:val="center"/>
          </w:tcPr>
          <w:p w:rsidR="004A3868" w:rsidRDefault="003F1AB5">
            <w:pPr>
              <w:pStyle w:val="afffb"/>
              <w:rPr>
                <w:rStyle w:val="affa"/>
                <w:rFonts w:ascii="Times New Roman" w:hAnsi="Times New Roman"/>
                <w:sz w:val="18"/>
                <w:szCs w:val="18"/>
                <w:highlight w:val="yellow"/>
              </w:rPr>
            </w:pPr>
            <w:r>
              <w:rPr>
                <w:rStyle w:val="affa"/>
                <w:rFonts w:ascii="Times New Roman" w:hAnsi="Times New Roman" w:hint="eastAsia"/>
                <w:sz w:val="18"/>
                <w:szCs w:val="18"/>
              </w:rPr>
              <w:t>0</w:t>
            </w:r>
          </w:p>
        </w:tc>
        <w:sdt>
          <w:sdtPr>
            <w:rPr>
              <w:rFonts w:hint="eastAsia"/>
            </w:rPr>
            <w:alias w:val="委托理财是否经过法定程序"/>
            <w:tag w:val="_GBC_6c28417b630b486ca5d24d4fed27b675"/>
            <w:id w:val="64233978"/>
            <w:lock w:val="sdtLocked"/>
            <w:comboBox>
              <w:listItem w:displayText="是" w:value="true"/>
              <w:listItem w:displayText="否" w:value="false"/>
            </w:comboBox>
          </w:sdtPr>
          <w:sdtEndPr/>
          <w:sdtContent>
            <w:tc>
              <w:tcPr>
                <w:tcW w:w="294" w:type="pct"/>
                <w:shd w:val="clear" w:color="auto" w:fill="auto"/>
                <w:vAlign w:val="center"/>
              </w:tcPr>
              <w:p w:rsidR="004A3868" w:rsidRDefault="003F1AB5">
                <w:pPr>
                  <w:pStyle w:val="afffb"/>
                  <w:rPr>
                    <w:highlight w:val="yellow"/>
                  </w:rPr>
                </w:pPr>
                <w:r>
                  <w:rPr>
                    <w:rFonts w:hint="eastAsia"/>
                  </w:rPr>
                  <w:t>是</w:t>
                </w:r>
              </w:p>
            </w:tc>
          </w:sdtContent>
        </w:sdt>
        <w:sdt>
          <w:sdtPr>
            <w:rPr>
              <w:rFonts w:hint="eastAsia"/>
            </w:rPr>
            <w:alias w:val="单项委托未来是否有委托理财计划"/>
            <w:tag w:val="_GBC_9a14eb4662974f5a8a8b67ae1aa70521"/>
            <w:id w:val="-1061087180"/>
            <w:lock w:val="sdtLocked"/>
            <w:comboBox>
              <w:listItem w:displayText="是" w:value="true"/>
              <w:listItem w:displayText="否" w:value="false"/>
            </w:comboBox>
          </w:sdtPr>
          <w:sdtEndPr/>
          <w:sdtContent>
            <w:tc>
              <w:tcPr>
                <w:tcW w:w="294" w:type="pct"/>
                <w:shd w:val="clear" w:color="auto" w:fill="auto"/>
                <w:vAlign w:val="center"/>
              </w:tcPr>
              <w:p w:rsidR="004A3868" w:rsidRDefault="003F1AB5">
                <w:pPr>
                  <w:pStyle w:val="afffb"/>
                  <w:rPr>
                    <w:highlight w:val="yellow"/>
                  </w:rPr>
                </w:pPr>
                <w:r>
                  <w:rPr>
                    <w:rFonts w:hint="eastAsia"/>
                  </w:rPr>
                  <w:t>否</w:t>
                </w:r>
              </w:p>
            </w:tc>
          </w:sdtContent>
        </w:sdt>
        <w:tc>
          <w:tcPr>
            <w:tcW w:w="294" w:type="pct"/>
            <w:vAlign w:val="center"/>
          </w:tcPr>
          <w:p w:rsidR="004A3868" w:rsidRDefault="004A3868">
            <w:pPr>
              <w:pStyle w:val="afffb"/>
              <w:rPr>
                <w:rStyle w:val="affa"/>
                <w:rFonts w:ascii="Times New Roman" w:hAnsi="Times New Roman"/>
                <w:sz w:val="18"/>
                <w:szCs w:val="18"/>
                <w:highlight w:val="yellow"/>
              </w:rPr>
            </w:pPr>
          </w:p>
        </w:tc>
      </w:tr>
      <w:tr w:rsidR="004A3868">
        <w:trPr>
          <w:trHeight w:val="397"/>
          <w:jc w:val="center"/>
        </w:trPr>
        <w:tc>
          <w:tcPr>
            <w:tcW w:w="294" w:type="pct"/>
            <w:shd w:val="clear" w:color="auto" w:fill="auto"/>
            <w:vAlign w:val="center"/>
          </w:tcPr>
          <w:p w:rsidR="004A3868" w:rsidRDefault="003F1AB5">
            <w:pPr>
              <w:pStyle w:val="afff9"/>
              <w:rPr>
                <w:highlight w:val="yellow"/>
              </w:rPr>
            </w:pPr>
            <w:r>
              <w:rPr>
                <w:rFonts w:hint="eastAsia"/>
              </w:rPr>
              <w:t>中信银行重庆分行</w:t>
            </w:r>
          </w:p>
        </w:tc>
        <w:sdt>
          <w:sdtPr>
            <w:rPr>
              <w:rFonts w:hint="eastAsia"/>
            </w:rPr>
            <w:alias w:val="委托理财类型"/>
            <w:tag w:val="_GBC_ad14e046fd7f4ad58bdaa5fba1e90aab"/>
            <w:id w:val="-847721915"/>
            <w:lock w:val="sdtLocked"/>
            <w:comboBox>
              <w:listItem w:displayText="银行理财产品" w:value="银行理财产品"/>
              <w:listItem w:displayText="券商理财产品" w:value="券商理财产品"/>
              <w:listItem w:displayText="信托理财产品" w:value="信托理财产品"/>
              <w:listItem w:displayText="公墓基金产品" w:value="公墓基金产品"/>
              <w:listItem w:displayText="私募基金产品" w:value="私募基金产品"/>
              <w:listItem w:displayText="其他" w:value="其他"/>
            </w:comboBox>
          </w:sdtPr>
          <w:sdtEndPr/>
          <w:sdtContent>
            <w:tc>
              <w:tcPr>
                <w:tcW w:w="294" w:type="pct"/>
                <w:shd w:val="clear" w:color="auto" w:fill="auto"/>
                <w:vAlign w:val="center"/>
              </w:tcPr>
              <w:p w:rsidR="004A3868" w:rsidRDefault="003F1AB5">
                <w:pPr>
                  <w:pStyle w:val="afff9"/>
                  <w:rPr>
                    <w:highlight w:val="yellow"/>
                  </w:rPr>
                </w:pPr>
                <w:r>
                  <w:rPr>
                    <w:rFonts w:hint="eastAsia"/>
                  </w:rPr>
                  <w:t>其他</w:t>
                </w:r>
              </w:p>
            </w:tc>
          </w:sdtContent>
        </w:sdt>
        <w:tc>
          <w:tcPr>
            <w:tcW w:w="294" w:type="pct"/>
            <w:vAlign w:val="center"/>
          </w:tcPr>
          <w:p w:rsidR="004A3868" w:rsidRDefault="003F1AB5">
            <w:pPr>
              <w:pStyle w:val="afff7"/>
              <w:rPr>
                <w:highlight w:val="yellow"/>
              </w:rPr>
            </w:pPr>
            <w:r>
              <w:t>4,000.00</w:t>
            </w:r>
          </w:p>
        </w:tc>
        <w:tc>
          <w:tcPr>
            <w:tcW w:w="294" w:type="pct"/>
            <w:vAlign w:val="center"/>
          </w:tcPr>
          <w:p w:rsidR="004A3868" w:rsidRDefault="003F1AB5">
            <w:pPr>
              <w:pStyle w:val="afff7"/>
              <w:rPr>
                <w:highlight w:val="yellow"/>
              </w:rPr>
            </w:pPr>
            <w:r>
              <w:rPr>
                <w:rFonts w:hint="eastAsia"/>
              </w:rPr>
              <w:t>2</w:t>
            </w:r>
            <w:r>
              <w:t>023/1/16</w:t>
            </w:r>
          </w:p>
        </w:tc>
        <w:tc>
          <w:tcPr>
            <w:tcW w:w="294" w:type="pct"/>
            <w:vAlign w:val="center"/>
          </w:tcPr>
          <w:p w:rsidR="004A3868" w:rsidRDefault="003F1AB5">
            <w:pPr>
              <w:pStyle w:val="afff7"/>
              <w:rPr>
                <w:highlight w:val="yellow"/>
              </w:rPr>
            </w:pPr>
            <w:r>
              <w:rPr>
                <w:rFonts w:hint="eastAsia"/>
              </w:rPr>
              <w:t>2</w:t>
            </w:r>
            <w:r>
              <w:t>023/1/30</w:t>
            </w:r>
          </w:p>
        </w:tc>
        <w:tc>
          <w:tcPr>
            <w:tcW w:w="294" w:type="pct"/>
            <w:vAlign w:val="center"/>
          </w:tcPr>
          <w:p w:rsidR="004A3868" w:rsidRDefault="003F1AB5">
            <w:pPr>
              <w:pStyle w:val="afffb"/>
              <w:rPr>
                <w:highlight w:val="yellow"/>
              </w:rPr>
            </w:pPr>
            <w:r>
              <w:rPr>
                <w:rFonts w:hint="eastAsia"/>
              </w:rPr>
              <w:t>闲置募集资金</w:t>
            </w:r>
          </w:p>
        </w:tc>
        <w:tc>
          <w:tcPr>
            <w:tcW w:w="294" w:type="pct"/>
            <w:vAlign w:val="center"/>
          </w:tcPr>
          <w:p w:rsidR="004A3868" w:rsidRDefault="003F1AB5">
            <w:pPr>
              <w:pStyle w:val="afffb"/>
              <w:rPr>
                <w:highlight w:val="yellow"/>
              </w:rPr>
            </w:pPr>
            <w:r>
              <w:rPr>
                <w:rFonts w:hint="eastAsia"/>
              </w:rPr>
              <w:t>银行</w:t>
            </w:r>
          </w:p>
        </w:tc>
        <w:sdt>
          <w:sdtPr>
            <w:alias w:val="委托理财是否存在受限情形"/>
            <w:tag w:val="_GBC_c00c225fe9af402e8cd487eff0c1bca1"/>
            <w:id w:val="288938396"/>
            <w:lock w:val="sdtLocked"/>
            <w:comboBox>
              <w:listItem w:displayText="是" w:value="是"/>
              <w:listItem w:displayText="否" w:value="否"/>
            </w:comboBox>
          </w:sdtPr>
          <w:sdtEndPr/>
          <w:sdtContent>
            <w:tc>
              <w:tcPr>
                <w:tcW w:w="294" w:type="pct"/>
                <w:vAlign w:val="center"/>
              </w:tcPr>
              <w:p w:rsidR="004A3868" w:rsidRDefault="003F1AB5">
                <w:pPr>
                  <w:pStyle w:val="afffb"/>
                  <w:rPr>
                    <w:highlight w:val="yellow"/>
                  </w:rPr>
                </w:pPr>
                <w:r>
                  <w:t>是</w:t>
                </w:r>
              </w:p>
            </w:tc>
          </w:sdtContent>
        </w:sdt>
        <w:tc>
          <w:tcPr>
            <w:tcW w:w="294" w:type="pct"/>
            <w:vAlign w:val="center"/>
          </w:tcPr>
          <w:p w:rsidR="004A3868" w:rsidRDefault="003F1AB5">
            <w:pPr>
              <w:pStyle w:val="afffb"/>
              <w:rPr>
                <w:highlight w:val="yellow"/>
              </w:rPr>
            </w:pPr>
            <w:r>
              <w:rPr>
                <w:rFonts w:hint="eastAsia"/>
              </w:rPr>
              <w:t>保本浮动收益率</w:t>
            </w:r>
          </w:p>
        </w:tc>
        <w:tc>
          <w:tcPr>
            <w:tcW w:w="294" w:type="pct"/>
            <w:vAlign w:val="center"/>
          </w:tcPr>
          <w:p w:rsidR="004A3868" w:rsidRDefault="003F1AB5">
            <w:pPr>
              <w:pStyle w:val="afffb"/>
              <w:rPr>
                <w:rStyle w:val="affa"/>
                <w:rFonts w:ascii="Times New Roman" w:hAnsi="Times New Roman"/>
                <w:sz w:val="18"/>
                <w:szCs w:val="18"/>
              </w:rPr>
            </w:pPr>
            <w:r>
              <w:rPr>
                <w:rStyle w:val="affa"/>
                <w:rFonts w:ascii="Times New Roman" w:hAnsi="Times New Roman" w:hint="eastAsia"/>
                <w:sz w:val="18"/>
                <w:szCs w:val="18"/>
              </w:rPr>
              <w:t>1</w:t>
            </w:r>
            <w:r>
              <w:rPr>
                <w:rStyle w:val="affa"/>
                <w:rFonts w:ascii="Times New Roman" w:hAnsi="Times New Roman"/>
                <w:sz w:val="18"/>
                <w:szCs w:val="18"/>
              </w:rPr>
              <w:t>.3-2.8</w:t>
            </w:r>
          </w:p>
        </w:tc>
        <w:tc>
          <w:tcPr>
            <w:tcW w:w="294" w:type="pct"/>
            <w:vAlign w:val="center"/>
          </w:tcPr>
          <w:p w:rsidR="004A3868" w:rsidRDefault="003F1AB5">
            <w:pPr>
              <w:pStyle w:val="afffb"/>
              <w:rPr>
                <w:rStyle w:val="affa"/>
                <w:rFonts w:ascii="Times New Roman" w:hAnsi="Times New Roman"/>
                <w:sz w:val="18"/>
                <w:szCs w:val="18"/>
                <w:highlight w:val="yellow"/>
              </w:rPr>
            </w:pPr>
            <w:r>
              <w:rPr>
                <w:rStyle w:val="affa"/>
                <w:rFonts w:ascii="Times New Roman" w:hAnsi="Times New Roman"/>
                <w:sz w:val="18"/>
                <w:szCs w:val="18"/>
              </w:rPr>
              <w:t>2.14</w:t>
            </w:r>
          </w:p>
        </w:tc>
        <w:tc>
          <w:tcPr>
            <w:tcW w:w="294" w:type="pct"/>
            <w:vAlign w:val="center"/>
          </w:tcPr>
          <w:p w:rsidR="004A3868" w:rsidRDefault="003F1AB5">
            <w:pPr>
              <w:pStyle w:val="afffb"/>
              <w:rPr>
                <w:rStyle w:val="affa"/>
                <w:rFonts w:ascii="Times New Roman" w:hAnsi="Times New Roman"/>
                <w:sz w:val="18"/>
                <w:szCs w:val="18"/>
                <w:highlight w:val="yellow"/>
              </w:rPr>
            </w:pPr>
            <w:r>
              <w:rPr>
                <w:rStyle w:val="affa"/>
                <w:rFonts w:ascii="Times New Roman" w:hAnsi="Times New Roman" w:hint="eastAsia"/>
                <w:sz w:val="18"/>
                <w:szCs w:val="18"/>
              </w:rPr>
              <w:t>3</w:t>
            </w:r>
            <w:r>
              <w:rPr>
                <w:rStyle w:val="affa"/>
                <w:rFonts w:ascii="Times New Roman" w:hAnsi="Times New Roman"/>
                <w:sz w:val="18"/>
                <w:szCs w:val="18"/>
              </w:rPr>
              <w:t>.50</w:t>
            </w:r>
          </w:p>
        </w:tc>
        <w:tc>
          <w:tcPr>
            <w:tcW w:w="294" w:type="pct"/>
            <w:vAlign w:val="center"/>
          </w:tcPr>
          <w:p w:rsidR="004A3868" w:rsidRDefault="003F1AB5">
            <w:pPr>
              <w:pStyle w:val="afffb"/>
              <w:rPr>
                <w:rStyle w:val="affa"/>
                <w:rFonts w:ascii="Times New Roman" w:hAnsi="Times New Roman"/>
                <w:sz w:val="18"/>
                <w:szCs w:val="18"/>
                <w:highlight w:val="yellow"/>
              </w:rPr>
            </w:pPr>
            <w:r>
              <w:rPr>
                <w:rStyle w:val="affa"/>
                <w:rFonts w:ascii="Times New Roman" w:hAnsi="Times New Roman" w:hint="eastAsia"/>
                <w:sz w:val="18"/>
                <w:szCs w:val="18"/>
              </w:rPr>
              <w:t>0</w:t>
            </w:r>
          </w:p>
        </w:tc>
        <w:tc>
          <w:tcPr>
            <w:tcW w:w="294" w:type="pct"/>
            <w:vAlign w:val="center"/>
          </w:tcPr>
          <w:p w:rsidR="004A3868" w:rsidRDefault="003F1AB5">
            <w:pPr>
              <w:pStyle w:val="afffb"/>
              <w:rPr>
                <w:rStyle w:val="affa"/>
                <w:rFonts w:ascii="Times New Roman" w:hAnsi="Times New Roman"/>
                <w:sz w:val="18"/>
                <w:szCs w:val="18"/>
                <w:highlight w:val="yellow"/>
              </w:rPr>
            </w:pPr>
            <w:r>
              <w:rPr>
                <w:rStyle w:val="affa"/>
                <w:rFonts w:ascii="Times New Roman" w:hAnsi="Times New Roman" w:hint="eastAsia"/>
                <w:sz w:val="18"/>
                <w:szCs w:val="18"/>
              </w:rPr>
              <w:t>0</w:t>
            </w:r>
          </w:p>
        </w:tc>
        <w:sdt>
          <w:sdtPr>
            <w:rPr>
              <w:rFonts w:hint="eastAsia"/>
            </w:rPr>
            <w:alias w:val="委托理财是否经过法定程序"/>
            <w:tag w:val="_GBC_6c28417b630b486ca5d24d4fed27b675"/>
            <w:id w:val="-1742022151"/>
            <w:lock w:val="sdtLocked"/>
            <w:comboBox>
              <w:listItem w:displayText="是" w:value="true"/>
              <w:listItem w:displayText="否" w:value="false"/>
            </w:comboBox>
          </w:sdtPr>
          <w:sdtEndPr/>
          <w:sdtContent>
            <w:tc>
              <w:tcPr>
                <w:tcW w:w="294" w:type="pct"/>
                <w:shd w:val="clear" w:color="auto" w:fill="auto"/>
                <w:vAlign w:val="center"/>
              </w:tcPr>
              <w:p w:rsidR="004A3868" w:rsidRDefault="003F1AB5">
                <w:pPr>
                  <w:pStyle w:val="afffb"/>
                  <w:rPr>
                    <w:highlight w:val="yellow"/>
                  </w:rPr>
                </w:pPr>
                <w:r>
                  <w:rPr>
                    <w:rFonts w:hint="eastAsia"/>
                  </w:rPr>
                  <w:t>是</w:t>
                </w:r>
              </w:p>
            </w:tc>
          </w:sdtContent>
        </w:sdt>
        <w:sdt>
          <w:sdtPr>
            <w:rPr>
              <w:rFonts w:hint="eastAsia"/>
            </w:rPr>
            <w:alias w:val="单项委托未来是否有委托理财计划"/>
            <w:tag w:val="_GBC_9a14eb4662974f5a8a8b67ae1aa70521"/>
            <w:id w:val="-1923791624"/>
            <w:lock w:val="sdtLocked"/>
            <w:comboBox>
              <w:listItem w:displayText="是" w:value="true"/>
              <w:listItem w:displayText="否" w:value="false"/>
            </w:comboBox>
          </w:sdtPr>
          <w:sdtEndPr/>
          <w:sdtContent>
            <w:tc>
              <w:tcPr>
                <w:tcW w:w="294" w:type="pct"/>
                <w:shd w:val="clear" w:color="auto" w:fill="auto"/>
                <w:vAlign w:val="center"/>
              </w:tcPr>
              <w:p w:rsidR="004A3868" w:rsidRDefault="003F1AB5">
                <w:pPr>
                  <w:pStyle w:val="afffb"/>
                  <w:rPr>
                    <w:highlight w:val="yellow"/>
                  </w:rPr>
                </w:pPr>
                <w:r>
                  <w:rPr>
                    <w:rFonts w:hint="eastAsia"/>
                  </w:rPr>
                  <w:t>否</w:t>
                </w:r>
              </w:p>
            </w:tc>
          </w:sdtContent>
        </w:sdt>
        <w:tc>
          <w:tcPr>
            <w:tcW w:w="294" w:type="pct"/>
            <w:vAlign w:val="center"/>
          </w:tcPr>
          <w:p w:rsidR="004A3868" w:rsidRDefault="004A3868">
            <w:pPr>
              <w:pStyle w:val="afffb"/>
              <w:rPr>
                <w:rStyle w:val="affa"/>
                <w:rFonts w:ascii="Times New Roman" w:hAnsi="Times New Roman"/>
                <w:sz w:val="18"/>
                <w:szCs w:val="18"/>
                <w:highlight w:val="yellow"/>
              </w:rPr>
            </w:pPr>
          </w:p>
        </w:tc>
      </w:tr>
    </w:tbl>
    <w:p w:rsidR="004A3868" w:rsidRDefault="003F1AB5">
      <w:pPr>
        <w:rPr>
          <w:sz w:val="21"/>
          <w:szCs w:val="21"/>
        </w:rPr>
      </w:pPr>
      <w:r>
        <w:rPr>
          <w:rFonts w:hint="eastAsia"/>
          <w:sz w:val="21"/>
          <w:szCs w:val="21"/>
        </w:rPr>
        <w:lastRenderedPageBreak/>
        <w:t>其他情况</w:t>
      </w:r>
    </w:p>
    <w:sdt>
      <w:sdtPr>
        <w:rPr>
          <w:rFonts w:hint="eastAsia"/>
          <w:sz w:val="21"/>
          <w:szCs w:val="21"/>
          <w:highlight w:val="yellow"/>
        </w:rPr>
        <w:alias w:val="是否适用：单项委托理财其他情况[双击切换]"/>
        <w:tag w:val="_GBC_627c77e5ab674442a3b768741f653602"/>
        <w:id w:val="802358805"/>
        <w:lock w:val="sdtLocked"/>
        <w:placeholder>
          <w:docPart w:val="GBC22222222222222222222222222222"/>
        </w:placeholder>
      </w:sdtPr>
      <w:sdtEndPr>
        <w:rPr>
          <w:sz w:val="24"/>
          <w:szCs w:val="24"/>
        </w:rPr>
      </w:sdtEndPr>
      <w:sdtContent>
        <w:p w:rsidR="004A3868" w:rsidRDefault="003F1AB5">
          <w:pPr>
            <w:rPr>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5"/>
        <w:numPr>
          <w:ilvl w:val="0"/>
          <w:numId w:val="45"/>
        </w:numPr>
        <w:ind w:leftChars="0"/>
      </w:pPr>
      <w:r>
        <w:t>委托理财减值准备</w:t>
      </w:r>
    </w:p>
    <w:sdt>
      <w:sdtPr>
        <w:rPr>
          <w:rFonts w:hint="eastAsia"/>
          <w:highlight w:val="yellow"/>
        </w:rPr>
        <w:alias w:val="是否适用：委托理财减值准备[双击切换]"/>
        <w:tag w:val="_GBC_8db4f6600a6746739610ffaaa34abeac"/>
        <w:id w:val="-1890027136"/>
        <w:lock w:val="sdtLocked"/>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4"/>
        </w:numPr>
      </w:pPr>
      <w:r>
        <w:t>委托贷款情况</w:t>
      </w:r>
    </w:p>
    <w:p w:rsidR="004A3868" w:rsidRDefault="003F1AB5">
      <w:pPr>
        <w:pStyle w:val="5"/>
        <w:numPr>
          <w:ilvl w:val="0"/>
          <w:numId w:val="46"/>
        </w:numPr>
        <w:ind w:leftChars="0"/>
      </w:pPr>
      <w:r>
        <w:t>委托贷款总体情况</w:t>
      </w:r>
    </w:p>
    <w:sdt>
      <w:sdtPr>
        <w:rPr>
          <w:rFonts w:hint="eastAsia"/>
          <w:highlight w:val="yellow"/>
        </w:rPr>
        <w:alias w:val="是否适用：委托贷款总体情况[双击切换]"/>
        <w:tag w:val="_GBC_6f663504a9e74d5c978e23554b4b84e4"/>
        <w:id w:val="-1979914855"/>
        <w:lock w:val="sdtLocked"/>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其他情况</w:t>
      </w:r>
    </w:p>
    <w:sdt>
      <w:sdtPr>
        <w:rPr>
          <w:rFonts w:hint="eastAsia"/>
          <w:sz w:val="21"/>
          <w:szCs w:val="21"/>
          <w:highlight w:val="yellow"/>
        </w:rPr>
        <w:alias w:val="是否适用：委托贷款总体其他情况[双击切换]"/>
        <w:tag w:val="_GBC_a071e3ce40374c6bb1b2f2dc2158413e"/>
        <w:id w:val="-1718817925"/>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5"/>
        <w:numPr>
          <w:ilvl w:val="0"/>
          <w:numId w:val="46"/>
        </w:numPr>
        <w:ind w:leftChars="0"/>
        <w:rPr>
          <w:szCs w:val="21"/>
        </w:rPr>
      </w:pPr>
      <w:r>
        <w:rPr>
          <w:szCs w:val="21"/>
        </w:rPr>
        <w:t>单项委托贷款情况</w:t>
      </w:r>
    </w:p>
    <w:sdt>
      <w:sdtPr>
        <w:rPr>
          <w:rFonts w:hint="eastAsia"/>
          <w:sz w:val="21"/>
          <w:szCs w:val="21"/>
          <w:highlight w:val="yellow"/>
        </w:rPr>
        <w:alias w:val="是否适用：单项委托贷款情况[双击切换]"/>
        <w:tag w:val="_GBC_30b7c4837f704dff80c05190f23d6f3e"/>
        <w:id w:val="642475202"/>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其他情况</w:t>
      </w:r>
    </w:p>
    <w:sdt>
      <w:sdtPr>
        <w:rPr>
          <w:rFonts w:hint="eastAsia"/>
          <w:sz w:val="21"/>
          <w:szCs w:val="21"/>
          <w:highlight w:val="yellow"/>
        </w:rPr>
        <w:alias w:val="是否适用：单项委托贷款其他情况[双击切换]"/>
        <w:tag w:val="_GBC_7fbd63dcaf8a4899bcd830951796a261"/>
        <w:id w:val="-1337451016"/>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5"/>
        <w:numPr>
          <w:ilvl w:val="0"/>
          <w:numId w:val="46"/>
        </w:numPr>
        <w:ind w:leftChars="0"/>
        <w:rPr>
          <w:szCs w:val="21"/>
        </w:rPr>
      </w:pPr>
      <w:r>
        <w:rPr>
          <w:szCs w:val="21"/>
        </w:rPr>
        <w:t>委托贷款减值</w:t>
      </w:r>
      <w:r>
        <w:rPr>
          <w:rFonts w:hint="eastAsia"/>
          <w:szCs w:val="21"/>
        </w:rPr>
        <w:t>准备</w:t>
      </w:r>
    </w:p>
    <w:sdt>
      <w:sdtPr>
        <w:rPr>
          <w:rFonts w:hint="eastAsia"/>
          <w:sz w:val="21"/>
          <w:szCs w:val="21"/>
          <w:highlight w:val="yellow"/>
        </w:rPr>
        <w:alias w:val="是否适用：委托贷款减值准备[双击切换]"/>
        <w:tag w:val="_GBC_72dc10eff44f4851bd80447a1199a033"/>
        <w:id w:val="-61644061"/>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4"/>
        <w:numPr>
          <w:ilvl w:val="0"/>
          <w:numId w:val="44"/>
        </w:numPr>
        <w:rPr>
          <w:szCs w:val="21"/>
        </w:rPr>
      </w:pPr>
      <w:r>
        <w:rPr>
          <w:szCs w:val="21"/>
        </w:rPr>
        <w:t>其他</w:t>
      </w:r>
      <w:r>
        <w:rPr>
          <w:rFonts w:hint="eastAsia"/>
          <w:szCs w:val="21"/>
        </w:rPr>
        <w:t>情况</w:t>
      </w:r>
    </w:p>
    <w:sdt>
      <w:sdtPr>
        <w:rPr>
          <w:rFonts w:hint="eastAsia"/>
          <w:sz w:val="21"/>
          <w:szCs w:val="21"/>
          <w:highlight w:val="yellow"/>
        </w:rPr>
        <w:alias w:val="是否适用：委托他人进行现金资产管理的其他情况[双击切换]"/>
        <w:tag w:val="_GBC_c408f1ecbaff4ed08e4dcfbbac8e0ccd"/>
        <w:id w:val="-349948324"/>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42"/>
        </w:numPr>
      </w:pPr>
      <w:r>
        <w:t>其他重大合同</w:t>
      </w:r>
    </w:p>
    <w:sdt>
      <w:sdtPr>
        <w:rPr>
          <w:rFonts w:hint="eastAsia"/>
          <w:sz w:val="21"/>
          <w:szCs w:val="21"/>
          <w:highlight w:val="yellow"/>
        </w:rPr>
        <w:alias w:val="是否适用：其他重大合同[双击切换]"/>
        <w:tag w:val="_GBC_541dd80939ae4bafb641675f942c4c14"/>
        <w:id w:val="-1014297825"/>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2"/>
        <w:numPr>
          <w:ilvl w:val="0"/>
          <w:numId w:val="33"/>
        </w:numPr>
      </w:pPr>
      <w:bookmarkStart w:id="84" w:name="_Hlk155626801"/>
      <w:r>
        <w:rPr>
          <w:rFonts w:hint="eastAsia"/>
        </w:rPr>
        <w:t>募集资金使用进展说明</w:t>
      </w:r>
    </w:p>
    <w:sdt>
      <w:sdtPr>
        <w:rPr>
          <w:sz w:val="21"/>
          <w:szCs w:val="21"/>
        </w:rPr>
        <w:alias w:val="是否适用：募集资金使用进展说明[双击切换]"/>
        <w:tag w:val="_GBC_944ecce3b64e422f9226836bcadfd4ae"/>
        <w:id w:val="-47374950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
        <w:numPr>
          <w:ilvl w:val="0"/>
          <w:numId w:val="47"/>
        </w:numPr>
      </w:pPr>
      <w:r>
        <w:rPr>
          <w:rFonts w:hint="eastAsia"/>
        </w:rPr>
        <w:lastRenderedPageBreak/>
        <w:t>募集资金整体使用情况</w:t>
      </w:r>
    </w:p>
    <w:bookmarkStart w:id="85" w:name="_Hlk90391863" w:displacedByCustomXml="next"/>
    <w:bookmarkStart w:id="86" w:name="_Hlk151129531" w:displacedByCustomXml="next"/>
    <w:sdt>
      <w:sdtPr>
        <w:rPr>
          <w:sz w:val="21"/>
          <w:szCs w:val="21"/>
        </w:rPr>
        <w:alias w:val="是否适用：募集资金整体使用情况[双击切换]"/>
        <w:tag w:val="_GBC_54f70dd9952d4124b69c44e45c47e1a2"/>
        <w:id w:val="211778470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rStyle w:val="Char0"/>
          <w:highlight w:val="yellow"/>
        </w:rPr>
      </w:pPr>
      <w:r>
        <w:rPr>
          <w:rStyle w:val="Char0"/>
          <w:rFonts w:hint="eastAsia"/>
        </w:rPr>
        <w:t>单位</w:t>
      </w:r>
      <w:r>
        <w:rPr>
          <w:rStyle w:val="Char0"/>
        </w:rPr>
        <w:t>：</w:t>
      </w:r>
      <w:sdt>
        <w:sdtPr>
          <w:rPr>
            <w:rStyle w:val="Char0"/>
          </w:rPr>
          <w:alias w:val="单位：募集资金总体使用情况"/>
          <w:tag w:val="_GBC_79dc24c6823c4b73af33e48d1e568d7b"/>
          <w:id w:val="53400744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Style w:val="Char0"/>
          </w:rPr>
        </w:sdtEndPr>
        <w:sdtContent>
          <w:r>
            <w:rPr>
              <w:rStyle w:val="Char0"/>
            </w:rPr>
            <w:t>万元</w:t>
          </w:r>
        </w:sdtContent>
      </w:sdt>
    </w:p>
    <w:tbl>
      <w:tblPr>
        <w:tblStyle w:val="Style740"/>
        <w:tblW w:w="506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997"/>
        <w:gridCol w:w="996"/>
        <w:gridCol w:w="1296"/>
        <w:gridCol w:w="999"/>
        <w:gridCol w:w="1296"/>
        <w:gridCol w:w="1296"/>
        <w:gridCol w:w="1296"/>
        <w:gridCol w:w="1296"/>
        <w:gridCol w:w="1055"/>
        <w:gridCol w:w="1296"/>
        <w:gridCol w:w="1176"/>
        <w:gridCol w:w="1030"/>
      </w:tblGrid>
      <w:tr w:rsidR="004A3868">
        <w:trPr>
          <w:trHeight w:val="397"/>
          <w:jc w:val="center"/>
        </w:trPr>
        <w:sdt>
          <w:sdtPr>
            <w:rPr>
              <w:rFonts w:hint="eastAsia"/>
            </w:rPr>
            <w:tag w:val="_PLD_1918c59972bc45ea8c46725077ce6615"/>
            <w:id w:val="-1641336989"/>
          </w:sdtPr>
          <w:sdtEndPr>
            <w:rPr>
              <w:rFonts w:hint="default"/>
            </w:rPr>
          </w:sdtEndPr>
          <w:sdtContent>
            <w:tc>
              <w:tcPr>
                <w:tcW w:w="355" w:type="pct"/>
                <w:shd w:val="clear" w:color="auto" w:fill="auto"/>
                <w:vAlign w:val="center"/>
              </w:tcPr>
              <w:p w:rsidR="004A3868" w:rsidRDefault="003F1AB5">
                <w:pPr>
                  <w:pStyle w:val="afffb"/>
                </w:pPr>
                <w:r>
                  <w:rPr>
                    <w:rFonts w:hint="eastAsia"/>
                  </w:rPr>
                  <w:t>募集资金</w:t>
                </w:r>
                <w:r>
                  <w:t>来源</w:t>
                </w:r>
              </w:p>
            </w:tc>
          </w:sdtContent>
        </w:sdt>
        <w:tc>
          <w:tcPr>
            <w:tcW w:w="355" w:type="pct"/>
            <w:vAlign w:val="center"/>
          </w:tcPr>
          <w:sdt>
            <w:sdtPr>
              <w:rPr>
                <w:rFonts w:hint="eastAsia"/>
              </w:rPr>
              <w:tag w:val="_PLD_8010499511024d86af4fcf42d8db693c"/>
              <w:id w:val="1000001200"/>
            </w:sdtPr>
            <w:sdtEndPr/>
            <w:sdtContent>
              <w:p w:rsidR="004A3868" w:rsidRDefault="003F1AB5">
                <w:pPr>
                  <w:pStyle w:val="afffb"/>
                </w:pPr>
                <w:r>
                  <w:rPr>
                    <w:rFonts w:hint="eastAsia"/>
                  </w:rPr>
                  <w:t>募集资金到位时间</w:t>
                </w:r>
              </w:p>
            </w:sdtContent>
          </w:sdt>
        </w:tc>
        <w:sdt>
          <w:sdtPr>
            <w:rPr>
              <w:rFonts w:hint="eastAsia"/>
            </w:rPr>
            <w:tag w:val="_PLD_78fc87782d494f799e64fe20dd189c6f"/>
            <w:id w:val="-1609575492"/>
          </w:sdtPr>
          <w:sdtEndPr/>
          <w:sdtContent>
            <w:tc>
              <w:tcPr>
                <w:tcW w:w="462" w:type="pct"/>
                <w:vAlign w:val="center"/>
              </w:tcPr>
              <w:p w:rsidR="004A3868" w:rsidRDefault="003F1AB5">
                <w:pPr>
                  <w:pStyle w:val="afffb"/>
                </w:pPr>
                <w:r>
                  <w:rPr>
                    <w:rFonts w:hint="eastAsia"/>
                  </w:rPr>
                  <w:t>募集资金总额</w:t>
                </w:r>
              </w:p>
            </w:tc>
          </w:sdtContent>
        </w:sdt>
        <w:sdt>
          <w:sdtPr>
            <w:rPr>
              <w:rFonts w:hint="eastAsia"/>
            </w:rPr>
            <w:tag w:val="_PLD_5f96452b707340948b6efeef1b5e65f4"/>
            <w:id w:val="1025377660"/>
          </w:sdtPr>
          <w:sdtEndPr/>
          <w:sdtContent>
            <w:tc>
              <w:tcPr>
                <w:tcW w:w="356" w:type="pct"/>
                <w:vAlign w:val="center"/>
              </w:tcPr>
              <w:p w:rsidR="004A3868" w:rsidRDefault="003F1AB5">
                <w:pPr>
                  <w:pStyle w:val="afffb"/>
                </w:pPr>
                <w:r>
                  <w:rPr>
                    <w:rFonts w:hint="eastAsia"/>
                  </w:rPr>
                  <w:t>其中：超募资金金额</w:t>
                </w:r>
              </w:p>
            </w:tc>
          </w:sdtContent>
        </w:sdt>
        <w:sdt>
          <w:sdtPr>
            <w:rPr>
              <w:rFonts w:hint="eastAsia"/>
            </w:rPr>
            <w:tag w:val="_PLD_d4387572f6e9478e87c117e55930b836"/>
            <w:id w:val="-1178885558"/>
          </w:sdtPr>
          <w:sdtEndPr/>
          <w:sdtContent>
            <w:tc>
              <w:tcPr>
                <w:tcW w:w="462" w:type="pct"/>
                <w:shd w:val="clear" w:color="auto" w:fill="auto"/>
                <w:vAlign w:val="center"/>
              </w:tcPr>
              <w:p w:rsidR="004A3868" w:rsidRDefault="003F1AB5">
                <w:pPr>
                  <w:pStyle w:val="afffb"/>
                </w:pPr>
                <w:r>
                  <w:rPr>
                    <w:rFonts w:hint="eastAsia"/>
                  </w:rPr>
                  <w:t>扣除发行费用后募集资金净额</w:t>
                </w:r>
              </w:p>
            </w:tc>
          </w:sdtContent>
        </w:sdt>
        <w:sdt>
          <w:sdtPr>
            <w:rPr>
              <w:rFonts w:hint="eastAsia"/>
            </w:rPr>
            <w:tag w:val="_PLD_fc3326db084d42d2a904a816ba13dac5"/>
            <w:id w:val="1328013038"/>
          </w:sdtPr>
          <w:sdtEndPr/>
          <w:sdtContent>
            <w:tc>
              <w:tcPr>
                <w:tcW w:w="462" w:type="pct"/>
                <w:shd w:val="clear" w:color="auto" w:fill="auto"/>
                <w:vAlign w:val="center"/>
              </w:tcPr>
              <w:p w:rsidR="004A3868" w:rsidRDefault="003F1AB5">
                <w:pPr>
                  <w:pStyle w:val="afffb"/>
                </w:pPr>
                <w:r>
                  <w:rPr>
                    <w:rFonts w:hint="eastAsia"/>
                  </w:rPr>
                  <w:t>募集资金承诺投资总额</w:t>
                </w:r>
              </w:p>
            </w:tc>
          </w:sdtContent>
        </w:sdt>
        <w:sdt>
          <w:sdtPr>
            <w:rPr>
              <w:rFonts w:hint="eastAsia"/>
            </w:rPr>
            <w:tag w:val="_PLD_d24196a3bc1c428facc164cf80f5e6db"/>
            <w:id w:val="-1244946196"/>
          </w:sdtPr>
          <w:sdtEndPr/>
          <w:sdtContent>
            <w:tc>
              <w:tcPr>
                <w:tcW w:w="462" w:type="pct"/>
                <w:shd w:val="clear" w:color="auto" w:fill="auto"/>
                <w:vAlign w:val="center"/>
              </w:tcPr>
              <w:p w:rsidR="004A3868" w:rsidRDefault="003F1AB5">
                <w:pPr>
                  <w:pStyle w:val="afffb"/>
                </w:pPr>
                <w:r>
                  <w:rPr>
                    <w:rFonts w:hint="eastAsia"/>
                  </w:rPr>
                  <w:t>调整后募集资金承诺投资总额(1)</w:t>
                </w:r>
              </w:p>
            </w:tc>
          </w:sdtContent>
        </w:sdt>
        <w:sdt>
          <w:sdtPr>
            <w:rPr>
              <w:rFonts w:hint="eastAsia"/>
            </w:rPr>
            <w:tag w:val="_PLD_f01f9ab123b24204a98065c59de65a07"/>
            <w:id w:val="-843625398"/>
          </w:sdtPr>
          <w:sdtEndPr/>
          <w:sdtContent>
            <w:tc>
              <w:tcPr>
                <w:tcW w:w="462" w:type="pct"/>
                <w:shd w:val="clear" w:color="auto" w:fill="auto"/>
                <w:vAlign w:val="center"/>
              </w:tcPr>
              <w:p w:rsidR="004A3868" w:rsidRDefault="003F1AB5">
                <w:pPr>
                  <w:pStyle w:val="afffb"/>
                </w:pPr>
                <w:r>
                  <w:rPr>
                    <w:rFonts w:hint="eastAsia"/>
                  </w:rPr>
                  <w:t>截至</w:t>
                </w:r>
                <w:r>
                  <w:t>报告期末</w:t>
                </w:r>
                <w:r>
                  <w:rPr>
                    <w:rFonts w:hint="eastAsia"/>
                  </w:rPr>
                  <w:t>累计投入募集资金总额（2）</w:t>
                </w:r>
              </w:p>
            </w:tc>
          </w:sdtContent>
        </w:sdt>
        <w:sdt>
          <w:sdtPr>
            <w:rPr>
              <w:rFonts w:hint="eastAsia"/>
            </w:rPr>
            <w:tag w:val="_PLD_bb8c655fc2154c6988cbcc438c4eda0c"/>
            <w:id w:val="-22327643"/>
          </w:sdtPr>
          <w:sdtEndPr/>
          <w:sdtContent>
            <w:tc>
              <w:tcPr>
                <w:tcW w:w="376" w:type="pct"/>
                <w:shd w:val="clear" w:color="auto" w:fill="auto"/>
                <w:vAlign w:val="center"/>
              </w:tcPr>
              <w:p w:rsidR="004A3868" w:rsidRDefault="003F1AB5">
                <w:pPr>
                  <w:pStyle w:val="afffb"/>
                </w:pPr>
                <w:r>
                  <w:rPr>
                    <w:rFonts w:hint="eastAsia"/>
                  </w:rPr>
                  <w:t>截至报告期末累计投入进度（%）(3)＝(2)/(1)</w:t>
                </w:r>
              </w:p>
            </w:tc>
          </w:sdtContent>
        </w:sdt>
        <w:sdt>
          <w:sdtPr>
            <w:rPr>
              <w:rFonts w:hint="eastAsia"/>
            </w:rPr>
            <w:tag w:val="_PLD_0e519c3f74044583b726533eac505de0"/>
            <w:id w:val="1630209446"/>
          </w:sdtPr>
          <w:sdtEndPr/>
          <w:sdtContent>
            <w:tc>
              <w:tcPr>
                <w:tcW w:w="462" w:type="pct"/>
                <w:shd w:val="clear" w:color="auto" w:fill="auto"/>
                <w:vAlign w:val="center"/>
              </w:tcPr>
              <w:p w:rsidR="004A3868" w:rsidRDefault="003F1AB5">
                <w:pPr>
                  <w:pStyle w:val="afffb"/>
                </w:pPr>
                <w:r>
                  <w:rPr>
                    <w:rFonts w:hint="eastAsia"/>
                  </w:rPr>
                  <w:t>本年度投入金额（4）</w:t>
                </w:r>
              </w:p>
            </w:tc>
          </w:sdtContent>
        </w:sdt>
        <w:sdt>
          <w:sdtPr>
            <w:rPr>
              <w:rFonts w:hint="eastAsia"/>
            </w:rPr>
            <w:tag w:val="_PLD_58997b543d0648e1afc48b730ba62133"/>
            <w:id w:val="-134034115"/>
          </w:sdtPr>
          <w:sdtEndPr/>
          <w:sdtContent>
            <w:tc>
              <w:tcPr>
                <w:tcW w:w="419" w:type="pct"/>
                <w:shd w:val="clear" w:color="auto" w:fill="auto"/>
                <w:vAlign w:val="center"/>
              </w:tcPr>
              <w:p w:rsidR="004A3868" w:rsidRDefault="003F1AB5">
                <w:pPr>
                  <w:pStyle w:val="afffb"/>
                </w:pPr>
                <w:r>
                  <w:rPr>
                    <w:rFonts w:hint="eastAsia"/>
                  </w:rPr>
                  <w:t>本年度投入金额占比（%）（5）=(4)/(1)</w:t>
                </w:r>
              </w:p>
            </w:tc>
          </w:sdtContent>
        </w:sdt>
        <w:tc>
          <w:tcPr>
            <w:tcW w:w="367" w:type="pct"/>
            <w:vAlign w:val="center"/>
          </w:tcPr>
          <w:sdt>
            <w:sdtPr>
              <w:rPr>
                <w:rFonts w:hint="eastAsia"/>
              </w:rPr>
              <w:tag w:val="_PLD_8eb76d9777fd450eae61ac517801173e"/>
              <w:id w:val="-121464296"/>
            </w:sdtPr>
            <w:sdtEndPr/>
            <w:sdtContent>
              <w:p w:rsidR="004A3868" w:rsidRDefault="003F1AB5">
                <w:pPr>
                  <w:pStyle w:val="afffb"/>
                </w:pPr>
                <w:r>
                  <w:rPr>
                    <w:rFonts w:hint="eastAsia"/>
                  </w:rPr>
                  <w:t>变更用途的募集资金总额</w:t>
                </w:r>
              </w:p>
            </w:sdtContent>
          </w:sdt>
        </w:tc>
      </w:tr>
      <w:tr w:rsidR="004A3868">
        <w:trPr>
          <w:trHeight w:val="397"/>
          <w:jc w:val="center"/>
        </w:trPr>
        <w:sdt>
          <w:sdtPr>
            <w:alias w:val="募集资金整体使用情况_募集资金来源"/>
            <w:tag w:val="_GBC_09dd0e4545ec48f9adf3b4b5c37efe4f"/>
            <w:id w:val="-539363210"/>
            <w:lock w:val="sdtLocked"/>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55" w:type="pct"/>
                <w:shd w:val="clear" w:color="auto" w:fill="auto"/>
                <w:vAlign w:val="center"/>
              </w:tcPr>
              <w:p w:rsidR="004A3868" w:rsidRDefault="003F1AB5">
                <w:pPr>
                  <w:pStyle w:val="afffb"/>
                </w:pPr>
                <w:r>
                  <w:t>首次公开发行股票</w:t>
                </w:r>
              </w:p>
            </w:tc>
          </w:sdtContent>
        </w:sdt>
        <w:sdt>
          <w:sdtPr>
            <w:alias w:val="募集资金整体使用情况_募集资金到位时间"/>
            <w:tag w:val="_GBC_a1435a0b09124536a9ad82f5bdb78c41"/>
            <w:id w:val="600294625"/>
            <w:date w:fullDate="2022-04-18T00:00:00Z">
              <w:dateFormat w:val="yyyy'年'M'月'd'日'"/>
              <w:lid w:val="zh-CN"/>
              <w:storeMappedDataAs w:val="dateTime"/>
              <w:calendar w:val="gregorian"/>
            </w:date>
          </w:sdtPr>
          <w:sdtEndPr/>
          <w:sdtContent>
            <w:tc>
              <w:tcPr>
                <w:tcW w:w="355" w:type="pct"/>
                <w:vAlign w:val="center"/>
              </w:tcPr>
              <w:p w:rsidR="004A3868" w:rsidRDefault="003F1AB5">
                <w:pPr>
                  <w:pStyle w:val="afffb"/>
                </w:pPr>
                <w:r>
                  <w:rPr>
                    <w:rFonts w:hint="eastAsia"/>
                  </w:rPr>
                  <w:t>2022年4月18日</w:t>
                </w:r>
              </w:p>
            </w:tc>
          </w:sdtContent>
        </w:sdt>
        <w:tc>
          <w:tcPr>
            <w:tcW w:w="462" w:type="pct"/>
            <w:vAlign w:val="center"/>
          </w:tcPr>
          <w:p w:rsidR="004A3868" w:rsidRDefault="003F1AB5">
            <w:pPr>
              <w:pStyle w:val="afffb"/>
              <w:rPr>
                <w:bCs/>
              </w:rPr>
            </w:pPr>
            <w:r>
              <w:t>98,784.14</w:t>
            </w:r>
          </w:p>
        </w:tc>
        <w:tc>
          <w:tcPr>
            <w:tcW w:w="356" w:type="pct"/>
            <w:vAlign w:val="center"/>
          </w:tcPr>
          <w:p w:rsidR="004A3868" w:rsidRDefault="004A3868">
            <w:pPr>
              <w:pStyle w:val="afffb"/>
            </w:pPr>
          </w:p>
        </w:tc>
        <w:tc>
          <w:tcPr>
            <w:tcW w:w="462" w:type="pct"/>
            <w:shd w:val="clear" w:color="auto" w:fill="auto"/>
            <w:vAlign w:val="center"/>
          </w:tcPr>
          <w:p w:rsidR="004A3868" w:rsidRDefault="003F1AB5">
            <w:pPr>
              <w:pStyle w:val="afffb"/>
              <w:rPr>
                <w:bCs/>
              </w:rPr>
            </w:pPr>
            <w:r>
              <w:t>85,456.18</w:t>
            </w:r>
          </w:p>
        </w:tc>
        <w:tc>
          <w:tcPr>
            <w:tcW w:w="462" w:type="pct"/>
            <w:shd w:val="clear" w:color="auto" w:fill="auto"/>
            <w:vAlign w:val="center"/>
          </w:tcPr>
          <w:p w:rsidR="004A3868" w:rsidRDefault="003F1AB5">
            <w:pPr>
              <w:pStyle w:val="afffb"/>
              <w:rPr>
                <w:bCs/>
              </w:rPr>
            </w:pPr>
            <w:r>
              <w:t>85,456.18</w:t>
            </w:r>
          </w:p>
        </w:tc>
        <w:tc>
          <w:tcPr>
            <w:tcW w:w="462" w:type="pct"/>
            <w:shd w:val="clear" w:color="auto" w:fill="auto"/>
            <w:vAlign w:val="center"/>
          </w:tcPr>
          <w:p w:rsidR="004A3868" w:rsidRDefault="003F1AB5">
            <w:pPr>
              <w:pStyle w:val="afffb"/>
              <w:rPr>
                <w:bCs/>
              </w:rPr>
            </w:pPr>
            <w:r>
              <w:t>85,456.18</w:t>
            </w:r>
          </w:p>
        </w:tc>
        <w:tc>
          <w:tcPr>
            <w:tcW w:w="462" w:type="pct"/>
            <w:shd w:val="clear" w:color="auto" w:fill="auto"/>
            <w:vAlign w:val="center"/>
          </w:tcPr>
          <w:p w:rsidR="004A3868" w:rsidRDefault="003F1AB5">
            <w:pPr>
              <w:pStyle w:val="afffb"/>
              <w:rPr>
                <w:bCs/>
              </w:rPr>
            </w:pPr>
            <w:r>
              <w:t>64,401.05</w:t>
            </w:r>
          </w:p>
        </w:tc>
        <w:tc>
          <w:tcPr>
            <w:tcW w:w="376" w:type="pct"/>
            <w:shd w:val="clear" w:color="auto" w:fill="auto"/>
            <w:vAlign w:val="center"/>
          </w:tcPr>
          <w:p w:rsidR="004A3868" w:rsidRDefault="003F1AB5">
            <w:pPr>
              <w:pStyle w:val="afffb"/>
              <w:rPr>
                <w:bCs/>
              </w:rPr>
            </w:pPr>
            <w:r>
              <w:t>75.36</w:t>
            </w:r>
          </w:p>
        </w:tc>
        <w:tc>
          <w:tcPr>
            <w:tcW w:w="462" w:type="pct"/>
            <w:shd w:val="clear" w:color="auto" w:fill="auto"/>
            <w:vAlign w:val="center"/>
          </w:tcPr>
          <w:p w:rsidR="004A3868" w:rsidRDefault="003F1AB5">
            <w:pPr>
              <w:pStyle w:val="afffb"/>
              <w:rPr>
                <w:bCs/>
              </w:rPr>
            </w:pPr>
            <w:r>
              <w:t>23,228.78</w:t>
            </w:r>
          </w:p>
        </w:tc>
        <w:tc>
          <w:tcPr>
            <w:tcW w:w="419" w:type="pct"/>
            <w:shd w:val="clear" w:color="auto" w:fill="auto"/>
            <w:vAlign w:val="center"/>
          </w:tcPr>
          <w:p w:rsidR="004A3868" w:rsidRDefault="003F1AB5">
            <w:pPr>
              <w:pStyle w:val="afffb"/>
              <w:rPr>
                <w:bCs/>
              </w:rPr>
            </w:pPr>
            <w:r>
              <w:t>27.18</w:t>
            </w:r>
          </w:p>
        </w:tc>
        <w:tc>
          <w:tcPr>
            <w:tcW w:w="367" w:type="pct"/>
            <w:vAlign w:val="center"/>
          </w:tcPr>
          <w:p w:rsidR="004A3868" w:rsidRDefault="003F1AB5">
            <w:pPr>
              <w:pStyle w:val="afffb"/>
            </w:pPr>
            <w:r>
              <w:t>14,774.44</w:t>
            </w:r>
          </w:p>
        </w:tc>
      </w:tr>
      <w:bookmarkEnd w:id="85"/>
    </w:tbl>
    <w:p w:rsidR="004A3868" w:rsidRDefault="004A3868">
      <w:pPr>
        <w:pStyle w:val="afffb"/>
      </w:pPr>
    </w:p>
    <w:p w:rsidR="004A3868" w:rsidRDefault="003F1AB5">
      <w:pPr>
        <w:pStyle w:val="afffb"/>
      </w:pPr>
      <w:r>
        <w:rPr>
          <w:rFonts w:hint="eastAsia"/>
        </w:rPr>
        <w:t>募投项目</w:t>
      </w:r>
      <w:r>
        <w:t>明细</w:t>
      </w:r>
    </w:p>
    <w:bookmarkStart w:id="87" w:name="_Hlk90391869" w:displacedByCustomXml="next"/>
    <w:sdt>
      <w:sdtPr>
        <w:alias w:val="是否适用：募投项目明细[双击切换]"/>
        <w:tag w:val="_GBC_c3fd756c3dbd453ab1ec31cd757c8887"/>
        <w:id w:val="-84378528"/>
        <w:placeholder>
          <w:docPart w:val="GBC22222222222222222222222222222"/>
        </w:placeholder>
      </w:sdtPr>
      <w:sdtEndPr/>
      <w:sdtContent>
        <w:p w:rsidR="004A3868" w:rsidRDefault="003F1AB5">
          <w:pPr>
            <w:pStyle w:val="afffb"/>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b"/>
      </w:pPr>
      <w:r>
        <w:rPr>
          <w:rFonts w:hint="eastAsia"/>
        </w:rPr>
        <w:t>单位</w:t>
      </w:r>
      <w:r>
        <w:t>：</w:t>
      </w:r>
      <w:sdt>
        <w:sdtPr>
          <w:alias w:val="单位：募集资金承诺项目情况"/>
          <w:tag w:val="_GBC_b806261ed02e4f5cad9b8a9d229e212e"/>
          <w:id w:val="-60664923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t>元</w:t>
          </w:r>
        </w:sdtContent>
      </w:sdt>
    </w:p>
    <w:tbl>
      <w:tblPr>
        <w:tblStyle w:val="g8"/>
        <w:tblW w:w="5000" w:type="pct"/>
        <w:jc w:val="center"/>
        <w:tblInd w:w="0" w:type="dxa"/>
        <w:tblLayout w:type="fixed"/>
        <w:tblCellMar>
          <w:left w:w="0" w:type="dxa"/>
          <w:right w:w="28" w:type="dxa"/>
        </w:tblCellMar>
        <w:tblLook w:val="04A0" w:firstRow="1" w:lastRow="0" w:firstColumn="1" w:lastColumn="0" w:noHBand="0" w:noVBand="1"/>
      </w:tblPr>
      <w:tblGrid>
        <w:gridCol w:w="1220"/>
        <w:gridCol w:w="721"/>
        <w:gridCol w:w="463"/>
        <w:gridCol w:w="848"/>
        <w:gridCol w:w="995"/>
        <w:gridCol w:w="566"/>
        <w:gridCol w:w="710"/>
        <w:gridCol w:w="707"/>
        <w:gridCol w:w="710"/>
        <w:gridCol w:w="993"/>
        <w:gridCol w:w="851"/>
        <w:gridCol w:w="568"/>
        <w:gridCol w:w="566"/>
        <w:gridCol w:w="707"/>
        <w:gridCol w:w="707"/>
        <w:gridCol w:w="568"/>
        <w:gridCol w:w="710"/>
        <w:gridCol w:w="851"/>
        <w:gridCol w:w="402"/>
      </w:tblGrid>
      <w:tr w:rsidR="004A3868">
        <w:trPr>
          <w:trHeight w:val="397"/>
          <w:jc w:val="center"/>
        </w:trPr>
        <w:bookmarkEnd w:id="87" w:displacedByCustomXml="next"/>
        <w:bookmarkEnd w:id="86" w:displacedByCustomXml="next"/>
        <w:sdt>
          <w:sdtPr>
            <w:rPr>
              <w:rFonts w:hint="eastAsia"/>
            </w:rPr>
            <w:tag w:val="_PLD_139264c366e146a7a769aaf0689527cc"/>
            <w:id w:val="-1236850110"/>
            <w:lock w:val="sdtLocked"/>
          </w:sdtPr>
          <w:sdtEndPr>
            <w:rPr>
              <w:rFonts w:hint="default"/>
            </w:rPr>
          </w:sdtEndPr>
          <w:sdtContent>
            <w:tc>
              <w:tcPr>
                <w:tcW w:w="44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项目</w:t>
                </w:r>
                <w:r>
                  <w:t>名称</w:t>
                </w:r>
              </w:p>
            </w:tc>
          </w:sdtContent>
        </w:sdt>
        <w:tc>
          <w:tcPr>
            <w:tcW w:w="26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54b83573547948f2adedc411d23fde20"/>
              <w:id w:val="1850525017"/>
              <w:lock w:val="sdtLocked"/>
            </w:sdtPr>
            <w:sdtEndPr/>
            <w:sdtContent>
              <w:p w:rsidR="004A3868" w:rsidRDefault="003F1AB5">
                <w:pPr>
                  <w:pStyle w:val="afffb"/>
                </w:pPr>
                <w:r>
                  <w:rPr>
                    <w:rFonts w:hint="eastAsia"/>
                  </w:rPr>
                  <w:t>项目性质</w:t>
                </w:r>
              </w:p>
            </w:sdtContent>
          </w:sdt>
        </w:tc>
        <w:sdt>
          <w:sdtPr>
            <w:rPr>
              <w:rFonts w:hint="eastAsia"/>
            </w:rPr>
            <w:tag w:val="_PLD_47e014dfbd2f45f28b08f727aee04f17"/>
            <w:id w:val="1311366346"/>
            <w:lock w:val="sdtLocked"/>
          </w:sdtPr>
          <w:sdtEndPr/>
          <w:sdtContent>
            <w:tc>
              <w:tcPr>
                <w:tcW w:w="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是否涉及变更投向</w:t>
                </w:r>
              </w:p>
            </w:tc>
          </w:sdtContent>
        </w:sdt>
        <w:sdt>
          <w:sdtPr>
            <w:rPr>
              <w:rFonts w:hint="eastAsia"/>
            </w:rPr>
            <w:tag w:val="_PLD_0afbc58f33df4ec78520eae8b108f348"/>
            <w:id w:val="-1793118770"/>
            <w:lock w:val="sdtLocked"/>
          </w:sdtPr>
          <w:sdtEndPr/>
          <w:sdtContent>
            <w:tc>
              <w:tcPr>
                <w:tcW w:w="30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募集资金来源</w:t>
                </w:r>
              </w:p>
            </w:tc>
          </w:sdtContent>
        </w:sdt>
        <w:tc>
          <w:tcPr>
            <w:tcW w:w="359"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fe377acf9c2b4b198df424f23c61cf80"/>
              <w:id w:val="-2000887473"/>
              <w:lock w:val="sdtLocked"/>
            </w:sdtPr>
            <w:sdtEndPr/>
            <w:sdtContent>
              <w:p w:rsidR="004A3868" w:rsidRDefault="003F1AB5">
                <w:pPr>
                  <w:pStyle w:val="afffb"/>
                </w:pPr>
                <w:r>
                  <w:rPr>
                    <w:rFonts w:hint="eastAsia"/>
                  </w:rPr>
                  <w:t>募集资金到位时间</w:t>
                </w:r>
              </w:p>
            </w:sdtContent>
          </w:sdt>
        </w:tc>
        <w:tc>
          <w:tcPr>
            <w:tcW w:w="204"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5824c440e6404f5cbd073e7642b272c0"/>
              <w:id w:val="131373117"/>
              <w:lock w:val="sdtLocked"/>
            </w:sdtPr>
            <w:sdtEndPr/>
            <w:sdtContent>
              <w:p w:rsidR="004A3868" w:rsidRDefault="003F1AB5">
                <w:pPr>
                  <w:pStyle w:val="afffb"/>
                </w:pPr>
                <w:r>
                  <w:rPr>
                    <w:rFonts w:hint="eastAsia"/>
                  </w:rPr>
                  <w:t>是否使用超募资金</w:t>
                </w:r>
              </w:p>
            </w:sdtContent>
          </w:sdt>
        </w:tc>
        <w:sdt>
          <w:sdtPr>
            <w:rPr>
              <w:rFonts w:hint="eastAsia"/>
            </w:rPr>
            <w:tag w:val="_PLD_cf84193830e248e698abceafd2186e47"/>
            <w:id w:val="-823115572"/>
            <w:lock w:val="sdtLocked"/>
          </w:sdtPr>
          <w:sdtEndPr/>
          <w:sdtConten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项目募集资金承诺投资总额</w:t>
                </w:r>
              </w:p>
            </w:tc>
          </w:sdtContent>
        </w:sdt>
        <w:sdt>
          <w:sdtPr>
            <w:rPr>
              <w:rFonts w:hint="eastAsia"/>
            </w:rPr>
            <w:tag w:val="_PLD_9e30cc993229445a93950b5ccd7ad92e"/>
            <w:id w:val="667524646"/>
            <w:lock w:val="sdtLocked"/>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rPr>
                    <w:rFonts w:hint="eastAsia"/>
                  </w:rPr>
                  <w:t>调整后募集资金投资总额(1)</w:t>
                </w:r>
              </w:p>
            </w:tc>
          </w:sdtContent>
        </w:sdt>
        <w:sdt>
          <w:sdtPr>
            <w:rPr>
              <w:rFonts w:hint="eastAsia"/>
            </w:rPr>
            <w:tag w:val="_PLD_e8c4f2cbea3e4ba59ceefc391c69e966"/>
            <w:id w:val="-2083983611"/>
            <w:lock w:val="sdtLocked"/>
          </w:sdtPr>
          <w:sdtEndPr/>
          <w:sdtContent>
            <w:tc>
              <w:tcPr>
                <w:tcW w:w="256" w:type="pct"/>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本年投入金额</w:t>
                </w:r>
              </w:p>
            </w:tc>
          </w:sdtContent>
        </w:sdt>
        <w:sdt>
          <w:sdtPr>
            <w:rPr>
              <w:rFonts w:hint="eastAsia"/>
            </w:rPr>
            <w:tag w:val="_PLD_dafea1554b7046cda39954956c697e9d"/>
            <w:id w:val="164745607"/>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截至</w:t>
                </w:r>
                <w:r>
                  <w:t>报告期末</w:t>
                </w:r>
                <w:r>
                  <w:rPr>
                    <w:rFonts w:hint="eastAsia"/>
                  </w:rPr>
                  <w:t>累计投入募集资金总额（2）</w:t>
                </w:r>
              </w:p>
            </w:tc>
          </w:sdtContent>
        </w:sdt>
        <w:sdt>
          <w:sdtPr>
            <w:rPr>
              <w:rFonts w:hint="eastAsia"/>
            </w:rPr>
            <w:tag w:val="_PLD_9dfca8ffa5f042b19c52d6e4d84b861e"/>
            <w:id w:val="-2015912017"/>
            <w:lock w:val="sdtLocked"/>
          </w:sdtPr>
          <w:sdtEndPr/>
          <w:sdtContent>
            <w:tc>
              <w:tcPr>
                <w:tcW w:w="307"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rPr>
                    <w:rFonts w:hint="eastAsia"/>
                  </w:rPr>
                  <w:t>截至报告期末累计投入进度（%）</w:t>
                </w:r>
              </w:p>
              <w:p w:rsidR="004A3868" w:rsidRDefault="003F1AB5">
                <w:pPr>
                  <w:pStyle w:val="afffb"/>
                </w:pPr>
                <w:r>
                  <w:rPr>
                    <w:rFonts w:hint="eastAsia"/>
                  </w:rPr>
                  <w:t>(3)＝(2)/(1)</w:t>
                </w:r>
              </w:p>
            </w:tc>
          </w:sdtContent>
        </w:sdt>
        <w:sdt>
          <w:sdtPr>
            <w:rPr>
              <w:rFonts w:hint="eastAsia"/>
            </w:rPr>
            <w:tag w:val="_PLD_648099475a2b42e2a93ab372d49cb668"/>
            <w:id w:val="1796564539"/>
            <w:lock w:val="sdtLocked"/>
          </w:sdtPr>
          <w:sdtEndPr/>
          <w:sdtContent>
            <w:tc>
              <w:tcPr>
                <w:tcW w:w="20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rPr>
                    <w:rFonts w:hint="eastAsia"/>
                  </w:rPr>
                  <w:t>项目达到预定可使用状态日期</w:t>
                </w:r>
              </w:p>
            </w:tc>
          </w:sdtContent>
        </w:sdt>
        <w:sdt>
          <w:sdtPr>
            <w:rPr>
              <w:rFonts w:hint="eastAsia"/>
            </w:rPr>
            <w:tag w:val="_PLD_ccd2729e6bc9428c94ce2046697842c2"/>
            <w:id w:val="877894301"/>
            <w:lock w:val="sdtLocked"/>
          </w:sdtPr>
          <w:sdtEndPr/>
          <w:sdtContent>
            <w:tc>
              <w:tcPr>
                <w:tcW w:w="204"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rPr>
                    <w:rFonts w:hint="eastAsia"/>
                  </w:rPr>
                  <w:t>是否已结项</w:t>
                </w:r>
              </w:p>
            </w:tc>
          </w:sdtContent>
        </w:sdt>
        <w:sdt>
          <w:sdtPr>
            <w:rPr>
              <w:rFonts w:hint="eastAsia"/>
            </w:rPr>
            <w:tag w:val="_PLD_3b2063723f3949f6907b4c2cd7fe9558"/>
            <w:id w:val="-344169138"/>
            <w:lock w:val="sdtLocked"/>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rPr>
                    <w:rFonts w:hint="eastAsia"/>
                  </w:rPr>
                  <w:t>投入进度是否符合计划的进度</w:t>
                </w:r>
              </w:p>
            </w:tc>
          </w:sdtContent>
        </w:sdt>
        <w:sdt>
          <w:sdtPr>
            <w:rPr>
              <w:rFonts w:hint="eastAsia"/>
            </w:rPr>
            <w:tag w:val="_PLD_55ca5d99f8db4499aee45cea53087b71"/>
            <w:id w:val="-1488776350"/>
            <w:lock w:val="sdtLocked"/>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rPr>
                    <w:rFonts w:hint="eastAsia"/>
                  </w:rPr>
                  <w:t>投入进度未达计划的具体原因</w:t>
                </w:r>
              </w:p>
            </w:tc>
          </w:sdtContent>
        </w:sdt>
        <w:sdt>
          <w:sdtPr>
            <w:rPr>
              <w:rFonts w:hint="eastAsia"/>
            </w:rPr>
            <w:tag w:val="_PLD_dce01a0c1402493985347d25808b102a"/>
            <w:id w:val="-589239568"/>
            <w:lock w:val="sdtLocked"/>
          </w:sdtPr>
          <w:sdtEndPr/>
          <w:sdtContent>
            <w:tc>
              <w:tcPr>
                <w:tcW w:w="20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本年实现的效益</w:t>
                </w:r>
              </w:p>
            </w:tc>
          </w:sdtContent>
        </w:sdt>
        <w:sdt>
          <w:sdtPr>
            <w:rPr>
              <w:rFonts w:hint="eastAsia"/>
            </w:rPr>
            <w:tag w:val="_PLD_3968c58d8ade4f3bbd09771527fd203c"/>
            <w:id w:val="1829397127"/>
            <w:lock w:val="sdtLocked"/>
          </w:sdtPr>
          <w:sdtEndPr/>
          <w:sdtContent>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3868" w:rsidRDefault="003F1AB5">
                <w:pPr>
                  <w:pStyle w:val="afffb"/>
                </w:pPr>
                <w:r>
                  <w:rPr>
                    <w:rFonts w:hint="eastAsia"/>
                  </w:rPr>
                  <w:t>本项目已实现的效益或者研发成果</w:t>
                </w:r>
              </w:p>
            </w:tc>
          </w:sdtContent>
        </w:sdt>
        <w:sdt>
          <w:sdtPr>
            <w:rPr>
              <w:rFonts w:hint="eastAsia"/>
            </w:rPr>
            <w:tag w:val="_PLD_e3da4198e8a84f5580b20f2b4c62809c"/>
            <w:id w:val="703054232"/>
            <w:lock w:val="sdtLocked"/>
          </w:sdtPr>
          <w:sdtEndPr>
            <w:rPr>
              <w:rFonts w:hint="default"/>
            </w:rPr>
          </w:sdtEndPr>
          <w:sdtContent>
            <w:tc>
              <w:tcPr>
                <w:tcW w:w="307" w:type="pct"/>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项目可行性是否发生重大变化，</w:t>
                </w:r>
                <w:r>
                  <w:t>如是，请说明具体情况</w:t>
                </w:r>
              </w:p>
            </w:tc>
          </w:sdtContent>
        </w:sdt>
        <w:sdt>
          <w:sdtPr>
            <w:rPr>
              <w:rFonts w:hint="eastAsia"/>
            </w:rPr>
            <w:tag w:val="_PLD_2bcedd13687a43f8b07fbd0dae2b247b"/>
            <w:id w:val="1473091818"/>
            <w:lock w:val="sdtLocked"/>
          </w:sdtPr>
          <w:sdtEndPr>
            <w:rPr>
              <w:rFonts w:hint="default"/>
            </w:rPr>
          </w:sdtEndPr>
          <w:sdtContent>
            <w:tc>
              <w:tcPr>
                <w:tcW w:w="145" w:type="pct"/>
                <w:tcBorders>
                  <w:top w:val="single" w:sz="4" w:space="0" w:color="auto"/>
                  <w:left w:val="nil"/>
                  <w:bottom w:val="single" w:sz="4" w:space="0" w:color="auto"/>
                  <w:right w:val="single" w:sz="4" w:space="0" w:color="auto"/>
                </w:tcBorders>
                <w:vAlign w:val="center"/>
              </w:tcPr>
              <w:p w:rsidR="004A3868" w:rsidRDefault="003F1AB5">
                <w:pPr>
                  <w:pStyle w:val="afffb"/>
                </w:pPr>
                <w:r>
                  <w:rPr>
                    <w:rFonts w:hint="eastAsia"/>
                  </w:rPr>
                  <w:t>节余金额</w:t>
                </w:r>
              </w:p>
            </w:tc>
          </w:sdtContent>
        </w:sdt>
      </w:tr>
      <w:tr w:rsidR="004A3868">
        <w:trPr>
          <w:trHeight w:val="397"/>
          <w:jc w:val="center"/>
        </w:trPr>
        <w:tc>
          <w:tcPr>
            <w:tcW w:w="44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智能成套电气设备产业基地建设项目</w:t>
            </w:r>
          </w:p>
        </w:tc>
        <w:sdt>
          <w:sdtPr>
            <w:alias w:val="募集资金使用进展明细_项目性质"/>
            <w:tag w:val="_GBC_24dcf66ef6c34e538703cb2ce0712429"/>
            <w:id w:val="-1618446194"/>
            <w:lock w:val="sdtLocked"/>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生产建设</w:t>
                </w:r>
              </w:p>
            </w:tc>
          </w:sdtContent>
        </w:sdt>
        <w:sdt>
          <w:sdtPr>
            <w:alias w:val="募集资金使用进展明细_是否涉及变更投向"/>
            <w:tag w:val="_GBC_b0688bfde1264cae8f829429f57f020f"/>
            <w:id w:val="1240832296"/>
            <w:lock w:val="sdtLocked"/>
            <w:comboBox>
              <w:listItem w:displayText="是" w:value="是"/>
              <w:listItem w:displayText="否" w:value="否"/>
            </w:comboBox>
          </w:sdtPr>
          <w:sdtEndPr/>
          <w:sdtContent>
            <w:tc>
              <w:tcPr>
                <w:tcW w:w="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是</w:t>
                </w:r>
              </w:p>
            </w:tc>
          </w:sdtContent>
        </w:sdt>
        <w:sdt>
          <w:sdtPr>
            <w:alias w:val="募集资金使用进展明细_募集资金来源"/>
            <w:tag w:val="_GBC_5cea9febb3c64eeab2d2d41234133f7b"/>
            <w:id w:val="-477459323"/>
            <w:lock w:val="sdtLocked"/>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0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首次公开发行股票</w:t>
                </w:r>
              </w:p>
            </w:tc>
          </w:sdtContent>
        </w:sdt>
        <w:sdt>
          <w:sdtPr>
            <w:alias w:val="募集资金使用进展明细_募集资金到位时间"/>
            <w:tag w:val="_GBC_02b7b557ca5045a8b4735dce25e23485"/>
            <w:id w:val="944956539"/>
            <w:lock w:val="sdtLocked"/>
            <w:date w:fullDate="2022-04-18T00:00:00Z">
              <w:dateFormat w:val="yyyy'年'M'月'd'日'"/>
              <w:lid w:val="zh-CN"/>
              <w:storeMappedDataAs w:val="dateTime"/>
              <w:calendar w:val="gregorian"/>
            </w:date>
          </w:sdtPr>
          <w:sdtEndPr/>
          <w:sdtContent>
            <w:tc>
              <w:tcPr>
                <w:tcW w:w="3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2022年4月18日</w:t>
                </w:r>
              </w:p>
            </w:tc>
          </w:sdtContent>
        </w:sdt>
        <w:sdt>
          <w:sdtPr>
            <w:alias w:val="募集资金使用进展明细_是否使用超募资金"/>
            <w:tag w:val="_GBC_35ce8a25928e4cf6a68ce6afefa3a9a3"/>
            <w:id w:val="-1341689780"/>
            <w:lock w:val="sdtLocked"/>
            <w:comboBox>
              <w:listItem w:displayText="是" w:value="是"/>
              <w:listItem w:displayText="否" w:value="否"/>
            </w:comboBox>
          </w:sdtPr>
          <w:sdtEndPr/>
          <w:sdtContent>
            <w:tc>
              <w:tcPr>
                <w:tcW w:w="20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39,142.91</w:t>
            </w:r>
          </w:p>
        </w:tc>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24,268.47</w:t>
            </w:r>
          </w:p>
        </w:tc>
        <w:tc>
          <w:tcPr>
            <w:tcW w:w="256" w:type="pct"/>
            <w:tcBorders>
              <w:top w:val="single" w:sz="4" w:space="0" w:color="auto"/>
              <w:left w:val="nil"/>
              <w:bottom w:val="single" w:sz="4" w:space="0" w:color="auto"/>
              <w:right w:val="single" w:sz="4" w:space="0" w:color="auto"/>
            </w:tcBorders>
            <w:vAlign w:val="center"/>
          </w:tcPr>
          <w:p w:rsidR="004A3868" w:rsidRDefault="003F1AB5">
            <w:pPr>
              <w:pStyle w:val="afffb"/>
              <w:rPr>
                <w:bCs/>
              </w:rPr>
            </w:pPr>
            <w:r>
              <w:t>10,046.24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19,835.30</w:t>
            </w:r>
          </w:p>
        </w:tc>
        <w:tc>
          <w:tcPr>
            <w:tcW w:w="307"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81.73</w:t>
            </w:r>
          </w:p>
        </w:tc>
        <w:tc>
          <w:tcPr>
            <w:tcW w:w="20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
          <w:sdtPr>
            <w:alias w:val="募集资金使用进展明细_是否已结项"/>
            <w:tag w:val="_GBC_cca32da2e0764e8ab62bec3a74cd0d64"/>
            <w:id w:val="-1923565799"/>
            <w:lock w:val="sdtLocked"/>
            <w:comboBox>
              <w:listItem w:displayText="是" w:value="是"/>
              <w:listItem w:displayText="否" w:value="否"/>
            </w:comboBox>
          </w:sdtPr>
          <w:sdtEndPr/>
          <w:sdtContent>
            <w:tc>
              <w:tcPr>
                <w:tcW w:w="204"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Content>
        </w:sdt>
        <w:sdt>
          <w:sdtPr>
            <w:alias w:val="募集资金使用进展明细_投入进度是否符合计划的进度"/>
            <w:tag w:val="_GBC_86f91dddf71549489996d08a993ecfdf"/>
            <w:id w:val="-1392177695"/>
            <w:lock w:val="sdtLocked"/>
            <w:comboBox>
              <w:listItem w:displayText="是" w:value="是"/>
              <w:listItem w:displayText="否" w:value="否"/>
            </w:comboBox>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是</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不适用</w:t>
            </w:r>
          </w:p>
        </w:tc>
        <w:tc>
          <w:tcPr>
            <w:tcW w:w="20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不适用</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3868" w:rsidRDefault="003F1AB5">
            <w:pPr>
              <w:pStyle w:val="afffb"/>
              <w:rPr>
                <w:bCs/>
              </w:rPr>
            </w:pPr>
            <w:r>
              <w:t>不适用</w:t>
            </w:r>
          </w:p>
        </w:tc>
        <w:tc>
          <w:tcPr>
            <w:tcW w:w="307" w:type="pct"/>
            <w:tcBorders>
              <w:top w:val="single" w:sz="4" w:space="0" w:color="auto"/>
              <w:left w:val="nil"/>
              <w:bottom w:val="single" w:sz="4" w:space="0" w:color="auto"/>
              <w:right w:val="single" w:sz="4" w:space="0" w:color="auto"/>
            </w:tcBorders>
            <w:vAlign w:val="center"/>
          </w:tcPr>
          <w:p w:rsidR="004A3868" w:rsidRDefault="003F1AB5">
            <w:pPr>
              <w:pStyle w:val="afffb"/>
            </w:pPr>
            <w:r>
              <w:t>否</w:t>
            </w:r>
          </w:p>
        </w:tc>
        <w:tc>
          <w:tcPr>
            <w:tcW w:w="145" w:type="pct"/>
            <w:tcBorders>
              <w:top w:val="single" w:sz="4" w:space="0" w:color="auto"/>
              <w:left w:val="nil"/>
              <w:bottom w:val="single" w:sz="4" w:space="0" w:color="auto"/>
              <w:right w:val="single" w:sz="4" w:space="0" w:color="auto"/>
            </w:tcBorders>
            <w:vAlign w:val="center"/>
          </w:tcPr>
          <w:p w:rsidR="004A3868" w:rsidRDefault="004A3868">
            <w:pPr>
              <w:pStyle w:val="afffb"/>
            </w:pPr>
          </w:p>
        </w:tc>
      </w:tr>
      <w:tr w:rsidR="004A3868">
        <w:trPr>
          <w:trHeight w:val="397"/>
          <w:jc w:val="center"/>
        </w:trPr>
        <w:tc>
          <w:tcPr>
            <w:tcW w:w="44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110</w:t>
            </w:r>
            <w:r>
              <w:rPr>
                <w:rFonts w:hint="eastAsia"/>
              </w:rPr>
              <w:t>kV</w:t>
            </w:r>
            <w:r>
              <w:t>及以下节能型变压器智能化工厂技改项目</w:t>
            </w:r>
          </w:p>
        </w:tc>
        <w:sdt>
          <w:sdtPr>
            <w:alias w:val="募集资金使用进展明细_项目性质"/>
            <w:tag w:val="_GBC_24dcf66ef6c34e538703cb2ce0712429"/>
            <w:id w:val="-1018384847"/>
            <w:lock w:val="sdtLocked"/>
            <w:placeholder>
              <w:docPart w:val="A973F7FEB81C440DBDD1B1893450C7F9"/>
            </w:placeholder>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生产建设</w:t>
                </w:r>
              </w:p>
            </w:tc>
          </w:sdtContent>
        </w:sdt>
        <w:sdt>
          <w:sdtPr>
            <w:alias w:val="募集资金使用进展明细_是否涉及变更投向"/>
            <w:tag w:val="_GBC_b0688bfde1264cae8f829429f57f020f"/>
            <w:id w:val="-310867310"/>
            <w:lock w:val="sdtLocked"/>
            <w:placeholder>
              <w:docPart w:val="8EFAF814443042018BF7350246F74797"/>
            </w:placeholder>
            <w:comboBox>
              <w:listItem w:displayText="是" w:value="是"/>
              <w:listItem w:displayText="否" w:value="否"/>
            </w:comboBox>
          </w:sdtPr>
          <w:sdtEndPr/>
          <w:sdtContent>
            <w:tc>
              <w:tcPr>
                <w:tcW w:w="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sdt>
          <w:sdtPr>
            <w:alias w:val="募集资金使用进展明细_募集资金来源"/>
            <w:tag w:val="_GBC_5cea9febb3c64eeab2d2d41234133f7b"/>
            <w:id w:val="1625196882"/>
            <w:lock w:val="sdtLocked"/>
            <w:placeholder>
              <w:docPart w:val="569D96C1E82D4961A92EF637A2B077F6"/>
            </w:placeholder>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0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首次公开发行股票</w:t>
                </w:r>
              </w:p>
            </w:tc>
          </w:sdtContent>
        </w:sdt>
        <w:sdt>
          <w:sdtPr>
            <w:alias w:val="募集资金使用进展明细_募集资金到位时间"/>
            <w:tag w:val="_GBC_02b7b557ca5045a8b4735dce25e23485"/>
            <w:id w:val="1643691481"/>
            <w:lock w:val="sdtLocked"/>
            <w:placeholder>
              <w:docPart w:val="02609C337D8F4985B097BDA7DA9632F6"/>
            </w:placeholder>
            <w:date w:fullDate="2022-04-18T00:00:00Z">
              <w:dateFormat w:val="yyyy'年'M'月'd'日'"/>
              <w:lid w:val="zh-CN"/>
              <w:storeMappedDataAs w:val="dateTime"/>
              <w:calendar w:val="gregorian"/>
            </w:date>
          </w:sdtPr>
          <w:sdtEndPr/>
          <w:sdtContent>
            <w:tc>
              <w:tcPr>
                <w:tcW w:w="3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2022年4月18日</w:t>
                </w:r>
              </w:p>
            </w:tc>
          </w:sdtContent>
        </w:sdt>
        <w:sdt>
          <w:sdtPr>
            <w:alias w:val="募集资金使用进展明细_是否使用超募资金"/>
            <w:tag w:val="_GBC_35ce8a25928e4cf6a68ce6afefa3a9a3"/>
            <w:id w:val="-2008588673"/>
            <w:lock w:val="sdtLocked"/>
            <w:placeholder>
              <w:docPart w:val="F0051D70CC96429B860F28EDE581E009"/>
            </w:placeholder>
            <w:comboBox>
              <w:listItem w:displayText="是" w:value="是"/>
              <w:listItem w:displayText="否" w:value="否"/>
            </w:comboBox>
          </w:sdtPr>
          <w:sdtEndPr/>
          <w:sdtContent>
            <w:tc>
              <w:tcPr>
                <w:tcW w:w="20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7,330.59</w:t>
            </w:r>
          </w:p>
        </w:tc>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7,330.59</w:t>
            </w:r>
          </w:p>
        </w:tc>
        <w:tc>
          <w:tcPr>
            <w:tcW w:w="256" w:type="pct"/>
            <w:tcBorders>
              <w:top w:val="single" w:sz="4" w:space="0" w:color="auto"/>
              <w:left w:val="nil"/>
              <w:bottom w:val="single" w:sz="4" w:space="0" w:color="auto"/>
              <w:right w:val="single" w:sz="4" w:space="0" w:color="auto"/>
            </w:tcBorders>
            <w:vAlign w:val="center"/>
          </w:tcPr>
          <w:p w:rsidR="004A3868" w:rsidRDefault="003F1AB5">
            <w:pPr>
              <w:pStyle w:val="afffb"/>
              <w:rPr>
                <w:bCs/>
              </w:rPr>
            </w:pPr>
            <w:r>
              <w:t>3,274.58</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3,604.21</w:t>
            </w:r>
          </w:p>
        </w:tc>
        <w:tc>
          <w:tcPr>
            <w:tcW w:w="307"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49.17</w:t>
            </w:r>
          </w:p>
        </w:tc>
        <w:tc>
          <w:tcPr>
            <w:tcW w:w="20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
          <w:sdtPr>
            <w:alias w:val="募集资金使用进展明细_是否已结项"/>
            <w:tag w:val="_GBC_cca32da2e0764e8ab62bec3a74cd0d64"/>
            <w:id w:val="-1790570678"/>
            <w:lock w:val="sdtLocked"/>
            <w:placeholder>
              <w:docPart w:val="D5D20756B2F2491B9A93BCA3845C2CED"/>
            </w:placeholder>
            <w:comboBox>
              <w:listItem w:displayText="是" w:value="是"/>
              <w:listItem w:displayText="否" w:value="否"/>
            </w:comboBox>
          </w:sdtPr>
          <w:sdtEndPr/>
          <w:sdtContent>
            <w:tc>
              <w:tcPr>
                <w:tcW w:w="204"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Content>
        </w:sdt>
        <w:sdt>
          <w:sdtPr>
            <w:alias w:val="募集资金使用进展明细_投入进度是否符合计划的进度"/>
            <w:tag w:val="_GBC_86f91dddf71549489996d08a993ecfdf"/>
            <w:id w:val="-647365290"/>
            <w:lock w:val="sdtLocked"/>
            <w:placeholder>
              <w:docPart w:val="9BF1979FFA1046958D121A5487488682"/>
            </w:placeholder>
            <w:comboBox>
              <w:listItem w:displayText="是" w:value="是"/>
              <w:listItem w:displayText="否" w:value="否"/>
            </w:comboBox>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是</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不适用</w:t>
            </w:r>
          </w:p>
        </w:tc>
        <w:tc>
          <w:tcPr>
            <w:tcW w:w="20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不适用</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3868" w:rsidRDefault="003F1AB5">
            <w:pPr>
              <w:pStyle w:val="afffb"/>
              <w:rPr>
                <w:bCs/>
              </w:rPr>
            </w:pPr>
            <w:r>
              <w:t>不适用</w:t>
            </w:r>
          </w:p>
        </w:tc>
        <w:tc>
          <w:tcPr>
            <w:tcW w:w="307" w:type="pct"/>
            <w:tcBorders>
              <w:top w:val="single" w:sz="4" w:space="0" w:color="auto"/>
              <w:left w:val="nil"/>
              <w:bottom w:val="single" w:sz="4" w:space="0" w:color="auto"/>
              <w:right w:val="single" w:sz="4" w:space="0" w:color="auto"/>
            </w:tcBorders>
            <w:vAlign w:val="center"/>
          </w:tcPr>
          <w:p w:rsidR="004A3868" w:rsidRDefault="003F1AB5">
            <w:pPr>
              <w:pStyle w:val="afffb"/>
            </w:pPr>
            <w:r>
              <w:t>否</w:t>
            </w:r>
          </w:p>
        </w:tc>
        <w:tc>
          <w:tcPr>
            <w:tcW w:w="145" w:type="pct"/>
            <w:tcBorders>
              <w:top w:val="single" w:sz="4" w:space="0" w:color="auto"/>
              <w:left w:val="nil"/>
              <w:bottom w:val="single" w:sz="4" w:space="0" w:color="auto"/>
              <w:right w:val="single" w:sz="4" w:space="0" w:color="auto"/>
            </w:tcBorders>
            <w:vAlign w:val="center"/>
          </w:tcPr>
          <w:p w:rsidR="004A3868" w:rsidRDefault="004A3868">
            <w:pPr>
              <w:pStyle w:val="afffb"/>
            </w:pPr>
          </w:p>
        </w:tc>
      </w:tr>
      <w:tr w:rsidR="004A3868">
        <w:trPr>
          <w:trHeight w:val="397"/>
          <w:jc w:val="center"/>
        </w:trPr>
        <w:tc>
          <w:tcPr>
            <w:tcW w:w="44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lastRenderedPageBreak/>
              <w:t>低铁损高磁感硅钢铁心智能制造项目</w:t>
            </w:r>
          </w:p>
        </w:tc>
        <w:sdt>
          <w:sdtPr>
            <w:alias w:val="募集资金使用进展明细_项目性质"/>
            <w:tag w:val="_GBC_24dcf66ef6c34e538703cb2ce0712429"/>
            <w:id w:val="868644919"/>
            <w:lock w:val="sdtLocked"/>
            <w:placeholder>
              <w:docPart w:val="663B6BE891A44EE19F932F1B4730A617"/>
            </w:placeholder>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生产建设</w:t>
                </w:r>
              </w:p>
            </w:tc>
          </w:sdtContent>
        </w:sdt>
        <w:sdt>
          <w:sdtPr>
            <w:alias w:val="募集资金使用进展明细_是否涉及变更投向"/>
            <w:tag w:val="_GBC_b0688bfde1264cae8f829429f57f020f"/>
            <w:id w:val="716552840"/>
            <w:lock w:val="sdtLocked"/>
            <w:placeholder>
              <w:docPart w:val="769EBA86121243CF99CC02D24982176D"/>
            </w:placeholder>
            <w:comboBox>
              <w:listItem w:displayText="是" w:value="是"/>
              <w:listItem w:displayText="否" w:value="否"/>
            </w:comboBox>
          </w:sdtPr>
          <w:sdtEndPr/>
          <w:sdtContent>
            <w:tc>
              <w:tcPr>
                <w:tcW w:w="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sdt>
          <w:sdtPr>
            <w:alias w:val="募集资金使用进展明细_募集资金来源"/>
            <w:tag w:val="_GBC_5cea9febb3c64eeab2d2d41234133f7b"/>
            <w:id w:val="1412201993"/>
            <w:lock w:val="sdtLocked"/>
            <w:placeholder>
              <w:docPart w:val="8647C5537776418DBEB313E207EE5800"/>
            </w:placeholder>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0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首次公开发行股票</w:t>
                </w:r>
              </w:p>
            </w:tc>
          </w:sdtContent>
        </w:sdt>
        <w:sdt>
          <w:sdtPr>
            <w:alias w:val="募集资金使用进展明细_募集资金到位时间"/>
            <w:tag w:val="_GBC_02b7b557ca5045a8b4735dce25e23485"/>
            <w:id w:val="1868330086"/>
            <w:lock w:val="sdtLocked"/>
            <w:placeholder>
              <w:docPart w:val="CA060A66F4824E2E8C56CD346823244F"/>
            </w:placeholder>
            <w:date w:fullDate="2022-04-18T00:00:00Z">
              <w:dateFormat w:val="yyyy'年'M'月'd'日'"/>
              <w:lid w:val="zh-CN"/>
              <w:storeMappedDataAs w:val="dateTime"/>
              <w:calendar w:val="gregorian"/>
            </w:date>
          </w:sdtPr>
          <w:sdtEndPr/>
          <w:sdtContent>
            <w:tc>
              <w:tcPr>
                <w:tcW w:w="3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2022年4月18日</w:t>
                </w:r>
              </w:p>
            </w:tc>
          </w:sdtContent>
        </w:sdt>
        <w:sdt>
          <w:sdtPr>
            <w:alias w:val="募集资金使用进展明细_是否使用超募资金"/>
            <w:tag w:val="_GBC_35ce8a25928e4cf6a68ce6afefa3a9a3"/>
            <w:id w:val="-975375834"/>
            <w:lock w:val="sdtLocked"/>
            <w:placeholder>
              <w:docPart w:val="22DB351DC27E4FE7AAACEE0AA66CE3D5"/>
            </w:placeholder>
            <w:comboBox>
              <w:listItem w:displayText="是" w:value="是"/>
              <w:listItem w:displayText="否" w:value="否"/>
            </w:comboBox>
          </w:sdtPr>
          <w:sdtEndPr/>
          <w:sdtContent>
            <w:tc>
              <w:tcPr>
                <w:tcW w:w="20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12,832.68</w:t>
            </w:r>
          </w:p>
        </w:tc>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12,832.68</w:t>
            </w:r>
          </w:p>
        </w:tc>
        <w:tc>
          <w:tcPr>
            <w:tcW w:w="256" w:type="pct"/>
            <w:tcBorders>
              <w:top w:val="single" w:sz="4" w:space="0" w:color="auto"/>
              <w:left w:val="nil"/>
              <w:bottom w:val="single" w:sz="4" w:space="0" w:color="auto"/>
              <w:right w:val="single" w:sz="4" w:space="0" w:color="auto"/>
            </w:tcBorders>
            <w:vAlign w:val="center"/>
          </w:tcPr>
          <w:p w:rsidR="004A3868" w:rsidRDefault="003F1AB5">
            <w:pPr>
              <w:pStyle w:val="afffb"/>
              <w:rPr>
                <w:bCs/>
              </w:rPr>
            </w:pPr>
            <w:r>
              <w:t>3,965.72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13,007.87</w:t>
            </w:r>
          </w:p>
        </w:tc>
        <w:tc>
          <w:tcPr>
            <w:tcW w:w="307"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101.37</w:t>
            </w:r>
          </w:p>
        </w:tc>
        <w:tc>
          <w:tcPr>
            <w:tcW w:w="20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是</w:t>
            </w:r>
          </w:p>
        </w:tc>
        <w:sdt>
          <w:sdtPr>
            <w:alias w:val="募集资金使用进展明细_是否已结项"/>
            <w:tag w:val="_GBC_cca32da2e0764e8ab62bec3a74cd0d64"/>
            <w:id w:val="470721526"/>
            <w:lock w:val="sdtLocked"/>
            <w:placeholder>
              <w:docPart w:val="6AABF43690014A4B85E98B92E76B9294"/>
            </w:placeholder>
            <w:comboBox>
              <w:listItem w:displayText="是" w:value="是"/>
              <w:listItem w:displayText="否" w:value="否"/>
            </w:comboBox>
          </w:sdtPr>
          <w:sdtEndPr/>
          <w:sdtContent>
            <w:tc>
              <w:tcPr>
                <w:tcW w:w="204"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Content>
        </w:sdt>
        <w:sdt>
          <w:sdtPr>
            <w:alias w:val="募集资金使用进展明细_投入进度是否符合计划的进度"/>
            <w:tag w:val="_GBC_86f91dddf71549489996d08a993ecfdf"/>
            <w:id w:val="1763799011"/>
            <w:lock w:val="sdtLocked"/>
            <w:placeholder>
              <w:docPart w:val="A025B019A5124977A79A7E0E28C115D7"/>
            </w:placeholder>
            <w:comboBox>
              <w:listItem w:displayText="是" w:value="是"/>
              <w:listItem w:displayText="否" w:value="否"/>
            </w:comboBox>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是</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不适用</w:t>
            </w:r>
          </w:p>
        </w:tc>
        <w:tc>
          <w:tcPr>
            <w:tcW w:w="20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8</w:t>
            </w:r>
            <w:r>
              <w:t>81.36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3868" w:rsidRDefault="003F1AB5">
            <w:pPr>
              <w:pStyle w:val="afffb"/>
              <w:rPr>
                <w:bCs/>
              </w:rPr>
            </w:pPr>
            <w:r>
              <w:t>不适用</w:t>
            </w:r>
          </w:p>
        </w:tc>
        <w:tc>
          <w:tcPr>
            <w:tcW w:w="307" w:type="pct"/>
            <w:tcBorders>
              <w:top w:val="single" w:sz="4" w:space="0" w:color="auto"/>
              <w:left w:val="nil"/>
              <w:bottom w:val="single" w:sz="4" w:space="0" w:color="auto"/>
              <w:right w:val="single" w:sz="4" w:space="0" w:color="auto"/>
            </w:tcBorders>
            <w:vAlign w:val="center"/>
          </w:tcPr>
          <w:p w:rsidR="004A3868" w:rsidRDefault="003F1AB5">
            <w:pPr>
              <w:pStyle w:val="afffb"/>
            </w:pPr>
            <w:r>
              <w:t>否</w:t>
            </w:r>
          </w:p>
        </w:tc>
        <w:tc>
          <w:tcPr>
            <w:tcW w:w="145" w:type="pct"/>
            <w:tcBorders>
              <w:top w:val="single" w:sz="4" w:space="0" w:color="auto"/>
              <w:left w:val="nil"/>
              <w:bottom w:val="single" w:sz="4" w:space="0" w:color="auto"/>
              <w:right w:val="single" w:sz="4" w:space="0" w:color="auto"/>
            </w:tcBorders>
            <w:vAlign w:val="center"/>
          </w:tcPr>
          <w:p w:rsidR="004A3868" w:rsidRDefault="004A3868">
            <w:pPr>
              <w:pStyle w:val="afffb"/>
            </w:pPr>
          </w:p>
        </w:tc>
      </w:tr>
      <w:tr w:rsidR="004A3868">
        <w:trPr>
          <w:trHeight w:val="397"/>
          <w:jc w:val="center"/>
        </w:trPr>
        <w:tc>
          <w:tcPr>
            <w:tcW w:w="44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研发中心及信息化建设项目</w:t>
            </w:r>
          </w:p>
        </w:tc>
        <w:sdt>
          <w:sdtPr>
            <w:alias w:val="募集资金使用进展明细_项目性质"/>
            <w:tag w:val="_GBC_24dcf66ef6c34e538703cb2ce0712429"/>
            <w:id w:val="-1551214723"/>
            <w:lock w:val="sdtLocked"/>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生产建设</w:t>
                </w:r>
              </w:p>
            </w:tc>
          </w:sdtContent>
        </w:sdt>
        <w:sdt>
          <w:sdtPr>
            <w:alias w:val="募集资金使用进展明细_是否涉及变更投向"/>
            <w:tag w:val="_GBC_b0688bfde1264cae8f829429f57f020f"/>
            <w:id w:val="-1589302940"/>
            <w:lock w:val="sdtLocked"/>
            <w:comboBox>
              <w:listItem w:displayText="是" w:value="是"/>
              <w:listItem w:displayText="否" w:value="否"/>
            </w:comboBox>
          </w:sdtPr>
          <w:sdtEndPr/>
          <w:sdtContent>
            <w:tc>
              <w:tcPr>
                <w:tcW w:w="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sdt>
          <w:sdtPr>
            <w:alias w:val="募集资金使用进展明细_募集资金来源"/>
            <w:tag w:val="_GBC_5cea9febb3c64eeab2d2d41234133f7b"/>
            <w:id w:val="1121497288"/>
            <w:lock w:val="sdtLocked"/>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0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首次公开发行股票</w:t>
                </w:r>
              </w:p>
            </w:tc>
          </w:sdtContent>
        </w:sdt>
        <w:sdt>
          <w:sdtPr>
            <w:alias w:val="募集资金使用进展明细_募集资金到位时间"/>
            <w:tag w:val="_GBC_02b7b557ca5045a8b4735dce25e23485"/>
            <w:id w:val="982353022"/>
            <w:lock w:val="sdtLocked"/>
            <w:date w:fullDate="2022-04-18T00:00:00Z">
              <w:dateFormat w:val="yyyy'年'M'月'd'日'"/>
              <w:lid w:val="zh-CN"/>
              <w:storeMappedDataAs w:val="dateTime"/>
              <w:calendar w:val="gregorian"/>
            </w:date>
          </w:sdtPr>
          <w:sdtEndPr/>
          <w:sdtContent>
            <w:tc>
              <w:tcPr>
                <w:tcW w:w="3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2022年4月18日</w:t>
                </w:r>
              </w:p>
            </w:tc>
          </w:sdtContent>
        </w:sdt>
        <w:sdt>
          <w:sdtPr>
            <w:alias w:val="募集资金使用进展明细_是否使用超募资金"/>
            <w:tag w:val="_GBC_35ce8a25928e4cf6a68ce6afefa3a9a3"/>
            <w:id w:val="711934677"/>
            <w:lock w:val="sdtLocked"/>
            <w:comboBox>
              <w:listItem w:displayText="是" w:value="是"/>
              <w:listItem w:displayText="否" w:value="否"/>
            </w:comboBox>
          </w:sdtPr>
          <w:sdtEndPr/>
          <w:sdtContent>
            <w:tc>
              <w:tcPr>
                <w:tcW w:w="20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6,250.00</w:t>
            </w:r>
          </w:p>
        </w:tc>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6,250.00</w:t>
            </w:r>
          </w:p>
        </w:tc>
        <w:tc>
          <w:tcPr>
            <w:tcW w:w="256" w:type="pct"/>
            <w:tcBorders>
              <w:top w:val="single" w:sz="4" w:space="0" w:color="auto"/>
              <w:left w:val="nil"/>
              <w:bottom w:val="single" w:sz="4" w:space="0" w:color="auto"/>
              <w:right w:val="single" w:sz="4" w:space="0" w:color="auto"/>
            </w:tcBorders>
            <w:vAlign w:val="center"/>
          </w:tcPr>
          <w:p w:rsidR="004A3868" w:rsidRDefault="003F1AB5">
            <w:pPr>
              <w:pStyle w:val="afffb"/>
              <w:rPr>
                <w:bCs/>
              </w:rPr>
            </w:pPr>
            <w:r>
              <w:t>900.94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2,912.38</w:t>
            </w:r>
          </w:p>
        </w:tc>
        <w:tc>
          <w:tcPr>
            <w:tcW w:w="307"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46.60</w:t>
            </w:r>
          </w:p>
        </w:tc>
        <w:tc>
          <w:tcPr>
            <w:tcW w:w="20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
          <w:sdtPr>
            <w:alias w:val="募集资金使用进展明细_是否已结项"/>
            <w:tag w:val="_GBC_cca32da2e0764e8ab62bec3a74cd0d64"/>
            <w:id w:val="909270747"/>
            <w:lock w:val="sdtLocked"/>
            <w:comboBox>
              <w:listItem w:displayText="是" w:value="是"/>
              <w:listItem w:displayText="否" w:value="否"/>
            </w:comboBox>
          </w:sdtPr>
          <w:sdtEndPr/>
          <w:sdtContent>
            <w:tc>
              <w:tcPr>
                <w:tcW w:w="204"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Content>
        </w:sdt>
        <w:sdt>
          <w:sdtPr>
            <w:alias w:val="募集资金使用进展明细_投入进度是否符合计划的进度"/>
            <w:tag w:val="_GBC_86f91dddf71549489996d08a993ecfdf"/>
            <w:id w:val="1298489782"/>
            <w:lock w:val="sdtLocked"/>
            <w:comboBox>
              <w:listItem w:displayText="是" w:value="是"/>
              <w:listItem w:displayText="否" w:value="否"/>
            </w:comboBox>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是</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不适用</w:t>
            </w:r>
          </w:p>
        </w:tc>
        <w:tc>
          <w:tcPr>
            <w:tcW w:w="20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不适用</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3868" w:rsidRDefault="003F1AB5">
            <w:pPr>
              <w:pStyle w:val="afffb"/>
              <w:rPr>
                <w:bCs/>
              </w:rPr>
            </w:pPr>
            <w:r>
              <w:t>不适用</w:t>
            </w:r>
          </w:p>
        </w:tc>
        <w:tc>
          <w:tcPr>
            <w:tcW w:w="307" w:type="pct"/>
            <w:tcBorders>
              <w:top w:val="single" w:sz="4" w:space="0" w:color="auto"/>
              <w:left w:val="nil"/>
              <w:bottom w:val="single" w:sz="4" w:space="0" w:color="auto"/>
              <w:right w:val="single" w:sz="4" w:space="0" w:color="auto"/>
            </w:tcBorders>
            <w:vAlign w:val="center"/>
          </w:tcPr>
          <w:p w:rsidR="004A3868" w:rsidRDefault="003F1AB5">
            <w:pPr>
              <w:pStyle w:val="afffb"/>
            </w:pPr>
            <w:r>
              <w:t>否</w:t>
            </w:r>
          </w:p>
        </w:tc>
        <w:tc>
          <w:tcPr>
            <w:tcW w:w="145" w:type="pct"/>
            <w:tcBorders>
              <w:top w:val="single" w:sz="4" w:space="0" w:color="auto"/>
              <w:left w:val="nil"/>
              <w:bottom w:val="single" w:sz="4" w:space="0" w:color="auto"/>
              <w:right w:val="single" w:sz="4" w:space="0" w:color="auto"/>
            </w:tcBorders>
            <w:vAlign w:val="center"/>
          </w:tcPr>
          <w:p w:rsidR="004A3868" w:rsidRDefault="004A3868">
            <w:pPr>
              <w:pStyle w:val="afffb"/>
            </w:pPr>
          </w:p>
        </w:tc>
      </w:tr>
      <w:tr w:rsidR="004A3868">
        <w:trPr>
          <w:trHeight w:val="397"/>
          <w:jc w:val="center"/>
        </w:trPr>
        <w:tc>
          <w:tcPr>
            <w:tcW w:w="44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智控设备及金属制品智能工厂建设项目（一期）</w:t>
            </w:r>
          </w:p>
        </w:tc>
        <w:sdt>
          <w:sdtPr>
            <w:alias w:val="募集资金使用进展明细_项目性质"/>
            <w:tag w:val="_GBC_24dcf66ef6c34e538703cb2ce0712429"/>
            <w:id w:val="-367984246"/>
            <w:lock w:val="sdtLocked"/>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生产建设</w:t>
                </w:r>
              </w:p>
            </w:tc>
          </w:sdtContent>
        </w:sdt>
        <w:sdt>
          <w:sdtPr>
            <w:alias w:val="募集资金使用进展明细_是否涉及变更投向"/>
            <w:tag w:val="_GBC_b0688bfde1264cae8f829429f57f020f"/>
            <w:id w:val="1189793646"/>
            <w:lock w:val="sdtLocked"/>
            <w:comboBox>
              <w:listItem w:displayText="是" w:value="是"/>
              <w:listItem w:displayText="否" w:value="否"/>
            </w:comboBox>
          </w:sdtPr>
          <w:sdtEndPr/>
          <w:sdtContent>
            <w:tc>
              <w:tcPr>
                <w:tcW w:w="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sdt>
          <w:sdtPr>
            <w:alias w:val="募集资金使用进展明细_募集资金来源"/>
            <w:tag w:val="_GBC_5cea9febb3c64eeab2d2d41234133f7b"/>
            <w:id w:val="155813295"/>
            <w:lock w:val="sdtLocked"/>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0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首次公开发行股票</w:t>
                </w:r>
              </w:p>
            </w:tc>
          </w:sdtContent>
        </w:sdt>
        <w:sdt>
          <w:sdtPr>
            <w:alias w:val="募集资金使用进展明细_募集资金到位时间"/>
            <w:tag w:val="_GBC_02b7b557ca5045a8b4735dce25e23485"/>
            <w:id w:val="-725296204"/>
            <w:lock w:val="sdtLocked"/>
            <w:date w:fullDate="2022-04-18T00:00:00Z">
              <w:dateFormat w:val="yyyy'年'M'月'd'日'"/>
              <w:lid w:val="zh-CN"/>
              <w:storeMappedDataAs w:val="dateTime"/>
              <w:calendar w:val="gregorian"/>
            </w:date>
          </w:sdtPr>
          <w:sdtEndPr/>
          <w:sdtContent>
            <w:tc>
              <w:tcPr>
                <w:tcW w:w="3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2022年4月18日</w:t>
                </w:r>
              </w:p>
            </w:tc>
          </w:sdtContent>
        </w:sdt>
        <w:sdt>
          <w:sdtPr>
            <w:alias w:val="募集资金使用进展明细_是否使用超募资金"/>
            <w:tag w:val="_GBC_35ce8a25928e4cf6a68ce6afefa3a9a3"/>
            <w:id w:val="-491322214"/>
            <w:lock w:val="sdtLocked"/>
            <w:comboBox>
              <w:listItem w:displayText="是" w:value="是"/>
              <w:listItem w:displayText="否" w:value="否"/>
            </w:comboBox>
          </w:sdtPr>
          <w:sdtEndPr/>
          <w:sdtContent>
            <w:tc>
              <w:tcPr>
                <w:tcW w:w="20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b"/>
            </w:pPr>
          </w:p>
        </w:tc>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14,774.44</w:t>
            </w:r>
          </w:p>
        </w:tc>
        <w:tc>
          <w:tcPr>
            <w:tcW w:w="256" w:type="pct"/>
            <w:tcBorders>
              <w:top w:val="single" w:sz="4" w:space="0" w:color="auto"/>
              <w:left w:val="nil"/>
              <w:bottom w:val="single" w:sz="4" w:space="0" w:color="auto"/>
              <w:right w:val="single" w:sz="4" w:space="0" w:color="auto"/>
            </w:tcBorders>
            <w:vAlign w:val="center"/>
          </w:tcPr>
          <w:p w:rsidR="004A3868" w:rsidRDefault="003F1AB5">
            <w:pPr>
              <w:pStyle w:val="afffb"/>
              <w:rPr>
                <w:bCs/>
              </w:rPr>
            </w:pPr>
            <w:r>
              <w:t>5,041.29</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5,041.29</w:t>
            </w:r>
          </w:p>
        </w:tc>
        <w:tc>
          <w:tcPr>
            <w:tcW w:w="307"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34.12</w:t>
            </w:r>
          </w:p>
        </w:tc>
        <w:tc>
          <w:tcPr>
            <w:tcW w:w="20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
          <w:sdtPr>
            <w:alias w:val="募集资金使用进展明细_是否已结项"/>
            <w:tag w:val="_GBC_cca32da2e0764e8ab62bec3a74cd0d64"/>
            <w:id w:val="-571427772"/>
            <w:lock w:val="sdtLocked"/>
            <w:comboBox>
              <w:listItem w:displayText="是" w:value="是"/>
              <w:listItem w:displayText="否" w:value="否"/>
            </w:comboBox>
          </w:sdtPr>
          <w:sdtEndPr/>
          <w:sdtContent>
            <w:tc>
              <w:tcPr>
                <w:tcW w:w="204"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Content>
        </w:sdt>
        <w:sdt>
          <w:sdtPr>
            <w:alias w:val="募集资金使用进展明细_投入进度是否符合计划的进度"/>
            <w:tag w:val="_GBC_86f91dddf71549489996d08a993ecfdf"/>
            <w:id w:val="15971983"/>
            <w:lock w:val="sdtLocked"/>
            <w:comboBox>
              <w:listItem w:displayText="是" w:value="是"/>
              <w:listItem w:displayText="否" w:value="否"/>
            </w:comboBox>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是</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不适用</w:t>
            </w:r>
          </w:p>
        </w:tc>
        <w:tc>
          <w:tcPr>
            <w:tcW w:w="20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不适用</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3868" w:rsidRDefault="003F1AB5">
            <w:pPr>
              <w:pStyle w:val="afffb"/>
              <w:rPr>
                <w:bCs/>
              </w:rPr>
            </w:pPr>
            <w:r>
              <w:t>不适用</w:t>
            </w:r>
          </w:p>
        </w:tc>
        <w:tc>
          <w:tcPr>
            <w:tcW w:w="307" w:type="pct"/>
            <w:tcBorders>
              <w:top w:val="single" w:sz="4" w:space="0" w:color="auto"/>
              <w:left w:val="nil"/>
              <w:bottom w:val="single" w:sz="4" w:space="0" w:color="auto"/>
              <w:right w:val="single" w:sz="4" w:space="0" w:color="auto"/>
            </w:tcBorders>
            <w:vAlign w:val="center"/>
          </w:tcPr>
          <w:p w:rsidR="004A3868" w:rsidRDefault="003F1AB5">
            <w:pPr>
              <w:pStyle w:val="afffb"/>
            </w:pPr>
            <w:r>
              <w:t>否</w:t>
            </w:r>
          </w:p>
        </w:tc>
        <w:tc>
          <w:tcPr>
            <w:tcW w:w="145" w:type="pct"/>
            <w:tcBorders>
              <w:top w:val="single" w:sz="4" w:space="0" w:color="auto"/>
              <w:left w:val="nil"/>
              <w:bottom w:val="single" w:sz="4" w:space="0" w:color="auto"/>
              <w:right w:val="single" w:sz="4" w:space="0" w:color="auto"/>
            </w:tcBorders>
            <w:vAlign w:val="center"/>
          </w:tcPr>
          <w:p w:rsidR="004A3868" w:rsidRDefault="004A3868">
            <w:pPr>
              <w:pStyle w:val="afffb"/>
            </w:pPr>
          </w:p>
        </w:tc>
      </w:tr>
      <w:tr w:rsidR="004A3868">
        <w:trPr>
          <w:trHeight w:val="397"/>
          <w:jc w:val="center"/>
        </w:trPr>
        <w:tc>
          <w:tcPr>
            <w:tcW w:w="44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补充流动资金</w:t>
            </w:r>
          </w:p>
        </w:tc>
        <w:sdt>
          <w:sdtPr>
            <w:alias w:val="募集资金使用进展明细_项目性质"/>
            <w:tag w:val="_GBC_24dcf66ef6c34e538703cb2ce0712429"/>
            <w:id w:val="58995930"/>
            <w:lock w:val="sdtLocked"/>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补流还贷</w:t>
                </w:r>
              </w:p>
            </w:tc>
          </w:sdtContent>
        </w:sdt>
        <w:sdt>
          <w:sdtPr>
            <w:alias w:val="募集资金使用进展明细_是否涉及变更投向"/>
            <w:tag w:val="_GBC_b0688bfde1264cae8f829429f57f020f"/>
            <w:id w:val="-386884499"/>
            <w:lock w:val="sdtLocked"/>
            <w:comboBox>
              <w:listItem w:displayText="是" w:value="是"/>
              <w:listItem w:displayText="否" w:value="否"/>
            </w:comboBox>
          </w:sdtPr>
          <w:sdtEndPr/>
          <w:sdtContent>
            <w:tc>
              <w:tcPr>
                <w:tcW w:w="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sdt>
          <w:sdtPr>
            <w:alias w:val="募集资金使用进展明细_募集资金来源"/>
            <w:tag w:val="_GBC_5cea9febb3c64eeab2d2d41234133f7b"/>
            <w:id w:val="1522281836"/>
            <w:lock w:val="sdtLocked"/>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0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首次公开发行股票</w:t>
                </w:r>
              </w:p>
            </w:tc>
          </w:sdtContent>
        </w:sdt>
        <w:sdt>
          <w:sdtPr>
            <w:alias w:val="募集资金使用进展明细_募集资金到位时间"/>
            <w:tag w:val="_GBC_02b7b557ca5045a8b4735dce25e23485"/>
            <w:id w:val="-684746044"/>
            <w:lock w:val="sdtLocked"/>
            <w:date w:fullDate="2022-04-18T00:00:00Z">
              <w:dateFormat w:val="yyyy'年'M'月'd'日'"/>
              <w:lid w:val="zh-CN"/>
              <w:storeMappedDataAs w:val="dateTime"/>
              <w:calendar w:val="gregorian"/>
            </w:date>
          </w:sdtPr>
          <w:sdtEndPr/>
          <w:sdtContent>
            <w:tc>
              <w:tcPr>
                <w:tcW w:w="3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2022年4月18日</w:t>
                </w:r>
              </w:p>
            </w:tc>
          </w:sdtContent>
        </w:sdt>
        <w:sdt>
          <w:sdtPr>
            <w:alias w:val="募集资金使用进展明细_是否使用超募资金"/>
            <w:tag w:val="_GBC_35ce8a25928e4cf6a68ce6afefa3a9a3"/>
            <w:id w:val="-1475672615"/>
            <w:lock w:val="sdtLocked"/>
            <w:comboBox>
              <w:listItem w:displayText="是" w:value="是"/>
              <w:listItem w:displayText="否" w:value="否"/>
            </w:comboBox>
          </w:sdtPr>
          <w:sdtEndPr/>
          <w:sdtContent>
            <w:tc>
              <w:tcPr>
                <w:tcW w:w="20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否</w:t>
                </w:r>
              </w:p>
            </w:tc>
          </w:sdtContent>
        </w:sd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20,000.00</w:t>
            </w:r>
          </w:p>
        </w:tc>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20,000.00</w:t>
            </w:r>
          </w:p>
        </w:tc>
        <w:tc>
          <w:tcPr>
            <w:tcW w:w="256" w:type="pct"/>
            <w:tcBorders>
              <w:top w:val="single" w:sz="4" w:space="0" w:color="auto"/>
              <w:left w:val="nil"/>
              <w:bottom w:val="single" w:sz="4" w:space="0" w:color="auto"/>
              <w:right w:val="single" w:sz="4" w:space="0" w:color="auto"/>
            </w:tcBorders>
            <w:vAlign w:val="center"/>
          </w:tcPr>
          <w:p w:rsidR="004A3868" w:rsidRDefault="003F1AB5">
            <w:pPr>
              <w:pStyle w:val="afffb"/>
              <w:rPr>
                <w:bCs/>
              </w:rPr>
            </w:pPr>
            <w:r>
              <w:t>0.00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bCs/>
              </w:rPr>
            </w:pPr>
            <w:r>
              <w:t>20,000.00</w:t>
            </w:r>
          </w:p>
        </w:tc>
        <w:tc>
          <w:tcPr>
            <w:tcW w:w="307"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100.00</w:t>
            </w:r>
          </w:p>
        </w:tc>
        <w:tc>
          <w:tcPr>
            <w:tcW w:w="20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不适用</w:t>
            </w:r>
          </w:p>
        </w:tc>
        <w:sdt>
          <w:sdtPr>
            <w:alias w:val="募集资金使用进展明细_是否已结项"/>
            <w:tag w:val="_GBC_cca32da2e0764e8ab62bec3a74cd0d64"/>
            <w:id w:val="-1856803953"/>
            <w:lock w:val="sdtLocked"/>
            <w:comboBox>
              <w:listItem w:displayText="是" w:value="是"/>
              <w:listItem w:displayText="否" w:value="否"/>
            </w:comboBox>
          </w:sdtPr>
          <w:sdtEndPr/>
          <w:sdtContent>
            <w:tc>
              <w:tcPr>
                <w:tcW w:w="204"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否</w:t>
                </w:r>
              </w:p>
            </w:tc>
          </w:sdtContent>
        </w:sdt>
        <w:sdt>
          <w:sdtPr>
            <w:alias w:val="募集资金使用进展明细_投入进度是否符合计划的进度"/>
            <w:tag w:val="_GBC_86f91dddf71549489996d08a993ecfdf"/>
            <w:id w:val="-1608038081"/>
            <w:lock w:val="sdtLocked"/>
            <w:comboBox>
              <w:listItem w:displayText="是" w:value="是"/>
              <w:listItem w:displayText="否" w:value="否"/>
            </w:comboBox>
          </w:sdtPr>
          <w:sdtEndPr/>
          <w:sdtConten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pPr>
                <w:r>
                  <w:t>是</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rsidR="004A3868" w:rsidRDefault="003F1AB5">
            <w:pPr>
              <w:pStyle w:val="afffb"/>
              <w:rPr>
                <w:bCs/>
              </w:rPr>
            </w:pPr>
            <w:r>
              <w:t>不适用</w:t>
            </w:r>
          </w:p>
        </w:tc>
        <w:tc>
          <w:tcPr>
            <w:tcW w:w="20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bCs/>
              </w:rPr>
            </w:pPr>
            <w:r>
              <w:t>不适用</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3868" w:rsidRDefault="003F1AB5">
            <w:pPr>
              <w:pStyle w:val="afffb"/>
              <w:rPr>
                <w:bCs/>
              </w:rPr>
            </w:pPr>
            <w:r>
              <w:t>不适用</w:t>
            </w:r>
          </w:p>
        </w:tc>
        <w:tc>
          <w:tcPr>
            <w:tcW w:w="307" w:type="pct"/>
            <w:tcBorders>
              <w:top w:val="single" w:sz="4" w:space="0" w:color="auto"/>
              <w:left w:val="nil"/>
              <w:bottom w:val="single" w:sz="4" w:space="0" w:color="auto"/>
              <w:right w:val="single" w:sz="4" w:space="0" w:color="auto"/>
            </w:tcBorders>
            <w:vAlign w:val="center"/>
          </w:tcPr>
          <w:p w:rsidR="004A3868" w:rsidRDefault="003F1AB5">
            <w:pPr>
              <w:pStyle w:val="afffb"/>
            </w:pPr>
            <w:r>
              <w:t>否</w:t>
            </w:r>
          </w:p>
        </w:tc>
        <w:tc>
          <w:tcPr>
            <w:tcW w:w="145" w:type="pct"/>
            <w:tcBorders>
              <w:top w:val="single" w:sz="4" w:space="0" w:color="auto"/>
              <w:left w:val="nil"/>
              <w:bottom w:val="single" w:sz="4" w:space="0" w:color="auto"/>
              <w:right w:val="single" w:sz="4" w:space="0" w:color="auto"/>
            </w:tcBorders>
            <w:vAlign w:val="center"/>
          </w:tcPr>
          <w:p w:rsidR="004A3868" w:rsidRDefault="004A3868">
            <w:pPr>
              <w:pStyle w:val="afffb"/>
            </w:pPr>
          </w:p>
        </w:tc>
      </w:tr>
    </w:tbl>
    <w:p w:rsidR="004A3868" w:rsidRDefault="004A3868">
      <w:pPr>
        <w:rPr>
          <w:highlight w:val="yellow"/>
        </w:rPr>
      </w:pPr>
    </w:p>
    <w:p w:rsidR="004A3868" w:rsidRDefault="003F1AB5">
      <w:pPr>
        <w:pStyle w:val="Style127"/>
        <w:numPr>
          <w:ilvl w:val="0"/>
          <w:numId w:val="47"/>
        </w:numPr>
      </w:pPr>
      <w:r>
        <w:rPr>
          <w:rFonts w:hint="eastAsia"/>
        </w:rPr>
        <w:t>报告期</w:t>
      </w:r>
      <w:r>
        <w:t>内</w:t>
      </w:r>
      <w:r>
        <w:rPr>
          <w:rFonts w:hint="eastAsia"/>
        </w:rPr>
        <w:t>募投变更或终止情况</w:t>
      </w:r>
    </w:p>
    <w:sdt>
      <w:sdtPr>
        <w:alias w:val="是否适用：报告期内募投变更情况  [双击切换]"/>
        <w:tag w:val="_GBC_a496b8dec07640a9b943b332dce23006"/>
        <w:id w:val="1122120573"/>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MACROBUTTON  SnrToggleCheckbox □不适用 </w:instrText>
          </w:r>
          <w:r>
            <w:rPr>
              <w:sz w:val="21"/>
              <w:szCs w:val="21"/>
            </w:rPr>
            <w:fldChar w:fldCharType="end"/>
          </w:r>
        </w:p>
      </w:sdtContent>
    </w:sdt>
    <w:p w:rsidR="004A3868" w:rsidRDefault="003F1AB5">
      <w:pPr>
        <w:pStyle w:val="afff5"/>
      </w:pPr>
      <w:r>
        <w:rPr>
          <w:rFonts w:hint="eastAsia"/>
        </w:rPr>
        <w:t>单位：</w:t>
      </w:r>
      <w:sdt>
        <w:sdtPr>
          <w:rPr>
            <w:rFonts w:hint="eastAsia"/>
          </w:rPr>
          <w:alias w:val="单位：报告期内募投变更或终止情况"/>
          <w:tag w:val="_GBC_9df9adab033d41f78e495e85766dbf82"/>
          <w:id w:val="-2118895100"/>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w:t>
      </w:r>
      <w:r>
        <w:rPr>
          <w:rFonts w:hint="eastAsia"/>
        </w:rPr>
        <w:t>币种：</w:t>
      </w:r>
      <w:sdt>
        <w:sdtPr>
          <w:rPr>
            <w:rFonts w:hint="eastAsia"/>
          </w:rPr>
          <w:alias w:val="币种：报告期内募投变更或终止情况"/>
          <w:tag w:val="_GBC_69ecc0781cc54d7d958547a79f226c7d"/>
          <w:id w:val="236069883"/>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458"/>
        <w:gridCol w:w="1542"/>
        <w:gridCol w:w="1481"/>
        <w:gridCol w:w="2185"/>
        <w:gridCol w:w="3674"/>
        <w:gridCol w:w="1126"/>
        <w:gridCol w:w="1397"/>
      </w:tblGrid>
      <w:tr w:rsidR="004A3868">
        <w:trPr>
          <w:trHeight w:val="397"/>
          <w:jc w:val="center"/>
        </w:trPr>
        <w:sdt>
          <w:sdtPr>
            <w:rPr>
              <w:rFonts w:hint="eastAsia"/>
            </w:rPr>
            <w:tag w:val="_PLD_c505852656d04afc8dee81765a5aa479"/>
            <w:id w:val="-1425881392"/>
          </w:sdtPr>
          <w:sdtEndPr/>
          <w:sdtContent>
            <w:tc>
              <w:tcPr>
                <w:tcW w:w="887" w:type="pct"/>
                <w:shd w:val="clear" w:color="auto" w:fill="auto"/>
                <w:vAlign w:val="center"/>
              </w:tcPr>
              <w:p w:rsidR="004A3868" w:rsidRDefault="003F1AB5">
                <w:pPr>
                  <w:pStyle w:val="afffb"/>
                </w:pPr>
                <w:r>
                  <w:rPr>
                    <w:rFonts w:hint="eastAsia"/>
                  </w:rPr>
                  <w:t>变更前项目名称</w:t>
                </w:r>
              </w:p>
            </w:tc>
          </w:sdtContent>
        </w:sdt>
        <w:sdt>
          <w:sdtPr>
            <w:rPr>
              <w:rFonts w:hint="eastAsia"/>
            </w:rPr>
            <w:tag w:val="_PLD_da2dc7c8f8ab4f3aa5098266a315530b"/>
            <w:id w:val="2075932799"/>
          </w:sdtPr>
          <w:sdtEndPr>
            <w:rPr>
              <w:rFonts w:hint="default"/>
            </w:rPr>
          </w:sdtEndPr>
          <w:sdtContent>
            <w:tc>
              <w:tcPr>
                <w:tcW w:w="556" w:type="pct"/>
                <w:vAlign w:val="center"/>
              </w:tcPr>
              <w:p w:rsidR="004A3868" w:rsidRDefault="003F1AB5">
                <w:pPr>
                  <w:pStyle w:val="afffb"/>
                </w:pPr>
                <w:r>
                  <w:rPr>
                    <w:rFonts w:hint="eastAsia"/>
                  </w:rPr>
                  <w:t>变更</w:t>
                </w:r>
                <w:r>
                  <w:t>/终止前项目募集资金投资总额</w:t>
                </w:r>
              </w:p>
            </w:tc>
          </w:sdtContent>
        </w:sdt>
        <w:sdt>
          <w:sdtPr>
            <w:rPr>
              <w:rFonts w:hint="eastAsia"/>
            </w:rPr>
            <w:tag w:val="_PLD_e8f332a58c0a47d4a8dfc6c87d5e839c"/>
            <w:id w:val="-1428428604"/>
          </w:sdtPr>
          <w:sdtEndPr>
            <w:rPr>
              <w:rFonts w:hint="default"/>
            </w:rPr>
          </w:sdtEndPr>
          <w:sdtContent>
            <w:tc>
              <w:tcPr>
                <w:tcW w:w="534" w:type="pct"/>
                <w:vAlign w:val="center"/>
              </w:tcPr>
              <w:p w:rsidR="004A3868" w:rsidRDefault="003F1AB5">
                <w:pPr>
                  <w:pStyle w:val="afffb"/>
                </w:pPr>
                <w:r>
                  <w:rPr>
                    <w:rFonts w:hint="eastAsia"/>
                  </w:rPr>
                  <w:t>变更</w:t>
                </w:r>
                <w:r>
                  <w:t>/终止前项目已投入募资资金总额</w:t>
                </w:r>
              </w:p>
            </w:tc>
          </w:sdtContent>
        </w:sdt>
        <w:sdt>
          <w:sdtPr>
            <w:rPr>
              <w:rFonts w:hint="eastAsia"/>
            </w:rPr>
            <w:tag w:val="_PLD_26b7e889ea464f2bbe0b8074b403f47f"/>
            <w:id w:val="237139168"/>
          </w:sdtPr>
          <w:sdtEndPr>
            <w:rPr>
              <w:rFonts w:hint="default"/>
            </w:rPr>
          </w:sdtEndPr>
          <w:sdtContent>
            <w:tc>
              <w:tcPr>
                <w:tcW w:w="788" w:type="pct"/>
                <w:shd w:val="clear" w:color="auto" w:fill="auto"/>
                <w:vAlign w:val="center"/>
              </w:tcPr>
              <w:p w:rsidR="004A3868" w:rsidRDefault="003F1AB5">
                <w:pPr>
                  <w:pStyle w:val="afffb"/>
                </w:pPr>
                <w:r>
                  <w:rPr>
                    <w:rFonts w:hint="eastAsia"/>
                  </w:rPr>
                  <w:t>变更后</w:t>
                </w:r>
                <w:r>
                  <w:t>项目名称</w:t>
                </w:r>
              </w:p>
            </w:tc>
          </w:sdtContent>
        </w:sdt>
        <w:sdt>
          <w:sdtPr>
            <w:rPr>
              <w:rFonts w:hint="eastAsia"/>
            </w:rPr>
            <w:tag w:val="_PLD_a289dc7ad505422ab2e3def98b214c7b"/>
            <w:id w:val="489303324"/>
          </w:sdtPr>
          <w:sdtEndPr/>
          <w:sdtContent>
            <w:tc>
              <w:tcPr>
                <w:tcW w:w="1325" w:type="pct"/>
                <w:shd w:val="clear" w:color="auto" w:fill="auto"/>
                <w:noWrap/>
                <w:vAlign w:val="center"/>
              </w:tcPr>
              <w:p w:rsidR="004A3868" w:rsidRDefault="003F1AB5">
                <w:pPr>
                  <w:pStyle w:val="afffb"/>
                </w:pPr>
                <w:r>
                  <w:rPr>
                    <w:rFonts w:hint="eastAsia"/>
                  </w:rPr>
                  <w:t>变更/终止原因</w:t>
                </w:r>
              </w:p>
            </w:tc>
          </w:sdtContent>
        </w:sdt>
        <w:sdt>
          <w:sdtPr>
            <w:rPr>
              <w:rFonts w:hint="eastAsia"/>
            </w:rPr>
            <w:tag w:val="_PLD_257a2b7864d34946bf5a4ffb00472481"/>
            <w:id w:val="-890271483"/>
          </w:sdtPr>
          <w:sdtEndPr>
            <w:rPr>
              <w:rFonts w:hint="default"/>
            </w:rPr>
          </w:sdtEndPr>
          <w:sdtContent>
            <w:tc>
              <w:tcPr>
                <w:tcW w:w="406" w:type="pct"/>
                <w:vAlign w:val="center"/>
              </w:tcPr>
              <w:p w:rsidR="004A3868" w:rsidRDefault="003F1AB5">
                <w:pPr>
                  <w:pStyle w:val="afffb"/>
                </w:pPr>
                <w:r>
                  <w:rPr>
                    <w:rFonts w:hint="eastAsia"/>
                  </w:rPr>
                  <w:t>变更</w:t>
                </w:r>
                <w:r>
                  <w:t>/终止后用于补流的募集资金金额</w:t>
                </w:r>
              </w:p>
            </w:tc>
          </w:sdtContent>
        </w:sdt>
        <w:sdt>
          <w:sdtPr>
            <w:rPr>
              <w:rFonts w:hint="eastAsia"/>
            </w:rPr>
            <w:tag w:val="_PLD_3ef59237ed4746d981594cc956587f11"/>
            <w:id w:val="-421953182"/>
          </w:sdtPr>
          <w:sdtEndPr/>
          <w:sdtContent>
            <w:tc>
              <w:tcPr>
                <w:tcW w:w="505" w:type="pct"/>
                <w:shd w:val="clear" w:color="auto" w:fill="auto"/>
                <w:vAlign w:val="center"/>
              </w:tcPr>
              <w:p w:rsidR="004A3868" w:rsidRDefault="003F1AB5">
                <w:pPr>
                  <w:pStyle w:val="afffb"/>
                </w:pPr>
                <w:r>
                  <w:rPr>
                    <w:rFonts w:hint="eastAsia"/>
                  </w:rPr>
                  <w:t>决策</w:t>
                </w:r>
                <w:r>
                  <w:t>程序及</w:t>
                </w:r>
                <w:r>
                  <w:rPr>
                    <w:rFonts w:hint="eastAsia"/>
                  </w:rPr>
                  <w:t>信息披露情况说明</w:t>
                </w:r>
              </w:p>
            </w:tc>
          </w:sdtContent>
        </w:sdt>
      </w:tr>
      <w:sdt>
        <w:sdtPr>
          <w:rPr>
            <w:bCs/>
            <w:color w:val="000000"/>
          </w:rPr>
          <w:alias w:val="报告期内募投变更情况明细"/>
          <w:tag w:val="_TUP_757eadfa1bc446d1841cf3356a969bdd"/>
          <w:id w:val="-132245411"/>
          <w:lock w:val="sdtLocked"/>
          <w:placeholder>
            <w:docPart w:val="33C34E1F4C924AC9A2B4F40563D1E4E0"/>
          </w:placeholder>
        </w:sdtPr>
        <w:sdtEndPr>
          <w:rPr>
            <w:color w:val="auto"/>
          </w:rPr>
        </w:sdtEndPr>
        <w:sdtContent>
          <w:tr w:rsidR="004A3868">
            <w:trPr>
              <w:trHeight w:val="2016"/>
              <w:jc w:val="center"/>
            </w:trPr>
            <w:tc>
              <w:tcPr>
                <w:tcW w:w="887" w:type="pct"/>
                <w:shd w:val="clear" w:color="auto" w:fill="auto"/>
                <w:vAlign w:val="center"/>
              </w:tcPr>
              <w:p w:rsidR="004A3868" w:rsidRDefault="003F1AB5">
                <w:pPr>
                  <w:pStyle w:val="afffb"/>
                  <w:rPr>
                    <w:bCs/>
                  </w:rPr>
                </w:pPr>
                <w:r>
                  <w:rPr>
                    <w:rFonts w:hint="eastAsia"/>
                  </w:rPr>
                  <w:t>智能成套电气设备产业基地建设项目</w:t>
                </w:r>
              </w:p>
            </w:tc>
            <w:tc>
              <w:tcPr>
                <w:tcW w:w="556" w:type="pct"/>
                <w:vAlign w:val="center"/>
              </w:tcPr>
              <w:p w:rsidR="004A3868" w:rsidRDefault="003F1AB5">
                <w:pPr>
                  <w:pStyle w:val="afffb"/>
                  <w:rPr>
                    <w:bCs/>
                  </w:rPr>
                </w:pPr>
                <w:r>
                  <w:rPr>
                    <w:rFonts w:hint="eastAsia"/>
                  </w:rPr>
                  <w:t>39,042.91</w:t>
                </w:r>
              </w:p>
            </w:tc>
            <w:tc>
              <w:tcPr>
                <w:tcW w:w="534" w:type="pct"/>
                <w:vAlign w:val="center"/>
              </w:tcPr>
              <w:p w:rsidR="004A3868" w:rsidRDefault="003F1AB5">
                <w:pPr>
                  <w:pStyle w:val="afffb"/>
                  <w:rPr>
                    <w:bCs/>
                  </w:rPr>
                </w:pPr>
                <w:r>
                  <w:rPr>
                    <w:rFonts w:hint="eastAsia"/>
                  </w:rPr>
                  <w:t>17,600.6</w:t>
                </w:r>
              </w:p>
            </w:tc>
            <w:tc>
              <w:tcPr>
                <w:tcW w:w="788" w:type="pct"/>
                <w:shd w:val="clear" w:color="auto" w:fill="auto"/>
                <w:vAlign w:val="center"/>
              </w:tcPr>
              <w:p w:rsidR="004A3868" w:rsidRDefault="003F1AB5">
                <w:pPr>
                  <w:pStyle w:val="afffb"/>
                  <w:rPr>
                    <w:bCs/>
                  </w:rPr>
                </w:pPr>
                <w:r>
                  <w:rPr>
                    <w:rFonts w:hint="eastAsia"/>
                  </w:rPr>
                  <w:t>智能成套电气设备产业基地建设项目、智控设备及金属制品智能工厂建设项目（一期）</w:t>
                </w:r>
              </w:p>
            </w:tc>
            <w:tc>
              <w:tcPr>
                <w:tcW w:w="1325" w:type="pct"/>
                <w:shd w:val="clear" w:color="auto" w:fill="auto"/>
                <w:noWrap/>
                <w:vAlign w:val="center"/>
              </w:tcPr>
              <w:p w:rsidR="004A3868" w:rsidRDefault="003F1AB5">
                <w:pPr>
                  <w:pStyle w:val="afffb"/>
                </w:pPr>
                <w:r>
                  <w:rPr>
                    <w:rFonts w:hint="eastAsia"/>
                  </w:rPr>
                  <w:t>公司将原募投项目“智能成套电气设备产业基地建设项目”的投资总额由39,042.91万元调减至24,268.47万元，调减的募集资金14,774.44万元投入新项目“智控设备及金属制品智能工厂建设项目（一期）”，详见公司《关于变更部分募集资金用途并实施新募投项目的公告》（2023-045号）</w:t>
                </w:r>
              </w:p>
            </w:tc>
            <w:tc>
              <w:tcPr>
                <w:tcW w:w="406" w:type="pct"/>
                <w:vAlign w:val="center"/>
              </w:tcPr>
              <w:p w:rsidR="004A3868" w:rsidRDefault="004A3868">
                <w:pPr>
                  <w:pStyle w:val="afffb"/>
                </w:pPr>
              </w:p>
            </w:tc>
            <w:tc>
              <w:tcPr>
                <w:tcW w:w="505" w:type="pct"/>
                <w:shd w:val="clear" w:color="auto" w:fill="auto"/>
                <w:vAlign w:val="center"/>
              </w:tcPr>
              <w:p w:rsidR="004A3868" w:rsidRDefault="003F1AB5">
                <w:pPr>
                  <w:pStyle w:val="afffb"/>
                  <w:rPr>
                    <w:bCs/>
                  </w:rPr>
                </w:pPr>
                <w:r>
                  <w:rPr>
                    <w:rFonts w:hint="eastAsia"/>
                  </w:rPr>
                  <w:t>2023年第二次临时股东大会第三届董事会第十八次会议具体披露情况详见2023-041/054号公告</w:t>
                </w:r>
              </w:p>
            </w:tc>
          </w:tr>
        </w:sdtContent>
      </w:sdt>
    </w:tbl>
    <w:p w:rsidR="004A3868" w:rsidRDefault="004A3868">
      <w:pPr>
        <w:rPr>
          <w:highlight w:val="yellow"/>
        </w:rPr>
        <w:sectPr w:rsidR="004A3868">
          <w:pgSz w:w="16838" w:h="11906" w:orient="landscape"/>
          <w:pgMar w:top="1797" w:right="1525" w:bottom="1276" w:left="1440" w:header="855" w:footer="992" w:gutter="0"/>
          <w:cols w:space="425"/>
          <w:docGrid w:linePitch="312"/>
        </w:sectPr>
      </w:pPr>
    </w:p>
    <w:p w:rsidR="004A3868" w:rsidRDefault="003F1AB5">
      <w:pPr>
        <w:pStyle w:val="Style127"/>
        <w:numPr>
          <w:ilvl w:val="0"/>
          <w:numId w:val="47"/>
        </w:numPr>
      </w:pPr>
      <w:r>
        <w:rPr>
          <w:rFonts w:hint="eastAsia"/>
        </w:rPr>
        <w:lastRenderedPageBreak/>
        <w:t>报告期</w:t>
      </w:r>
      <w:r>
        <w:t>内</w:t>
      </w:r>
      <w:r>
        <w:rPr>
          <w:rFonts w:hint="eastAsia"/>
        </w:rPr>
        <w:t>募集</w:t>
      </w:r>
      <w:r>
        <w:t>资金使用</w:t>
      </w:r>
      <w:r>
        <w:rPr>
          <w:rFonts w:hint="eastAsia"/>
        </w:rPr>
        <w:t>的</w:t>
      </w:r>
      <w:r>
        <w:t>其他</w:t>
      </w:r>
      <w:r>
        <w:rPr>
          <w:rFonts w:hint="eastAsia"/>
        </w:rPr>
        <w:t>情况</w:t>
      </w:r>
    </w:p>
    <w:p w:rsidR="004A3868" w:rsidRDefault="003F1AB5">
      <w:pPr>
        <w:pStyle w:val="4"/>
        <w:numPr>
          <w:ilvl w:val="0"/>
          <w:numId w:val="48"/>
        </w:numPr>
      </w:pPr>
      <w:r>
        <w:rPr>
          <w:rFonts w:hint="eastAsia"/>
        </w:rPr>
        <w:t>募集资金投资项目先期投入及置换情况</w:t>
      </w:r>
    </w:p>
    <w:bookmarkStart w:id="88" w:name="_Hlk90391881" w:displacedByCustomXml="next"/>
    <w:sdt>
      <w:sdtPr>
        <w:rPr>
          <w:highlight w:val="yellow"/>
        </w:rPr>
        <w:alias w:val="是否适用：募集资金投资项目先期投入及置换情况[双击切换]"/>
        <w:tag w:val="_GBC_1281130bef16406c9ce534a6ddfe0052"/>
        <w:id w:val="119578528"/>
        <w:placeholder>
          <w:docPart w:val="GBC22222222222222222222222222222"/>
        </w:placeholder>
      </w:sdtPr>
      <w:sdtEndPr>
        <w:rPr>
          <w:sz w:val="21"/>
          <w:szCs w:val="21"/>
        </w:r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88"/>
    <w:p w:rsidR="004A3868" w:rsidRDefault="003F1AB5">
      <w:pPr>
        <w:pStyle w:val="4"/>
        <w:numPr>
          <w:ilvl w:val="0"/>
          <w:numId w:val="48"/>
        </w:numPr>
        <w:rPr>
          <w:szCs w:val="21"/>
        </w:rPr>
      </w:pPr>
      <w:r>
        <w:rPr>
          <w:rFonts w:hint="eastAsia"/>
          <w:szCs w:val="21"/>
        </w:rPr>
        <w:t>用闲置募集资金暂时补充流动资金情况</w:t>
      </w:r>
    </w:p>
    <w:bookmarkStart w:id="89" w:name="_Hlk90391885" w:displacedByCustomXml="next"/>
    <w:sdt>
      <w:sdtPr>
        <w:rPr>
          <w:sz w:val="21"/>
          <w:szCs w:val="21"/>
          <w:highlight w:val="yellow"/>
        </w:rPr>
        <w:alias w:val="是否适用：用闲置募集资金暂时补充流动资金情况[双击切换]"/>
        <w:tag w:val="_GBC_54578d1cb78b470eb743e8c3b73117f2"/>
        <w:id w:val="456910962"/>
        <w:lock w:val="sdtLocked"/>
        <w:placeholder>
          <w:docPart w:val="GBC22222222222222222222222222222"/>
        </w:placeholder>
      </w:sdtPr>
      <w:sdtEndPr/>
      <w:sdtContent>
        <w:p w:rsidR="004A3868" w:rsidRDefault="003F1AB5">
          <w:pPr>
            <w:rPr>
              <w:color w:val="333399"/>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89"/>
    <w:p w:rsidR="004A3868" w:rsidRDefault="003F1AB5">
      <w:pPr>
        <w:pStyle w:val="4"/>
        <w:numPr>
          <w:ilvl w:val="0"/>
          <w:numId w:val="48"/>
        </w:numPr>
        <w:rPr>
          <w:szCs w:val="21"/>
        </w:rPr>
      </w:pPr>
      <w:r>
        <w:rPr>
          <w:rFonts w:hint="eastAsia"/>
          <w:szCs w:val="21"/>
        </w:rPr>
        <w:t>对闲置募集资金进行现金管理，投资相关产品情况</w:t>
      </w:r>
    </w:p>
    <w:sdt>
      <w:sdtPr>
        <w:rPr>
          <w:sz w:val="21"/>
          <w:szCs w:val="21"/>
        </w:rPr>
        <w:alias w:val="是否适用：对闲置募集资金进行现金管理，投资相关产品情况[双击切换]"/>
        <w:tag w:val="_GBC_b8d97f06939c46e89e06d43ce3c7d0fc"/>
        <w:id w:val="-1001587571"/>
        <w:placeholder>
          <w:docPart w:val="6F30C2BB1B334853BC7D326A08E7687F"/>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pPr>
      <w:r>
        <w:rPr>
          <w:rStyle w:val="Char0"/>
          <w:rFonts w:hint="eastAsia"/>
        </w:rPr>
        <w:t>单位：</w:t>
      </w:r>
      <w:sdt>
        <w:sdtPr>
          <w:rPr>
            <w:rStyle w:val="Char0"/>
            <w:rFonts w:hint="eastAsia"/>
          </w:rPr>
          <w:alias w:val="单位：对闲置募集资金进行管理的情况"/>
          <w:tag w:val="_GBC_a8e448a9e64c4ef5a2858c146d6c3e98"/>
          <w:id w:val="734821506"/>
          <w:placeholder>
            <w:docPart w:val="6F30C2BB1B334853BC7D326A08E7687F"/>
          </w:placeholder>
          <w:comboBox>
            <w:listItem w:displayText="元" w:value="元"/>
            <w:listItem w:displayText="千元" w:value="千元"/>
            <w:listItem w:displayText="万元" w:value="万元"/>
            <w:listItem w:displayText="百万元" w:value="百万元"/>
            <w:listItem w:displayText="亿元" w:value="亿元"/>
          </w:comboBox>
        </w:sdtPr>
        <w:sdtEndPr>
          <w:rPr>
            <w:rStyle w:val="Char0"/>
          </w:rPr>
        </w:sdtEndPr>
        <w:sdtContent>
          <w:r>
            <w:rPr>
              <w:rStyle w:val="Char0"/>
              <w:rFonts w:hint="eastAsia"/>
            </w:rPr>
            <w:t>万元</w:t>
          </w:r>
        </w:sdtContent>
      </w:sdt>
      <w:r>
        <w:rPr>
          <w:rStyle w:val="Char0"/>
          <w:rFonts w:hint="eastAsia"/>
        </w:rPr>
        <w:t xml:space="preserve">  </w:t>
      </w:r>
      <w:r>
        <w:rPr>
          <w:rStyle w:val="Char0"/>
          <w:rFonts w:hint="eastAsia"/>
        </w:rPr>
        <w:t>币种：</w:t>
      </w:r>
      <w:sdt>
        <w:sdtPr>
          <w:rPr>
            <w:rStyle w:val="Char0"/>
            <w:rFonts w:hint="eastAsia"/>
          </w:rPr>
          <w:alias w:val="币种：对闲置募集资金进行管理的情况"/>
          <w:tag w:val="_GBC_793d1a4332e64feabc3a5336a0c14ce3"/>
          <w:id w:val="257959930"/>
          <w:placeholder>
            <w:docPart w:val="6F30C2BB1B334853BC7D326A08E7687F"/>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Style w:val="Char0"/>
          </w:rPr>
        </w:sdtEndPr>
        <w:sdtContent>
          <w:r>
            <w:rPr>
              <w:rStyle w:val="Char0"/>
              <w:rFonts w:hint="eastAsia"/>
            </w:rPr>
            <w:t>人民币</w:t>
          </w:r>
        </w:sdtContent>
      </w:sdt>
    </w:p>
    <w:tbl>
      <w:tblPr>
        <w:tblStyle w:val="aff5"/>
        <w:tblW w:w="5000" w:type="pct"/>
        <w:jc w:val="center"/>
        <w:tblLayout w:type="fixed"/>
        <w:tblCellMar>
          <w:left w:w="0" w:type="dxa"/>
          <w:right w:w="28" w:type="dxa"/>
        </w:tblCellMar>
        <w:tblLook w:val="04A0" w:firstRow="1" w:lastRow="0" w:firstColumn="1" w:lastColumn="0" w:noHBand="0" w:noVBand="1"/>
      </w:tblPr>
      <w:tblGrid>
        <w:gridCol w:w="2405"/>
        <w:gridCol w:w="2836"/>
        <w:gridCol w:w="2409"/>
        <w:gridCol w:w="2551"/>
        <w:gridCol w:w="1702"/>
        <w:gridCol w:w="1960"/>
      </w:tblGrid>
      <w:tr w:rsidR="004A3868">
        <w:trPr>
          <w:trHeight w:val="397"/>
          <w:jc w:val="center"/>
        </w:trPr>
        <w:sdt>
          <w:sdtPr>
            <w:tag w:val="_PLD_94a2cae978e443088039009a4ef60e98"/>
            <w:id w:val="-171024228"/>
          </w:sdtPr>
          <w:sdtEndPr/>
          <w:sdtContent>
            <w:tc>
              <w:tcPr>
                <w:tcW w:w="867" w:type="pct"/>
                <w:vAlign w:val="center"/>
              </w:tcPr>
              <w:p w:rsidR="004A3868" w:rsidRDefault="003F1AB5">
                <w:pPr>
                  <w:pStyle w:val="afffb"/>
                </w:pPr>
                <w:r>
                  <w:t>董事会审议日期</w:t>
                </w:r>
              </w:p>
            </w:tc>
          </w:sdtContent>
        </w:sdt>
        <w:sdt>
          <w:sdtPr>
            <w:tag w:val="_PLD_ed2f067140704303adbf33d8ed43afbf"/>
            <w:id w:val="-1496635633"/>
          </w:sdtPr>
          <w:sdtEndPr/>
          <w:sdtContent>
            <w:tc>
              <w:tcPr>
                <w:tcW w:w="1023" w:type="pct"/>
                <w:vAlign w:val="center"/>
              </w:tcPr>
              <w:p w:rsidR="004A3868" w:rsidRDefault="003F1AB5">
                <w:pPr>
                  <w:pStyle w:val="afffb"/>
                </w:pPr>
                <w:r>
                  <w:t>募集资金用于现金管理的有效审议额度</w:t>
                </w:r>
              </w:p>
            </w:tc>
          </w:sdtContent>
        </w:sdt>
        <w:sdt>
          <w:sdtPr>
            <w:tag w:val="_PLD_7e08214a4f4048e7bcaa19bb3713679e"/>
            <w:id w:val="-1227229727"/>
          </w:sdtPr>
          <w:sdtEndPr/>
          <w:sdtContent>
            <w:tc>
              <w:tcPr>
                <w:tcW w:w="869" w:type="pct"/>
                <w:vAlign w:val="center"/>
              </w:tcPr>
              <w:p w:rsidR="004A3868" w:rsidRDefault="003F1AB5">
                <w:pPr>
                  <w:pStyle w:val="afffb"/>
                </w:pPr>
                <w:r>
                  <w:t>起始日期</w:t>
                </w:r>
              </w:p>
            </w:tc>
          </w:sdtContent>
        </w:sdt>
        <w:sdt>
          <w:sdtPr>
            <w:tag w:val="_PLD_f2f40221e51c4254bcdb5c227c6d788e"/>
            <w:id w:val="961995129"/>
          </w:sdtPr>
          <w:sdtEndPr/>
          <w:sdtContent>
            <w:tc>
              <w:tcPr>
                <w:tcW w:w="920" w:type="pct"/>
                <w:vAlign w:val="center"/>
              </w:tcPr>
              <w:p w:rsidR="004A3868" w:rsidRDefault="003F1AB5">
                <w:pPr>
                  <w:pStyle w:val="afffb"/>
                </w:pPr>
                <w:r>
                  <w:t>结束日期</w:t>
                </w:r>
              </w:p>
            </w:tc>
          </w:sdtContent>
        </w:sdt>
        <w:sdt>
          <w:sdtPr>
            <w:tag w:val="_PLD_38118e4125984ff6aa76b62945ea3f6f"/>
            <w:id w:val="1260029070"/>
          </w:sdtPr>
          <w:sdtEndPr/>
          <w:sdtContent>
            <w:tc>
              <w:tcPr>
                <w:tcW w:w="614" w:type="pct"/>
                <w:vAlign w:val="center"/>
              </w:tcPr>
              <w:p w:rsidR="004A3868" w:rsidRDefault="003F1AB5">
                <w:pPr>
                  <w:pStyle w:val="afffb"/>
                </w:pPr>
                <w:r>
                  <w:t>报告期末现金管理余额</w:t>
                </w:r>
              </w:p>
            </w:tc>
          </w:sdtContent>
        </w:sdt>
        <w:sdt>
          <w:sdtPr>
            <w:tag w:val="_PLD_91d2d319fe664a959b8761b1d7b752ff"/>
            <w:id w:val="-1782333478"/>
          </w:sdtPr>
          <w:sdtEndPr/>
          <w:sdtContent>
            <w:tc>
              <w:tcPr>
                <w:tcW w:w="707" w:type="pct"/>
                <w:vAlign w:val="center"/>
              </w:tcPr>
              <w:p w:rsidR="004A3868" w:rsidRDefault="003F1AB5">
                <w:pPr>
                  <w:pStyle w:val="afffb"/>
                </w:pPr>
                <w:r>
                  <w:t>期间最高余额是否超出授权额度</w:t>
                </w:r>
              </w:p>
            </w:tc>
          </w:sdtContent>
        </w:sdt>
      </w:tr>
      <w:tr w:rsidR="004A3868">
        <w:trPr>
          <w:trHeight w:val="397"/>
          <w:jc w:val="center"/>
        </w:trPr>
        <w:sdt>
          <w:sdtPr>
            <w:alias w:val="对闲置募集资金进行管理的情况明细_董事会审议日期"/>
            <w:tag w:val="_GBC_5098f44d77104bb2915d2ce78ba8fac9"/>
            <w:id w:val="1630673713"/>
            <w:date w:fullDate="2023-04-25T00:00:00Z">
              <w:dateFormat w:val="yyyy'年'M'月'd'日'"/>
              <w:lid w:val="zh-CN"/>
              <w:storeMappedDataAs w:val="dateTime"/>
              <w:calendar w:val="gregorian"/>
            </w:date>
          </w:sdtPr>
          <w:sdtEndPr/>
          <w:sdtContent>
            <w:tc>
              <w:tcPr>
                <w:tcW w:w="867" w:type="pct"/>
                <w:vAlign w:val="center"/>
              </w:tcPr>
              <w:p w:rsidR="004A3868" w:rsidRDefault="003F1AB5">
                <w:pPr>
                  <w:pStyle w:val="afffb"/>
                </w:pPr>
                <w:r>
                  <w:rPr>
                    <w:rFonts w:hint="eastAsia"/>
                  </w:rPr>
                  <w:t>2023年4月25日</w:t>
                </w:r>
              </w:p>
            </w:tc>
          </w:sdtContent>
        </w:sdt>
        <w:tc>
          <w:tcPr>
            <w:tcW w:w="1023" w:type="pct"/>
            <w:vAlign w:val="center"/>
          </w:tcPr>
          <w:p w:rsidR="004A3868" w:rsidRDefault="003F1AB5">
            <w:pPr>
              <w:pStyle w:val="afff7"/>
            </w:pPr>
            <w:r>
              <w:t>47,000</w:t>
            </w:r>
          </w:p>
        </w:tc>
        <w:sdt>
          <w:sdtPr>
            <w:alias w:val="对闲置募集资金进行管理的情况明细_起始日期"/>
            <w:tag w:val="_GBC_90289a7e61ef4e0dbf02f00fc7d5b91b"/>
            <w:id w:val="1671985500"/>
            <w:date w:fullDate="2023-04-25T00:00:00Z">
              <w:dateFormat w:val="yyyy'年'M'月'd'日'"/>
              <w:lid w:val="zh-CN"/>
              <w:storeMappedDataAs w:val="dateTime"/>
              <w:calendar w:val="gregorian"/>
            </w:date>
          </w:sdtPr>
          <w:sdtEndPr/>
          <w:sdtContent>
            <w:tc>
              <w:tcPr>
                <w:tcW w:w="869" w:type="pct"/>
                <w:vAlign w:val="center"/>
              </w:tcPr>
              <w:p w:rsidR="004A3868" w:rsidRDefault="003F1AB5">
                <w:pPr>
                  <w:pStyle w:val="afffb"/>
                </w:pPr>
                <w:r>
                  <w:rPr>
                    <w:rFonts w:hint="eastAsia"/>
                  </w:rPr>
                  <w:t>2023年4月25日</w:t>
                </w:r>
              </w:p>
            </w:tc>
          </w:sdtContent>
        </w:sdt>
        <w:sdt>
          <w:sdtPr>
            <w:alias w:val="对闲置募集资金进行管理的情况明细_结束日期"/>
            <w:tag w:val="_GBC_b44cfca1ef07488ebf3ec86a48074037"/>
            <w:id w:val="338354186"/>
            <w:date w:fullDate="2024-04-24T00:00:00Z">
              <w:dateFormat w:val="yyyy'年'M'月'd'日'"/>
              <w:lid w:val="zh-CN"/>
              <w:storeMappedDataAs w:val="dateTime"/>
              <w:calendar w:val="gregorian"/>
            </w:date>
          </w:sdtPr>
          <w:sdtEndPr/>
          <w:sdtContent>
            <w:tc>
              <w:tcPr>
                <w:tcW w:w="920" w:type="pct"/>
                <w:vAlign w:val="center"/>
              </w:tcPr>
              <w:p w:rsidR="004A3868" w:rsidRDefault="003F1AB5">
                <w:pPr>
                  <w:pStyle w:val="afffb"/>
                </w:pPr>
                <w:r>
                  <w:rPr>
                    <w:rFonts w:hint="eastAsia"/>
                  </w:rPr>
                  <w:t>2024年4月24日</w:t>
                </w:r>
              </w:p>
            </w:tc>
          </w:sdtContent>
        </w:sdt>
        <w:tc>
          <w:tcPr>
            <w:tcW w:w="614" w:type="pct"/>
            <w:vAlign w:val="center"/>
          </w:tcPr>
          <w:p w:rsidR="004A3868" w:rsidRDefault="003F1AB5">
            <w:pPr>
              <w:pStyle w:val="afff7"/>
            </w:pPr>
            <w:r>
              <w:t>29,468.00</w:t>
            </w:r>
          </w:p>
        </w:tc>
        <w:sdt>
          <w:sdtPr>
            <w:alias w:val="对闲置募集资金进行管理的情况明细_期间最高余额是否超出授权额度"/>
            <w:tag w:val="_GBC_c9f93f081bb54727821f25adb565fc1a"/>
            <w:id w:val="1145470445"/>
            <w:comboBox>
              <w:listItem w:displayText="是" w:value="是"/>
              <w:listItem w:displayText="否" w:value="否"/>
            </w:comboBox>
          </w:sdtPr>
          <w:sdtEndPr/>
          <w:sdtContent>
            <w:tc>
              <w:tcPr>
                <w:tcW w:w="707" w:type="pct"/>
                <w:vAlign w:val="center"/>
              </w:tcPr>
              <w:p w:rsidR="004A3868" w:rsidRDefault="003F1AB5">
                <w:pPr>
                  <w:pStyle w:val="afffb"/>
                </w:pPr>
                <w:r>
                  <w:t>否</w:t>
                </w:r>
              </w:p>
            </w:tc>
          </w:sdtContent>
        </w:sdt>
      </w:tr>
    </w:tbl>
    <w:p w:rsidR="004A3868" w:rsidRDefault="003F1AB5">
      <w:pPr>
        <w:rPr>
          <w:sz w:val="21"/>
          <w:szCs w:val="21"/>
        </w:rPr>
      </w:pPr>
      <w:r>
        <w:rPr>
          <w:rFonts w:hint="eastAsia"/>
          <w:sz w:val="21"/>
          <w:szCs w:val="21"/>
        </w:rPr>
        <w:t>其他说明</w:t>
      </w:r>
    </w:p>
    <w:sdt>
      <w:sdtPr>
        <w:rPr>
          <w:sz w:val="21"/>
          <w:szCs w:val="21"/>
        </w:rPr>
        <w:alias w:val="对闲置募集资金进行现金管理投资相关产品情况"/>
        <w:tag w:val="_GBC_50def5a268df40ffb8c44edf8d323e21"/>
        <w:id w:val="1209137918"/>
        <w:placeholder>
          <w:docPart w:val="6F30C2BB1B334853BC7D326A08E7687F"/>
        </w:placeholder>
      </w:sdtPr>
      <w:sdtEndPr/>
      <w:sdtContent>
        <w:p w:rsidR="004A3868" w:rsidRDefault="003F1AB5">
          <w:pPr>
            <w:rPr>
              <w:sz w:val="21"/>
              <w:szCs w:val="21"/>
            </w:rPr>
          </w:pPr>
          <w:r>
            <w:rPr>
              <w:rFonts w:hint="eastAsia"/>
              <w:sz w:val="21"/>
              <w:szCs w:val="21"/>
            </w:rPr>
            <w:t>无</w:t>
          </w:r>
        </w:p>
      </w:sdtContent>
    </w:sdt>
    <w:p w:rsidR="004A3868" w:rsidRDefault="003F1AB5">
      <w:pPr>
        <w:pStyle w:val="4"/>
        <w:numPr>
          <w:ilvl w:val="0"/>
          <w:numId w:val="48"/>
        </w:numPr>
      </w:pPr>
      <w:r>
        <w:rPr>
          <w:rFonts w:hint="eastAsia"/>
        </w:rPr>
        <w:t>用超募资金永久补充流动资金或归还银行贷款情况</w:t>
      </w:r>
    </w:p>
    <w:bookmarkStart w:id="90" w:name="_Hlk90391891" w:displacedByCustomXml="next"/>
    <w:sdt>
      <w:sdtPr>
        <w:rPr>
          <w:highlight w:val="yellow"/>
        </w:rPr>
        <w:alias w:val="是否适用：用超募资金永久补充流动资金或归还银行贷款情况[双击切换]"/>
        <w:tag w:val="_GBC_16ee52e7701443139fd7d52641c8e6f2"/>
        <w:id w:val="1554351875"/>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90"/>
    <w:p w:rsidR="004A3868" w:rsidRDefault="003F1AB5">
      <w:pPr>
        <w:pStyle w:val="4"/>
        <w:numPr>
          <w:ilvl w:val="0"/>
          <w:numId w:val="48"/>
        </w:numPr>
        <w:rPr>
          <w:szCs w:val="21"/>
        </w:rPr>
      </w:pPr>
      <w:r>
        <w:rPr>
          <w:szCs w:val="21"/>
        </w:rPr>
        <w:t>其他</w:t>
      </w:r>
    </w:p>
    <w:sdt>
      <w:sdtPr>
        <w:rPr>
          <w:sz w:val="21"/>
          <w:szCs w:val="21"/>
          <w:highlight w:val="yellow"/>
        </w:rPr>
        <w:alias w:val="是否适用：募集资金使用的其他情况?[双击切换]"/>
        <w:tag w:val="_GBC_2c9cee2c8dff4905b9cdb31e6e10f017"/>
        <w:id w:val="-742643120"/>
        <w:lock w:val="sdtLocked"/>
        <w:placeholder>
          <w:docPart w:val="GBC22222222222222222222222222222"/>
        </w:placeholder>
      </w:sdtPr>
      <w:sdtEndPr/>
      <w:sdtContent>
        <w:p w:rsidR="004A3868" w:rsidRDefault="003F1AB5">
          <w:pPr>
            <w:rPr>
              <w:sz w:val="21"/>
              <w:szCs w:val="21"/>
              <w:highlight w:val="yellow"/>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84"/>
    <w:p w:rsidR="004A3868" w:rsidRDefault="003F1AB5">
      <w:pPr>
        <w:pStyle w:val="2"/>
        <w:numPr>
          <w:ilvl w:val="0"/>
          <w:numId w:val="33"/>
        </w:numPr>
      </w:pPr>
      <w:r>
        <w:rPr>
          <w:rFonts w:hint="eastAsia"/>
        </w:rPr>
        <w:t>其</w:t>
      </w:r>
      <w:r>
        <w:t>他</w:t>
      </w:r>
      <w:r>
        <w:rPr>
          <w:rFonts w:hint="eastAsia"/>
        </w:rPr>
        <w:t>对投资者作出价值判断和投资决策有重大影响的重大事项的说明</w:t>
      </w:r>
    </w:p>
    <w:sdt>
      <w:sdtPr>
        <w:rPr>
          <w:sz w:val="21"/>
          <w:szCs w:val="21"/>
          <w:highlight w:val="yellow"/>
        </w:rPr>
        <w:alias w:val="是否适用：其他对投资者作出价值判断和投资决策有重大影响的重大事项的说明[双击切换]"/>
        <w:tag w:val="_GBC_a560f17fa4c7429db7d87dca59f4df08"/>
        <w:id w:val="-195431229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highlight w:val="yellow"/>
        </w:rPr>
        <w:alias w:val="其他对投资者作出价值判断和投资决策有重大影响的重大事项的说明"/>
        <w:tag w:val="_GBC_d3135053067b425697673c629341fac1"/>
        <w:id w:val="1665269033"/>
        <w:lock w:val="sdtLocked"/>
        <w:placeholder>
          <w:docPart w:val="2723172B56BC41F2B617FE6A029D7C0F"/>
        </w:placeholder>
      </w:sdtPr>
      <w:sdtEndPr>
        <w:rPr>
          <w:sz w:val="21"/>
          <w:szCs w:val="21"/>
        </w:rPr>
      </w:sdtEndPr>
      <w:sdtContent>
        <w:p w:rsidR="004A3868" w:rsidRDefault="003F1AB5">
          <w:pPr>
            <w:ind w:firstLineChars="200" w:firstLine="480"/>
            <w:rPr>
              <w:sz w:val="21"/>
              <w:szCs w:val="21"/>
            </w:rPr>
          </w:pPr>
          <w:r>
            <w:rPr>
              <w:sz w:val="21"/>
              <w:szCs w:val="21"/>
            </w:rPr>
            <w:t>2024年3月5日，公司召开第四届董事会第三次会议，会议审议通过了《关于通过北京产权交易所竞购上海长威股权投资合伙企业(有限合伙)和南方工业资产管理有限责任公司合计持有云南变压器电气股份有限公司79.97%股份的议案》。2024 年 4 月 1 日，公司收到北交所出具的《企业国有资产交易凭证》，本次交易已完成标的股份的交割。</w:t>
          </w:r>
        </w:p>
      </w:sdtContent>
    </w:sdt>
    <w:p w:rsidR="004A3868" w:rsidRDefault="004A3868">
      <w:pPr>
        <w:sectPr w:rsidR="004A3868">
          <w:pgSz w:w="16838" w:h="11906" w:orient="landscape"/>
          <w:pgMar w:top="1797" w:right="1525" w:bottom="1276" w:left="1440" w:header="855" w:footer="992" w:gutter="0"/>
          <w:cols w:space="425"/>
          <w:docGrid w:linePitch="312"/>
        </w:sectPr>
      </w:pPr>
    </w:p>
    <w:bookmarkEnd w:id="63"/>
    <w:p w:rsidR="004A3868" w:rsidRDefault="004A3868">
      <w:pPr>
        <w:pStyle w:val="Style124"/>
      </w:pPr>
    </w:p>
    <w:p w:rsidR="004A3868" w:rsidRDefault="003F1AB5">
      <w:pPr>
        <w:pStyle w:val="1"/>
      </w:pPr>
      <w:bookmarkStart w:id="91" w:name="_Toc164947206"/>
      <w:bookmarkStart w:id="92" w:name="_Toc437440713"/>
      <w:bookmarkStart w:id="93" w:name="_Toc409437607"/>
      <w:r>
        <w:rPr>
          <w:rFonts w:hint="eastAsia"/>
        </w:rPr>
        <w:t>股份变动及股东情况</w:t>
      </w:r>
      <w:bookmarkEnd w:id="91"/>
      <w:bookmarkEnd w:id="92"/>
      <w:bookmarkEnd w:id="93"/>
    </w:p>
    <w:p w:rsidR="004A3868" w:rsidRDefault="004A3868">
      <w:pPr>
        <w:pStyle w:val="Style124"/>
      </w:pPr>
    </w:p>
    <w:p w:rsidR="004A3868" w:rsidRDefault="003F1AB5">
      <w:pPr>
        <w:pStyle w:val="2"/>
        <w:numPr>
          <w:ilvl w:val="0"/>
          <w:numId w:val="49"/>
        </w:numPr>
      </w:pPr>
      <w:bookmarkStart w:id="94" w:name="_Toc342059476"/>
      <w:bookmarkStart w:id="95" w:name="_Toc342565989"/>
      <w:r>
        <w:t>股</w:t>
      </w:r>
      <w:r>
        <w:rPr>
          <w:rFonts w:hint="eastAsia"/>
        </w:rPr>
        <w:t>本变动情况</w:t>
      </w:r>
      <w:bookmarkEnd w:id="94"/>
      <w:bookmarkEnd w:id="95"/>
    </w:p>
    <w:p w:rsidR="004A3868" w:rsidRDefault="003F1AB5">
      <w:pPr>
        <w:pStyle w:val="Style127"/>
        <w:numPr>
          <w:ilvl w:val="1"/>
          <w:numId w:val="50"/>
        </w:numPr>
      </w:pPr>
      <w:bookmarkStart w:id="96" w:name="_Toc342059477"/>
      <w:bookmarkStart w:id="97" w:name="_Toc342565990"/>
      <w:r>
        <w:rPr>
          <w:rFonts w:hint="eastAsia"/>
        </w:rPr>
        <w:t>股份变动情况表</w:t>
      </w:r>
      <w:bookmarkEnd w:id="96"/>
      <w:bookmarkEnd w:id="97"/>
    </w:p>
    <w:p w:rsidR="004A3868" w:rsidRDefault="003F1AB5">
      <w:pPr>
        <w:pStyle w:val="4"/>
        <w:numPr>
          <w:ilvl w:val="2"/>
          <w:numId w:val="51"/>
        </w:numPr>
      </w:pPr>
      <w:r>
        <w:rPr>
          <w:rFonts w:hint="eastAsia"/>
        </w:rPr>
        <w:t>股份变动情况表</w:t>
      </w:r>
    </w:p>
    <w:p w:rsidR="004A3868" w:rsidRDefault="003F1AB5">
      <w:pPr>
        <w:pStyle w:val="afff5"/>
        <w:rPr>
          <w:rStyle w:val="Char0"/>
        </w:rPr>
      </w:pPr>
      <w:r>
        <w:rPr>
          <w:rStyle w:val="Char0"/>
        </w:rPr>
        <w:t>单位：</w:t>
      </w:r>
      <w:sdt>
        <w:sdtPr>
          <w:rPr>
            <w:rStyle w:val="Char0"/>
            <w:rFonts w:hint="eastAsia"/>
          </w:rPr>
          <w:alias w:val="单位：股份变动情况表"/>
          <w:tag w:val="_GBC_852d31b746dd490d9366194fca5e9598"/>
          <w:id w:val="-2069411239"/>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Style w:val="Char0"/>
          </w:rPr>
        </w:sdtEndPr>
        <w:sdtContent>
          <w:r>
            <w:rPr>
              <w:rStyle w:val="Char0"/>
              <w:rFonts w:hint="eastAsia"/>
            </w:rPr>
            <w:t>股</w:t>
          </w:r>
        </w:sdtContent>
      </w:sdt>
    </w:p>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167"/>
        <w:gridCol w:w="1299"/>
        <w:gridCol w:w="780"/>
        <w:gridCol w:w="259"/>
        <w:gridCol w:w="259"/>
        <w:gridCol w:w="259"/>
        <w:gridCol w:w="1426"/>
        <w:gridCol w:w="1301"/>
        <w:gridCol w:w="1295"/>
        <w:gridCol w:w="778"/>
      </w:tblGrid>
      <w:tr w:rsidR="004A3868">
        <w:trPr>
          <w:trHeight w:val="397"/>
          <w:jc w:val="center"/>
        </w:trPr>
        <w:tc>
          <w:tcPr>
            <w:tcW w:w="661" w:type="pct"/>
            <w:vMerge w:val="restart"/>
            <w:shd w:val="clear" w:color="auto" w:fill="auto"/>
            <w:vAlign w:val="bottom"/>
          </w:tcPr>
          <w:p w:rsidR="004A3868" w:rsidRDefault="004A3868">
            <w:pPr>
              <w:pStyle w:val="afffb"/>
            </w:pPr>
          </w:p>
        </w:tc>
        <w:sdt>
          <w:sdtPr>
            <w:tag w:val="_PLD_b9527a064e50418b9212da4d2a1d0df3"/>
            <w:id w:val="-1701851997"/>
          </w:sdtPr>
          <w:sdtEndPr/>
          <w:sdtContent>
            <w:tc>
              <w:tcPr>
                <w:tcW w:w="1178" w:type="pct"/>
                <w:gridSpan w:val="2"/>
                <w:shd w:val="clear" w:color="auto" w:fill="auto"/>
                <w:vAlign w:val="bottom"/>
              </w:tcPr>
              <w:p w:rsidR="004A3868" w:rsidRDefault="003F1AB5">
                <w:pPr>
                  <w:pStyle w:val="afffb"/>
                </w:pPr>
                <w:r>
                  <w:t>本次变动前</w:t>
                </w:r>
              </w:p>
            </w:tc>
          </w:sdtContent>
        </w:sdt>
        <w:sdt>
          <w:sdtPr>
            <w:tag w:val="_PLD_ca58bf210de644a080d50250f302f3c8"/>
            <w:id w:val="-327979865"/>
          </w:sdtPr>
          <w:sdtEndPr/>
          <w:sdtContent>
            <w:tc>
              <w:tcPr>
                <w:tcW w:w="1985" w:type="pct"/>
                <w:gridSpan w:val="5"/>
                <w:shd w:val="clear" w:color="auto" w:fill="auto"/>
                <w:vAlign w:val="bottom"/>
              </w:tcPr>
              <w:p w:rsidR="004A3868" w:rsidRDefault="003F1AB5">
                <w:pPr>
                  <w:pStyle w:val="afffb"/>
                </w:pPr>
                <w:r>
                  <w:t>本次变动增减（</w:t>
                </w:r>
                <w:r>
                  <w:rPr>
                    <w:rFonts w:hint="eastAsia"/>
                  </w:rPr>
                  <w:t>+，-</w:t>
                </w:r>
                <w:r>
                  <w:t>）</w:t>
                </w:r>
              </w:p>
            </w:tc>
          </w:sdtContent>
        </w:sdt>
        <w:sdt>
          <w:sdtPr>
            <w:tag w:val="_PLD_257b6e7d34b34e838617d3ec2e88c450"/>
            <w:id w:val="-1624225939"/>
          </w:sdtPr>
          <w:sdtEndPr/>
          <w:sdtContent>
            <w:tc>
              <w:tcPr>
                <w:tcW w:w="1176" w:type="pct"/>
                <w:gridSpan w:val="2"/>
                <w:shd w:val="clear" w:color="auto" w:fill="auto"/>
                <w:vAlign w:val="bottom"/>
              </w:tcPr>
              <w:p w:rsidR="004A3868" w:rsidRDefault="003F1AB5">
                <w:pPr>
                  <w:pStyle w:val="afffb"/>
                </w:pPr>
                <w:r>
                  <w:t>本次变动后</w:t>
                </w:r>
              </w:p>
            </w:tc>
          </w:sdtContent>
        </w:sdt>
      </w:tr>
      <w:tr w:rsidR="004A3868">
        <w:trPr>
          <w:trHeight w:val="397"/>
          <w:jc w:val="center"/>
        </w:trPr>
        <w:tc>
          <w:tcPr>
            <w:tcW w:w="661" w:type="pct"/>
            <w:vMerge/>
            <w:shd w:val="clear" w:color="auto" w:fill="auto"/>
            <w:vAlign w:val="bottom"/>
          </w:tcPr>
          <w:p w:rsidR="004A3868" w:rsidRDefault="004A3868">
            <w:pPr>
              <w:pStyle w:val="afffb"/>
            </w:pPr>
          </w:p>
        </w:tc>
        <w:sdt>
          <w:sdtPr>
            <w:tag w:val="_PLD_795b6515b9ff4e1db17e1116ff60e13f"/>
            <w:id w:val="1945034298"/>
          </w:sdtPr>
          <w:sdtEndPr/>
          <w:sdtContent>
            <w:tc>
              <w:tcPr>
                <w:tcW w:w="736" w:type="pct"/>
                <w:shd w:val="clear" w:color="auto" w:fill="auto"/>
                <w:vAlign w:val="bottom"/>
              </w:tcPr>
              <w:p w:rsidR="004A3868" w:rsidRDefault="003F1AB5">
                <w:pPr>
                  <w:pStyle w:val="afffb"/>
                </w:pPr>
                <w:r>
                  <w:t>数量</w:t>
                </w:r>
              </w:p>
            </w:tc>
          </w:sdtContent>
        </w:sdt>
        <w:sdt>
          <w:sdtPr>
            <w:tag w:val="_PLD_73d5343b919442adb141c63d11c2cfe3"/>
            <w:id w:val="-868984606"/>
          </w:sdtPr>
          <w:sdtEndPr/>
          <w:sdtContent>
            <w:tc>
              <w:tcPr>
                <w:tcW w:w="442" w:type="pct"/>
                <w:shd w:val="clear" w:color="auto" w:fill="auto"/>
                <w:vAlign w:val="bottom"/>
              </w:tcPr>
              <w:p w:rsidR="004A3868" w:rsidRDefault="003F1AB5">
                <w:pPr>
                  <w:pStyle w:val="afffb"/>
                </w:pPr>
                <w:r>
                  <w:t>比例(%)</w:t>
                </w:r>
              </w:p>
            </w:tc>
          </w:sdtContent>
        </w:sdt>
        <w:sdt>
          <w:sdtPr>
            <w:tag w:val="_PLD_ed98679a849f41f4aed274ab444cfaf5"/>
            <w:id w:val="765503090"/>
          </w:sdtPr>
          <w:sdtEndPr/>
          <w:sdtContent>
            <w:tc>
              <w:tcPr>
                <w:tcW w:w="147" w:type="pct"/>
                <w:shd w:val="clear" w:color="auto" w:fill="auto"/>
                <w:vAlign w:val="bottom"/>
              </w:tcPr>
              <w:p w:rsidR="004A3868" w:rsidRDefault="003F1AB5">
                <w:pPr>
                  <w:pStyle w:val="afffb"/>
                </w:pPr>
                <w:r>
                  <w:t>发行新股</w:t>
                </w:r>
              </w:p>
            </w:tc>
          </w:sdtContent>
        </w:sdt>
        <w:sdt>
          <w:sdtPr>
            <w:tag w:val="_PLD_9a9769412f3c455c9ccdd17bf518a278"/>
            <w:id w:val="-725061459"/>
          </w:sdtPr>
          <w:sdtEndPr/>
          <w:sdtContent>
            <w:tc>
              <w:tcPr>
                <w:tcW w:w="147" w:type="pct"/>
                <w:shd w:val="clear" w:color="auto" w:fill="auto"/>
                <w:vAlign w:val="bottom"/>
              </w:tcPr>
              <w:p w:rsidR="004A3868" w:rsidRDefault="003F1AB5">
                <w:pPr>
                  <w:pStyle w:val="afffb"/>
                </w:pPr>
                <w:r>
                  <w:t>送股</w:t>
                </w:r>
              </w:p>
            </w:tc>
          </w:sdtContent>
        </w:sdt>
        <w:sdt>
          <w:sdtPr>
            <w:tag w:val="_PLD_a08a8657c2504fb0907fe95adcc9b83a"/>
            <w:id w:val="138147962"/>
          </w:sdtPr>
          <w:sdtEndPr/>
          <w:sdtContent>
            <w:tc>
              <w:tcPr>
                <w:tcW w:w="147" w:type="pct"/>
                <w:shd w:val="clear" w:color="auto" w:fill="auto"/>
                <w:vAlign w:val="bottom"/>
              </w:tcPr>
              <w:p w:rsidR="004A3868" w:rsidRDefault="003F1AB5">
                <w:pPr>
                  <w:pStyle w:val="afffb"/>
                </w:pPr>
                <w:r>
                  <w:t>公积金转股</w:t>
                </w:r>
              </w:p>
            </w:tc>
          </w:sdtContent>
        </w:sdt>
        <w:sdt>
          <w:sdtPr>
            <w:tag w:val="_PLD_8ec878ba584746ca9ce366f5c50b97db"/>
            <w:id w:val="-634028091"/>
          </w:sdtPr>
          <w:sdtEndPr/>
          <w:sdtContent>
            <w:tc>
              <w:tcPr>
                <w:tcW w:w="808" w:type="pct"/>
                <w:shd w:val="clear" w:color="auto" w:fill="auto"/>
                <w:vAlign w:val="bottom"/>
              </w:tcPr>
              <w:p w:rsidR="004A3868" w:rsidRDefault="003F1AB5">
                <w:pPr>
                  <w:pStyle w:val="afffb"/>
                </w:pPr>
                <w:r>
                  <w:t>其他</w:t>
                </w:r>
              </w:p>
            </w:tc>
          </w:sdtContent>
        </w:sdt>
        <w:sdt>
          <w:sdtPr>
            <w:tag w:val="_PLD_0597d73f82274779afc0a06c1888e731"/>
            <w:id w:val="116962201"/>
          </w:sdtPr>
          <w:sdtEndPr/>
          <w:sdtContent>
            <w:tc>
              <w:tcPr>
                <w:tcW w:w="737" w:type="pct"/>
                <w:shd w:val="clear" w:color="auto" w:fill="auto"/>
                <w:vAlign w:val="bottom"/>
              </w:tcPr>
              <w:p w:rsidR="004A3868" w:rsidRDefault="003F1AB5">
                <w:pPr>
                  <w:pStyle w:val="afffb"/>
                </w:pPr>
                <w:r>
                  <w:t>小计</w:t>
                </w:r>
              </w:p>
            </w:tc>
          </w:sdtContent>
        </w:sdt>
        <w:sdt>
          <w:sdtPr>
            <w:tag w:val="_PLD_95f452be51ff468b8cac4a86637d7617"/>
            <w:id w:val="1648780128"/>
          </w:sdtPr>
          <w:sdtEndPr/>
          <w:sdtContent>
            <w:tc>
              <w:tcPr>
                <w:tcW w:w="734" w:type="pct"/>
                <w:shd w:val="clear" w:color="auto" w:fill="auto"/>
                <w:vAlign w:val="bottom"/>
              </w:tcPr>
              <w:p w:rsidR="004A3868" w:rsidRDefault="003F1AB5">
                <w:pPr>
                  <w:pStyle w:val="afffb"/>
                </w:pPr>
                <w:r>
                  <w:t>数量</w:t>
                </w:r>
              </w:p>
            </w:tc>
          </w:sdtContent>
        </w:sdt>
        <w:sdt>
          <w:sdtPr>
            <w:tag w:val="_PLD_27544b89219e425da5c77cd21408a3b6"/>
            <w:id w:val="-1169249661"/>
          </w:sdtPr>
          <w:sdtEndPr/>
          <w:sdtContent>
            <w:tc>
              <w:tcPr>
                <w:tcW w:w="442" w:type="pct"/>
                <w:shd w:val="clear" w:color="auto" w:fill="auto"/>
                <w:vAlign w:val="bottom"/>
              </w:tcPr>
              <w:p w:rsidR="004A3868" w:rsidRDefault="003F1AB5">
                <w:pPr>
                  <w:pStyle w:val="afffb"/>
                </w:pPr>
                <w:r>
                  <w:t>比例(%)</w:t>
                </w:r>
              </w:p>
            </w:tc>
          </w:sdtContent>
        </w:sdt>
      </w:tr>
      <w:tr w:rsidR="004A3868">
        <w:trPr>
          <w:trHeight w:val="397"/>
          <w:jc w:val="center"/>
        </w:trPr>
        <w:tc>
          <w:tcPr>
            <w:tcW w:w="661" w:type="pct"/>
            <w:shd w:val="clear" w:color="auto" w:fill="auto"/>
            <w:vAlign w:val="bottom"/>
          </w:tcPr>
          <w:p w:rsidR="004A3868" w:rsidRDefault="003F1AB5">
            <w:pPr>
              <w:pStyle w:val="afff9"/>
            </w:pPr>
            <w:r>
              <w:t>一、有限售条件股份</w:t>
            </w:r>
          </w:p>
        </w:tc>
        <w:tc>
          <w:tcPr>
            <w:tcW w:w="736" w:type="pct"/>
            <w:shd w:val="clear" w:color="auto" w:fill="auto"/>
            <w:vAlign w:val="bottom"/>
          </w:tcPr>
          <w:p w:rsidR="004A3868" w:rsidRDefault="003F1AB5">
            <w:pPr>
              <w:pStyle w:val="afff7"/>
            </w:pPr>
            <w:r>
              <w:t>249,875,555</w:t>
            </w:r>
          </w:p>
        </w:tc>
        <w:tc>
          <w:tcPr>
            <w:tcW w:w="442" w:type="pct"/>
            <w:shd w:val="clear" w:color="auto" w:fill="auto"/>
            <w:vAlign w:val="bottom"/>
          </w:tcPr>
          <w:p w:rsidR="004A3868" w:rsidRDefault="003F1AB5">
            <w:pPr>
              <w:pStyle w:val="afff7"/>
            </w:pPr>
            <w:r>
              <w:rPr>
                <w:rFonts w:hint="eastAsia"/>
              </w:rPr>
              <w:t>7</w:t>
            </w:r>
            <w:r>
              <w:t>5.00</w:t>
            </w: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3F1AB5">
            <w:pPr>
              <w:pStyle w:val="afff7"/>
            </w:pPr>
            <w:r>
              <w:rPr>
                <w:rFonts w:hint="eastAsia"/>
              </w:rPr>
              <w:t>-</w:t>
            </w:r>
            <w:r>
              <w:t>105,964,014</w:t>
            </w:r>
          </w:p>
        </w:tc>
        <w:tc>
          <w:tcPr>
            <w:tcW w:w="737" w:type="pct"/>
            <w:shd w:val="clear" w:color="auto" w:fill="auto"/>
            <w:vAlign w:val="bottom"/>
          </w:tcPr>
          <w:p w:rsidR="004A3868" w:rsidRDefault="003F1AB5">
            <w:pPr>
              <w:pStyle w:val="afff7"/>
            </w:pPr>
            <w:r>
              <w:rPr>
                <w:rFonts w:hint="eastAsia"/>
              </w:rPr>
              <w:t>-</w:t>
            </w:r>
            <w:r>
              <w:t>105,964,014</w:t>
            </w:r>
          </w:p>
        </w:tc>
        <w:tc>
          <w:tcPr>
            <w:tcW w:w="734" w:type="pct"/>
            <w:shd w:val="clear" w:color="auto" w:fill="auto"/>
            <w:vAlign w:val="bottom"/>
          </w:tcPr>
          <w:p w:rsidR="004A3868" w:rsidRDefault="003F1AB5">
            <w:pPr>
              <w:pStyle w:val="afff7"/>
            </w:pPr>
            <w:r>
              <w:t>143,911,541</w:t>
            </w:r>
          </w:p>
        </w:tc>
        <w:tc>
          <w:tcPr>
            <w:tcW w:w="442" w:type="pct"/>
            <w:shd w:val="clear" w:color="auto" w:fill="auto"/>
            <w:vAlign w:val="bottom"/>
          </w:tcPr>
          <w:p w:rsidR="004A3868" w:rsidRDefault="003F1AB5">
            <w:pPr>
              <w:pStyle w:val="afff7"/>
            </w:pPr>
            <w:r>
              <w:rPr>
                <w:rFonts w:hint="eastAsia"/>
              </w:rPr>
              <w:t>4</w:t>
            </w:r>
            <w:r>
              <w:t>3.19</w:t>
            </w:r>
          </w:p>
        </w:tc>
      </w:tr>
      <w:tr w:rsidR="004A3868">
        <w:trPr>
          <w:trHeight w:val="397"/>
          <w:jc w:val="center"/>
        </w:trPr>
        <w:tc>
          <w:tcPr>
            <w:tcW w:w="661" w:type="pct"/>
            <w:shd w:val="clear" w:color="auto" w:fill="auto"/>
            <w:vAlign w:val="bottom"/>
          </w:tcPr>
          <w:p w:rsidR="004A3868" w:rsidRDefault="003F1AB5">
            <w:pPr>
              <w:pStyle w:val="afff9"/>
            </w:pPr>
            <w:r>
              <w:t>1</w:t>
            </w:r>
            <w:r>
              <w:t>、国家持股</w:t>
            </w:r>
          </w:p>
        </w:tc>
        <w:tc>
          <w:tcPr>
            <w:tcW w:w="736"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4A3868">
            <w:pPr>
              <w:pStyle w:val="afff7"/>
            </w:pPr>
          </w:p>
        </w:tc>
        <w:tc>
          <w:tcPr>
            <w:tcW w:w="737" w:type="pct"/>
            <w:shd w:val="clear" w:color="auto" w:fill="auto"/>
            <w:vAlign w:val="bottom"/>
          </w:tcPr>
          <w:p w:rsidR="004A3868" w:rsidRDefault="004A3868">
            <w:pPr>
              <w:pStyle w:val="afff7"/>
            </w:pPr>
          </w:p>
        </w:tc>
        <w:tc>
          <w:tcPr>
            <w:tcW w:w="734"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r>
      <w:tr w:rsidR="004A3868">
        <w:trPr>
          <w:trHeight w:val="397"/>
          <w:jc w:val="center"/>
        </w:trPr>
        <w:tc>
          <w:tcPr>
            <w:tcW w:w="661" w:type="pct"/>
            <w:shd w:val="clear" w:color="auto" w:fill="auto"/>
            <w:vAlign w:val="bottom"/>
          </w:tcPr>
          <w:p w:rsidR="004A3868" w:rsidRDefault="003F1AB5">
            <w:pPr>
              <w:pStyle w:val="afff9"/>
            </w:pPr>
            <w:r>
              <w:t>2</w:t>
            </w:r>
            <w:r>
              <w:t>、国有法人持股</w:t>
            </w:r>
          </w:p>
        </w:tc>
        <w:tc>
          <w:tcPr>
            <w:tcW w:w="736" w:type="pct"/>
            <w:shd w:val="clear" w:color="auto" w:fill="auto"/>
            <w:vAlign w:val="bottom"/>
          </w:tcPr>
          <w:p w:rsidR="004A3868" w:rsidRDefault="003F1AB5">
            <w:pPr>
              <w:pStyle w:val="afff7"/>
            </w:pPr>
            <w:r>
              <w:t>5,555,556</w:t>
            </w:r>
          </w:p>
        </w:tc>
        <w:tc>
          <w:tcPr>
            <w:tcW w:w="442" w:type="pct"/>
            <w:shd w:val="clear" w:color="auto" w:fill="auto"/>
            <w:vAlign w:val="bottom"/>
          </w:tcPr>
          <w:p w:rsidR="004A3868" w:rsidRDefault="003F1AB5">
            <w:pPr>
              <w:pStyle w:val="afff7"/>
            </w:pPr>
            <w:r>
              <w:rPr>
                <w:rFonts w:hint="eastAsia"/>
              </w:rPr>
              <w:t>1</w:t>
            </w:r>
            <w:r>
              <w:t>.67</w:t>
            </w: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3F1AB5">
            <w:pPr>
              <w:pStyle w:val="afff7"/>
            </w:pPr>
            <w:r>
              <w:rPr>
                <w:rFonts w:hint="eastAsia"/>
              </w:rPr>
              <w:t>-</w:t>
            </w:r>
            <w:r>
              <w:t>5,555,556</w:t>
            </w:r>
          </w:p>
        </w:tc>
        <w:tc>
          <w:tcPr>
            <w:tcW w:w="737" w:type="pct"/>
            <w:shd w:val="clear" w:color="auto" w:fill="auto"/>
            <w:vAlign w:val="bottom"/>
          </w:tcPr>
          <w:p w:rsidR="004A3868" w:rsidRDefault="003F1AB5">
            <w:pPr>
              <w:pStyle w:val="afff7"/>
            </w:pPr>
            <w:r>
              <w:t>-5,555,556</w:t>
            </w:r>
          </w:p>
        </w:tc>
        <w:tc>
          <w:tcPr>
            <w:tcW w:w="734" w:type="pct"/>
            <w:shd w:val="clear" w:color="auto" w:fill="auto"/>
            <w:vAlign w:val="bottom"/>
          </w:tcPr>
          <w:p w:rsidR="004A3868" w:rsidRDefault="003F1AB5">
            <w:pPr>
              <w:pStyle w:val="afff7"/>
            </w:pPr>
            <w:r>
              <w:rPr>
                <w:rFonts w:hint="eastAsia"/>
              </w:rPr>
              <w:t>0</w:t>
            </w:r>
          </w:p>
        </w:tc>
        <w:tc>
          <w:tcPr>
            <w:tcW w:w="442" w:type="pct"/>
            <w:shd w:val="clear" w:color="auto" w:fill="auto"/>
            <w:vAlign w:val="bottom"/>
          </w:tcPr>
          <w:p w:rsidR="004A3868" w:rsidRDefault="003F1AB5">
            <w:pPr>
              <w:pStyle w:val="afff7"/>
            </w:pPr>
            <w:r>
              <w:rPr>
                <w:rFonts w:hint="eastAsia"/>
              </w:rPr>
              <w:t>0</w:t>
            </w:r>
            <w:r>
              <w:t>.00</w:t>
            </w:r>
          </w:p>
        </w:tc>
      </w:tr>
      <w:tr w:rsidR="004A3868">
        <w:trPr>
          <w:trHeight w:val="397"/>
          <w:jc w:val="center"/>
        </w:trPr>
        <w:tc>
          <w:tcPr>
            <w:tcW w:w="661" w:type="pct"/>
            <w:shd w:val="clear" w:color="auto" w:fill="auto"/>
            <w:vAlign w:val="bottom"/>
          </w:tcPr>
          <w:p w:rsidR="004A3868" w:rsidRDefault="003F1AB5">
            <w:pPr>
              <w:pStyle w:val="afff9"/>
            </w:pPr>
            <w:r>
              <w:t>3</w:t>
            </w:r>
            <w:r>
              <w:t>、其他内资持股</w:t>
            </w:r>
          </w:p>
        </w:tc>
        <w:tc>
          <w:tcPr>
            <w:tcW w:w="736"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4A3868">
            <w:pPr>
              <w:pStyle w:val="afff7"/>
            </w:pPr>
          </w:p>
        </w:tc>
        <w:tc>
          <w:tcPr>
            <w:tcW w:w="737" w:type="pct"/>
            <w:shd w:val="clear" w:color="auto" w:fill="auto"/>
            <w:vAlign w:val="bottom"/>
          </w:tcPr>
          <w:p w:rsidR="004A3868" w:rsidRDefault="004A3868">
            <w:pPr>
              <w:pStyle w:val="afff7"/>
            </w:pPr>
          </w:p>
        </w:tc>
        <w:tc>
          <w:tcPr>
            <w:tcW w:w="734"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r>
      <w:tr w:rsidR="004A3868">
        <w:trPr>
          <w:trHeight w:val="397"/>
          <w:jc w:val="center"/>
        </w:trPr>
        <w:tc>
          <w:tcPr>
            <w:tcW w:w="661" w:type="pct"/>
            <w:shd w:val="clear" w:color="auto" w:fill="auto"/>
            <w:vAlign w:val="bottom"/>
          </w:tcPr>
          <w:p w:rsidR="004A3868" w:rsidRDefault="003F1AB5">
            <w:pPr>
              <w:pStyle w:val="afff9"/>
            </w:pPr>
            <w:r>
              <w:t>其中：境内非国有法人持股</w:t>
            </w:r>
          </w:p>
        </w:tc>
        <w:tc>
          <w:tcPr>
            <w:tcW w:w="736" w:type="pct"/>
            <w:shd w:val="clear" w:color="auto" w:fill="auto"/>
            <w:vAlign w:val="bottom"/>
          </w:tcPr>
          <w:p w:rsidR="004A3868" w:rsidRDefault="003F1AB5">
            <w:pPr>
              <w:pStyle w:val="afff7"/>
            </w:pPr>
            <w:r>
              <w:t>61,601,049</w:t>
            </w:r>
          </w:p>
        </w:tc>
        <w:tc>
          <w:tcPr>
            <w:tcW w:w="442" w:type="pct"/>
            <w:shd w:val="clear" w:color="auto" w:fill="auto"/>
            <w:vAlign w:val="bottom"/>
          </w:tcPr>
          <w:p w:rsidR="004A3868" w:rsidRDefault="003F1AB5">
            <w:pPr>
              <w:pStyle w:val="afff7"/>
            </w:pPr>
            <w:r>
              <w:rPr>
                <w:rFonts w:hint="eastAsia"/>
              </w:rPr>
              <w:t>1</w:t>
            </w:r>
            <w:r>
              <w:t>8.49</w:t>
            </w: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3F1AB5">
            <w:pPr>
              <w:pStyle w:val="afff7"/>
            </w:pPr>
            <w:r>
              <w:rPr>
                <w:rFonts w:hint="eastAsia"/>
              </w:rPr>
              <w:t>-</w:t>
            </w:r>
            <w:r>
              <w:t>61,601,049</w:t>
            </w:r>
          </w:p>
        </w:tc>
        <w:tc>
          <w:tcPr>
            <w:tcW w:w="737" w:type="pct"/>
            <w:shd w:val="clear" w:color="auto" w:fill="auto"/>
            <w:vAlign w:val="bottom"/>
          </w:tcPr>
          <w:p w:rsidR="004A3868" w:rsidRDefault="003F1AB5">
            <w:pPr>
              <w:pStyle w:val="afff7"/>
            </w:pPr>
            <w:r>
              <w:rPr>
                <w:rFonts w:hint="eastAsia"/>
              </w:rPr>
              <w:t>-</w:t>
            </w:r>
            <w:r>
              <w:t>61,601,049</w:t>
            </w:r>
          </w:p>
        </w:tc>
        <w:tc>
          <w:tcPr>
            <w:tcW w:w="734" w:type="pct"/>
            <w:shd w:val="clear" w:color="auto" w:fill="auto"/>
            <w:vAlign w:val="bottom"/>
          </w:tcPr>
          <w:p w:rsidR="004A3868" w:rsidRDefault="003F1AB5">
            <w:pPr>
              <w:pStyle w:val="afff7"/>
            </w:pPr>
            <w:r>
              <w:rPr>
                <w:rFonts w:hint="eastAsia"/>
              </w:rPr>
              <w:t>0</w:t>
            </w:r>
          </w:p>
        </w:tc>
        <w:tc>
          <w:tcPr>
            <w:tcW w:w="442" w:type="pct"/>
            <w:shd w:val="clear" w:color="auto" w:fill="auto"/>
            <w:vAlign w:val="bottom"/>
          </w:tcPr>
          <w:p w:rsidR="004A3868" w:rsidRDefault="003F1AB5">
            <w:pPr>
              <w:pStyle w:val="afff7"/>
            </w:pPr>
            <w:r>
              <w:rPr>
                <w:rFonts w:hint="eastAsia"/>
              </w:rPr>
              <w:t>0</w:t>
            </w:r>
            <w:r>
              <w:t>.00</w:t>
            </w:r>
          </w:p>
        </w:tc>
      </w:tr>
      <w:tr w:rsidR="004A3868">
        <w:trPr>
          <w:trHeight w:val="397"/>
          <w:jc w:val="center"/>
        </w:trPr>
        <w:tc>
          <w:tcPr>
            <w:tcW w:w="661" w:type="pct"/>
            <w:shd w:val="clear" w:color="auto" w:fill="auto"/>
            <w:vAlign w:val="bottom"/>
          </w:tcPr>
          <w:p w:rsidR="004A3868" w:rsidRDefault="003F1AB5">
            <w:pPr>
              <w:pStyle w:val="afff9"/>
            </w:pPr>
            <w:r>
              <w:t>境内自然人持股</w:t>
            </w:r>
          </w:p>
        </w:tc>
        <w:tc>
          <w:tcPr>
            <w:tcW w:w="736" w:type="pct"/>
            <w:shd w:val="clear" w:color="auto" w:fill="auto"/>
            <w:vAlign w:val="bottom"/>
          </w:tcPr>
          <w:p w:rsidR="004A3868" w:rsidRDefault="003F1AB5">
            <w:pPr>
              <w:pStyle w:val="afff7"/>
            </w:pPr>
            <w:r>
              <w:t>182,718,950</w:t>
            </w:r>
          </w:p>
        </w:tc>
        <w:tc>
          <w:tcPr>
            <w:tcW w:w="442" w:type="pct"/>
            <w:shd w:val="clear" w:color="auto" w:fill="auto"/>
            <w:vAlign w:val="bottom"/>
          </w:tcPr>
          <w:p w:rsidR="004A3868" w:rsidRDefault="003F1AB5">
            <w:pPr>
              <w:pStyle w:val="afff7"/>
            </w:pPr>
            <w:r>
              <w:rPr>
                <w:rFonts w:hint="eastAsia"/>
              </w:rPr>
              <w:t>5</w:t>
            </w:r>
            <w:r>
              <w:t>4.84</w:t>
            </w: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3F1AB5">
            <w:pPr>
              <w:pStyle w:val="afff7"/>
            </w:pPr>
            <w:r>
              <w:rPr>
                <w:rFonts w:hint="eastAsia"/>
              </w:rPr>
              <w:t>-38,807,409</w:t>
            </w:r>
          </w:p>
        </w:tc>
        <w:tc>
          <w:tcPr>
            <w:tcW w:w="737" w:type="pct"/>
            <w:shd w:val="clear" w:color="auto" w:fill="auto"/>
            <w:vAlign w:val="bottom"/>
          </w:tcPr>
          <w:p w:rsidR="004A3868" w:rsidRDefault="003F1AB5">
            <w:pPr>
              <w:pStyle w:val="afff7"/>
            </w:pPr>
            <w:r>
              <w:rPr>
                <w:rFonts w:hint="eastAsia"/>
              </w:rPr>
              <w:t>-38,807,409</w:t>
            </w:r>
          </w:p>
        </w:tc>
        <w:tc>
          <w:tcPr>
            <w:tcW w:w="734" w:type="pct"/>
            <w:shd w:val="clear" w:color="auto" w:fill="auto"/>
            <w:vAlign w:val="bottom"/>
          </w:tcPr>
          <w:p w:rsidR="004A3868" w:rsidRDefault="003F1AB5">
            <w:pPr>
              <w:pStyle w:val="afff7"/>
            </w:pPr>
            <w:r>
              <w:t>143,911,541</w:t>
            </w:r>
          </w:p>
        </w:tc>
        <w:tc>
          <w:tcPr>
            <w:tcW w:w="442" w:type="pct"/>
            <w:shd w:val="clear" w:color="auto" w:fill="auto"/>
            <w:vAlign w:val="bottom"/>
          </w:tcPr>
          <w:p w:rsidR="004A3868" w:rsidRDefault="003F1AB5">
            <w:pPr>
              <w:pStyle w:val="afff7"/>
            </w:pPr>
            <w:r>
              <w:rPr>
                <w:rFonts w:hint="eastAsia"/>
              </w:rPr>
              <w:t>4</w:t>
            </w:r>
            <w:r>
              <w:t>3.19</w:t>
            </w:r>
          </w:p>
        </w:tc>
      </w:tr>
      <w:tr w:rsidR="004A3868">
        <w:trPr>
          <w:trHeight w:val="397"/>
          <w:jc w:val="center"/>
        </w:trPr>
        <w:tc>
          <w:tcPr>
            <w:tcW w:w="661" w:type="pct"/>
            <w:shd w:val="clear" w:color="auto" w:fill="auto"/>
            <w:vAlign w:val="bottom"/>
          </w:tcPr>
          <w:p w:rsidR="004A3868" w:rsidRDefault="003F1AB5">
            <w:pPr>
              <w:pStyle w:val="afff9"/>
            </w:pPr>
            <w:r>
              <w:rPr>
                <w:rFonts w:hint="eastAsia"/>
              </w:rPr>
              <w:t>4</w:t>
            </w:r>
            <w:r>
              <w:rPr>
                <w:rFonts w:hint="eastAsia"/>
              </w:rPr>
              <w:t>、</w:t>
            </w:r>
            <w:r>
              <w:t>外资持股</w:t>
            </w:r>
          </w:p>
        </w:tc>
        <w:tc>
          <w:tcPr>
            <w:tcW w:w="736"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4A3868">
            <w:pPr>
              <w:pStyle w:val="afff7"/>
            </w:pPr>
          </w:p>
        </w:tc>
        <w:tc>
          <w:tcPr>
            <w:tcW w:w="737" w:type="pct"/>
            <w:shd w:val="clear" w:color="auto" w:fill="auto"/>
            <w:vAlign w:val="bottom"/>
          </w:tcPr>
          <w:p w:rsidR="004A3868" w:rsidRDefault="004A3868">
            <w:pPr>
              <w:pStyle w:val="afff7"/>
            </w:pPr>
          </w:p>
        </w:tc>
        <w:tc>
          <w:tcPr>
            <w:tcW w:w="734"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r>
      <w:tr w:rsidR="004A3868">
        <w:trPr>
          <w:trHeight w:val="397"/>
          <w:jc w:val="center"/>
        </w:trPr>
        <w:tc>
          <w:tcPr>
            <w:tcW w:w="661" w:type="pct"/>
            <w:shd w:val="clear" w:color="auto" w:fill="auto"/>
            <w:vAlign w:val="bottom"/>
          </w:tcPr>
          <w:p w:rsidR="004A3868" w:rsidRDefault="003F1AB5">
            <w:pPr>
              <w:pStyle w:val="afff9"/>
            </w:pPr>
            <w:r>
              <w:t>其中：境外法人持股</w:t>
            </w:r>
          </w:p>
        </w:tc>
        <w:tc>
          <w:tcPr>
            <w:tcW w:w="736"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4A3868">
            <w:pPr>
              <w:pStyle w:val="afff7"/>
            </w:pPr>
          </w:p>
        </w:tc>
        <w:tc>
          <w:tcPr>
            <w:tcW w:w="737" w:type="pct"/>
            <w:shd w:val="clear" w:color="auto" w:fill="auto"/>
            <w:vAlign w:val="bottom"/>
          </w:tcPr>
          <w:p w:rsidR="004A3868" w:rsidRDefault="004A3868">
            <w:pPr>
              <w:pStyle w:val="afff7"/>
            </w:pPr>
          </w:p>
        </w:tc>
        <w:tc>
          <w:tcPr>
            <w:tcW w:w="734"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r>
      <w:tr w:rsidR="004A3868">
        <w:trPr>
          <w:trHeight w:val="397"/>
          <w:jc w:val="center"/>
        </w:trPr>
        <w:tc>
          <w:tcPr>
            <w:tcW w:w="661" w:type="pct"/>
            <w:shd w:val="clear" w:color="auto" w:fill="auto"/>
            <w:vAlign w:val="bottom"/>
          </w:tcPr>
          <w:p w:rsidR="004A3868" w:rsidRDefault="003F1AB5">
            <w:pPr>
              <w:pStyle w:val="afff9"/>
            </w:pPr>
            <w:r>
              <w:t>境外自然人持股</w:t>
            </w:r>
          </w:p>
        </w:tc>
        <w:tc>
          <w:tcPr>
            <w:tcW w:w="736"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4A3868">
            <w:pPr>
              <w:pStyle w:val="afff7"/>
            </w:pPr>
          </w:p>
        </w:tc>
        <w:tc>
          <w:tcPr>
            <w:tcW w:w="737" w:type="pct"/>
            <w:shd w:val="clear" w:color="auto" w:fill="auto"/>
            <w:vAlign w:val="bottom"/>
          </w:tcPr>
          <w:p w:rsidR="004A3868" w:rsidRDefault="004A3868">
            <w:pPr>
              <w:pStyle w:val="afff7"/>
            </w:pPr>
          </w:p>
        </w:tc>
        <w:tc>
          <w:tcPr>
            <w:tcW w:w="734"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r>
      <w:tr w:rsidR="004A3868">
        <w:trPr>
          <w:trHeight w:val="397"/>
          <w:jc w:val="center"/>
        </w:trPr>
        <w:tc>
          <w:tcPr>
            <w:tcW w:w="661" w:type="pct"/>
            <w:shd w:val="clear" w:color="auto" w:fill="auto"/>
            <w:vAlign w:val="bottom"/>
          </w:tcPr>
          <w:p w:rsidR="004A3868" w:rsidRDefault="003F1AB5">
            <w:pPr>
              <w:pStyle w:val="afff9"/>
            </w:pPr>
            <w:r>
              <w:t>二、无限售条件流通股份</w:t>
            </w:r>
          </w:p>
        </w:tc>
        <w:tc>
          <w:tcPr>
            <w:tcW w:w="736" w:type="pct"/>
            <w:shd w:val="clear" w:color="auto" w:fill="auto"/>
            <w:vAlign w:val="bottom"/>
          </w:tcPr>
          <w:p w:rsidR="004A3868" w:rsidRDefault="003F1AB5">
            <w:pPr>
              <w:pStyle w:val="afff7"/>
            </w:pPr>
            <w:r>
              <w:t>83,291,852</w:t>
            </w:r>
          </w:p>
        </w:tc>
        <w:tc>
          <w:tcPr>
            <w:tcW w:w="442" w:type="pct"/>
            <w:shd w:val="clear" w:color="auto" w:fill="auto"/>
            <w:vAlign w:val="bottom"/>
          </w:tcPr>
          <w:p w:rsidR="004A3868" w:rsidRDefault="003F1AB5">
            <w:pPr>
              <w:pStyle w:val="afff7"/>
            </w:pPr>
            <w:r>
              <w:rPr>
                <w:rFonts w:hint="eastAsia"/>
              </w:rPr>
              <w:t>2</w:t>
            </w:r>
            <w:r>
              <w:t>5.00</w:t>
            </w: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3F1AB5">
            <w:pPr>
              <w:pStyle w:val="afff7"/>
            </w:pPr>
            <w:r>
              <w:t>+105,964,014</w:t>
            </w:r>
          </w:p>
        </w:tc>
        <w:tc>
          <w:tcPr>
            <w:tcW w:w="737" w:type="pct"/>
            <w:shd w:val="clear" w:color="auto" w:fill="auto"/>
            <w:vAlign w:val="bottom"/>
          </w:tcPr>
          <w:p w:rsidR="004A3868" w:rsidRDefault="003F1AB5">
            <w:pPr>
              <w:pStyle w:val="afff7"/>
            </w:pPr>
            <w:r>
              <w:t>+105,964,014</w:t>
            </w:r>
          </w:p>
        </w:tc>
        <w:tc>
          <w:tcPr>
            <w:tcW w:w="734" w:type="pct"/>
            <w:shd w:val="clear" w:color="auto" w:fill="auto"/>
            <w:vAlign w:val="bottom"/>
          </w:tcPr>
          <w:p w:rsidR="004A3868" w:rsidRDefault="003F1AB5">
            <w:pPr>
              <w:pStyle w:val="afff7"/>
            </w:pPr>
            <w:r>
              <w:t>189,255,866</w:t>
            </w:r>
          </w:p>
        </w:tc>
        <w:tc>
          <w:tcPr>
            <w:tcW w:w="442" w:type="pct"/>
            <w:shd w:val="clear" w:color="auto" w:fill="auto"/>
            <w:vAlign w:val="bottom"/>
          </w:tcPr>
          <w:p w:rsidR="004A3868" w:rsidRDefault="003F1AB5">
            <w:pPr>
              <w:pStyle w:val="afff7"/>
            </w:pPr>
            <w:r>
              <w:rPr>
                <w:rFonts w:hint="eastAsia"/>
              </w:rPr>
              <w:t>5</w:t>
            </w:r>
            <w:r>
              <w:t>6.81</w:t>
            </w:r>
          </w:p>
        </w:tc>
      </w:tr>
      <w:tr w:rsidR="004A3868">
        <w:trPr>
          <w:trHeight w:val="397"/>
          <w:jc w:val="center"/>
        </w:trPr>
        <w:tc>
          <w:tcPr>
            <w:tcW w:w="661" w:type="pct"/>
            <w:shd w:val="clear" w:color="auto" w:fill="auto"/>
            <w:vAlign w:val="bottom"/>
          </w:tcPr>
          <w:p w:rsidR="004A3868" w:rsidRDefault="003F1AB5">
            <w:pPr>
              <w:pStyle w:val="afff9"/>
            </w:pPr>
            <w:r>
              <w:t>1</w:t>
            </w:r>
            <w:r>
              <w:t>、人民币普通股</w:t>
            </w:r>
          </w:p>
        </w:tc>
        <w:tc>
          <w:tcPr>
            <w:tcW w:w="736" w:type="pct"/>
            <w:shd w:val="clear" w:color="auto" w:fill="auto"/>
            <w:vAlign w:val="bottom"/>
          </w:tcPr>
          <w:p w:rsidR="004A3868" w:rsidRDefault="003F1AB5">
            <w:pPr>
              <w:pStyle w:val="afff7"/>
            </w:pPr>
            <w:r>
              <w:t>83,291,852</w:t>
            </w:r>
          </w:p>
        </w:tc>
        <w:tc>
          <w:tcPr>
            <w:tcW w:w="442" w:type="pct"/>
            <w:shd w:val="clear" w:color="auto" w:fill="auto"/>
            <w:vAlign w:val="bottom"/>
          </w:tcPr>
          <w:p w:rsidR="004A3868" w:rsidRDefault="003F1AB5">
            <w:pPr>
              <w:pStyle w:val="afff7"/>
            </w:pPr>
            <w:r>
              <w:rPr>
                <w:rFonts w:hint="eastAsia"/>
              </w:rPr>
              <w:t>2</w:t>
            </w:r>
            <w:r>
              <w:t>5.00</w:t>
            </w: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3F1AB5">
            <w:pPr>
              <w:pStyle w:val="afff7"/>
            </w:pPr>
            <w:r>
              <w:t>+105,964,014</w:t>
            </w:r>
          </w:p>
        </w:tc>
        <w:tc>
          <w:tcPr>
            <w:tcW w:w="737" w:type="pct"/>
            <w:shd w:val="clear" w:color="auto" w:fill="auto"/>
            <w:vAlign w:val="bottom"/>
          </w:tcPr>
          <w:p w:rsidR="004A3868" w:rsidRDefault="003F1AB5">
            <w:pPr>
              <w:pStyle w:val="afff7"/>
            </w:pPr>
            <w:r>
              <w:t>+105,964,014</w:t>
            </w:r>
          </w:p>
        </w:tc>
        <w:tc>
          <w:tcPr>
            <w:tcW w:w="734" w:type="pct"/>
            <w:shd w:val="clear" w:color="auto" w:fill="auto"/>
            <w:vAlign w:val="bottom"/>
          </w:tcPr>
          <w:p w:rsidR="004A3868" w:rsidRDefault="003F1AB5">
            <w:pPr>
              <w:pStyle w:val="afff7"/>
            </w:pPr>
            <w:r>
              <w:t>189,255,866</w:t>
            </w:r>
          </w:p>
        </w:tc>
        <w:tc>
          <w:tcPr>
            <w:tcW w:w="442" w:type="pct"/>
            <w:shd w:val="clear" w:color="auto" w:fill="auto"/>
            <w:vAlign w:val="bottom"/>
          </w:tcPr>
          <w:p w:rsidR="004A3868" w:rsidRDefault="003F1AB5">
            <w:pPr>
              <w:pStyle w:val="afff7"/>
            </w:pPr>
            <w:r>
              <w:rPr>
                <w:rFonts w:hint="eastAsia"/>
              </w:rPr>
              <w:t>5</w:t>
            </w:r>
            <w:r>
              <w:t>6.81</w:t>
            </w:r>
          </w:p>
        </w:tc>
      </w:tr>
      <w:tr w:rsidR="004A3868">
        <w:trPr>
          <w:trHeight w:val="397"/>
          <w:jc w:val="center"/>
        </w:trPr>
        <w:tc>
          <w:tcPr>
            <w:tcW w:w="661" w:type="pct"/>
            <w:shd w:val="clear" w:color="auto" w:fill="auto"/>
            <w:vAlign w:val="bottom"/>
          </w:tcPr>
          <w:p w:rsidR="004A3868" w:rsidRDefault="003F1AB5">
            <w:pPr>
              <w:pStyle w:val="afff9"/>
            </w:pPr>
            <w:r>
              <w:t>2</w:t>
            </w:r>
            <w:r>
              <w:t>、境内上市的外资股</w:t>
            </w:r>
          </w:p>
        </w:tc>
        <w:tc>
          <w:tcPr>
            <w:tcW w:w="736"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4A3868">
            <w:pPr>
              <w:pStyle w:val="afff7"/>
            </w:pPr>
          </w:p>
        </w:tc>
        <w:tc>
          <w:tcPr>
            <w:tcW w:w="737" w:type="pct"/>
            <w:shd w:val="clear" w:color="auto" w:fill="auto"/>
            <w:vAlign w:val="bottom"/>
          </w:tcPr>
          <w:p w:rsidR="004A3868" w:rsidRDefault="004A3868">
            <w:pPr>
              <w:pStyle w:val="afff7"/>
            </w:pPr>
          </w:p>
        </w:tc>
        <w:tc>
          <w:tcPr>
            <w:tcW w:w="734"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r>
      <w:tr w:rsidR="004A3868">
        <w:trPr>
          <w:trHeight w:val="397"/>
          <w:jc w:val="center"/>
        </w:trPr>
        <w:tc>
          <w:tcPr>
            <w:tcW w:w="661" w:type="pct"/>
            <w:shd w:val="clear" w:color="auto" w:fill="auto"/>
            <w:vAlign w:val="bottom"/>
          </w:tcPr>
          <w:p w:rsidR="004A3868" w:rsidRDefault="003F1AB5">
            <w:pPr>
              <w:pStyle w:val="afff9"/>
            </w:pPr>
            <w:r>
              <w:t>3</w:t>
            </w:r>
            <w:r>
              <w:t>、境外上市的外资股</w:t>
            </w:r>
          </w:p>
        </w:tc>
        <w:tc>
          <w:tcPr>
            <w:tcW w:w="736"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4A3868">
            <w:pPr>
              <w:pStyle w:val="afff7"/>
            </w:pPr>
          </w:p>
        </w:tc>
        <w:tc>
          <w:tcPr>
            <w:tcW w:w="737" w:type="pct"/>
            <w:shd w:val="clear" w:color="auto" w:fill="auto"/>
            <w:vAlign w:val="bottom"/>
          </w:tcPr>
          <w:p w:rsidR="004A3868" w:rsidRDefault="004A3868">
            <w:pPr>
              <w:pStyle w:val="afff7"/>
            </w:pPr>
          </w:p>
        </w:tc>
        <w:tc>
          <w:tcPr>
            <w:tcW w:w="734"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r>
      <w:tr w:rsidR="004A3868">
        <w:trPr>
          <w:trHeight w:val="397"/>
          <w:jc w:val="center"/>
        </w:trPr>
        <w:tc>
          <w:tcPr>
            <w:tcW w:w="661" w:type="pct"/>
            <w:shd w:val="clear" w:color="auto" w:fill="auto"/>
            <w:vAlign w:val="bottom"/>
          </w:tcPr>
          <w:p w:rsidR="004A3868" w:rsidRDefault="003F1AB5">
            <w:pPr>
              <w:pStyle w:val="afff9"/>
            </w:pPr>
            <w:r>
              <w:lastRenderedPageBreak/>
              <w:t>4</w:t>
            </w:r>
            <w:r>
              <w:t>、其他</w:t>
            </w:r>
          </w:p>
        </w:tc>
        <w:tc>
          <w:tcPr>
            <w:tcW w:w="736"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4A3868">
            <w:pPr>
              <w:pStyle w:val="afff7"/>
            </w:pPr>
          </w:p>
        </w:tc>
        <w:tc>
          <w:tcPr>
            <w:tcW w:w="737" w:type="pct"/>
            <w:shd w:val="clear" w:color="auto" w:fill="auto"/>
            <w:vAlign w:val="bottom"/>
          </w:tcPr>
          <w:p w:rsidR="004A3868" w:rsidRDefault="004A3868">
            <w:pPr>
              <w:pStyle w:val="afff7"/>
            </w:pPr>
          </w:p>
        </w:tc>
        <w:tc>
          <w:tcPr>
            <w:tcW w:w="734" w:type="pct"/>
            <w:shd w:val="clear" w:color="auto" w:fill="auto"/>
            <w:vAlign w:val="bottom"/>
          </w:tcPr>
          <w:p w:rsidR="004A3868" w:rsidRDefault="004A3868">
            <w:pPr>
              <w:pStyle w:val="afff7"/>
            </w:pPr>
          </w:p>
        </w:tc>
        <w:tc>
          <w:tcPr>
            <w:tcW w:w="442" w:type="pct"/>
            <w:shd w:val="clear" w:color="auto" w:fill="auto"/>
            <w:vAlign w:val="bottom"/>
          </w:tcPr>
          <w:p w:rsidR="004A3868" w:rsidRDefault="004A3868">
            <w:pPr>
              <w:pStyle w:val="afff7"/>
            </w:pPr>
          </w:p>
        </w:tc>
      </w:tr>
      <w:tr w:rsidR="004A3868">
        <w:trPr>
          <w:trHeight w:val="397"/>
          <w:jc w:val="center"/>
        </w:trPr>
        <w:tc>
          <w:tcPr>
            <w:tcW w:w="661" w:type="pct"/>
            <w:shd w:val="clear" w:color="auto" w:fill="auto"/>
            <w:vAlign w:val="bottom"/>
          </w:tcPr>
          <w:p w:rsidR="004A3868" w:rsidRDefault="003F1AB5">
            <w:pPr>
              <w:pStyle w:val="afff9"/>
            </w:pPr>
            <w:r>
              <w:t>三、股份</w:t>
            </w:r>
            <w:r>
              <w:rPr>
                <w:rFonts w:hint="eastAsia"/>
              </w:rPr>
              <w:t>总数</w:t>
            </w:r>
          </w:p>
        </w:tc>
        <w:tc>
          <w:tcPr>
            <w:tcW w:w="736" w:type="pct"/>
            <w:shd w:val="clear" w:color="auto" w:fill="auto"/>
            <w:vAlign w:val="bottom"/>
          </w:tcPr>
          <w:p w:rsidR="004A3868" w:rsidRDefault="003F1AB5">
            <w:pPr>
              <w:pStyle w:val="afff7"/>
            </w:pPr>
            <w:r>
              <w:t>333,167,407</w:t>
            </w:r>
          </w:p>
        </w:tc>
        <w:tc>
          <w:tcPr>
            <w:tcW w:w="442" w:type="pct"/>
            <w:shd w:val="clear" w:color="auto" w:fill="auto"/>
            <w:vAlign w:val="bottom"/>
          </w:tcPr>
          <w:p w:rsidR="004A3868" w:rsidRDefault="003F1AB5">
            <w:pPr>
              <w:pStyle w:val="afff7"/>
            </w:pPr>
            <w:r>
              <w:rPr>
                <w:rFonts w:hint="eastAsia"/>
              </w:rPr>
              <w:t>1</w:t>
            </w:r>
            <w:r>
              <w:t>00.00</w:t>
            </w: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147" w:type="pct"/>
            <w:shd w:val="clear" w:color="auto" w:fill="auto"/>
            <w:vAlign w:val="bottom"/>
          </w:tcPr>
          <w:p w:rsidR="004A3868" w:rsidRDefault="004A3868">
            <w:pPr>
              <w:pStyle w:val="afff7"/>
            </w:pPr>
          </w:p>
        </w:tc>
        <w:tc>
          <w:tcPr>
            <w:tcW w:w="808" w:type="pct"/>
            <w:shd w:val="clear" w:color="auto" w:fill="auto"/>
            <w:vAlign w:val="bottom"/>
          </w:tcPr>
          <w:p w:rsidR="004A3868" w:rsidRDefault="003F1AB5">
            <w:pPr>
              <w:pStyle w:val="afff7"/>
            </w:pPr>
            <w:r>
              <w:rPr>
                <w:rFonts w:hint="eastAsia"/>
              </w:rPr>
              <w:t>0</w:t>
            </w:r>
          </w:p>
        </w:tc>
        <w:tc>
          <w:tcPr>
            <w:tcW w:w="737" w:type="pct"/>
            <w:shd w:val="clear" w:color="auto" w:fill="auto"/>
            <w:vAlign w:val="bottom"/>
          </w:tcPr>
          <w:p w:rsidR="004A3868" w:rsidRDefault="003F1AB5">
            <w:pPr>
              <w:pStyle w:val="afff7"/>
            </w:pPr>
            <w:r>
              <w:rPr>
                <w:rFonts w:hint="eastAsia"/>
              </w:rPr>
              <w:t>0</w:t>
            </w:r>
          </w:p>
        </w:tc>
        <w:tc>
          <w:tcPr>
            <w:tcW w:w="734" w:type="pct"/>
            <w:shd w:val="clear" w:color="auto" w:fill="auto"/>
            <w:vAlign w:val="bottom"/>
          </w:tcPr>
          <w:p w:rsidR="004A3868" w:rsidRDefault="003F1AB5">
            <w:pPr>
              <w:pStyle w:val="afff7"/>
            </w:pPr>
            <w:r>
              <w:t>333,167,407</w:t>
            </w:r>
          </w:p>
        </w:tc>
        <w:tc>
          <w:tcPr>
            <w:tcW w:w="442" w:type="pct"/>
            <w:shd w:val="clear" w:color="auto" w:fill="auto"/>
            <w:vAlign w:val="bottom"/>
          </w:tcPr>
          <w:p w:rsidR="004A3868" w:rsidRDefault="003F1AB5">
            <w:pPr>
              <w:pStyle w:val="afff7"/>
            </w:pPr>
            <w:r>
              <w:rPr>
                <w:rFonts w:hint="eastAsia"/>
              </w:rPr>
              <w:t>1</w:t>
            </w:r>
            <w:r>
              <w:t>00.00</w:t>
            </w:r>
          </w:p>
        </w:tc>
      </w:tr>
    </w:tbl>
    <w:p w:rsidR="004A3868" w:rsidRDefault="004A3868">
      <w:pPr>
        <w:pStyle w:val="Style124"/>
      </w:pPr>
    </w:p>
    <w:p w:rsidR="004A3868" w:rsidRDefault="003F1AB5">
      <w:pPr>
        <w:pStyle w:val="4"/>
        <w:numPr>
          <w:ilvl w:val="2"/>
          <w:numId w:val="51"/>
        </w:numPr>
      </w:pPr>
      <w:r>
        <w:t>股份变动情况说明</w:t>
      </w:r>
    </w:p>
    <w:sdt>
      <w:sdtPr>
        <w:rPr>
          <w:rFonts w:hint="eastAsia"/>
        </w:rPr>
        <w:alias w:val="是否适用：普通股股份变动情况说明[双击切换]"/>
        <w:tag w:val="_GBC_b52413c1d37b456ba72aa8b8840cb9d8"/>
        <w:id w:val="-1016542277"/>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股份变动情况说明"/>
        <w:tag w:val="_GBC_0049817ff5b44e28a8751c37cab3f894"/>
        <w:id w:val="549961032"/>
        <w:placeholder>
          <w:docPart w:val="GBC22222222222222222222222222222"/>
        </w:placeholder>
      </w:sdtPr>
      <w:sdtEndPr>
        <w:rPr>
          <w:rStyle w:val="afff2"/>
          <w:sz w:val="21"/>
          <w:szCs w:val="21"/>
        </w:rPr>
      </w:sdtEndPr>
      <w:sdtContent>
        <w:p w:rsidR="004A3868" w:rsidRDefault="003F1AB5">
          <w:pPr>
            <w:ind w:firstLineChars="200" w:firstLine="480"/>
            <w:rPr>
              <w:rStyle w:val="afff2"/>
              <w:szCs w:val="21"/>
            </w:rPr>
          </w:pPr>
          <w:r>
            <w:rPr>
              <w:rStyle w:val="afff2"/>
              <w:rFonts w:hint="eastAsia"/>
              <w:szCs w:val="21"/>
            </w:rPr>
            <w:t>公司于</w:t>
          </w:r>
          <w:r>
            <w:rPr>
              <w:rStyle w:val="afff2"/>
              <w:szCs w:val="21"/>
            </w:rPr>
            <w:t>2022年4月28日上市，根据证监会及交易所相关规则上市前股东进行了股份限售承诺，2023年4月28日有99名股东共计持有100,408,458股股份限售12个月届满解除限售</w:t>
          </w:r>
          <w:r>
            <w:rPr>
              <w:rStyle w:val="afff2"/>
              <w:rFonts w:hint="eastAsia"/>
              <w:szCs w:val="21"/>
            </w:rPr>
            <w:t>，2</w:t>
          </w:r>
          <w:r>
            <w:rPr>
              <w:rStyle w:val="afff2"/>
              <w:szCs w:val="21"/>
            </w:rPr>
            <w:t>023</w:t>
          </w:r>
          <w:r>
            <w:rPr>
              <w:rStyle w:val="afff2"/>
              <w:rFonts w:hint="eastAsia"/>
              <w:szCs w:val="21"/>
            </w:rPr>
            <w:t>年1</w:t>
          </w:r>
          <w:r>
            <w:rPr>
              <w:rStyle w:val="afff2"/>
              <w:szCs w:val="21"/>
            </w:rPr>
            <w:t>2</w:t>
          </w:r>
          <w:r>
            <w:rPr>
              <w:rStyle w:val="afff2"/>
              <w:rFonts w:hint="eastAsia"/>
              <w:szCs w:val="21"/>
            </w:rPr>
            <w:t>月1</w:t>
          </w:r>
          <w:r>
            <w:rPr>
              <w:rStyle w:val="afff2"/>
              <w:szCs w:val="21"/>
            </w:rPr>
            <w:t>1</w:t>
          </w:r>
          <w:r>
            <w:rPr>
              <w:rStyle w:val="afff2"/>
              <w:rFonts w:hint="eastAsia"/>
              <w:szCs w:val="21"/>
            </w:rPr>
            <w:t>日有1名股东持有</w:t>
          </w:r>
          <w:r>
            <w:rPr>
              <w:rStyle w:val="afff2"/>
              <w:szCs w:val="21"/>
            </w:rPr>
            <w:t>5,555,556</w:t>
          </w:r>
          <w:r>
            <w:rPr>
              <w:rStyle w:val="afff2"/>
              <w:rFonts w:hint="eastAsia"/>
              <w:szCs w:val="21"/>
            </w:rPr>
            <w:t>股股份限售2</w:t>
          </w:r>
          <w:r>
            <w:rPr>
              <w:rStyle w:val="afff2"/>
              <w:szCs w:val="21"/>
            </w:rPr>
            <w:t>0</w:t>
          </w:r>
          <w:r>
            <w:rPr>
              <w:rStyle w:val="afff2"/>
              <w:rFonts w:hint="eastAsia"/>
              <w:szCs w:val="21"/>
            </w:rPr>
            <w:t>个月届满解除限售。</w:t>
          </w:r>
        </w:p>
      </w:sdtContent>
    </w:sdt>
    <w:p w:rsidR="004A3868" w:rsidRDefault="003F1AB5">
      <w:pPr>
        <w:pStyle w:val="4"/>
        <w:numPr>
          <w:ilvl w:val="2"/>
          <w:numId w:val="51"/>
        </w:numPr>
      </w:pPr>
      <w:r>
        <w:rPr>
          <w:rFonts w:hint="eastAsia"/>
        </w:rPr>
        <w:t>股份变动对最近一年和最近一期</w:t>
      </w:r>
      <w:r>
        <w:t>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348948619"/>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4"/>
        <w:numPr>
          <w:ilvl w:val="2"/>
          <w:numId w:val="51"/>
        </w:numPr>
      </w:pPr>
      <w: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804665533"/>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7"/>
        <w:numPr>
          <w:ilvl w:val="1"/>
          <w:numId w:val="50"/>
        </w:numPr>
      </w:pPr>
      <w:r>
        <w:t>限售股份变动情况</w:t>
      </w:r>
    </w:p>
    <w:sdt>
      <w:sdtPr>
        <w:alias w:val="是否适用：限售股份变动情况表[双击切换]"/>
        <w:tag w:val="_GBC_c7cc39830d364bf68db1ac8777908a9e"/>
        <w:id w:val="234598695"/>
        <w:lock w:val="contentLocked"/>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Style w:val="Char0"/>
          <w:rFonts w:hint="eastAsia"/>
        </w:rPr>
        <w:t>单位</w:t>
      </w:r>
      <w:r>
        <w:rPr>
          <w:rStyle w:val="Char0"/>
          <w:rFonts w:hint="eastAsia"/>
        </w:rPr>
        <w:t>:</w:t>
      </w:r>
      <w:sdt>
        <w:sdtPr>
          <w:rPr>
            <w:rStyle w:val="Char0"/>
            <w:rFonts w:hint="eastAsia"/>
          </w:rPr>
          <w:alias w:val="单位：限售股份变动情况表"/>
          <w:tag w:val="_GBC_78c7b80e74ad408295df799b1fb4f5cd"/>
          <w:id w:val="213953011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Style w:val="Char0"/>
          </w:rPr>
        </w:sdtEndPr>
        <w:sdtContent>
          <w:r>
            <w:rPr>
              <w:rStyle w:val="Char0"/>
              <w:rFonts w:hint="eastAsia"/>
            </w:rPr>
            <w:t>股</w:t>
          </w:r>
        </w:sdtContent>
      </w:sdt>
    </w:p>
    <w:tbl>
      <w:tblPr>
        <w:tblStyle w:val="aff5"/>
        <w:tblW w:w="5219" w:type="pct"/>
        <w:jc w:val="center"/>
        <w:tblLayout w:type="fixed"/>
        <w:tblCellMar>
          <w:left w:w="0" w:type="dxa"/>
          <w:right w:w="28" w:type="dxa"/>
        </w:tblCellMar>
        <w:tblLook w:val="04A0" w:firstRow="1" w:lastRow="0" w:firstColumn="1" w:lastColumn="0" w:noHBand="0" w:noVBand="1"/>
      </w:tblPr>
      <w:tblGrid>
        <w:gridCol w:w="1980"/>
        <w:gridCol w:w="1701"/>
        <w:gridCol w:w="1417"/>
        <w:gridCol w:w="851"/>
        <w:gridCol w:w="567"/>
        <w:gridCol w:w="1701"/>
        <w:gridCol w:w="992"/>
      </w:tblGrid>
      <w:tr w:rsidR="004A3868">
        <w:trPr>
          <w:trHeight w:val="397"/>
          <w:jc w:val="center"/>
        </w:trPr>
        <w:sdt>
          <w:sdtPr>
            <w:tag w:val="_PLD_c7a1e2914e714458adc9ffc59c440205"/>
            <w:id w:val="790791658"/>
          </w:sdtPr>
          <w:sdtEndPr/>
          <w:sdtContent>
            <w:tc>
              <w:tcPr>
                <w:tcW w:w="1980" w:type="dxa"/>
                <w:vAlign w:val="bottom"/>
              </w:tcPr>
              <w:p w:rsidR="004A3868" w:rsidRDefault="003F1AB5">
                <w:pPr>
                  <w:pStyle w:val="afffb"/>
                </w:pPr>
                <w:r>
                  <w:t>股东名称</w:t>
                </w:r>
              </w:p>
            </w:tc>
          </w:sdtContent>
        </w:sdt>
        <w:sdt>
          <w:sdtPr>
            <w:tag w:val="_PLD_bb0180621bd444d18234e236bd4fa08b"/>
            <w:id w:val="-1296285772"/>
          </w:sdtPr>
          <w:sdtEndPr/>
          <w:sdtContent>
            <w:tc>
              <w:tcPr>
                <w:tcW w:w="1701" w:type="dxa"/>
                <w:vAlign w:val="bottom"/>
              </w:tcPr>
              <w:p w:rsidR="004A3868" w:rsidRDefault="003F1AB5">
                <w:pPr>
                  <w:pStyle w:val="afffb"/>
                </w:pPr>
                <w:r>
                  <w:rPr>
                    <w:rFonts w:hint="eastAsia"/>
                  </w:rPr>
                  <w:t>年</w:t>
                </w:r>
                <w:r>
                  <w:t>初限售股数</w:t>
                </w:r>
              </w:p>
            </w:tc>
          </w:sdtContent>
        </w:sdt>
        <w:sdt>
          <w:sdtPr>
            <w:tag w:val="_PLD_7b8d307040e34fe88a61e345f5c229e7"/>
            <w:id w:val="653566336"/>
          </w:sdtPr>
          <w:sdtEndPr/>
          <w:sdtContent>
            <w:tc>
              <w:tcPr>
                <w:tcW w:w="1417" w:type="dxa"/>
                <w:vAlign w:val="bottom"/>
              </w:tcPr>
              <w:p w:rsidR="004A3868" w:rsidRDefault="003F1AB5">
                <w:pPr>
                  <w:pStyle w:val="afffb"/>
                </w:pPr>
                <w:r>
                  <w:rPr>
                    <w:rFonts w:hint="eastAsia"/>
                  </w:rPr>
                  <w:t>本年</w:t>
                </w:r>
                <w:r>
                  <w:t>解除限售股数</w:t>
                </w:r>
              </w:p>
            </w:tc>
          </w:sdtContent>
        </w:sdt>
        <w:sdt>
          <w:sdtPr>
            <w:tag w:val="_PLD_f494b239f14f47d2818db9a79506f1ae"/>
            <w:id w:val="383447469"/>
          </w:sdtPr>
          <w:sdtEndPr/>
          <w:sdtContent>
            <w:tc>
              <w:tcPr>
                <w:tcW w:w="851" w:type="dxa"/>
                <w:vAlign w:val="bottom"/>
              </w:tcPr>
              <w:p w:rsidR="004A3868" w:rsidRDefault="003F1AB5">
                <w:pPr>
                  <w:pStyle w:val="afffb"/>
                </w:pPr>
                <w:r>
                  <w:rPr>
                    <w:rFonts w:hint="eastAsia"/>
                  </w:rPr>
                  <w:t>本年</w:t>
                </w:r>
                <w:r>
                  <w:t>增加限售股数</w:t>
                </w:r>
              </w:p>
            </w:tc>
          </w:sdtContent>
        </w:sdt>
        <w:sdt>
          <w:sdtPr>
            <w:tag w:val="_PLD_7f6e541d006347e7a584639c7f427833"/>
            <w:id w:val="-293677829"/>
          </w:sdtPr>
          <w:sdtEndPr/>
          <w:sdtContent>
            <w:tc>
              <w:tcPr>
                <w:tcW w:w="567" w:type="dxa"/>
                <w:vAlign w:val="bottom"/>
              </w:tcPr>
              <w:p w:rsidR="004A3868" w:rsidRDefault="003F1AB5">
                <w:pPr>
                  <w:pStyle w:val="afffb"/>
                </w:pPr>
                <w:r>
                  <w:rPr>
                    <w:rFonts w:hint="eastAsia"/>
                  </w:rPr>
                  <w:t>年</w:t>
                </w:r>
                <w:r>
                  <w:t>末限售股数</w:t>
                </w:r>
              </w:p>
            </w:tc>
          </w:sdtContent>
        </w:sdt>
        <w:sdt>
          <w:sdtPr>
            <w:tag w:val="_PLD_d37fee9a3155489fbf6351ef4190eda4"/>
            <w:id w:val="357012381"/>
          </w:sdtPr>
          <w:sdtEndPr/>
          <w:sdtContent>
            <w:tc>
              <w:tcPr>
                <w:tcW w:w="1701" w:type="dxa"/>
                <w:vAlign w:val="bottom"/>
              </w:tcPr>
              <w:p w:rsidR="004A3868" w:rsidRDefault="003F1AB5">
                <w:pPr>
                  <w:pStyle w:val="afffb"/>
                </w:pPr>
                <w:r>
                  <w:t>限售原因</w:t>
                </w:r>
              </w:p>
            </w:tc>
          </w:sdtContent>
        </w:sdt>
        <w:sdt>
          <w:sdtPr>
            <w:tag w:val="_PLD_ca5e79dfa7e44389b18b3a663f85094b"/>
            <w:id w:val="1293489629"/>
          </w:sdtPr>
          <w:sdtEndPr/>
          <w:sdtContent>
            <w:tc>
              <w:tcPr>
                <w:tcW w:w="992" w:type="dxa"/>
                <w:vAlign w:val="bottom"/>
              </w:tcPr>
              <w:p w:rsidR="004A3868" w:rsidRDefault="003F1AB5">
                <w:pPr>
                  <w:pStyle w:val="afffb"/>
                </w:pPr>
                <w:r>
                  <w:t>解除限售日期</w:t>
                </w:r>
              </w:p>
            </w:tc>
          </w:sdtContent>
        </w:sdt>
      </w:tr>
      <w:tr w:rsidR="004A3868">
        <w:trPr>
          <w:trHeight w:val="397"/>
          <w:jc w:val="center"/>
        </w:trPr>
        <w:tc>
          <w:tcPr>
            <w:tcW w:w="1980" w:type="dxa"/>
            <w:vAlign w:val="bottom"/>
          </w:tcPr>
          <w:p w:rsidR="004A3868" w:rsidRDefault="003F1AB5">
            <w:pPr>
              <w:rPr>
                <w:sz w:val="18"/>
                <w:szCs w:val="18"/>
              </w:rPr>
            </w:pPr>
            <w:r>
              <w:rPr>
                <w:rFonts w:hint="eastAsia"/>
                <w:sz w:val="18"/>
                <w:szCs w:val="18"/>
              </w:rPr>
              <w:t>天津普思资产管理有限公司－平潭普思广和一号股权投资合伙企业（有限合伙）</w:t>
            </w:r>
          </w:p>
        </w:tc>
        <w:tc>
          <w:tcPr>
            <w:tcW w:w="1701" w:type="dxa"/>
            <w:vAlign w:val="bottom"/>
          </w:tcPr>
          <w:p w:rsidR="004A3868" w:rsidRDefault="003F1AB5">
            <w:pPr>
              <w:pStyle w:val="afff7"/>
            </w:pPr>
            <w:r>
              <w:rPr>
                <w:rFonts w:hint="eastAsia"/>
              </w:rPr>
              <w:t>22,222,222.00</w:t>
            </w:r>
          </w:p>
        </w:tc>
        <w:tc>
          <w:tcPr>
            <w:tcW w:w="1417" w:type="dxa"/>
            <w:vAlign w:val="bottom"/>
          </w:tcPr>
          <w:p w:rsidR="004A3868" w:rsidRDefault="003F1AB5">
            <w:pPr>
              <w:pStyle w:val="afff7"/>
            </w:pPr>
            <w:r>
              <w:rPr>
                <w:rFonts w:hint="eastAsia"/>
              </w:rPr>
              <w:t>22,222,222.00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扬州尚颀并购成长产业基金合伙企业（有限合伙）</w:t>
            </w:r>
          </w:p>
        </w:tc>
        <w:tc>
          <w:tcPr>
            <w:tcW w:w="1701" w:type="dxa"/>
            <w:vAlign w:val="bottom"/>
          </w:tcPr>
          <w:p w:rsidR="004A3868" w:rsidRDefault="003F1AB5">
            <w:pPr>
              <w:pStyle w:val="afff7"/>
            </w:pPr>
            <w:r>
              <w:rPr>
                <w:rFonts w:hint="eastAsia"/>
              </w:rPr>
              <w:t>8,333,333.00</w:t>
            </w:r>
          </w:p>
        </w:tc>
        <w:tc>
          <w:tcPr>
            <w:tcW w:w="1417" w:type="dxa"/>
            <w:vAlign w:val="bottom"/>
          </w:tcPr>
          <w:p w:rsidR="004A3868" w:rsidRDefault="003F1AB5">
            <w:pPr>
              <w:pStyle w:val="afff7"/>
            </w:pPr>
            <w:r>
              <w:rPr>
                <w:rFonts w:hint="eastAsia"/>
              </w:rPr>
              <w:t>8,333,333.00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上海灏意投资管理咨询合伙企业（有限合伙）</w:t>
            </w:r>
          </w:p>
        </w:tc>
        <w:tc>
          <w:tcPr>
            <w:tcW w:w="1701" w:type="dxa"/>
            <w:vAlign w:val="bottom"/>
          </w:tcPr>
          <w:p w:rsidR="004A3868" w:rsidRDefault="003F1AB5">
            <w:pPr>
              <w:pStyle w:val="afff7"/>
            </w:pPr>
            <w:r>
              <w:rPr>
                <w:rFonts w:hint="eastAsia"/>
              </w:rPr>
              <w:t>5,555,556.00</w:t>
            </w:r>
          </w:p>
        </w:tc>
        <w:tc>
          <w:tcPr>
            <w:tcW w:w="1417" w:type="dxa"/>
            <w:vAlign w:val="bottom"/>
          </w:tcPr>
          <w:p w:rsidR="004A3868" w:rsidRDefault="003F1AB5">
            <w:pPr>
              <w:pStyle w:val="afff7"/>
            </w:pPr>
            <w:r>
              <w:rPr>
                <w:rFonts w:hint="eastAsia"/>
              </w:rPr>
              <w:t>5,555,556.00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长兴浦京湾股权投资合伙企业（有限合伙）</w:t>
            </w:r>
          </w:p>
        </w:tc>
        <w:tc>
          <w:tcPr>
            <w:tcW w:w="1701" w:type="dxa"/>
            <w:vAlign w:val="bottom"/>
          </w:tcPr>
          <w:p w:rsidR="004A3868" w:rsidRDefault="003F1AB5">
            <w:pPr>
              <w:pStyle w:val="afff7"/>
            </w:pPr>
            <w:r>
              <w:rPr>
                <w:rFonts w:hint="eastAsia"/>
              </w:rPr>
              <w:t>5,555,556.00</w:t>
            </w:r>
          </w:p>
        </w:tc>
        <w:tc>
          <w:tcPr>
            <w:tcW w:w="1417" w:type="dxa"/>
            <w:vAlign w:val="bottom"/>
          </w:tcPr>
          <w:p w:rsidR="004A3868" w:rsidRDefault="003F1AB5">
            <w:pPr>
              <w:pStyle w:val="afff7"/>
            </w:pPr>
            <w:r>
              <w:rPr>
                <w:rFonts w:hint="eastAsia"/>
              </w:rPr>
              <w:t>5,555,556.00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厦门镒田投资管理有限公司－厦门镒尚投资合伙企业（有限合伙）</w:t>
            </w:r>
          </w:p>
        </w:tc>
        <w:tc>
          <w:tcPr>
            <w:tcW w:w="1701" w:type="dxa"/>
            <w:vAlign w:val="bottom"/>
          </w:tcPr>
          <w:p w:rsidR="004A3868" w:rsidRDefault="003F1AB5">
            <w:pPr>
              <w:pStyle w:val="afff7"/>
            </w:pPr>
            <w:r>
              <w:rPr>
                <w:rFonts w:hint="eastAsia"/>
              </w:rPr>
              <w:t>5,555,555.00</w:t>
            </w:r>
          </w:p>
        </w:tc>
        <w:tc>
          <w:tcPr>
            <w:tcW w:w="1417" w:type="dxa"/>
            <w:vAlign w:val="bottom"/>
          </w:tcPr>
          <w:p w:rsidR="004A3868" w:rsidRDefault="003F1AB5">
            <w:pPr>
              <w:pStyle w:val="afff7"/>
            </w:pPr>
            <w:r>
              <w:rPr>
                <w:rFonts w:hint="eastAsia"/>
              </w:rPr>
              <w:t>5,555,555.00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重庆铜爵科技有限公司</w:t>
            </w:r>
          </w:p>
        </w:tc>
        <w:tc>
          <w:tcPr>
            <w:tcW w:w="1701" w:type="dxa"/>
            <w:vAlign w:val="bottom"/>
          </w:tcPr>
          <w:p w:rsidR="004A3868" w:rsidRDefault="003F1AB5">
            <w:pPr>
              <w:pStyle w:val="afff7"/>
            </w:pPr>
            <w:r>
              <w:rPr>
                <w:rFonts w:hint="eastAsia"/>
              </w:rPr>
              <w:t>5,515,000.00</w:t>
            </w:r>
          </w:p>
        </w:tc>
        <w:tc>
          <w:tcPr>
            <w:tcW w:w="1417" w:type="dxa"/>
            <w:vAlign w:val="bottom"/>
          </w:tcPr>
          <w:p w:rsidR="004A3868" w:rsidRDefault="003F1AB5">
            <w:pPr>
              <w:pStyle w:val="afff7"/>
            </w:pPr>
            <w:r>
              <w:rPr>
                <w:rFonts w:hint="eastAsia"/>
              </w:rPr>
              <w:t>5,515,000.00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陈秋航</w:t>
            </w:r>
          </w:p>
        </w:tc>
        <w:tc>
          <w:tcPr>
            <w:tcW w:w="1701" w:type="dxa"/>
            <w:vAlign w:val="bottom"/>
          </w:tcPr>
          <w:p w:rsidR="004A3868" w:rsidRDefault="003F1AB5">
            <w:pPr>
              <w:pStyle w:val="afff7"/>
            </w:pPr>
            <w:r>
              <w:rPr>
                <w:rFonts w:hint="eastAsia"/>
              </w:rPr>
              <w:t>5,000,000.00</w:t>
            </w:r>
          </w:p>
        </w:tc>
        <w:tc>
          <w:tcPr>
            <w:tcW w:w="1417" w:type="dxa"/>
            <w:vAlign w:val="bottom"/>
          </w:tcPr>
          <w:p w:rsidR="004A3868" w:rsidRDefault="003F1AB5">
            <w:pPr>
              <w:pStyle w:val="afff7"/>
            </w:pPr>
            <w:r>
              <w:rPr>
                <w:rFonts w:hint="eastAsia"/>
              </w:rPr>
              <w:t>5,000,000.00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lastRenderedPageBreak/>
              <w:t>夏强</w:t>
            </w:r>
          </w:p>
        </w:tc>
        <w:tc>
          <w:tcPr>
            <w:tcW w:w="1701" w:type="dxa"/>
            <w:vAlign w:val="bottom"/>
          </w:tcPr>
          <w:p w:rsidR="004A3868" w:rsidRDefault="003F1AB5">
            <w:pPr>
              <w:pStyle w:val="afff7"/>
            </w:pPr>
            <w:r>
              <w:rPr>
                <w:rFonts w:hint="eastAsia"/>
              </w:rPr>
              <w:t>3,666,000.00</w:t>
            </w:r>
          </w:p>
        </w:tc>
        <w:tc>
          <w:tcPr>
            <w:tcW w:w="1417" w:type="dxa"/>
            <w:vAlign w:val="bottom"/>
          </w:tcPr>
          <w:p w:rsidR="004A3868" w:rsidRDefault="003F1AB5">
            <w:pPr>
              <w:pStyle w:val="afff7"/>
            </w:pPr>
            <w:r>
              <w:rPr>
                <w:rFonts w:hint="eastAsia"/>
              </w:rPr>
              <w:t>3,666,000.00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重庆泽民文化传播有限公司</w:t>
            </w:r>
          </w:p>
        </w:tc>
        <w:tc>
          <w:tcPr>
            <w:tcW w:w="1701" w:type="dxa"/>
            <w:vAlign w:val="bottom"/>
          </w:tcPr>
          <w:p w:rsidR="004A3868" w:rsidRDefault="003F1AB5">
            <w:pPr>
              <w:pStyle w:val="afff7"/>
            </w:pPr>
            <w:r>
              <w:rPr>
                <w:rFonts w:hint="eastAsia"/>
              </w:rPr>
              <w:t>3,620,250.00</w:t>
            </w:r>
          </w:p>
        </w:tc>
        <w:tc>
          <w:tcPr>
            <w:tcW w:w="1417" w:type="dxa"/>
            <w:vAlign w:val="bottom"/>
          </w:tcPr>
          <w:p w:rsidR="004A3868" w:rsidRDefault="003F1AB5">
            <w:pPr>
              <w:pStyle w:val="afff7"/>
            </w:pPr>
            <w:r>
              <w:rPr>
                <w:rFonts w:hint="eastAsia"/>
              </w:rPr>
              <w:t>3,620,250.00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重庆惠泽企业管理咨询有限公司</w:t>
            </w:r>
          </w:p>
        </w:tc>
        <w:tc>
          <w:tcPr>
            <w:tcW w:w="1701" w:type="dxa"/>
            <w:vAlign w:val="bottom"/>
          </w:tcPr>
          <w:p w:rsidR="004A3868" w:rsidRDefault="003F1AB5">
            <w:pPr>
              <w:pStyle w:val="afff7"/>
            </w:pPr>
            <w:r>
              <w:rPr>
                <w:rFonts w:hint="eastAsia"/>
              </w:rPr>
              <w:t>2,468,800.00</w:t>
            </w:r>
          </w:p>
        </w:tc>
        <w:tc>
          <w:tcPr>
            <w:tcW w:w="1417" w:type="dxa"/>
            <w:vAlign w:val="bottom"/>
          </w:tcPr>
          <w:p w:rsidR="004A3868" w:rsidRDefault="003F1AB5">
            <w:pPr>
              <w:pStyle w:val="afff7"/>
            </w:pPr>
            <w:r>
              <w:rPr>
                <w:rFonts w:hint="eastAsia"/>
              </w:rPr>
              <w:t>2,468,800.00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平潭鼎石一号资产管理合伙企业(有限合伙)</w:t>
            </w:r>
          </w:p>
        </w:tc>
        <w:tc>
          <w:tcPr>
            <w:tcW w:w="1701" w:type="dxa"/>
            <w:vAlign w:val="bottom"/>
          </w:tcPr>
          <w:p w:rsidR="004A3868" w:rsidRDefault="003F1AB5">
            <w:pPr>
              <w:pStyle w:val="afff7"/>
            </w:pPr>
            <w:r>
              <w:rPr>
                <w:rFonts w:hint="eastAsia"/>
              </w:rPr>
              <w:t>2,222,777.00</w:t>
            </w:r>
          </w:p>
        </w:tc>
        <w:tc>
          <w:tcPr>
            <w:tcW w:w="1417" w:type="dxa"/>
            <w:vAlign w:val="bottom"/>
          </w:tcPr>
          <w:p w:rsidR="004A3868" w:rsidRDefault="003F1AB5">
            <w:pPr>
              <w:pStyle w:val="afff7"/>
            </w:pPr>
            <w:r>
              <w:rPr>
                <w:rFonts w:hint="eastAsia"/>
              </w:rPr>
              <w:t>2,222,777.00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何刚</w:t>
            </w:r>
          </w:p>
        </w:tc>
        <w:tc>
          <w:tcPr>
            <w:tcW w:w="1701" w:type="dxa"/>
            <w:vAlign w:val="bottom"/>
          </w:tcPr>
          <w:p w:rsidR="004A3868" w:rsidRDefault="003F1AB5">
            <w:pPr>
              <w:pStyle w:val="afff7"/>
            </w:pPr>
            <w:r>
              <w:rPr>
                <w:rFonts w:hint="eastAsia"/>
              </w:rPr>
              <w:t>1,800,000.00</w:t>
            </w:r>
          </w:p>
        </w:tc>
        <w:tc>
          <w:tcPr>
            <w:tcW w:w="1417" w:type="dxa"/>
            <w:vAlign w:val="bottom"/>
          </w:tcPr>
          <w:p w:rsidR="004A3868" w:rsidRDefault="003F1AB5">
            <w:pPr>
              <w:pStyle w:val="afff7"/>
            </w:pPr>
            <w:r>
              <w:rPr>
                <w:rFonts w:hint="eastAsia"/>
              </w:rPr>
              <w:t>1,800,000.00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程易能</w:t>
            </w:r>
          </w:p>
        </w:tc>
        <w:tc>
          <w:tcPr>
            <w:tcW w:w="1701" w:type="dxa"/>
            <w:vAlign w:val="bottom"/>
          </w:tcPr>
          <w:p w:rsidR="004A3868" w:rsidRDefault="003F1AB5">
            <w:pPr>
              <w:pStyle w:val="afff7"/>
            </w:pPr>
            <w:r>
              <w:rPr>
                <w:rFonts w:hint="eastAsia"/>
              </w:rPr>
              <w:t>1,800,000.00</w:t>
            </w:r>
          </w:p>
        </w:tc>
        <w:tc>
          <w:tcPr>
            <w:tcW w:w="1417" w:type="dxa"/>
            <w:vAlign w:val="bottom"/>
          </w:tcPr>
          <w:p w:rsidR="004A3868" w:rsidRDefault="003F1AB5">
            <w:pPr>
              <w:pStyle w:val="afff7"/>
            </w:pPr>
            <w:r>
              <w:rPr>
                <w:rFonts w:hint="eastAsia"/>
              </w:rPr>
              <w:t>1,800,000.00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李志勇</w:t>
            </w:r>
          </w:p>
        </w:tc>
        <w:tc>
          <w:tcPr>
            <w:tcW w:w="1701" w:type="dxa"/>
            <w:vAlign w:val="bottom"/>
          </w:tcPr>
          <w:p w:rsidR="004A3868" w:rsidRDefault="003F1AB5">
            <w:pPr>
              <w:pStyle w:val="afff7"/>
            </w:pPr>
            <w:r>
              <w:rPr>
                <w:rFonts w:hint="eastAsia"/>
              </w:rPr>
              <w:t>1,720,000.00</w:t>
            </w:r>
          </w:p>
        </w:tc>
        <w:tc>
          <w:tcPr>
            <w:tcW w:w="1417" w:type="dxa"/>
            <w:vAlign w:val="bottom"/>
          </w:tcPr>
          <w:p w:rsidR="004A3868" w:rsidRDefault="003F1AB5">
            <w:pPr>
              <w:pStyle w:val="afff7"/>
            </w:pPr>
            <w:r>
              <w:rPr>
                <w:rFonts w:hint="eastAsia"/>
              </w:rPr>
              <w:t>1,720,000.00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陈显斌</w:t>
            </w:r>
          </w:p>
        </w:tc>
        <w:tc>
          <w:tcPr>
            <w:tcW w:w="1701" w:type="dxa"/>
            <w:vAlign w:val="bottom"/>
          </w:tcPr>
          <w:p w:rsidR="004A3868" w:rsidRDefault="003F1AB5">
            <w:pPr>
              <w:pStyle w:val="afff7"/>
            </w:pPr>
            <w:r>
              <w:rPr>
                <w:rFonts w:hint="eastAsia"/>
              </w:rPr>
              <w:t>1,525,000.00</w:t>
            </w:r>
          </w:p>
        </w:tc>
        <w:tc>
          <w:tcPr>
            <w:tcW w:w="1417" w:type="dxa"/>
            <w:vAlign w:val="bottom"/>
          </w:tcPr>
          <w:p w:rsidR="004A3868" w:rsidRDefault="003F1AB5">
            <w:pPr>
              <w:pStyle w:val="afff7"/>
            </w:pPr>
            <w:r>
              <w:rPr>
                <w:rFonts w:hint="eastAsia"/>
              </w:rPr>
              <w:t>1,525,000.00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曾云秀</w:t>
            </w:r>
          </w:p>
        </w:tc>
        <w:tc>
          <w:tcPr>
            <w:tcW w:w="1701" w:type="dxa"/>
            <w:vAlign w:val="bottom"/>
          </w:tcPr>
          <w:p w:rsidR="004A3868" w:rsidRDefault="003F1AB5">
            <w:pPr>
              <w:pStyle w:val="afff7"/>
            </w:pPr>
            <w:r>
              <w:rPr>
                <w:rFonts w:hint="eastAsia"/>
              </w:rPr>
              <w:t>1,500,000.00</w:t>
            </w:r>
          </w:p>
        </w:tc>
        <w:tc>
          <w:tcPr>
            <w:tcW w:w="1417" w:type="dxa"/>
            <w:vAlign w:val="bottom"/>
          </w:tcPr>
          <w:p w:rsidR="004A3868" w:rsidRDefault="003F1AB5">
            <w:pPr>
              <w:pStyle w:val="afff7"/>
            </w:pPr>
            <w:r>
              <w:rPr>
                <w:rFonts w:hint="eastAsia"/>
              </w:rPr>
              <w:t>1,500,000.00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bottom"/>
          </w:tcPr>
          <w:p w:rsidR="004A3868" w:rsidRDefault="003F1AB5">
            <w:pPr>
              <w:rPr>
                <w:sz w:val="18"/>
                <w:szCs w:val="18"/>
              </w:rPr>
            </w:pPr>
            <w:r>
              <w:rPr>
                <w:rFonts w:hint="eastAsia"/>
                <w:sz w:val="18"/>
                <w:szCs w:val="18"/>
              </w:rPr>
              <w:t>唐健</w:t>
            </w:r>
          </w:p>
        </w:tc>
        <w:tc>
          <w:tcPr>
            <w:tcW w:w="1701" w:type="dxa"/>
            <w:vAlign w:val="bottom"/>
          </w:tcPr>
          <w:p w:rsidR="004A3868" w:rsidRDefault="003F1AB5">
            <w:pPr>
              <w:pStyle w:val="afff7"/>
            </w:pPr>
            <w:r>
              <w:rPr>
                <w:rFonts w:hint="eastAsia"/>
              </w:rPr>
              <w:t>1,445,000.00</w:t>
            </w:r>
          </w:p>
        </w:tc>
        <w:tc>
          <w:tcPr>
            <w:tcW w:w="1417" w:type="dxa"/>
            <w:vAlign w:val="bottom"/>
          </w:tcPr>
          <w:p w:rsidR="004A3868" w:rsidRDefault="003F1AB5">
            <w:pPr>
              <w:pStyle w:val="afff7"/>
            </w:pPr>
            <w:r>
              <w:rPr>
                <w:rFonts w:hint="eastAsia"/>
              </w:rPr>
              <w:t>1,445,000.00</w:t>
            </w:r>
          </w:p>
        </w:tc>
        <w:tc>
          <w:tcPr>
            <w:tcW w:w="851" w:type="dxa"/>
            <w:vAlign w:val="bottom"/>
          </w:tcPr>
          <w:p w:rsidR="004A3868" w:rsidRDefault="003F1AB5">
            <w:pPr>
              <w:pStyle w:val="afff7"/>
            </w:pPr>
            <w:r>
              <w:rPr>
                <w:rFonts w:hint="eastAsia"/>
              </w:rPr>
              <w:t>0</w:t>
            </w:r>
          </w:p>
        </w:tc>
        <w:tc>
          <w:tcPr>
            <w:tcW w:w="567" w:type="dxa"/>
            <w:vAlign w:val="bottom"/>
          </w:tcPr>
          <w:p w:rsidR="004A3868" w:rsidRDefault="003F1AB5">
            <w:pPr>
              <w:pStyle w:val="afff7"/>
            </w:pPr>
            <w:r>
              <w:rPr>
                <w:rFonts w:hint="eastAsia"/>
              </w:rPr>
              <w:t>0</w:t>
            </w:r>
          </w:p>
        </w:tc>
        <w:tc>
          <w:tcPr>
            <w:tcW w:w="1701" w:type="dxa"/>
            <w:vAlign w:val="bottom"/>
          </w:tcPr>
          <w:p w:rsidR="004A3868" w:rsidRDefault="003F1AB5">
            <w:pPr>
              <w:rPr>
                <w:sz w:val="18"/>
                <w:szCs w:val="18"/>
              </w:rPr>
            </w:pPr>
            <w:r>
              <w:rPr>
                <w:rFonts w:hint="eastAsia"/>
                <w:sz w:val="18"/>
                <w:szCs w:val="18"/>
              </w:rPr>
              <w:t>IPO前承诺股份限售</w:t>
            </w:r>
          </w:p>
        </w:tc>
        <w:tc>
          <w:tcPr>
            <w:tcW w:w="992" w:type="dxa"/>
            <w:vAlign w:val="bottom"/>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刘之坤</w:t>
            </w:r>
          </w:p>
        </w:tc>
        <w:tc>
          <w:tcPr>
            <w:tcW w:w="1701" w:type="dxa"/>
            <w:vAlign w:val="center"/>
          </w:tcPr>
          <w:p w:rsidR="004A3868" w:rsidRDefault="003F1AB5">
            <w:pPr>
              <w:pStyle w:val="afff7"/>
            </w:pPr>
            <w:r>
              <w:rPr>
                <w:rFonts w:hint="eastAsia"/>
              </w:rPr>
              <w:t>1,411,000.00</w:t>
            </w:r>
          </w:p>
        </w:tc>
        <w:tc>
          <w:tcPr>
            <w:tcW w:w="1417" w:type="dxa"/>
            <w:vAlign w:val="center"/>
          </w:tcPr>
          <w:p w:rsidR="004A3868" w:rsidRDefault="003F1AB5">
            <w:pPr>
              <w:pStyle w:val="afff7"/>
            </w:pPr>
            <w:r>
              <w:rPr>
                <w:rFonts w:hint="eastAsia"/>
              </w:rPr>
              <w:t>1,411,000.00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舒春建</w:t>
            </w:r>
          </w:p>
        </w:tc>
        <w:tc>
          <w:tcPr>
            <w:tcW w:w="1701" w:type="dxa"/>
            <w:vAlign w:val="center"/>
          </w:tcPr>
          <w:p w:rsidR="004A3868" w:rsidRDefault="003F1AB5">
            <w:pPr>
              <w:pStyle w:val="afff7"/>
            </w:pPr>
            <w:r>
              <w:rPr>
                <w:rFonts w:hint="eastAsia"/>
              </w:rPr>
              <w:t>1,200,000.00</w:t>
            </w:r>
          </w:p>
        </w:tc>
        <w:tc>
          <w:tcPr>
            <w:tcW w:w="1417" w:type="dxa"/>
            <w:vAlign w:val="center"/>
          </w:tcPr>
          <w:p w:rsidR="004A3868" w:rsidRDefault="003F1AB5">
            <w:pPr>
              <w:pStyle w:val="afff7"/>
            </w:pPr>
            <w:r>
              <w:rPr>
                <w:rFonts w:hint="eastAsia"/>
              </w:rPr>
              <w:t>1,200,000.00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冯晓棕</w:t>
            </w:r>
          </w:p>
        </w:tc>
        <w:tc>
          <w:tcPr>
            <w:tcW w:w="1701" w:type="dxa"/>
            <w:vAlign w:val="center"/>
          </w:tcPr>
          <w:p w:rsidR="004A3868" w:rsidRDefault="003F1AB5">
            <w:pPr>
              <w:pStyle w:val="afff7"/>
            </w:pPr>
            <w:r>
              <w:rPr>
                <w:rFonts w:hint="eastAsia"/>
              </w:rPr>
              <w:t>1,000,000.00</w:t>
            </w:r>
          </w:p>
        </w:tc>
        <w:tc>
          <w:tcPr>
            <w:tcW w:w="1417" w:type="dxa"/>
            <w:vAlign w:val="center"/>
          </w:tcPr>
          <w:p w:rsidR="004A3868" w:rsidRDefault="003F1AB5">
            <w:pPr>
              <w:pStyle w:val="afff7"/>
            </w:pPr>
            <w:r>
              <w:rPr>
                <w:rFonts w:hint="eastAsia"/>
              </w:rPr>
              <w:t>1,000,000.00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胡蕖</w:t>
            </w:r>
          </w:p>
        </w:tc>
        <w:tc>
          <w:tcPr>
            <w:tcW w:w="1701" w:type="dxa"/>
            <w:vAlign w:val="center"/>
          </w:tcPr>
          <w:p w:rsidR="004A3868" w:rsidRDefault="003F1AB5">
            <w:pPr>
              <w:pStyle w:val="afff7"/>
            </w:pPr>
            <w:r>
              <w:rPr>
                <w:rFonts w:hint="eastAsia"/>
              </w:rPr>
              <w:t>965,000.00</w:t>
            </w:r>
          </w:p>
        </w:tc>
        <w:tc>
          <w:tcPr>
            <w:tcW w:w="1417" w:type="dxa"/>
            <w:vAlign w:val="center"/>
          </w:tcPr>
          <w:p w:rsidR="004A3868" w:rsidRDefault="003F1AB5">
            <w:pPr>
              <w:pStyle w:val="afff7"/>
            </w:pPr>
            <w:r>
              <w:rPr>
                <w:rFonts w:hint="eastAsia"/>
              </w:rPr>
              <w:t>965,000.00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黄明莉</w:t>
            </w:r>
          </w:p>
        </w:tc>
        <w:tc>
          <w:tcPr>
            <w:tcW w:w="1701" w:type="dxa"/>
            <w:vAlign w:val="center"/>
          </w:tcPr>
          <w:p w:rsidR="004A3868" w:rsidRDefault="003F1AB5">
            <w:pPr>
              <w:pStyle w:val="afff7"/>
            </w:pPr>
            <w:r>
              <w:rPr>
                <w:rFonts w:hint="eastAsia"/>
              </w:rPr>
              <w:t>900,000.00</w:t>
            </w:r>
          </w:p>
        </w:tc>
        <w:tc>
          <w:tcPr>
            <w:tcW w:w="1417" w:type="dxa"/>
            <w:vAlign w:val="center"/>
          </w:tcPr>
          <w:p w:rsidR="004A3868" w:rsidRDefault="003F1AB5">
            <w:pPr>
              <w:pStyle w:val="afff7"/>
            </w:pPr>
            <w:r>
              <w:rPr>
                <w:rFonts w:hint="eastAsia"/>
              </w:rPr>
              <w:t>900,000.00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杨军</w:t>
            </w:r>
          </w:p>
        </w:tc>
        <w:tc>
          <w:tcPr>
            <w:tcW w:w="1701" w:type="dxa"/>
            <w:vAlign w:val="center"/>
          </w:tcPr>
          <w:p w:rsidR="004A3868" w:rsidRDefault="003F1AB5">
            <w:pPr>
              <w:pStyle w:val="afff7"/>
            </w:pPr>
            <w:r>
              <w:rPr>
                <w:rFonts w:hint="eastAsia"/>
              </w:rPr>
              <w:t>898,000.00</w:t>
            </w:r>
          </w:p>
        </w:tc>
        <w:tc>
          <w:tcPr>
            <w:tcW w:w="1417" w:type="dxa"/>
            <w:vAlign w:val="center"/>
          </w:tcPr>
          <w:p w:rsidR="004A3868" w:rsidRDefault="003F1AB5">
            <w:pPr>
              <w:pStyle w:val="afff7"/>
            </w:pPr>
            <w:r>
              <w:rPr>
                <w:rFonts w:hint="eastAsia"/>
              </w:rPr>
              <w:t>898,000.00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廖炜东</w:t>
            </w:r>
          </w:p>
        </w:tc>
        <w:tc>
          <w:tcPr>
            <w:tcW w:w="1701" w:type="dxa"/>
            <w:vAlign w:val="center"/>
          </w:tcPr>
          <w:p w:rsidR="004A3868" w:rsidRDefault="003F1AB5">
            <w:pPr>
              <w:pStyle w:val="afff7"/>
            </w:pPr>
            <w:r>
              <w:rPr>
                <w:rFonts w:hint="eastAsia"/>
              </w:rPr>
              <w:t>838,000.00</w:t>
            </w:r>
          </w:p>
        </w:tc>
        <w:tc>
          <w:tcPr>
            <w:tcW w:w="1417" w:type="dxa"/>
            <w:vAlign w:val="center"/>
          </w:tcPr>
          <w:p w:rsidR="004A3868" w:rsidRDefault="003F1AB5">
            <w:pPr>
              <w:pStyle w:val="afff7"/>
            </w:pPr>
            <w:r>
              <w:rPr>
                <w:rFonts w:hint="eastAsia"/>
              </w:rPr>
              <w:t>838,000.00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代礼东</w:t>
            </w:r>
          </w:p>
        </w:tc>
        <w:tc>
          <w:tcPr>
            <w:tcW w:w="1701" w:type="dxa"/>
            <w:vAlign w:val="center"/>
          </w:tcPr>
          <w:p w:rsidR="004A3868" w:rsidRDefault="003F1AB5">
            <w:pPr>
              <w:pStyle w:val="afff7"/>
            </w:pPr>
            <w:r>
              <w:rPr>
                <w:rFonts w:hint="eastAsia"/>
              </w:rPr>
              <w:t>734,000.00</w:t>
            </w:r>
          </w:p>
        </w:tc>
        <w:tc>
          <w:tcPr>
            <w:tcW w:w="1417" w:type="dxa"/>
            <w:vAlign w:val="center"/>
          </w:tcPr>
          <w:p w:rsidR="004A3868" w:rsidRDefault="003F1AB5">
            <w:pPr>
              <w:pStyle w:val="afff7"/>
            </w:pPr>
            <w:r>
              <w:rPr>
                <w:rFonts w:hint="eastAsia"/>
              </w:rPr>
              <w:t>734,000.00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谭莉</w:t>
            </w:r>
          </w:p>
        </w:tc>
        <w:tc>
          <w:tcPr>
            <w:tcW w:w="1701" w:type="dxa"/>
            <w:vAlign w:val="center"/>
          </w:tcPr>
          <w:p w:rsidR="004A3868" w:rsidRDefault="003F1AB5">
            <w:pPr>
              <w:pStyle w:val="afff7"/>
            </w:pPr>
            <w:r>
              <w:rPr>
                <w:rFonts w:hint="eastAsia"/>
              </w:rPr>
              <w:t>700,000.00</w:t>
            </w:r>
          </w:p>
        </w:tc>
        <w:tc>
          <w:tcPr>
            <w:tcW w:w="1417" w:type="dxa"/>
            <w:vAlign w:val="center"/>
          </w:tcPr>
          <w:p w:rsidR="004A3868" w:rsidRDefault="003F1AB5">
            <w:pPr>
              <w:pStyle w:val="afff7"/>
            </w:pPr>
            <w:r>
              <w:rPr>
                <w:rFonts w:hint="eastAsia"/>
              </w:rPr>
              <w:t>700,000.00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周光明</w:t>
            </w:r>
          </w:p>
        </w:tc>
        <w:tc>
          <w:tcPr>
            <w:tcW w:w="1701" w:type="dxa"/>
            <w:vAlign w:val="center"/>
          </w:tcPr>
          <w:p w:rsidR="004A3868" w:rsidRDefault="003F1AB5">
            <w:pPr>
              <w:pStyle w:val="afff7"/>
            </w:pPr>
            <w:r>
              <w:rPr>
                <w:rFonts w:hint="eastAsia"/>
              </w:rPr>
              <w:t>696,000.00</w:t>
            </w:r>
          </w:p>
        </w:tc>
        <w:tc>
          <w:tcPr>
            <w:tcW w:w="1417" w:type="dxa"/>
            <w:vAlign w:val="center"/>
          </w:tcPr>
          <w:p w:rsidR="004A3868" w:rsidRDefault="003F1AB5">
            <w:pPr>
              <w:pStyle w:val="afff7"/>
            </w:pPr>
            <w:r>
              <w:rPr>
                <w:rFonts w:hint="eastAsia"/>
              </w:rPr>
              <w:t>696,000.00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黎明</w:t>
            </w:r>
          </w:p>
        </w:tc>
        <w:tc>
          <w:tcPr>
            <w:tcW w:w="1701" w:type="dxa"/>
            <w:vAlign w:val="center"/>
          </w:tcPr>
          <w:p w:rsidR="004A3868" w:rsidRDefault="003F1AB5">
            <w:pPr>
              <w:pStyle w:val="afff7"/>
            </w:pPr>
            <w:r>
              <w:rPr>
                <w:rFonts w:hint="eastAsia"/>
              </w:rPr>
              <w:t>670,000.00</w:t>
            </w:r>
          </w:p>
        </w:tc>
        <w:tc>
          <w:tcPr>
            <w:tcW w:w="1417" w:type="dxa"/>
            <w:vAlign w:val="center"/>
          </w:tcPr>
          <w:p w:rsidR="004A3868" w:rsidRDefault="003F1AB5">
            <w:pPr>
              <w:pStyle w:val="afff7"/>
            </w:pPr>
            <w:r>
              <w:rPr>
                <w:rFonts w:hint="eastAsia"/>
              </w:rPr>
              <w:t>670,000.00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闵浩忠</w:t>
            </w:r>
          </w:p>
        </w:tc>
        <w:tc>
          <w:tcPr>
            <w:tcW w:w="1701" w:type="dxa"/>
            <w:vAlign w:val="center"/>
          </w:tcPr>
          <w:p w:rsidR="004A3868" w:rsidRDefault="003F1AB5">
            <w:pPr>
              <w:pStyle w:val="afff7"/>
            </w:pPr>
            <w:r>
              <w:rPr>
                <w:rFonts w:hint="eastAsia"/>
              </w:rPr>
              <w:t>666,000.00</w:t>
            </w:r>
          </w:p>
        </w:tc>
        <w:tc>
          <w:tcPr>
            <w:tcW w:w="1417" w:type="dxa"/>
            <w:vAlign w:val="center"/>
          </w:tcPr>
          <w:p w:rsidR="004A3868" w:rsidRDefault="003F1AB5">
            <w:pPr>
              <w:pStyle w:val="afff7"/>
            </w:pPr>
            <w:r>
              <w:rPr>
                <w:rFonts w:hint="eastAsia"/>
              </w:rPr>
              <w:t>666,000.00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陈美宋</w:t>
            </w:r>
          </w:p>
        </w:tc>
        <w:tc>
          <w:tcPr>
            <w:tcW w:w="1701" w:type="dxa"/>
            <w:vAlign w:val="center"/>
          </w:tcPr>
          <w:p w:rsidR="004A3868" w:rsidRDefault="003F1AB5">
            <w:pPr>
              <w:pStyle w:val="afff7"/>
            </w:pPr>
            <w:r>
              <w:rPr>
                <w:rFonts w:hint="eastAsia"/>
              </w:rPr>
              <w:t>627,700.00</w:t>
            </w:r>
          </w:p>
        </w:tc>
        <w:tc>
          <w:tcPr>
            <w:tcW w:w="1417" w:type="dxa"/>
            <w:vAlign w:val="center"/>
          </w:tcPr>
          <w:p w:rsidR="004A3868" w:rsidRDefault="003F1AB5">
            <w:pPr>
              <w:pStyle w:val="afff7"/>
            </w:pPr>
            <w:r>
              <w:rPr>
                <w:rFonts w:hint="eastAsia"/>
              </w:rPr>
              <w:t>627,700.00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陶福玲</w:t>
            </w:r>
          </w:p>
        </w:tc>
        <w:tc>
          <w:tcPr>
            <w:tcW w:w="1701" w:type="dxa"/>
            <w:vAlign w:val="center"/>
          </w:tcPr>
          <w:p w:rsidR="004A3868" w:rsidRDefault="003F1AB5">
            <w:pPr>
              <w:pStyle w:val="afff7"/>
            </w:pPr>
            <w:r>
              <w:rPr>
                <w:rFonts w:hint="eastAsia"/>
              </w:rPr>
              <w:t>616,500.00</w:t>
            </w:r>
          </w:p>
        </w:tc>
        <w:tc>
          <w:tcPr>
            <w:tcW w:w="1417" w:type="dxa"/>
            <w:vAlign w:val="center"/>
          </w:tcPr>
          <w:p w:rsidR="004A3868" w:rsidRDefault="003F1AB5">
            <w:pPr>
              <w:pStyle w:val="afff7"/>
            </w:pPr>
            <w:r>
              <w:rPr>
                <w:rFonts w:hint="eastAsia"/>
              </w:rPr>
              <w:t>616,500.00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柯丹</w:t>
            </w:r>
          </w:p>
        </w:tc>
        <w:tc>
          <w:tcPr>
            <w:tcW w:w="1701" w:type="dxa"/>
            <w:vAlign w:val="center"/>
          </w:tcPr>
          <w:p w:rsidR="004A3868" w:rsidRDefault="003F1AB5">
            <w:pPr>
              <w:pStyle w:val="afff7"/>
            </w:pPr>
            <w:r>
              <w:rPr>
                <w:rFonts w:hint="eastAsia"/>
              </w:rPr>
              <w:t>600,000.00</w:t>
            </w:r>
          </w:p>
        </w:tc>
        <w:tc>
          <w:tcPr>
            <w:tcW w:w="1417" w:type="dxa"/>
            <w:vAlign w:val="center"/>
          </w:tcPr>
          <w:p w:rsidR="004A3868" w:rsidRDefault="003F1AB5">
            <w:pPr>
              <w:pStyle w:val="afff7"/>
            </w:pPr>
            <w:r>
              <w:rPr>
                <w:rFonts w:hint="eastAsia"/>
              </w:rPr>
              <w:t>600,000.00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李奎</w:t>
            </w:r>
          </w:p>
        </w:tc>
        <w:tc>
          <w:tcPr>
            <w:tcW w:w="1701" w:type="dxa"/>
            <w:vAlign w:val="center"/>
          </w:tcPr>
          <w:p w:rsidR="004A3868" w:rsidRDefault="003F1AB5">
            <w:pPr>
              <w:pStyle w:val="afff7"/>
            </w:pPr>
            <w:r>
              <w:rPr>
                <w:rFonts w:hint="eastAsia"/>
              </w:rPr>
              <w:t>600,000.00</w:t>
            </w:r>
          </w:p>
        </w:tc>
        <w:tc>
          <w:tcPr>
            <w:tcW w:w="1417" w:type="dxa"/>
            <w:vAlign w:val="center"/>
          </w:tcPr>
          <w:p w:rsidR="004A3868" w:rsidRDefault="003F1AB5">
            <w:pPr>
              <w:pStyle w:val="afff7"/>
            </w:pPr>
            <w:r>
              <w:rPr>
                <w:rFonts w:hint="eastAsia"/>
              </w:rPr>
              <w:t>600,000.00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年福利</w:t>
            </w:r>
          </w:p>
        </w:tc>
        <w:tc>
          <w:tcPr>
            <w:tcW w:w="1701" w:type="dxa"/>
            <w:vAlign w:val="center"/>
          </w:tcPr>
          <w:p w:rsidR="004A3868" w:rsidRDefault="003F1AB5">
            <w:pPr>
              <w:pStyle w:val="afff7"/>
            </w:pPr>
            <w:r>
              <w:rPr>
                <w:rFonts w:hint="eastAsia"/>
              </w:rPr>
              <w:t>550,000.00</w:t>
            </w:r>
          </w:p>
        </w:tc>
        <w:tc>
          <w:tcPr>
            <w:tcW w:w="1417" w:type="dxa"/>
            <w:vAlign w:val="center"/>
          </w:tcPr>
          <w:p w:rsidR="004A3868" w:rsidRDefault="003F1AB5">
            <w:pPr>
              <w:pStyle w:val="afff7"/>
            </w:pPr>
            <w:r>
              <w:rPr>
                <w:rFonts w:hint="eastAsia"/>
              </w:rPr>
              <w:t>550,000.00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邹琳</w:t>
            </w:r>
          </w:p>
        </w:tc>
        <w:tc>
          <w:tcPr>
            <w:tcW w:w="1701" w:type="dxa"/>
            <w:vAlign w:val="center"/>
          </w:tcPr>
          <w:p w:rsidR="004A3868" w:rsidRDefault="003F1AB5">
            <w:pPr>
              <w:pStyle w:val="afff7"/>
            </w:pPr>
            <w:r>
              <w:rPr>
                <w:rFonts w:hint="eastAsia"/>
              </w:rPr>
              <w:t>545,000.00</w:t>
            </w:r>
          </w:p>
        </w:tc>
        <w:tc>
          <w:tcPr>
            <w:tcW w:w="1417" w:type="dxa"/>
            <w:vAlign w:val="center"/>
          </w:tcPr>
          <w:p w:rsidR="004A3868" w:rsidRDefault="003F1AB5">
            <w:pPr>
              <w:pStyle w:val="afff7"/>
            </w:pPr>
            <w:r>
              <w:rPr>
                <w:rFonts w:hint="eastAsia"/>
              </w:rPr>
              <w:t>545,000.00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李春华</w:t>
            </w:r>
          </w:p>
        </w:tc>
        <w:tc>
          <w:tcPr>
            <w:tcW w:w="1701" w:type="dxa"/>
            <w:vAlign w:val="center"/>
          </w:tcPr>
          <w:p w:rsidR="004A3868" w:rsidRDefault="003F1AB5">
            <w:pPr>
              <w:pStyle w:val="afff7"/>
            </w:pPr>
            <w:r>
              <w:rPr>
                <w:rFonts w:hint="eastAsia"/>
              </w:rPr>
              <w:t>510,000.00</w:t>
            </w:r>
          </w:p>
        </w:tc>
        <w:tc>
          <w:tcPr>
            <w:tcW w:w="1417" w:type="dxa"/>
            <w:vAlign w:val="center"/>
          </w:tcPr>
          <w:p w:rsidR="004A3868" w:rsidRDefault="003F1AB5">
            <w:pPr>
              <w:pStyle w:val="afff7"/>
            </w:pPr>
            <w:r>
              <w:rPr>
                <w:rFonts w:hint="eastAsia"/>
              </w:rPr>
              <w:t>510,000.00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何小军</w:t>
            </w:r>
          </w:p>
        </w:tc>
        <w:tc>
          <w:tcPr>
            <w:tcW w:w="1701" w:type="dxa"/>
            <w:vAlign w:val="center"/>
          </w:tcPr>
          <w:p w:rsidR="004A3868" w:rsidRDefault="003F1AB5">
            <w:pPr>
              <w:pStyle w:val="afff7"/>
            </w:pPr>
            <w:r>
              <w:rPr>
                <w:rFonts w:hint="eastAsia"/>
              </w:rPr>
              <w:t>500,000.00</w:t>
            </w:r>
          </w:p>
        </w:tc>
        <w:tc>
          <w:tcPr>
            <w:tcW w:w="1417" w:type="dxa"/>
            <w:vAlign w:val="center"/>
          </w:tcPr>
          <w:p w:rsidR="004A3868" w:rsidRDefault="003F1AB5">
            <w:pPr>
              <w:pStyle w:val="afff7"/>
            </w:pPr>
            <w:r>
              <w:rPr>
                <w:rFonts w:hint="eastAsia"/>
              </w:rPr>
              <w:t>500,000.00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lastRenderedPageBreak/>
              <w:t>李代萍</w:t>
            </w:r>
          </w:p>
        </w:tc>
        <w:tc>
          <w:tcPr>
            <w:tcW w:w="1701" w:type="dxa"/>
            <w:vAlign w:val="center"/>
          </w:tcPr>
          <w:p w:rsidR="004A3868" w:rsidRDefault="003F1AB5">
            <w:pPr>
              <w:pStyle w:val="afff7"/>
            </w:pPr>
            <w:r>
              <w:rPr>
                <w:rFonts w:hint="eastAsia"/>
              </w:rPr>
              <w:t>500,000.00</w:t>
            </w:r>
          </w:p>
        </w:tc>
        <w:tc>
          <w:tcPr>
            <w:tcW w:w="1417" w:type="dxa"/>
            <w:vAlign w:val="center"/>
          </w:tcPr>
          <w:p w:rsidR="004A3868" w:rsidRDefault="003F1AB5">
            <w:pPr>
              <w:pStyle w:val="afff7"/>
            </w:pPr>
            <w:r>
              <w:rPr>
                <w:rFonts w:hint="eastAsia"/>
              </w:rPr>
              <w:t>500,000.00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东北证券股份有限公司</w:t>
            </w:r>
          </w:p>
        </w:tc>
        <w:tc>
          <w:tcPr>
            <w:tcW w:w="1701" w:type="dxa"/>
            <w:vAlign w:val="center"/>
          </w:tcPr>
          <w:p w:rsidR="004A3868" w:rsidRDefault="003F1AB5">
            <w:pPr>
              <w:pStyle w:val="afff7"/>
            </w:pPr>
            <w:r>
              <w:rPr>
                <w:rFonts w:hint="eastAsia"/>
              </w:rPr>
              <w:t>436,000.00</w:t>
            </w:r>
          </w:p>
        </w:tc>
        <w:tc>
          <w:tcPr>
            <w:tcW w:w="1417" w:type="dxa"/>
            <w:vAlign w:val="center"/>
          </w:tcPr>
          <w:p w:rsidR="004A3868" w:rsidRDefault="003F1AB5">
            <w:pPr>
              <w:pStyle w:val="afff7"/>
            </w:pPr>
            <w:r>
              <w:rPr>
                <w:rFonts w:hint="eastAsia"/>
              </w:rPr>
              <w:t>436,000.00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邓茗元</w:t>
            </w:r>
          </w:p>
        </w:tc>
        <w:tc>
          <w:tcPr>
            <w:tcW w:w="1701" w:type="dxa"/>
            <w:vAlign w:val="center"/>
          </w:tcPr>
          <w:p w:rsidR="004A3868" w:rsidRDefault="003F1AB5">
            <w:pPr>
              <w:pStyle w:val="afff7"/>
            </w:pPr>
            <w:r>
              <w:rPr>
                <w:rFonts w:hint="eastAsia"/>
              </w:rPr>
              <w:t>410,000.00</w:t>
            </w:r>
          </w:p>
        </w:tc>
        <w:tc>
          <w:tcPr>
            <w:tcW w:w="1417" w:type="dxa"/>
            <w:vAlign w:val="center"/>
          </w:tcPr>
          <w:p w:rsidR="004A3868" w:rsidRDefault="003F1AB5">
            <w:pPr>
              <w:pStyle w:val="afff7"/>
            </w:pPr>
            <w:r>
              <w:rPr>
                <w:rFonts w:hint="eastAsia"/>
              </w:rPr>
              <w:t>410,000.00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陈发奇</w:t>
            </w:r>
          </w:p>
        </w:tc>
        <w:tc>
          <w:tcPr>
            <w:tcW w:w="1701" w:type="dxa"/>
            <w:vAlign w:val="center"/>
          </w:tcPr>
          <w:p w:rsidR="004A3868" w:rsidRDefault="003F1AB5">
            <w:pPr>
              <w:pStyle w:val="afff7"/>
            </w:pPr>
            <w:r>
              <w:rPr>
                <w:rFonts w:hint="eastAsia"/>
              </w:rPr>
              <w:t>362,000.00</w:t>
            </w:r>
          </w:p>
        </w:tc>
        <w:tc>
          <w:tcPr>
            <w:tcW w:w="1417" w:type="dxa"/>
            <w:vAlign w:val="center"/>
          </w:tcPr>
          <w:p w:rsidR="004A3868" w:rsidRDefault="003F1AB5">
            <w:pPr>
              <w:pStyle w:val="afff7"/>
            </w:pPr>
            <w:r>
              <w:rPr>
                <w:rFonts w:hint="eastAsia"/>
              </w:rPr>
              <w:t>362,000.00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袁涛</w:t>
            </w:r>
          </w:p>
        </w:tc>
        <w:tc>
          <w:tcPr>
            <w:tcW w:w="1701" w:type="dxa"/>
            <w:vAlign w:val="center"/>
          </w:tcPr>
          <w:p w:rsidR="004A3868" w:rsidRDefault="003F1AB5">
            <w:pPr>
              <w:pStyle w:val="afff7"/>
            </w:pPr>
            <w:r>
              <w:rPr>
                <w:rFonts w:hint="eastAsia"/>
              </w:rPr>
              <w:t>330,000.00</w:t>
            </w:r>
          </w:p>
        </w:tc>
        <w:tc>
          <w:tcPr>
            <w:tcW w:w="1417" w:type="dxa"/>
            <w:vAlign w:val="center"/>
          </w:tcPr>
          <w:p w:rsidR="004A3868" w:rsidRDefault="003F1AB5">
            <w:pPr>
              <w:pStyle w:val="afff7"/>
            </w:pPr>
            <w:r>
              <w:rPr>
                <w:rFonts w:hint="eastAsia"/>
              </w:rPr>
              <w:t>330,000.00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彭建强</w:t>
            </w:r>
          </w:p>
        </w:tc>
        <w:tc>
          <w:tcPr>
            <w:tcW w:w="1701" w:type="dxa"/>
            <w:vAlign w:val="center"/>
          </w:tcPr>
          <w:p w:rsidR="004A3868" w:rsidRDefault="003F1AB5">
            <w:pPr>
              <w:pStyle w:val="afff7"/>
            </w:pPr>
            <w:r>
              <w:rPr>
                <w:rFonts w:hint="eastAsia"/>
              </w:rPr>
              <w:t>323,000.00</w:t>
            </w:r>
          </w:p>
        </w:tc>
        <w:tc>
          <w:tcPr>
            <w:tcW w:w="1417" w:type="dxa"/>
            <w:vAlign w:val="center"/>
          </w:tcPr>
          <w:p w:rsidR="004A3868" w:rsidRDefault="003F1AB5">
            <w:pPr>
              <w:pStyle w:val="afff7"/>
            </w:pPr>
            <w:r>
              <w:rPr>
                <w:rFonts w:hint="eastAsia"/>
              </w:rPr>
              <w:t>323,000.00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秦霞</w:t>
            </w:r>
          </w:p>
        </w:tc>
        <w:tc>
          <w:tcPr>
            <w:tcW w:w="1701" w:type="dxa"/>
            <w:vAlign w:val="center"/>
          </w:tcPr>
          <w:p w:rsidR="004A3868" w:rsidRDefault="003F1AB5">
            <w:pPr>
              <w:pStyle w:val="afff7"/>
            </w:pPr>
            <w:r>
              <w:rPr>
                <w:rFonts w:hint="eastAsia"/>
              </w:rPr>
              <w:t>313,000.00</w:t>
            </w:r>
          </w:p>
        </w:tc>
        <w:tc>
          <w:tcPr>
            <w:tcW w:w="1417" w:type="dxa"/>
            <w:vAlign w:val="center"/>
          </w:tcPr>
          <w:p w:rsidR="004A3868" w:rsidRDefault="003F1AB5">
            <w:pPr>
              <w:pStyle w:val="afff7"/>
            </w:pPr>
            <w:r>
              <w:rPr>
                <w:rFonts w:hint="eastAsia"/>
              </w:rPr>
              <w:t>313,000.00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黄明江</w:t>
            </w:r>
          </w:p>
        </w:tc>
        <w:tc>
          <w:tcPr>
            <w:tcW w:w="1701" w:type="dxa"/>
            <w:vAlign w:val="center"/>
          </w:tcPr>
          <w:p w:rsidR="004A3868" w:rsidRDefault="003F1AB5">
            <w:pPr>
              <w:pStyle w:val="afff7"/>
            </w:pPr>
            <w:r>
              <w:rPr>
                <w:rFonts w:hint="eastAsia"/>
              </w:rPr>
              <w:t>301,000.00</w:t>
            </w:r>
          </w:p>
        </w:tc>
        <w:tc>
          <w:tcPr>
            <w:tcW w:w="1417" w:type="dxa"/>
            <w:vAlign w:val="center"/>
          </w:tcPr>
          <w:p w:rsidR="004A3868" w:rsidRDefault="003F1AB5">
            <w:pPr>
              <w:pStyle w:val="afff7"/>
            </w:pPr>
            <w:r>
              <w:rPr>
                <w:rFonts w:hint="eastAsia"/>
              </w:rPr>
              <w:t>301,000.00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王伟玲</w:t>
            </w:r>
          </w:p>
        </w:tc>
        <w:tc>
          <w:tcPr>
            <w:tcW w:w="1701" w:type="dxa"/>
            <w:vAlign w:val="center"/>
          </w:tcPr>
          <w:p w:rsidR="004A3868" w:rsidRDefault="003F1AB5">
            <w:pPr>
              <w:pStyle w:val="afff7"/>
            </w:pPr>
            <w:r>
              <w:rPr>
                <w:rFonts w:hint="eastAsia"/>
              </w:rPr>
              <w:t>300,000.00</w:t>
            </w:r>
          </w:p>
        </w:tc>
        <w:tc>
          <w:tcPr>
            <w:tcW w:w="1417" w:type="dxa"/>
            <w:vAlign w:val="center"/>
          </w:tcPr>
          <w:p w:rsidR="004A3868" w:rsidRDefault="003F1AB5">
            <w:pPr>
              <w:pStyle w:val="afff7"/>
            </w:pPr>
            <w:r>
              <w:rPr>
                <w:rFonts w:hint="eastAsia"/>
              </w:rPr>
              <w:t>300,000.00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杨春</w:t>
            </w:r>
          </w:p>
        </w:tc>
        <w:tc>
          <w:tcPr>
            <w:tcW w:w="1701" w:type="dxa"/>
            <w:vAlign w:val="center"/>
          </w:tcPr>
          <w:p w:rsidR="004A3868" w:rsidRDefault="003F1AB5">
            <w:pPr>
              <w:pStyle w:val="afff7"/>
            </w:pPr>
            <w:r>
              <w:rPr>
                <w:rFonts w:hint="eastAsia"/>
              </w:rPr>
              <w:t>295,000.00</w:t>
            </w:r>
          </w:p>
        </w:tc>
        <w:tc>
          <w:tcPr>
            <w:tcW w:w="1417" w:type="dxa"/>
            <w:vAlign w:val="center"/>
          </w:tcPr>
          <w:p w:rsidR="004A3868" w:rsidRDefault="003F1AB5">
            <w:pPr>
              <w:pStyle w:val="afff7"/>
            </w:pPr>
            <w:r>
              <w:rPr>
                <w:rFonts w:hint="eastAsia"/>
              </w:rPr>
              <w:t>295,000.00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黄静</w:t>
            </w:r>
          </w:p>
        </w:tc>
        <w:tc>
          <w:tcPr>
            <w:tcW w:w="1701" w:type="dxa"/>
            <w:vAlign w:val="center"/>
          </w:tcPr>
          <w:p w:rsidR="004A3868" w:rsidRDefault="003F1AB5">
            <w:pPr>
              <w:pStyle w:val="afff7"/>
            </w:pPr>
            <w:r>
              <w:rPr>
                <w:rFonts w:hint="eastAsia"/>
              </w:rPr>
              <w:t>236,000.00</w:t>
            </w:r>
          </w:p>
        </w:tc>
        <w:tc>
          <w:tcPr>
            <w:tcW w:w="1417" w:type="dxa"/>
            <w:vAlign w:val="center"/>
          </w:tcPr>
          <w:p w:rsidR="004A3868" w:rsidRDefault="003F1AB5">
            <w:pPr>
              <w:pStyle w:val="afff7"/>
            </w:pPr>
            <w:r>
              <w:rPr>
                <w:rFonts w:hint="eastAsia"/>
              </w:rPr>
              <w:t>236,000.00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姚志强</w:t>
            </w:r>
          </w:p>
        </w:tc>
        <w:tc>
          <w:tcPr>
            <w:tcW w:w="1701" w:type="dxa"/>
            <w:vAlign w:val="center"/>
          </w:tcPr>
          <w:p w:rsidR="004A3868" w:rsidRDefault="003F1AB5">
            <w:pPr>
              <w:pStyle w:val="afff7"/>
            </w:pPr>
            <w:r>
              <w:rPr>
                <w:rFonts w:hint="eastAsia"/>
              </w:rPr>
              <w:t>204,000.00</w:t>
            </w:r>
          </w:p>
        </w:tc>
        <w:tc>
          <w:tcPr>
            <w:tcW w:w="1417" w:type="dxa"/>
            <w:vAlign w:val="center"/>
          </w:tcPr>
          <w:p w:rsidR="004A3868" w:rsidRDefault="003F1AB5">
            <w:pPr>
              <w:pStyle w:val="afff7"/>
            </w:pPr>
            <w:r>
              <w:rPr>
                <w:rFonts w:hint="eastAsia"/>
              </w:rPr>
              <w:t>204,000.00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熊必润</w:t>
            </w:r>
          </w:p>
        </w:tc>
        <w:tc>
          <w:tcPr>
            <w:tcW w:w="1701" w:type="dxa"/>
            <w:vAlign w:val="center"/>
          </w:tcPr>
          <w:p w:rsidR="004A3868" w:rsidRDefault="003F1AB5">
            <w:pPr>
              <w:pStyle w:val="afff7"/>
            </w:pPr>
            <w:r>
              <w:rPr>
                <w:rFonts w:hint="eastAsia"/>
              </w:rPr>
              <w:t>200,000.00</w:t>
            </w:r>
          </w:p>
        </w:tc>
        <w:tc>
          <w:tcPr>
            <w:tcW w:w="1417" w:type="dxa"/>
            <w:vAlign w:val="center"/>
          </w:tcPr>
          <w:p w:rsidR="004A3868" w:rsidRDefault="003F1AB5">
            <w:pPr>
              <w:pStyle w:val="afff7"/>
            </w:pPr>
            <w:r>
              <w:rPr>
                <w:rFonts w:hint="eastAsia"/>
              </w:rPr>
              <w:t>200,000.00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jc w:val="right"/>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戴凤鸣</w:t>
            </w:r>
          </w:p>
        </w:tc>
        <w:tc>
          <w:tcPr>
            <w:tcW w:w="1701" w:type="dxa"/>
            <w:vAlign w:val="center"/>
          </w:tcPr>
          <w:p w:rsidR="004A3868" w:rsidRDefault="003F1AB5">
            <w:pPr>
              <w:pStyle w:val="afff7"/>
            </w:pPr>
            <w:r>
              <w:rPr>
                <w:rFonts w:hint="eastAsia"/>
              </w:rPr>
              <w:t>143,000.00</w:t>
            </w:r>
          </w:p>
        </w:tc>
        <w:tc>
          <w:tcPr>
            <w:tcW w:w="1417" w:type="dxa"/>
            <w:vAlign w:val="center"/>
          </w:tcPr>
          <w:p w:rsidR="004A3868" w:rsidRDefault="003F1AB5">
            <w:pPr>
              <w:pStyle w:val="afff7"/>
            </w:pPr>
            <w:r>
              <w:rPr>
                <w:rFonts w:hint="eastAsia"/>
              </w:rPr>
              <w:t>143,000.00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盛云亚</w:t>
            </w:r>
          </w:p>
        </w:tc>
        <w:tc>
          <w:tcPr>
            <w:tcW w:w="1701" w:type="dxa"/>
            <w:vAlign w:val="center"/>
          </w:tcPr>
          <w:p w:rsidR="004A3868" w:rsidRDefault="003F1AB5">
            <w:pPr>
              <w:pStyle w:val="afff7"/>
            </w:pPr>
            <w:r>
              <w:rPr>
                <w:rFonts w:hint="eastAsia"/>
              </w:rPr>
              <w:t>120,000.00</w:t>
            </w:r>
          </w:p>
        </w:tc>
        <w:tc>
          <w:tcPr>
            <w:tcW w:w="1417" w:type="dxa"/>
            <w:vAlign w:val="center"/>
          </w:tcPr>
          <w:p w:rsidR="004A3868" w:rsidRDefault="003F1AB5">
            <w:pPr>
              <w:pStyle w:val="afff7"/>
            </w:pPr>
            <w:r>
              <w:rPr>
                <w:rFonts w:hint="eastAsia"/>
              </w:rPr>
              <w:t>120,000.00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陈家飞</w:t>
            </w:r>
          </w:p>
        </w:tc>
        <w:tc>
          <w:tcPr>
            <w:tcW w:w="1701" w:type="dxa"/>
            <w:vAlign w:val="center"/>
          </w:tcPr>
          <w:p w:rsidR="004A3868" w:rsidRDefault="003F1AB5">
            <w:pPr>
              <w:pStyle w:val="afff7"/>
            </w:pPr>
            <w:r>
              <w:rPr>
                <w:rFonts w:hint="eastAsia"/>
              </w:rPr>
              <w:t>110,000.00</w:t>
            </w:r>
          </w:p>
        </w:tc>
        <w:tc>
          <w:tcPr>
            <w:tcW w:w="1417" w:type="dxa"/>
            <w:vAlign w:val="center"/>
          </w:tcPr>
          <w:p w:rsidR="004A3868" w:rsidRDefault="003F1AB5">
            <w:pPr>
              <w:pStyle w:val="afff7"/>
            </w:pPr>
            <w:r>
              <w:rPr>
                <w:rFonts w:hint="eastAsia"/>
              </w:rPr>
              <w:t>110,000.00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上海安洪投资管理有限公司－安洪精选证券投资基金</w:t>
            </w:r>
          </w:p>
        </w:tc>
        <w:tc>
          <w:tcPr>
            <w:tcW w:w="1701" w:type="dxa"/>
            <w:vAlign w:val="center"/>
          </w:tcPr>
          <w:p w:rsidR="004A3868" w:rsidRDefault="003F1AB5">
            <w:pPr>
              <w:pStyle w:val="afff7"/>
            </w:pPr>
            <w:r>
              <w:rPr>
                <w:rFonts w:hint="eastAsia"/>
              </w:rPr>
              <w:t>109,000.00</w:t>
            </w:r>
          </w:p>
        </w:tc>
        <w:tc>
          <w:tcPr>
            <w:tcW w:w="1417" w:type="dxa"/>
            <w:vAlign w:val="center"/>
          </w:tcPr>
          <w:p w:rsidR="004A3868" w:rsidRDefault="003F1AB5">
            <w:pPr>
              <w:pStyle w:val="afff7"/>
            </w:pPr>
            <w:r>
              <w:rPr>
                <w:rFonts w:hint="eastAsia"/>
              </w:rPr>
              <w:t>109,000.00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刘长哲</w:t>
            </w:r>
          </w:p>
        </w:tc>
        <w:tc>
          <w:tcPr>
            <w:tcW w:w="1701" w:type="dxa"/>
            <w:vAlign w:val="center"/>
          </w:tcPr>
          <w:p w:rsidR="004A3868" w:rsidRDefault="003F1AB5">
            <w:pPr>
              <w:pStyle w:val="afff7"/>
            </w:pPr>
            <w:r>
              <w:rPr>
                <w:rFonts w:hint="eastAsia"/>
              </w:rPr>
              <w:t>108,000.00</w:t>
            </w:r>
          </w:p>
        </w:tc>
        <w:tc>
          <w:tcPr>
            <w:tcW w:w="1417" w:type="dxa"/>
            <w:vAlign w:val="center"/>
          </w:tcPr>
          <w:p w:rsidR="004A3868" w:rsidRDefault="003F1AB5">
            <w:pPr>
              <w:pStyle w:val="afff7"/>
            </w:pPr>
            <w:r>
              <w:rPr>
                <w:rFonts w:hint="eastAsia"/>
              </w:rPr>
              <w:t>108,000.00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李长平</w:t>
            </w:r>
          </w:p>
        </w:tc>
        <w:tc>
          <w:tcPr>
            <w:tcW w:w="1701" w:type="dxa"/>
            <w:vAlign w:val="center"/>
          </w:tcPr>
          <w:p w:rsidR="004A3868" w:rsidRDefault="003F1AB5">
            <w:pPr>
              <w:pStyle w:val="afff7"/>
            </w:pPr>
            <w:r>
              <w:rPr>
                <w:rFonts w:hint="eastAsia"/>
              </w:rPr>
              <w:t>100,000.00</w:t>
            </w:r>
          </w:p>
        </w:tc>
        <w:tc>
          <w:tcPr>
            <w:tcW w:w="1417" w:type="dxa"/>
            <w:vAlign w:val="center"/>
          </w:tcPr>
          <w:p w:rsidR="004A3868" w:rsidRDefault="003F1AB5">
            <w:pPr>
              <w:pStyle w:val="afff7"/>
            </w:pPr>
            <w:r>
              <w:rPr>
                <w:rFonts w:hint="eastAsia"/>
              </w:rPr>
              <w:t>100,000.00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王海波</w:t>
            </w:r>
          </w:p>
        </w:tc>
        <w:tc>
          <w:tcPr>
            <w:tcW w:w="1701" w:type="dxa"/>
            <w:vAlign w:val="center"/>
          </w:tcPr>
          <w:p w:rsidR="004A3868" w:rsidRDefault="003F1AB5">
            <w:pPr>
              <w:pStyle w:val="afff7"/>
            </w:pPr>
            <w:r>
              <w:rPr>
                <w:rFonts w:hint="eastAsia"/>
              </w:rPr>
              <w:t>100,000.00</w:t>
            </w:r>
          </w:p>
        </w:tc>
        <w:tc>
          <w:tcPr>
            <w:tcW w:w="1417" w:type="dxa"/>
            <w:vAlign w:val="center"/>
          </w:tcPr>
          <w:p w:rsidR="004A3868" w:rsidRDefault="003F1AB5">
            <w:pPr>
              <w:pStyle w:val="afff7"/>
            </w:pPr>
            <w:r>
              <w:rPr>
                <w:rFonts w:hint="eastAsia"/>
              </w:rPr>
              <w:t>100,000.00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陈小程</w:t>
            </w:r>
          </w:p>
        </w:tc>
        <w:tc>
          <w:tcPr>
            <w:tcW w:w="1701" w:type="dxa"/>
            <w:vAlign w:val="center"/>
          </w:tcPr>
          <w:p w:rsidR="004A3868" w:rsidRDefault="003F1AB5">
            <w:pPr>
              <w:pStyle w:val="afff7"/>
            </w:pPr>
            <w:r>
              <w:rPr>
                <w:rFonts w:hint="eastAsia"/>
              </w:rPr>
              <w:t>85,000.00</w:t>
            </w:r>
          </w:p>
        </w:tc>
        <w:tc>
          <w:tcPr>
            <w:tcW w:w="1417" w:type="dxa"/>
            <w:vAlign w:val="center"/>
          </w:tcPr>
          <w:p w:rsidR="004A3868" w:rsidRDefault="003F1AB5">
            <w:pPr>
              <w:pStyle w:val="afff7"/>
            </w:pPr>
            <w:r>
              <w:rPr>
                <w:rFonts w:hint="eastAsia"/>
              </w:rPr>
              <w:t>85,000.00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陈福</w:t>
            </w:r>
          </w:p>
        </w:tc>
        <w:tc>
          <w:tcPr>
            <w:tcW w:w="1701" w:type="dxa"/>
            <w:vAlign w:val="center"/>
          </w:tcPr>
          <w:p w:rsidR="004A3868" w:rsidRDefault="003F1AB5">
            <w:pPr>
              <w:pStyle w:val="afff7"/>
            </w:pPr>
            <w:r>
              <w:rPr>
                <w:rFonts w:hint="eastAsia"/>
              </w:rPr>
              <w:t>72,000.00</w:t>
            </w:r>
          </w:p>
        </w:tc>
        <w:tc>
          <w:tcPr>
            <w:tcW w:w="1417" w:type="dxa"/>
            <w:vAlign w:val="center"/>
          </w:tcPr>
          <w:p w:rsidR="004A3868" w:rsidRDefault="003F1AB5">
            <w:pPr>
              <w:pStyle w:val="afff7"/>
            </w:pPr>
            <w:r>
              <w:rPr>
                <w:rFonts w:hint="eastAsia"/>
              </w:rPr>
              <w:t>72,000.00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翁艳玲</w:t>
            </w:r>
          </w:p>
        </w:tc>
        <w:tc>
          <w:tcPr>
            <w:tcW w:w="1701" w:type="dxa"/>
            <w:vAlign w:val="center"/>
          </w:tcPr>
          <w:p w:rsidR="004A3868" w:rsidRDefault="003F1AB5">
            <w:pPr>
              <w:pStyle w:val="afff7"/>
            </w:pPr>
            <w:r>
              <w:rPr>
                <w:rFonts w:hint="eastAsia"/>
              </w:rPr>
              <w:t>70,000.00</w:t>
            </w:r>
          </w:p>
        </w:tc>
        <w:tc>
          <w:tcPr>
            <w:tcW w:w="1417" w:type="dxa"/>
            <w:vAlign w:val="center"/>
          </w:tcPr>
          <w:p w:rsidR="004A3868" w:rsidRDefault="003F1AB5">
            <w:pPr>
              <w:pStyle w:val="afff7"/>
            </w:pPr>
            <w:r>
              <w:rPr>
                <w:rFonts w:hint="eastAsia"/>
              </w:rPr>
              <w:t>70,000.00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林照峰</w:t>
            </w:r>
          </w:p>
        </w:tc>
        <w:tc>
          <w:tcPr>
            <w:tcW w:w="1701" w:type="dxa"/>
            <w:vAlign w:val="center"/>
          </w:tcPr>
          <w:p w:rsidR="004A3868" w:rsidRDefault="003F1AB5">
            <w:pPr>
              <w:pStyle w:val="afff7"/>
            </w:pPr>
            <w:r>
              <w:rPr>
                <w:rFonts w:hint="eastAsia"/>
              </w:rPr>
              <w:t>60,000.00</w:t>
            </w:r>
          </w:p>
        </w:tc>
        <w:tc>
          <w:tcPr>
            <w:tcW w:w="1417" w:type="dxa"/>
            <w:vAlign w:val="center"/>
          </w:tcPr>
          <w:p w:rsidR="004A3868" w:rsidRDefault="003F1AB5">
            <w:pPr>
              <w:pStyle w:val="afff7"/>
            </w:pPr>
            <w:r>
              <w:rPr>
                <w:rFonts w:hint="eastAsia"/>
              </w:rPr>
              <w:t>60,000.00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李厥庆</w:t>
            </w:r>
          </w:p>
        </w:tc>
        <w:tc>
          <w:tcPr>
            <w:tcW w:w="1701" w:type="dxa"/>
            <w:vAlign w:val="center"/>
          </w:tcPr>
          <w:p w:rsidR="004A3868" w:rsidRDefault="003F1AB5">
            <w:pPr>
              <w:pStyle w:val="afff7"/>
            </w:pPr>
            <w:r>
              <w:rPr>
                <w:rFonts w:hint="eastAsia"/>
              </w:rPr>
              <w:t>41,209.00</w:t>
            </w:r>
          </w:p>
        </w:tc>
        <w:tc>
          <w:tcPr>
            <w:tcW w:w="1417" w:type="dxa"/>
            <w:vAlign w:val="center"/>
          </w:tcPr>
          <w:p w:rsidR="004A3868" w:rsidRDefault="003F1AB5">
            <w:pPr>
              <w:pStyle w:val="afff7"/>
            </w:pPr>
            <w:r>
              <w:rPr>
                <w:rFonts w:hint="eastAsia"/>
              </w:rPr>
              <w:t>41,209.00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李向明</w:t>
            </w:r>
          </w:p>
        </w:tc>
        <w:tc>
          <w:tcPr>
            <w:tcW w:w="1701" w:type="dxa"/>
            <w:vAlign w:val="center"/>
          </w:tcPr>
          <w:p w:rsidR="004A3868" w:rsidRDefault="003F1AB5">
            <w:pPr>
              <w:pStyle w:val="afff7"/>
            </w:pPr>
            <w:r>
              <w:rPr>
                <w:rFonts w:hint="eastAsia"/>
              </w:rPr>
              <w:t>40,000.00</w:t>
            </w:r>
          </w:p>
        </w:tc>
        <w:tc>
          <w:tcPr>
            <w:tcW w:w="1417" w:type="dxa"/>
            <w:vAlign w:val="center"/>
          </w:tcPr>
          <w:p w:rsidR="004A3868" w:rsidRDefault="003F1AB5">
            <w:pPr>
              <w:pStyle w:val="afff7"/>
            </w:pPr>
            <w:r>
              <w:rPr>
                <w:rFonts w:hint="eastAsia"/>
              </w:rPr>
              <w:t>40,000.00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饶革</w:t>
            </w:r>
          </w:p>
        </w:tc>
        <w:tc>
          <w:tcPr>
            <w:tcW w:w="1701" w:type="dxa"/>
            <w:vAlign w:val="center"/>
          </w:tcPr>
          <w:p w:rsidR="004A3868" w:rsidRDefault="003F1AB5">
            <w:pPr>
              <w:pStyle w:val="afff7"/>
            </w:pPr>
            <w:r>
              <w:rPr>
                <w:rFonts w:hint="eastAsia"/>
              </w:rPr>
              <w:t>33,000.00</w:t>
            </w:r>
          </w:p>
        </w:tc>
        <w:tc>
          <w:tcPr>
            <w:tcW w:w="1417" w:type="dxa"/>
            <w:vAlign w:val="center"/>
          </w:tcPr>
          <w:p w:rsidR="004A3868" w:rsidRDefault="003F1AB5">
            <w:pPr>
              <w:pStyle w:val="afff7"/>
            </w:pPr>
            <w:r>
              <w:rPr>
                <w:rFonts w:hint="eastAsia"/>
              </w:rPr>
              <w:t>33,000.00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黄分平</w:t>
            </w:r>
          </w:p>
        </w:tc>
        <w:tc>
          <w:tcPr>
            <w:tcW w:w="1701" w:type="dxa"/>
            <w:vAlign w:val="center"/>
          </w:tcPr>
          <w:p w:rsidR="004A3868" w:rsidRDefault="003F1AB5">
            <w:pPr>
              <w:pStyle w:val="afff7"/>
            </w:pPr>
            <w:r>
              <w:rPr>
                <w:rFonts w:hint="eastAsia"/>
              </w:rPr>
              <w:t>30,000.00</w:t>
            </w:r>
          </w:p>
        </w:tc>
        <w:tc>
          <w:tcPr>
            <w:tcW w:w="1417" w:type="dxa"/>
            <w:vAlign w:val="center"/>
          </w:tcPr>
          <w:p w:rsidR="004A3868" w:rsidRDefault="003F1AB5">
            <w:pPr>
              <w:pStyle w:val="afff7"/>
            </w:pPr>
            <w:r>
              <w:rPr>
                <w:rFonts w:hint="eastAsia"/>
              </w:rPr>
              <w:t>30,000.00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徐颖</w:t>
            </w:r>
          </w:p>
        </w:tc>
        <w:tc>
          <w:tcPr>
            <w:tcW w:w="1701" w:type="dxa"/>
            <w:vAlign w:val="center"/>
          </w:tcPr>
          <w:p w:rsidR="004A3868" w:rsidRDefault="003F1AB5">
            <w:pPr>
              <w:pStyle w:val="afff7"/>
            </w:pPr>
            <w:r>
              <w:rPr>
                <w:rFonts w:hint="eastAsia"/>
              </w:rPr>
              <w:t>25,000.00</w:t>
            </w:r>
          </w:p>
        </w:tc>
        <w:tc>
          <w:tcPr>
            <w:tcW w:w="1417" w:type="dxa"/>
            <w:vAlign w:val="center"/>
          </w:tcPr>
          <w:p w:rsidR="004A3868" w:rsidRDefault="003F1AB5">
            <w:pPr>
              <w:pStyle w:val="afff7"/>
            </w:pPr>
            <w:r>
              <w:rPr>
                <w:rFonts w:hint="eastAsia"/>
              </w:rPr>
              <w:t>25,000.00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李洪波</w:t>
            </w:r>
          </w:p>
        </w:tc>
        <w:tc>
          <w:tcPr>
            <w:tcW w:w="1701" w:type="dxa"/>
            <w:vAlign w:val="center"/>
          </w:tcPr>
          <w:p w:rsidR="004A3868" w:rsidRDefault="003F1AB5">
            <w:pPr>
              <w:pStyle w:val="afff7"/>
            </w:pPr>
            <w:r>
              <w:rPr>
                <w:rFonts w:hint="eastAsia"/>
              </w:rPr>
              <w:t>25,000.00</w:t>
            </w:r>
          </w:p>
        </w:tc>
        <w:tc>
          <w:tcPr>
            <w:tcW w:w="1417" w:type="dxa"/>
            <w:vAlign w:val="center"/>
          </w:tcPr>
          <w:p w:rsidR="004A3868" w:rsidRDefault="003F1AB5">
            <w:pPr>
              <w:pStyle w:val="afff7"/>
            </w:pPr>
            <w:r>
              <w:rPr>
                <w:rFonts w:hint="eastAsia"/>
              </w:rPr>
              <w:t>25,000.00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陈朝霞</w:t>
            </w:r>
          </w:p>
        </w:tc>
        <w:tc>
          <w:tcPr>
            <w:tcW w:w="1701" w:type="dxa"/>
            <w:vAlign w:val="center"/>
          </w:tcPr>
          <w:p w:rsidR="004A3868" w:rsidRDefault="003F1AB5">
            <w:pPr>
              <w:pStyle w:val="afff7"/>
            </w:pPr>
            <w:r>
              <w:rPr>
                <w:rFonts w:hint="eastAsia"/>
              </w:rPr>
              <w:t>22,000.00</w:t>
            </w:r>
          </w:p>
        </w:tc>
        <w:tc>
          <w:tcPr>
            <w:tcW w:w="1417" w:type="dxa"/>
            <w:vAlign w:val="center"/>
          </w:tcPr>
          <w:p w:rsidR="004A3868" w:rsidRDefault="003F1AB5">
            <w:pPr>
              <w:pStyle w:val="afff7"/>
            </w:pPr>
            <w:r>
              <w:rPr>
                <w:rFonts w:hint="eastAsia"/>
              </w:rPr>
              <w:t>22,000.00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lastRenderedPageBreak/>
              <w:t>陈慧</w:t>
            </w:r>
          </w:p>
        </w:tc>
        <w:tc>
          <w:tcPr>
            <w:tcW w:w="1701" w:type="dxa"/>
            <w:vAlign w:val="center"/>
          </w:tcPr>
          <w:p w:rsidR="004A3868" w:rsidRDefault="003F1AB5">
            <w:pPr>
              <w:pStyle w:val="afff7"/>
            </w:pPr>
            <w:r>
              <w:rPr>
                <w:rFonts w:hint="eastAsia"/>
              </w:rPr>
              <w:t>20,000.00</w:t>
            </w:r>
          </w:p>
        </w:tc>
        <w:tc>
          <w:tcPr>
            <w:tcW w:w="1417" w:type="dxa"/>
            <w:vAlign w:val="center"/>
          </w:tcPr>
          <w:p w:rsidR="004A3868" w:rsidRDefault="003F1AB5">
            <w:pPr>
              <w:pStyle w:val="afff7"/>
            </w:pPr>
            <w:r>
              <w:rPr>
                <w:rFonts w:hint="eastAsia"/>
              </w:rPr>
              <w:t>20,000.00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马中奎</w:t>
            </w:r>
          </w:p>
        </w:tc>
        <w:tc>
          <w:tcPr>
            <w:tcW w:w="1701" w:type="dxa"/>
            <w:vAlign w:val="center"/>
          </w:tcPr>
          <w:p w:rsidR="004A3868" w:rsidRDefault="003F1AB5">
            <w:pPr>
              <w:pStyle w:val="afff7"/>
            </w:pPr>
            <w:r>
              <w:rPr>
                <w:rFonts w:hint="eastAsia"/>
              </w:rPr>
              <w:t>17,000.00</w:t>
            </w:r>
          </w:p>
        </w:tc>
        <w:tc>
          <w:tcPr>
            <w:tcW w:w="1417" w:type="dxa"/>
            <w:vAlign w:val="center"/>
          </w:tcPr>
          <w:p w:rsidR="004A3868" w:rsidRDefault="003F1AB5">
            <w:pPr>
              <w:pStyle w:val="afff7"/>
            </w:pPr>
            <w:r>
              <w:rPr>
                <w:rFonts w:hint="eastAsia"/>
              </w:rPr>
              <w:t>17,000.00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沈国勇</w:t>
            </w:r>
          </w:p>
        </w:tc>
        <w:tc>
          <w:tcPr>
            <w:tcW w:w="1701" w:type="dxa"/>
            <w:vAlign w:val="center"/>
          </w:tcPr>
          <w:p w:rsidR="004A3868" w:rsidRDefault="003F1AB5">
            <w:pPr>
              <w:pStyle w:val="afff7"/>
            </w:pPr>
            <w:r>
              <w:rPr>
                <w:rFonts w:hint="eastAsia"/>
              </w:rPr>
              <w:t>15,000.00</w:t>
            </w:r>
          </w:p>
        </w:tc>
        <w:tc>
          <w:tcPr>
            <w:tcW w:w="1417" w:type="dxa"/>
            <w:vAlign w:val="center"/>
          </w:tcPr>
          <w:p w:rsidR="004A3868" w:rsidRDefault="003F1AB5">
            <w:pPr>
              <w:pStyle w:val="afff7"/>
            </w:pPr>
            <w:r>
              <w:rPr>
                <w:rFonts w:hint="eastAsia"/>
              </w:rPr>
              <w:t>15,000.00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贺毅昭</w:t>
            </w:r>
          </w:p>
        </w:tc>
        <w:tc>
          <w:tcPr>
            <w:tcW w:w="1701" w:type="dxa"/>
            <w:vAlign w:val="center"/>
          </w:tcPr>
          <w:p w:rsidR="004A3868" w:rsidRDefault="003F1AB5">
            <w:pPr>
              <w:pStyle w:val="afff7"/>
            </w:pPr>
            <w:r>
              <w:rPr>
                <w:rFonts w:hint="eastAsia"/>
              </w:rPr>
              <w:t>15,000.00</w:t>
            </w:r>
          </w:p>
        </w:tc>
        <w:tc>
          <w:tcPr>
            <w:tcW w:w="1417" w:type="dxa"/>
            <w:vAlign w:val="center"/>
          </w:tcPr>
          <w:p w:rsidR="004A3868" w:rsidRDefault="003F1AB5">
            <w:pPr>
              <w:pStyle w:val="afff7"/>
            </w:pPr>
            <w:r>
              <w:rPr>
                <w:rFonts w:hint="eastAsia"/>
              </w:rPr>
              <w:t>15,000.00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杨伊里</w:t>
            </w:r>
          </w:p>
        </w:tc>
        <w:tc>
          <w:tcPr>
            <w:tcW w:w="1701" w:type="dxa"/>
            <w:vAlign w:val="center"/>
          </w:tcPr>
          <w:p w:rsidR="004A3868" w:rsidRDefault="003F1AB5">
            <w:pPr>
              <w:pStyle w:val="afff7"/>
            </w:pPr>
            <w:r>
              <w:rPr>
                <w:rFonts w:hint="eastAsia"/>
              </w:rPr>
              <w:t>12,000.00</w:t>
            </w:r>
          </w:p>
        </w:tc>
        <w:tc>
          <w:tcPr>
            <w:tcW w:w="1417" w:type="dxa"/>
            <w:vAlign w:val="center"/>
          </w:tcPr>
          <w:p w:rsidR="004A3868" w:rsidRDefault="003F1AB5">
            <w:pPr>
              <w:pStyle w:val="afff7"/>
            </w:pPr>
            <w:r>
              <w:rPr>
                <w:rFonts w:hint="eastAsia"/>
              </w:rPr>
              <w:t>12,000.00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冯超球</w:t>
            </w:r>
          </w:p>
        </w:tc>
        <w:tc>
          <w:tcPr>
            <w:tcW w:w="1701" w:type="dxa"/>
            <w:vAlign w:val="center"/>
          </w:tcPr>
          <w:p w:rsidR="004A3868" w:rsidRDefault="003F1AB5">
            <w:pPr>
              <w:pStyle w:val="afff7"/>
            </w:pPr>
            <w:r>
              <w:rPr>
                <w:rFonts w:hint="eastAsia"/>
              </w:rPr>
              <w:t>12,000.00</w:t>
            </w:r>
          </w:p>
        </w:tc>
        <w:tc>
          <w:tcPr>
            <w:tcW w:w="1417" w:type="dxa"/>
            <w:vAlign w:val="center"/>
          </w:tcPr>
          <w:p w:rsidR="004A3868" w:rsidRDefault="003F1AB5">
            <w:pPr>
              <w:pStyle w:val="afff7"/>
            </w:pPr>
            <w:r>
              <w:rPr>
                <w:rFonts w:hint="eastAsia"/>
              </w:rPr>
              <w:t>12,000.00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曾祥荣</w:t>
            </w:r>
          </w:p>
        </w:tc>
        <w:tc>
          <w:tcPr>
            <w:tcW w:w="1701" w:type="dxa"/>
            <w:vAlign w:val="center"/>
          </w:tcPr>
          <w:p w:rsidR="004A3868" w:rsidRDefault="003F1AB5">
            <w:pPr>
              <w:pStyle w:val="afff7"/>
            </w:pPr>
            <w:r>
              <w:rPr>
                <w:rFonts w:hint="eastAsia"/>
              </w:rPr>
              <w:t>11,000.00</w:t>
            </w:r>
          </w:p>
        </w:tc>
        <w:tc>
          <w:tcPr>
            <w:tcW w:w="1417" w:type="dxa"/>
            <w:vAlign w:val="center"/>
          </w:tcPr>
          <w:p w:rsidR="004A3868" w:rsidRDefault="003F1AB5">
            <w:pPr>
              <w:pStyle w:val="afff7"/>
            </w:pPr>
            <w:r>
              <w:rPr>
                <w:rFonts w:hint="eastAsia"/>
              </w:rPr>
              <w:t>11,000.00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徐根娣</w:t>
            </w:r>
          </w:p>
        </w:tc>
        <w:tc>
          <w:tcPr>
            <w:tcW w:w="1701" w:type="dxa"/>
            <w:vAlign w:val="center"/>
          </w:tcPr>
          <w:p w:rsidR="004A3868" w:rsidRDefault="003F1AB5">
            <w:pPr>
              <w:pStyle w:val="afff7"/>
            </w:pPr>
            <w:r>
              <w:rPr>
                <w:rFonts w:hint="eastAsia"/>
              </w:rPr>
              <w:t>10,000.00</w:t>
            </w:r>
          </w:p>
        </w:tc>
        <w:tc>
          <w:tcPr>
            <w:tcW w:w="1417" w:type="dxa"/>
            <w:vAlign w:val="center"/>
          </w:tcPr>
          <w:p w:rsidR="004A3868" w:rsidRDefault="003F1AB5">
            <w:pPr>
              <w:pStyle w:val="afff7"/>
            </w:pPr>
            <w:r>
              <w:rPr>
                <w:rFonts w:hint="eastAsia"/>
              </w:rPr>
              <w:t>10,000.00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黄应强</w:t>
            </w:r>
          </w:p>
        </w:tc>
        <w:tc>
          <w:tcPr>
            <w:tcW w:w="1701" w:type="dxa"/>
            <w:vAlign w:val="center"/>
          </w:tcPr>
          <w:p w:rsidR="004A3868" w:rsidRDefault="003F1AB5">
            <w:pPr>
              <w:pStyle w:val="afff7"/>
            </w:pPr>
            <w:r>
              <w:rPr>
                <w:rFonts w:hint="eastAsia"/>
              </w:rPr>
              <w:t>10,000.00</w:t>
            </w:r>
          </w:p>
        </w:tc>
        <w:tc>
          <w:tcPr>
            <w:tcW w:w="1417" w:type="dxa"/>
            <w:vAlign w:val="center"/>
          </w:tcPr>
          <w:p w:rsidR="004A3868" w:rsidRDefault="003F1AB5">
            <w:pPr>
              <w:pStyle w:val="afff7"/>
            </w:pPr>
            <w:r>
              <w:rPr>
                <w:rFonts w:hint="eastAsia"/>
              </w:rPr>
              <w:t>10,000.00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北京丰润泰投资基金管理有限公司</w:t>
            </w:r>
          </w:p>
        </w:tc>
        <w:tc>
          <w:tcPr>
            <w:tcW w:w="1701" w:type="dxa"/>
            <w:vAlign w:val="center"/>
          </w:tcPr>
          <w:p w:rsidR="004A3868" w:rsidRDefault="003F1AB5">
            <w:pPr>
              <w:pStyle w:val="afff7"/>
            </w:pPr>
            <w:r>
              <w:rPr>
                <w:rFonts w:hint="eastAsia"/>
              </w:rPr>
              <w:t>6,000.00</w:t>
            </w:r>
          </w:p>
        </w:tc>
        <w:tc>
          <w:tcPr>
            <w:tcW w:w="1417" w:type="dxa"/>
            <w:vAlign w:val="center"/>
          </w:tcPr>
          <w:p w:rsidR="004A3868" w:rsidRDefault="003F1AB5">
            <w:pPr>
              <w:pStyle w:val="afff7"/>
            </w:pPr>
            <w:r>
              <w:rPr>
                <w:rFonts w:hint="eastAsia"/>
              </w:rPr>
              <w:t>6,000.00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赵秀君</w:t>
            </w:r>
          </w:p>
        </w:tc>
        <w:tc>
          <w:tcPr>
            <w:tcW w:w="1701" w:type="dxa"/>
            <w:vAlign w:val="center"/>
          </w:tcPr>
          <w:p w:rsidR="004A3868" w:rsidRDefault="003F1AB5">
            <w:pPr>
              <w:pStyle w:val="afff7"/>
            </w:pPr>
            <w:r>
              <w:rPr>
                <w:rFonts w:hint="eastAsia"/>
              </w:rPr>
              <w:t>5,000.00</w:t>
            </w:r>
          </w:p>
        </w:tc>
        <w:tc>
          <w:tcPr>
            <w:tcW w:w="1417" w:type="dxa"/>
            <w:vAlign w:val="center"/>
          </w:tcPr>
          <w:p w:rsidR="004A3868" w:rsidRDefault="003F1AB5">
            <w:pPr>
              <w:pStyle w:val="afff7"/>
            </w:pPr>
            <w:r>
              <w:rPr>
                <w:rFonts w:hint="eastAsia"/>
              </w:rPr>
              <w:t>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蒋小钢</w:t>
            </w:r>
          </w:p>
        </w:tc>
        <w:tc>
          <w:tcPr>
            <w:tcW w:w="1701" w:type="dxa"/>
            <w:vAlign w:val="center"/>
          </w:tcPr>
          <w:p w:rsidR="004A3868" w:rsidRDefault="003F1AB5">
            <w:pPr>
              <w:pStyle w:val="afff7"/>
            </w:pPr>
            <w:r>
              <w:rPr>
                <w:rFonts w:hint="eastAsia"/>
              </w:rPr>
              <w:t>5,000.00</w:t>
            </w:r>
          </w:p>
        </w:tc>
        <w:tc>
          <w:tcPr>
            <w:tcW w:w="1417" w:type="dxa"/>
            <w:vAlign w:val="center"/>
          </w:tcPr>
          <w:p w:rsidR="004A3868" w:rsidRDefault="003F1AB5">
            <w:pPr>
              <w:pStyle w:val="afff7"/>
            </w:pPr>
            <w:r>
              <w:rPr>
                <w:rFonts w:hint="eastAsia"/>
              </w:rPr>
              <w:t>5,000.00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余盛芬</w:t>
            </w:r>
          </w:p>
        </w:tc>
        <w:tc>
          <w:tcPr>
            <w:tcW w:w="1701" w:type="dxa"/>
            <w:vAlign w:val="center"/>
          </w:tcPr>
          <w:p w:rsidR="004A3868" w:rsidRDefault="003F1AB5">
            <w:pPr>
              <w:pStyle w:val="afff7"/>
            </w:pPr>
            <w:r>
              <w:rPr>
                <w:rFonts w:hint="eastAsia"/>
              </w:rPr>
              <w:t>4,000.00</w:t>
            </w:r>
          </w:p>
        </w:tc>
        <w:tc>
          <w:tcPr>
            <w:tcW w:w="1417" w:type="dxa"/>
            <w:vAlign w:val="center"/>
          </w:tcPr>
          <w:p w:rsidR="004A3868" w:rsidRDefault="003F1AB5">
            <w:pPr>
              <w:pStyle w:val="afff7"/>
            </w:pPr>
            <w:r>
              <w:rPr>
                <w:rFonts w:hint="eastAsia"/>
              </w:rPr>
              <w:t>4,000.00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陈长溪</w:t>
            </w:r>
          </w:p>
        </w:tc>
        <w:tc>
          <w:tcPr>
            <w:tcW w:w="1701" w:type="dxa"/>
            <w:vAlign w:val="center"/>
          </w:tcPr>
          <w:p w:rsidR="004A3868" w:rsidRDefault="003F1AB5">
            <w:pPr>
              <w:pStyle w:val="afff7"/>
            </w:pPr>
            <w:r>
              <w:rPr>
                <w:rFonts w:hint="eastAsia"/>
              </w:rPr>
              <w:t>3,000.00</w:t>
            </w:r>
          </w:p>
        </w:tc>
        <w:tc>
          <w:tcPr>
            <w:tcW w:w="1417" w:type="dxa"/>
            <w:vAlign w:val="center"/>
          </w:tcPr>
          <w:p w:rsidR="004A3868" w:rsidRDefault="003F1AB5">
            <w:pPr>
              <w:pStyle w:val="afff7"/>
            </w:pPr>
            <w:r>
              <w:rPr>
                <w:rFonts w:hint="eastAsia"/>
              </w:rPr>
              <w:t>3,000.00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陈成法</w:t>
            </w:r>
          </w:p>
        </w:tc>
        <w:tc>
          <w:tcPr>
            <w:tcW w:w="1701" w:type="dxa"/>
            <w:vAlign w:val="center"/>
          </w:tcPr>
          <w:p w:rsidR="004A3868" w:rsidRDefault="003F1AB5">
            <w:pPr>
              <w:pStyle w:val="afff7"/>
            </w:pPr>
            <w:r>
              <w:rPr>
                <w:rFonts w:hint="eastAsia"/>
              </w:rPr>
              <w:t>3,000.00</w:t>
            </w:r>
          </w:p>
        </w:tc>
        <w:tc>
          <w:tcPr>
            <w:tcW w:w="1417" w:type="dxa"/>
            <w:vAlign w:val="center"/>
          </w:tcPr>
          <w:p w:rsidR="004A3868" w:rsidRDefault="003F1AB5">
            <w:pPr>
              <w:pStyle w:val="afff7"/>
            </w:pPr>
            <w:r>
              <w:rPr>
                <w:rFonts w:hint="eastAsia"/>
              </w:rPr>
              <w:t>3,000.00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邓承峰</w:t>
            </w:r>
          </w:p>
        </w:tc>
        <w:tc>
          <w:tcPr>
            <w:tcW w:w="1701" w:type="dxa"/>
            <w:vAlign w:val="center"/>
          </w:tcPr>
          <w:p w:rsidR="004A3868" w:rsidRDefault="003F1AB5">
            <w:pPr>
              <w:pStyle w:val="afff7"/>
            </w:pPr>
            <w:r>
              <w:rPr>
                <w:rFonts w:hint="eastAsia"/>
              </w:rPr>
              <w:t>3,000.00</w:t>
            </w:r>
          </w:p>
        </w:tc>
        <w:tc>
          <w:tcPr>
            <w:tcW w:w="1417" w:type="dxa"/>
            <w:vAlign w:val="center"/>
          </w:tcPr>
          <w:p w:rsidR="004A3868" w:rsidRDefault="003F1AB5">
            <w:pPr>
              <w:pStyle w:val="afff7"/>
            </w:pPr>
            <w:r>
              <w:rPr>
                <w:rFonts w:hint="eastAsia"/>
              </w:rPr>
              <w:t>3,000.00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吴将索</w:t>
            </w:r>
          </w:p>
        </w:tc>
        <w:tc>
          <w:tcPr>
            <w:tcW w:w="1701" w:type="dxa"/>
            <w:vAlign w:val="center"/>
          </w:tcPr>
          <w:p w:rsidR="004A3868" w:rsidRDefault="003F1AB5">
            <w:pPr>
              <w:pStyle w:val="afff7"/>
            </w:pPr>
            <w:r>
              <w:rPr>
                <w:rFonts w:hint="eastAsia"/>
              </w:rPr>
              <w:t>2,000.00</w:t>
            </w:r>
          </w:p>
        </w:tc>
        <w:tc>
          <w:tcPr>
            <w:tcW w:w="1417" w:type="dxa"/>
            <w:vAlign w:val="center"/>
          </w:tcPr>
          <w:p w:rsidR="004A3868" w:rsidRDefault="003F1AB5">
            <w:pPr>
              <w:pStyle w:val="afff7"/>
            </w:pPr>
            <w:r>
              <w:rPr>
                <w:rFonts w:hint="eastAsia"/>
              </w:rPr>
              <w:t>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甘玲</w:t>
            </w:r>
          </w:p>
        </w:tc>
        <w:tc>
          <w:tcPr>
            <w:tcW w:w="1701" w:type="dxa"/>
            <w:vAlign w:val="center"/>
          </w:tcPr>
          <w:p w:rsidR="004A3868" w:rsidRDefault="003F1AB5">
            <w:pPr>
              <w:pStyle w:val="afff7"/>
            </w:pPr>
            <w:r>
              <w:rPr>
                <w:rFonts w:hint="eastAsia"/>
              </w:rPr>
              <w:t>2,000.00</w:t>
            </w:r>
          </w:p>
        </w:tc>
        <w:tc>
          <w:tcPr>
            <w:tcW w:w="1417" w:type="dxa"/>
            <w:vAlign w:val="center"/>
          </w:tcPr>
          <w:p w:rsidR="004A3868" w:rsidRDefault="003F1AB5">
            <w:pPr>
              <w:pStyle w:val="afff7"/>
            </w:pPr>
            <w:r>
              <w:rPr>
                <w:rFonts w:hint="eastAsia"/>
              </w:rPr>
              <w:t>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张立新</w:t>
            </w:r>
          </w:p>
        </w:tc>
        <w:tc>
          <w:tcPr>
            <w:tcW w:w="1701" w:type="dxa"/>
            <w:vAlign w:val="center"/>
          </w:tcPr>
          <w:p w:rsidR="004A3868" w:rsidRDefault="003F1AB5">
            <w:pPr>
              <w:pStyle w:val="afff7"/>
            </w:pPr>
            <w:r>
              <w:rPr>
                <w:rFonts w:hint="eastAsia"/>
              </w:rPr>
              <w:t>2,000.00</w:t>
            </w:r>
          </w:p>
        </w:tc>
        <w:tc>
          <w:tcPr>
            <w:tcW w:w="1417" w:type="dxa"/>
            <w:vAlign w:val="center"/>
          </w:tcPr>
          <w:p w:rsidR="004A3868" w:rsidRDefault="003F1AB5">
            <w:pPr>
              <w:pStyle w:val="afff7"/>
            </w:pPr>
            <w:r>
              <w:rPr>
                <w:rFonts w:hint="eastAsia"/>
              </w:rPr>
              <w:t>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韩英</w:t>
            </w:r>
          </w:p>
        </w:tc>
        <w:tc>
          <w:tcPr>
            <w:tcW w:w="1701" w:type="dxa"/>
            <w:vAlign w:val="center"/>
          </w:tcPr>
          <w:p w:rsidR="004A3868" w:rsidRDefault="003F1AB5">
            <w:pPr>
              <w:pStyle w:val="afff7"/>
            </w:pPr>
            <w:r>
              <w:rPr>
                <w:rFonts w:hint="eastAsia"/>
              </w:rPr>
              <w:t>2,000.00</w:t>
            </w:r>
          </w:p>
        </w:tc>
        <w:tc>
          <w:tcPr>
            <w:tcW w:w="1417" w:type="dxa"/>
            <w:vAlign w:val="center"/>
          </w:tcPr>
          <w:p w:rsidR="004A3868" w:rsidRDefault="003F1AB5">
            <w:pPr>
              <w:pStyle w:val="afff7"/>
            </w:pPr>
            <w:r>
              <w:rPr>
                <w:rFonts w:hint="eastAsia"/>
              </w:rPr>
              <w:t>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张存良</w:t>
            </w:r>
          </w:p>
        </w:tc>
        <w:tc>
          <w:tcPr>
            <w:tcW w:w="1701" w:type="dxa"/>
            <w:vAlign w:val="center"/>
          </w:tcPr>
          <w:p w:rsidR="004A3868" w:rsidRDefault="003F1AB5">
            <w:pPr>
              <w:pStyle w:val="afff7"/>
            </w:pPr>
            <w:r>
              <w:rPr>
                <w:rFonts w:hint="eastAsia"/>
              </w:rPr>
              <w:t>2,000.00</w:t>
            </w:r>
          </w:p>
        </w:tc>
        <w:tc>
          <w:tcPr>
            <w:tcW w:w="1417" w:type="dxa"/>
            <w:vAlign w:val="center"/>
          </w:tcPr>
          <w:p w:rsidR="004A3868" w:rsidRDefault="003F1AB5">
            <w:pPr>
              <w:pStyle w:val="afff7"/>
            </w:pPr>
            <w:r>
              <w:rPr>
                <w:rFonts w:hint="eastAsia"/>
              </w:rPr>
              <w:t>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胡志鸿</w:t>
            </w:r>
          </w:p>
        </w:tc>
        <w:tc>
          <w:tcPr>
            <w:tcW w:w="1701" w:type="dxa"/>
            <w:vAlign w:val="center"/>
          </w:tcPr>
          <w:p w:rsidR="004A3868" w:rsidRDefault="003F1AB5">
            <w:pPr>
              <w:pStyle w:val="afff7"/>
            </w:pPr>
            <w:r>
              <w:rPr>
                <w:rFonts w:hint="eastAsia"/>
              </w:rPr>
              <w:t>2,000.00</w:t>
            </w:r>
          </w:p>
        </w:tc>
        <w:tc>
          <w:tcPr>
            <w:tcW w:w="1417" w:type="dxa"/>
            <w:vAlign w:val="center"/>
          </w:tcPr>
          <w:p w:rsidR="004A3868" w:rsidRDefault="003F1AB5">
            <w:pPr>
              <w:pStyle w:val="afff7"/>
            </w:pPr>
            <w:r>
              <w:rPr>
                <w:rFonts w:hint="eastAsia"/>
              </w:rPr>
              <w:t>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苗君</w:t>
            </w:r>
          </w:p>
        </w:tc>
        <w:tc>
          <w:tcPr>
            <w:tcW w:w="1701" w:type="dxa"/>
            <w:vAlign w:val="center"/>
          </w:tcPr>
          <w:p w:rsidR="004A3868" w:rsidRDefault="003F1AB5">
            <w:pPr>
              <w:pStyle w:val="afff7"/>
            </w:pPr>
            <w:r>
              <w:rPr>
                <w:rFonts w:hint="eastAsia"/>
              </w:rPr>
              <w:t>2,000.00</w:t>
            </w:r>
          </w:p>
        </w:tc>
        <w:tc>
          <w:tcPr>
            <w:tcW w:w="1417" w:type="dxa"/>
            <w:vAlign w:val="center"/>
          </w:tcPr>
          <w:p w:rsidR="004A3868" w:rsidRDefault="003F1AB5">
            <w:pPr>
              <w:pStyle w:val="afff7"/>
            </w:pPr>
            <w:r>
              <w:rPr>
                <w:rFonts w:hint="eastAsia"/>
              </w:rPr>
              <w:t>2,000.00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夏渊</w:t>
            </w:r>
          </w:p>
        </w:tc>
        <w:tc>
          <w:tcPr>
            <w:tcW w:w="1701" w:type="dxa"/>
            <w:vAlign w:val="center"/>
          </w:tcPr>
          <w:p w:rsidR="004A3868" w:rsidRDefault="003F1AB5">
            <w:pPr>
              <w:pStyle w:val="afff7"/>
            </w:pPr>
            <w:r>
              <w:rPr>
                <w:rFonts w:hint="eastAsia"/>
              </w:rPr>
              <w:t>1,000.00</w:t>
            </w:r>
          </w:p>
        </w:tc>
        <w:tc>
          <w:tcPr>
            <w:tcW w:w="1417" w:type="dxa"/>
            <w:vAlign w:val="center"/>
          </w:tcPr>
          <w:p w:rsidR="004A3868" w:rsidRDefault="003F1AB5">
            <w:pPr>
              <w:pStyle w:val="afff7"/>
            </w:pPr>
            <w:r>
              <w:rPr>
                <w:rFonts w:hint="eastAsia"/>
              </w:rPr>
              <w:t>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向朝容</w:t>
            </w:r>
          </w:p>
        </w:tc>
        <w:tc>
          <w:tcPr>
            <w:tcW w:w="1701" w:type="dxa"/>
            <w:vAlign w:val="center"/>
          </w:tcPr>
          <w:p w:rsidR="004A3868" w:rsidRDefault="003F1AB5">
            <w:pPr>
              <w:pStyle w:val="afff7"/>
            </w:pPr>
            <w:r>
              <w:rPr>
                <w:rFonts w:hint="eastAsia"/>
              </w:rPr>
              <w:t>1,000.00</w:t>
            </w:r>
          </w:p>
        </w:tc>
        <w:tc>
          <w:tcPr>
            <w:tcW w:w="1417" w:type="dxa"/>
            <w:vAlign w:val="center"/>
          </w:tcPr>
          <w:p w:rsidR="004A3868" w:rsidRDefault="003F1AB5">
            <w:pPr>
              <w:pStyle w:val="afff7"/>
            </w:pPr>
            <w:r>
              <w:rPr>
                <w:rFonts w:hint="eastAsia"/>
              </w:rPr>
              <w:t>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杨玉琢</w:t>
            </w:r>
          </w:p>
        </w:tc>
        <w:tc>
          <w:tcPr>
            <w:tcW w:w="1701" w:type="dxa"/>
            <w:vAlign w:val="center"/>
          </w:tcPr>
          <w:p w:rsidR="004A3868" w:rsidRDefault="003F1AB5">
            <w:pPr>
              <w:pStyle w:val="afff7"/>
            </w:pPr>
            <w:r>
              <w:rPr>
                <w:rFonts w:hint="eastAsia"/>
              </w:rPr>
              <w:t>1,000.00</w:t>
            </w:r>
          </w:p>
        </w:tc>
        <w:tc>
          <w:tcPr>
            <w:tcW w:w="1417" w:type="dxa"/>
            <w:vAlign w:val="center"/>
          </w:tcPr>
          <w:p w:rsidR="004A3868" w:rsidRDefault="003F1AB5">
            <w:pPr>
              <w:pStyle w:val="afff7"/>
            </w:pPr>
            <w:r>
              <w:rPr>
                <w:rFonts w:hint="eastAsia"/>
              </w:rPr>
              <w:t>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乾鲲（深圳）基金管理股份有限公司－乾鲲1号基金</w:t>
            </w:r>
          </w:p>
        </w:tc>
        <w:tc>
          <w:tcPr>
            <w:tcW w:w="1701" w:type="dxa"/>
            <w:vAlign w:val="center"/>
          </w:tcPr>
          <w:p w:rsidR="004A3868" w:rsidRDefault="003F1AB5">
            <w:pPr>
              <w:pStyle w:val="afff7"/>
            </w:pPr>
            <w:r>
              <w:rPr>
                <w:rFonts w:hint="eastAsia"/>
              </w:rPr>
              <w:t>1,000.00</w:t>
            </w:r>
          </w:p>
        </w:tc>
        <w:tc>
          <w:tcPr>
            <w:tcW w:w="1417" w:type="dxa"/>
            <w:vAlign w:val="center"/>
          </w:tcPr>
          <w:p w:rsidR="004A3868" w:rsidRDefault="003F1AB5">
            <w:pPr>
              <w:pStyle w:val="afff7"/>
            </w:pPr>
            <w:r>
              <w:rPr>
                <w:rFonts w:hint="eastAsia"/>
              </w:rPr>
              <w:t>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杨莉</w:t>
            </w:r>
          </w:p>
        </w:tc>
        <w:tc>
          <w:tcPr>
            <w:tcW w:w="1701" w:type="dxa"/>
            <w:vAlign w:val="center"/>
          </w:tcPr>
          <w:p w:rsidR="004A3868" w:rsidRDefault="003F1AB5">
            <w:pPr>
              <w:pStyle w:val="afff7"/>
            </w:pPr>
            <w:r>
              <w:rPr>
                <w:rFonts w:hint="eastAsia"/>
              </w:rPr>
              <w:t>1,000.00</w:t>
            </w:r>
          </w:p>
        </w:tc>
        <w:tc>
          <w:tcPr>
            <w:tcW w:w="1417" w:type="dxa"/>
            <w:vAlign w:val="center"/>
          </w:tcPr>
          <w:p w:rsidR="004A3868" w:rsidRDefault="003F1AB5">
            <w:pPr>
              <w:pStyle w:val="afff7"/>
            </w:pPr>
            <w:r>
              <w:rPr>
                <w:rFonts w:hint="eastAsia"/>
              </w:rPr>
              <w:t>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万桦</w:t>
            </w:r>
          </w:p>
        </w:tc>
        <w:tc>
          <w:tcPr>
            <w:tcW w:w="1701" w:type="dxa"/>
            <w:vAlign w:val="center"/>
          </w:tcPr>
          <w:p w:rsidR="004A3868" w:rsidRDefault="003F1AB5">
            <w:pPr>
              <w:pStyle w:val="afff7"/>
            </w:pPr>
            <w:r>
              <w:rPr>
                <w:rFonts w:hint="eastAsia"/>
              </w:rPr>
              <w:t>1,000.00</w:t>
            </w:r>
          </w:p>
        </w:tc>
        <w:tc>
          <w:tcPr>
            <w:tcW w:w="1417" w:type="dxa"/>
            <w:vAlign w:val="center"/>
          </w:tcPr>
          <w:p w:rsidR="004A3868" w:rsidRDefault="003F1AB5">
            <w:pPr>
              <w:pStyle w:val="afff7"/>
            </w:pPr>
            <w:r>
              <w:rPr>
                <w:rFonts w:hint="eastAsia"/>
              </w:rPr>
              <w:t>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王传通</w:t>
            </w:r>
          </w:p>
        </w:tc>
        <w:tc>
          <w:tcPr>
            <w:tcW w:w="1701" w:type="dxa"/>
            <w:vAlign w:val="center"/>
          </w:tcPr>
          <w:p w:rsidR="004A3868" w:rsidRDefault="003F1AB5">
            <w:pPr>
              <w:pStyle w:val="afff7"/>
            </w:pPr>
            <w:r>
              <w:rPr>
                <w:rFonts w:hint="eastAsia"/>
              </w:rPr>
              <w:t>1,000.00</w:t>
            </w:r>
          </w:p>
        </w:tc>
        <w:tc>
          <w:tcPr>
            <w:tcW w:w="1417" w:type="dxa"/>
            <w:vAlign w:val="center"/>
          </w:tcPr>
          <w:p w:rsidR="004A3868" w:rsidRDefault="003F1AB5">
            <w:pPr>
              <w:pStyle w:val="afff7"/>
            </w:pPr>
            <w:r>
              <w:rPr>
                <w:rFonts w:hint="eastAsia"/>
              </w:rPr>
              <w:t>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lastRenderedPageBreak/>
              <w:t>李海霞</w:t>
            </w:r>
          </w:p>
        </w:tc>
        <w:tc>
          <w:tcPr>
            <w:tcW w:w="1701" w:type="dxa"/>
            <w:vAlign w:val="center"/>
          </w:tcPr>
          <w:p w:rsidR="004A3868" w:rsidRDefault="003F1AB5">
            <w:pPr>
              <w:pStyle w:val="afff7"/>
            </w:pPr>
            <w:r>
              <w:rPr>
                <w:rFonts w:hint="eastAsia"/>
              </w:rPr>
              <w:t>1,000.00</w:t>
            </w:r>
          </w:p>
        </w:tc>
        <w:tc>
          <w:tcPr>
            <w:tcW w:w="1417" w:type="dxa"/>
            <w:vAlign w:val="center"/>
          </w:tcPr>
          <w:p w:rsidR="004A3868" w:rsidRDefault="003F1AB5">
            <w:pPr>
              <w:pStyle w:val="afff7"/>
            </w:pPr>
            <w:r>
              <w:rPr>
                <w:rFonts w:hint="eastAsia"/>
              </w:rPr>
              <w:t>1,000.00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2023.04.28</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重庆长寿经济技术开发区开发投资集团有限公司</w:t>
            </w:r>
          </w:p>
        </w:tc>
        <w:tc>
          <w:tcPr>
            <w:tcW w:w="1701" w:type="dxa"/>
            <w:vAlign w:val="center"/>
          </w:tcPr>
          <w:p w:rsidR="004A3868" w:rsidRDefault="003F1AB5">
            <w:pPr>
              <w:pStyle w:val="afff7"/>
            </w:pPr>
            <w:r>
              <w:rPr>
                <w:rFonts w:hint="eastAsia"/>
              </w:rPr>
              <w:t>5,555,556.00</w:t>
            </w:r>
          </w:p>
        </w:tc>
        <w:tc>
          <w:tcPr>
            <w:tcW w:w="1417" w:type="dxa"/>
            <w:vAlign w:val="center"/>
          </w:tcPr>
          <w:p w:rsidR="004A3868" w:rsidRDefault="003F1AB5">
            <w:pPr>
              <w:pStyle w:val="afff7"/>
            </w:pPr>
            <w:r>
              <w:rPr>
                <w:rFonts w:hint="eastAsia"/>
              </w:rPr>
              <w:t>5,555,556.00</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IPO前承诺股份限售</w:t>
            </w:r>
          </w:p>
        </w:tc>
        <w:tc>
          <w:tcPr>
            <w:tcW w:w="992" w:type="dxa"/>
            <w:vAlign w:val="center"/>
          </w:tcPr>
          <w:p w:rsidR="004A3868" w:rsidRDefault="003F1AB5">
            <w:pPr>
              <w:rPr>
                <w:sz w:val="18"/>
                <w:szCs w:val="18"/>
              </w:rPr>
            </w:pPr>
            <w:r>
              <w:rPr>
                <w:rFonts w:hint="eastAsia"/>
                <w:sz w:val="18"/>
                <w:szCs w:val="18"/>
              </w:rPr>
              <w:t>2023.12.11</w:t>
            </w:r>
          </w:p>
        </w:tc>
      </w:tr>
      <w:tr w:rsidR="004A3868">
        <w:trPr>
          <w:trHeight w:val="397"/>
          <w:jc w:val="center"/>
        </w:trPr>
        <w:tc>
          <w:tcPr>
            <w:tcW w:w="1980" w:type="dxa"/>
            <w:vAlign w:val="center"/>
          </w:tcPr>
          <w:p w:rsidR="004A3868" w:rsidRDefault="003F1AB5">
            <w:pPr>
              <w:rPr>
                <w:sz w:val="18"/>
                <w:szCs w:val="18"/>
              </w:rPr>
            </w:pPr>
            <w:r>
              <w:rPr>
                <w:rFonts w:hint="eastAsia"/>
                <w:sz w:val="18"/>
                <w:szCs w:val="18"/>
              </w:rPr>
              <w:t>合计</w:t>
            </w:r>
          </w:p>
        </w:tc>
        <w:tc>
          <w:tcPr>
            <w:tcW w:w="1701" w:type="dxa"/>
            <w:vAlign w:val="center"/>
          </w:tcPr>
          <w:p w:rsidR="004A3868" w:rsidRDefault="003F1AB5">
            <w:pPr>
              <w:pStyle w:val="afff7"/>
            </w:pPr>
            <w:r>
              <w:t>105,964,014</w:t>
            </w:r>
          </w:p>
        </w:tc>
        <w:tc>
          <w:tcPr>
            <w:tcW w:w="1417" w:type="dxa"/>
            <w:vAlign w:val="center"/>
          </w:tcPr>
          <w:p w:rsidR="004A3868" w:rsidRDefault="003F1AB5">
            <w:pPr>
              <w:pStyle w:val="afff7"/>
            </w:pPr>
            <w:r>
              <w:t>105,964,014</w:t>
            </w:r>
          </w:p>
        </w:tc>
        <w:tc>
          <w:tcPr>
            <w:tcW w:w="851" w:type="dxa"/>
            <w:vAlign w:val="center"/>
          </w:tcPr>
          <w:p w:rsidR="004A3868" w:rsidRDefault="003F1AB5">
            <w:pPr>
              <w:pStyle w:val="afff7"/>
            </w:pPr>
            <w:r>
              <w:rPr>
                <w:rFonts w:hint="eastAsia"/>
              </w:rPr>
              <w:t>0</w:t>
            </w:r>
          </w:p>
        </w:tc>
        <w:tc>
          <w:tcPr>
            <w:tcW w:w="567" w:type="dxa"/>
            <w:vAlign w:val="center"/>
          </w:tcPr>
          <w:p w:rsidR="004A3868" w:rsidRDefault="003F1AB5">
            <w:pPr>
              <w:pStyle w:val="afff7"/>
            </w:pPr>
            <w:r>
              <w:rPr>
                <w:rFonts w:hint="eastAsia"/>
              </w:rPr>
              <w:t>0</w:t>
            </w:r>
          </w:p>
        </w:tc>
        <w:tc>
          <w:tcPr>
            <w:tcW w:w="1701" w:type="dxa"/>
            <w:vAlign w:val="center"/>
          </w:tcPr>
          <w:p w:rsidR="004A3868" w:rsidRDefault="003F1AB5">
            <w:pPr>
              <w:rPr>
                <w:sz w:val="18"/>
                <w:szCs w:val="18"/>
              </w:rPr>
            </w:pPr>
            <w:r>
              <w:rPr>
                <w:rFonts w:hint="eastAsia"/>
                <w:sz w:val="18"/>
                <w:szCs w:val="18"/>
              </w:rPr>
              <w:t>/</w:t>
            </w:r>
          </w:p>
        </w:tc>
        <w:tc>
          <w:tcPr>
            <w:tcW w:w="992" w:type="dxa"/>
            <w:vAlign w:val="center"/>
          </w:tcPr>
          <w:p w:rsidR="004A3868" w:rsidRDefault="003F1AB5">
            <w:pPr>
              <w:rPr>
                <w:sz w:val="18"/>
                <w:szCs w:val="18"/>
              </w:rPr>
            </w:pPr>
            <w:r>
              <w:rPr>
                <w:rFonts w:hint="eastAsia"/>
                <w:sz w:val="18"/>
                <w:szCs w:val="18"/>
              </w:rPr>
              <w:t>/</w:t>
            </w:r>
          </w:p>
        </w:tc>
      </w:tr>
    </w:tbl>
    <w:p w:rsidR="004A3868" w:rsidRDefault="003F1AB5">
      <w:pPr>
        <w:pStyle w:val="2"/>
        <w:numPr>
          <w:ilvl w:val="0"/>
          <w:numId w:val="49"/>
        </w:numPr>
      </w:pPr>
      <w:r>
        <w:t>证券发行与上市情况</w:t>
      </w:r>
    </w:p>
    <w:p w:rsidR="004A3868" w:rsidRDefault="003F1AB5">
      <w:pPr>
        <w:pStyle w:val="Style127"/>
        <w:numPr>
          <w:ilvl w:val="0"/>
          <w:numId w:val="52"/>
        </w:numPr>
      </w:pPr>
      <w:r>
        <w:t>截至</w:t>
      </w:r>
      <w:r>
        <w:rPr>
          <w:rFonts w:hint="eastAsia"/>
        </w:rPr>
        <w:t>报告期内</w:t>
      </w:r>
      <w:r>
        <w:t>证券发行情况</w:t>
      </w:r>
    </w:p>
    <w:bookmarkStart w:id="98" w:name="_Hlk89954403" w:displacedByCustomXml="next"/>
    <w:sdt>
      <w:sdtPr>
        <w:alias w:val="是否适用：截至报告期内证券发行情况[双击切换]"/>
        <w:tag w:val="_GBC_a9b53137ff4442baa307fbc68ebc8cbc"/>
        <w:id w:val="242609912"/>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4"/>
      </w:pPr>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7644411"/>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98"/>
    <w:p w:rsidR="004A3868" w:rsidRDefault="003F1AB5">
      <w:pPr>
        <w:pStyle w:val="Style127"/>
        <w:numPr>
          <w:ilvl w:val="0"/>
          <w:numId w:val="52"/>
        </w:numPr>
      </w:pPr>
      <w:r>
        <w:rPr>
          <w:rFonts w:hint="eastAsia"/>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2024234133"/>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
        <w:numPr>
          <w:ilvl w:val="0"/>
          <w:numId w:val="52"/>
        </w:numPr>
      </w:pPr>
      <w:r>
        <w:rPr>
          <w:rFonts w:hint="eastAsia"/>
        </w:rPr>
        <w:t>现存的内部职工股情况</w:t>
      </w:r>
    </w:p>
    <w:sdt>
      <w:sdtPr>
        <w:alias w:val="是否适用：现存的内部职工股情况[双击切换]"/>
        <w:tag w:val="_GBC_fa5e90226e14408b891f1c5a9dbbf2c5"/>
        <w:id w:val="-162113548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2"/>
        <w:numPr>
          <w:ilvl w:val="0"/>
          <w:numId w:val="49"/>
        </w:numPr>
      </w:pPr>
      <w:r>
        <w:t>股东</w:t>
      </w:r>
      <w:r>
        <w:rPr>
          <w:rFonts w:hint="eastAsia"/>
        </w:rPr>
        <w:t>和实际控制人</w:t>
      </w:r>
      <w:r>
        <w:t>情况</w:t>
      </w:r>
    </w:p>
    <w:p w:rsidR="004A3868" w:rsidRDefault="003F1AB5">
      <w:pPr>
        <w:pStyle w:val="Style127"/>
        <w:numPr>
          <w:ilvl w:val="1"/>
          <w:numId w:val="53"/>
        </w:numPr>
      </w:pPr>
      <w:r>
        <w:rPr>
          <w:rFonts w:hint="eastAsia"/>
        </w:rPr>
        <w:t>股东总数</w:t>
      </w:r>
    </w:p>
    <w:tbl>
      <w:tblPr>
        <w:tblStyle w:val="aff5"/>
        <w:tblW w:w="5000" w:type="pct"/>
        <w:jc w:val="center"/>
        <w:tblLayout w:type="fixed"/>
        <w:tblCellMar>
          <w:left w:w="0" w:type="dxa"/>
          <w:right w:w="28" w:type="dxa"/>
        </w:tblCellMar>
        <w:tblLook w:val="04A0" w:firstRow="1" w:lastRow="0" w:firstColumn="1" w:lastColumn="0" w:noHBand="0" w:noVBand="1"/>
      </w:tblPr>
      <w:tblGrid>
        <w:gridCol w:w="6322"/>
        <w:gridCol w:w="2501"/>
      </w:tblGrid>
      <w:tr w:rsidR="004A3868">
        <w:trPr>
          <w:trHeight w:val="399"/>
          <w:jc w:val="center"/>
        </w:trPr>
        <w:sdt>
          <w:sdtPr>
            <w:tag w:val="_PLD_34738880649c43ac9597effd663adc10"/>
            <w:id w:val="1535082535"/>
          </w:sdtPr>
          <w:sdtEndPr/>
          <w:sdtContent>
            <w:tc>
              <w:tcPr>
                <w:tcW w:w="6259" w:type="dxa"/>
                <w:vAlign w:val="bottom"/>
              </w:tcPr>
              <w:p w:rsidR="004A3868" w:rsidRDefault="003F1AB5">
                <w:pPr>
                  <w:pStyle w:val="afff9"/>
                </w:pPr>
                <w:r>
                  <w:t>截</w:t>
                </w:r>
                <w:r>
                  <w:rPr>
                    <w:rFonts w:hint="eastAsia"/>
                  </w:rPr>
                  <w:t>至</w:t>
                </w:r>
                <w:r>
                  <w:t>报告期末</w:t>
                </w:r>
                <w:r>
                  <w:rPr>
                    <w:rFonts w:hint="eastAsia"/>
                  </w:rPr>
                  <w:t>普通股</w:t>
                </w:r>
                <w:r>
                  <w:t>股东总数</w:t>
                </w:r>
                <w:r>
                  <w:t>(</w:t>
                </w:r>
                <w:r>
                  <w:t>户</w:t>
                </w:r>
                <w:r>
                  <w:t>)</w:t>
                </w:r>
              </w:p>
            </w:tc>
          </w:sdtContent>
        </w:sdt>
        <w:tc>
          <w:tcPr>
            <w:tcW w:w="2476" w:type="dxa"/>
            <w:vAlign w:val="bottom"/>
          </w:tcPr>
          <w:p w:rsidR="004A3868" w:rsidRDefault="003F1AB5">
            <w:pPr>
              <w:pStyle w:val="afff7"/>
            </w:pPr>
            <w:r>
              <w:t>32,154</w:t>
            </w:r>
          </w:p>
        </w:tc>
      </w:tr>
      <w:tr w:rsidR="004A3868">
        <w:trPr>
          <w:trHeight w:val="399"/>
          <w:jc w:val="center"/>
        </w:trPr>
        <w:tc>
          <w:tcPr>
            <w:tcW w:w="6259" w:type="dxa"/>
            <w:vAlign w:val="bottom"/>
          </w:tcPr>
          <w:p w:rsidR="004A3868" w:rsidRDefault="003F1AB5">
            <w:pPr>
              <w:pStyle w:val="afff9"/>
            </w:pPr>
            <w:r>
              <w:rPr>
                <w:rFonts w:hint="eastAsia"/>
              </w:rPr>
              <w:t>年度报告披露日前上一月末的普通股股东总数</w:t>
            </w:r>
            <w:r>
              <w:t>(</w:t>
            </w:r>
            <w:r>
              <w:t>户</w:t>
            </w:r>
            <w:r>
              <w:t>)</w:t>
            </w:r>
          </w:p>
        </w:tc>
        <w:tc>
          <w:tcPr>
            <w:tcW w:w="2476" w:type="dxa"/>
            <w:vAlign w:val="bottom"/>
          </w:tcPr>
          <w:p w:rsidR="004A3868" w:rsidRDefault="003F1AB5">
            <w:pPr>
              <w:pStyle w:val="afff7"/>
            </w:pPr>
            <w:r>
              <w:t>31,145</w:t>
            </w:r>
          </w:p>
        </w:tc>
      </w:tr>
      <w:tr w:rsidR="004A3868">
        <w:trPr>
          <w:trHeight w:val="399"/>
          <w:jc w:val="center"/>
        </w:trPr>
        <w:tc>
          <w:tcPr>
            <w:tcW w:w="6259" w:type="dxa"/>
            <w:vAlign w:val="bottom"/>
          </w:tcPr>
          <w:p w:rsidR="004A3868" w:rsidRDefault="003F1AB5">
            <w:pPr>
              <w:pStyle w:val="afff9"/>
            </w:pPr>
            <w:r>
              <w:rPr>
                <w:rFonts w:hint="eastAsia"/>
              </w:rPr>
              <w:t>截至报告期末表决权恢复的优先股股东总数（户）</w:t>
            </w:r>
          </w:p>
        </w:tc>
        <w:tc>
          <w:tcPr>
            <w:tcW w:w="2476" w:type="dxa"/>
            <w:vAlign w:val="bottom"/>
          </w:tcPr>
          <w:p w:rsidR="004A3868" w:rsidRDefault="003F1AB5">
            <w:pPr>
              <w:pStyle w:val="afff7"/>
            </w:pPr>
            <w:r>
              <w:rPr>
                <w:rFonts w:hint="eastAsia"/>
              </w:rPr>
              <w:t>0</w:t>
            </w:r>
          </w:p>
        </w:tc>
      </w:tr>
      <w:tr w:rsidR="004A3868">
        <w:trPr>
          <w:trHeight w:val="399"/>
          <w:jc w:val="center"/>
        </w:trPr>
        <w:tc>
          <w:tcPr>
            <w:tcW w:w="6259" w:type="dxa"/>
            <w:vAlign w:val="bottom"/>
          </w:tcPr>
          <w:p w:rsidR="004A3868" w:rsidRDefault="003F1AB5">
            <w:pPr>
              <w:pStyle w:val="afff9"/>
            </w:pPr>
            <w:r>
              <w:rPr>
                <w:rFonts w:hint="eastAsia"/>
              </w:rPr>
              <w:t>年度报告披露日前上一月末表决权恢复的优先股股东总数（户）</w:t>
            </w:r>
          </w:p>
        </w:tc>
        <w:tc>
          <w:tcPr>
            <w:tcW w:w="2476" w:type="dxa"/>
            <w:vAlign w:val="bottom"/>
          </w:tcPr>
          <w:p w:rsidR="004A3868" w:rsidRDefault="003F1AB5">
            <w:pPr>
              <w:pStyle w:val="afff7"/>
            </w:pPr>
            <w:r>
              <w:rPr>
                <w:rFonts w:hint="eastAsia"/>
              </w:rPr>
              <w:t>0</w:t>
            </w:r>
          </w:p>
        </w:tc>
      </w:tr>
    </w:tbl>
    <w:p w:rsidR="004A3868" w:rsidRDefault="003F1AB5">
      <w:pPr>
        <w:pStyle w:val="Style127"/>
        <w:numPr>
          <w:ilvl w:val="1"/>
          <w:numId w:val="53"/>
        </w:numPr>
      </w:pPr>
      <w:r>
        <w:rPr>
          <w:rFonts w:hint="eastAsia"/>
        </w:rPr>
        <w:t>截至报告期末前十名股东、前十名流通股东（或无限售条件股东）持股情况表</w:t>
      </w:r>
    </w:p>
    <w:p w:rsidR="004A3868" w:rsidRDefault="003F1AB5">
      <w:pPr>
        <w:pStyle w:val="afff5"/>
      </w:pPr>
      <w:bookmarkStart w:id="99" w:name="_Hlk27487213"/>
      <w:r>
        <w:t>单位</w:t>
      </w:r>
      <w:r>
        <w:t>:</w:t>
      </w:r>
      <w:sdt>
        <w:sdtPr>
          <w:alias w:val="单位：前十名股东持股情况"/>
          <w:tag w:val="_GBC_b59e95c09d914c83b42ae5b68d0d6987"/>
          <w:id w:val="-152223724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t>股</w:t>
          </w:r>
        </w:sdtContent>
      </w:sdt>
    </w:p>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253"/>
        <w:gridCol w:w="1258"/>
        <w:gridCol w:w="1385"/>
        <w:gridCol w:w="805"/>
        <w:gridCol w:w="1166"/>
        <w:gridCol w:w="917"/>
        <w:gridCol w:w="761"/>
        <w:gridCol w:w="1278"/>
      </w:tblGrid>
      <w:tr w:rsidR="004A3868">
        <w:trPr>
          <w:cantSplit/>
          <w:jc w:val="center"/>
        </w:trPr>
        <w:sdt>
          <w:sdtPr>
            <w:tag w:val="_PLD_12180439b5ff4b00a01ff1f87b70f1de"/>
            <w:id w:val="-1879306262"/>
          </w:sdtPr>
          <w:sdtEndPr/>
          <w:sdtContent>
            <w:tc>
              <w:tcPr>
                <w:tcW w:w="8823" w:type="dxa"/>
                <w:gridSpan w:val="8"/>
                <w:shd w:val="clear" w:color="auto" w:fill="auto"/>
                <w:vAlign w:val="bottom"/>
              </w:tcPr>
              <w:p w:rsidR="004A3868" w:rsidRDefault="003F1AB5">
                <w:pPr>
                  <w:pStyle w:val="ab"/>
                </w:pPr>
                <w:r>
                  <w:t>前十名股东持股情况</w:t>
                </w:r>
                <w:r>
                  <w:rPr>
                    <w:rFonts w:hint="eastAsia"/>
                  </w:rPr>
                  <w:t>（不含通过转融通出借股份）</w:t>
                </w:r>
              </w:p>
            </w:tc>
          </w:sdtContent>
        </w:sdt>
      </w:tr>
      <w:tr w:rsidR="004A3868">
        <w:trPr>
          <w:cantSplit/>
          <w:trHeight w:val="397"/>
          <w:jc w:val="center"/>
        </w:trPr>
        <w:sdt>
          <w:sdtPr>
            <w:tag w:val="_PLD_4e40ad86e5ee4c0cb28f819aa3924fb2"/>
            <w:id w:val="-992255911"/>
          </w:sdtPr>
          <w:sdtEndPr/>
          <w:sdtContent>
            <w:tc>
              <w:tcPr>
                <w:tcW w:w="1271" w:type="dxa"/>
                <w:vMerge w:val="restart"/>
                <w:shd w:val="clear" w:color="auto" w:fill="auto"/>
                <w:vAlign w:val="bottom"/>
              </w:tcPr>
              <w:p w:rsidR="004A3868" w:rsidRDefault="003F1AB5">
                <w:pPr>
                  <w:pStyle w:val="afffb"/>
                </w:pPr>
                <w:r>
                  <w:t>股东名称</w:t>
                </w:r>
              </w:p>
              <w:p w:rsidR="004A3868" w:rsidRDefault="003F1AB5">
                <w:pPr>
                  <w:pStyle w:val="afffb"/>
                </w:pPr>
                <w:r>
                  <w:rPr>
                    <w:rFonts w:hint="eastAsia"/>
                  </w:rPr>
                  <w:t>（全称）</w:t>
                </w:r>
              </w:p>
            </w:tc>
          </w:sdtContent>
        </w:sdt>
        <w:sdt>
          <w:sdtPr>
            <w:tag w:val="_PLD_587b672a54ed4481b14f0963f010aefb"/>
            <w:id w:val="-1760134606"/>
          </w:sdtPr>
          <w:sdtEndPr/>
          <w:sdtContent>
            <w:tc>
              <w:tcPr>
                <w:tcW w:w="1276" w:type="dxa"/>
                <w:vMerge w:val="restart"/>
                <w:shd w:val="clear" w:color="auto" w:fill="auto"/>
                <w:vAlign w:val="bottom"/>
              </w:tcPr>
              <w:p w:rsidR="004A3868" w:rsidRDefault="003F1AB5">
                <w:pPr>
                  <w:pStyle w:val="afffb"/>
                </w:pPr>
                <w:r>
                  <w:t>报告期内增减</w:t>
                </w:r>
              </w:p>
            </w:tc>
          </w:sdtContent>
        </w:sdt>
        <w:sdt>
          <w:sdtPr>
            <w:tag w:val="_PLD_580f25e9dfa24c1d91f3845b6a6a42e5"/>
            <w:id w:val="763876717"/>
          </w:sdtPr>
          <w:sdtEndPr/>
          <w:sdtContent>
            <w:tc>
              <w:tcPr>
                <w:tcW w:w="1404" w:type="dxa"/>
                <w:vMerge w:val="restart"/>
                <w:shd w:val="clear" w:color="auto" w:fill="auto"/>
                <w:vAlign w:val="bottom"/>
              </w:tcPr>
              <w:p w:rsidR="004A3868" w:rsidRDefault="003F1AB5">
                <w:pPr>
                  <w:pStyle w:val="afffb"/>
                </w:pPr>
                <w:r>
                  <w:t>期末持股数量</w:t>
                </w:r>
              </w:p>
            </w:tc>
          </w:sdtContent>
        </w:sdt>
        <w:sdt>
          <w:sdtPr>
            <w:tag w:val="_PLD_e80658c5388c4bb0871489372e62334d"/>
            <w:id w:val="634537224"/>
          </w:sdtPr>
          <w:sdtEndPr/>
          <w:sdtContent>
            <w:tc>
              <w:tcPr>
                <w:tcW w:w="816" w:type="dxa"/>
                <w:vMerge w:val="restart"/>
                <w:shd w:val="clear" w:color="auto" w:fill="auto"/>
                <w:vAlign w:val="bottom"/>
              </w:tcPr>
              <w:p w:rsidR="004A3868" w:rsidRDefault="003F1AB5">
                <w:pPr>
                  <w:pStyle w:val="afffb"/>
                </w:pPr>
                <w:r>
                  <w:t>比例(%)</w:t>
                </w:r>
              </w:p>
            </w:tc>
          </w:sdtContent>
        </w:sdt>
        <w:sdt>
          <w:sdtPr>
            <w:tag w:val="_PLD_0ed52eb839784cb0ab83b1692dc8b283"/>
            <w:id w:val="-1892334638"/>
          </w:sdtPr>
          <w:sdtEndPr/>
          <w:sdtContent>
            <w:tc>
              <w:tcPr>
                <w:tcW w:w="1182" w:type="dxa"/>
                <w:vMerge w:val="restart"/>
                <w:shd w:val="clear" w:color="auto" w:fill="auto"/>
                <w:vAlign w:val="bottom"/>
              </w:tcPr>
              <w:p w:rsidR="004A3868" w:rsidRDefault="003F1AB5">
                <w:pPr>
                  <w:pStyle w:val="afffb"/>
                </w:pPr>
                <w:r>
                  <w:t>持有有限售条件股份数量</w:t>
                </w:r>
              </w:p>
            </w:tc>
          </w:sdtContent>
        </w:sdt>
        <w:sdt>
          <w:sdtPr>
            <w:tag w:val="_PLD_6d0fce9e7c914a578f4702348340f346"/>
            <w:id w:val="819933419"/>
          </w:sdtPr>
          <w:sdtEndPr/>
          <w:sdtContent>
            <w:tc>
              <w:tcPr>
                <w:tcW w:w="1701" w:type="dxa"/>
                <w:gridSpan w:val="2"/>
                <w:shd w:val="clear" w:color="auto" w:fill="auto"/>
                <w:vAlign w:val="bottom"/>
              </w:tcPr>
              <w:p w:rsidR="004A3868" w:rsidRDefault="003F1AB5">
                <w:pPr>
                  <w:pStyle w:val="afffb"/>
                </w:pPr>
                <w:r>
                  <w:t>质押</w:t>
                </w:r>
                <w:r>
                  <w:rPr>
                    <w:rFonts w:hint="eastAsia"/>
                  </w:rPr>
                  <w:t>、标记</w:t>
                </w:r>
                <w:r>
                  <w:t>或冻结情况</w:t>
                </w:r>
              </w:p>
            </w:tc>
          </w:sdtContent>
        </w:sdt>
        <w:sdt>
          <w:sdtPr>
            <w:tag w:val="_PLD_57b1e0d0ab2d4113aada0c0394d1589d"/>
            <w:id w:val="58450093"/>
          </w:sdtPr>
          <w:sdtEndPr/>
          <w:sdtContent>
            <w:tc>
              <w:tcPr>
                <w:tcW w:w="1173" w:type="dxa"/>
                <w:vMerge w:val="restart"/>
                <w:shd w:val="clear" w:color="auto" w:fill="auto"/>
                <w:vAlign w:val="bottom"/>
              </w:tcPr>
              <w:p w:rsidR="004A3868" w:rsidRDefault="003F1AB5">
                <w:pPr>
                  <w:pStyle w:val="afffb"/>
                </w:pPr>
                <w:r>
                  <w:t>股东性质</w:t>
                </w:r>
              </w:p>
            </w:tc>
          </w:sdtContent>
        </w:sdt>
      </w:tr>
      <w:tr w:rsidR="004A3868">
        <w:trPr>
          <w:cantSplit/>
          <w:trHeight w:val="397"/>
          <w:jc w:val="center"/>
        </w:trPr>
        <w:tc>
          <w:tcPr>
            <w:tcW w:w="1271" w:type="dxa"/>
            <w:vMerge/>
            <w:tcBorders>
              <w:bottom w:val="single" w:sz="4" w:space="0" w:color="auto"/>
            </w:tcBorders>
            <w:shd w:val="clear" w:color="auto" w:fill="auto"/>
            <w:vAlign w:val="bottom"/>
          </w:tcPr>
          <w:p w:rsidR="004A3868" w:rsidRDefault="004A3868">
            <w:pPr>
              <w:rPr>
                <w:sz w:val="18"/>
                <w:szCs w:val="18"/>
              </w:rPr>
            </w:pPr>
          </w:p>
        </w:tc>
        <w:tc>
          <w:tcPr>
            <w:tcW w:w="1276" w:type="dxa"/>
            <w:vMerge/>
            <w:tcBorders>
              <w:bottom w:val="single" w:sz="4" w:space="0" w:color="auto"/>
            </w:tcBorders>
            <w:shd w:val="clear" w:color="auto" w:fill="auto"/>
            <w:vAlign w:val="bottom"/>
          </w:tcPr>
          <w:p w:rsidR="004A3868" w:rsidRDefault="004A3868">
            <w:pPr>
              <w:rPr>
                <w:sz w:val="18"/>
                <w:szCs w:val="18"/>
              </w:rPr>
            </w:pPr>
          </w:p>
        </w:tc>
        <w:tc>
          <w:tcPr>
            <w:tcW w:w="1404" w:type="dxa"/>
            <w:vMerge/>
            <w:tcBorders>
              <w:bottom w:val="single" w:sz="4" w:space="0" w:color="auto"/>
            </w:tcBorders>
            <w:shd w:val="clear" w:color="auto" w:fill="auto"/>
            <w:vAlign w:val="bottom"/>
          </w:tcPr>
          <w:p w:rsidR="004A3868" w:rsidRDefault="004A3868">
            <w:pPr>
              <w:rPr>
                <w:sz w:val="18"/>
                <w:szCs w:val="18"/>
              </w:rPr>
            </w:pPr>
          </w:p>
        </w:tc>
        <w:tc>
          <w:tcPr>
            <w:tcW w:w="816" w:type="dxa"/>
            <w:vMerge/>
            <w:tcBorders>
              <w:bottom w:val="single" w:sz="4" w:space="0" w:color="auto"/>
            </w:tcBorders>
            <w:shd w:val="clear" w:color="auto" w:fill="auto"/>
            <w:vAlign w:val="bottom"/>
          </w:tcPr>
          <w:p w:rsidR="004A3868" w:rsidRDefault="004A3868">
            <w:pPr>
              <w:rPr>
                <w:sz w:val="18"/>
                <w:szCs w:val="18"/>
              </w:rPr>
            </w:pPr>
          </w:p>
        </w:tc>
        <w:tc>
          <w:tcPr>
            <w:tcW w:w="1182" w:type="dxa"/>
            <w:vMerge/>
            <w:tcBorders>
              <w:bottom w:val="single" w:sz="4" w:space="0" w:color="auto"/>
            </w:tcBorders>
            <w:shd w:val="clear" w:color="auto" w:fill="auto"/>
            <w:vAlign w:val="bottom"/>
          </w:tcPr>
          <w:p w:rsidR="004A3868" w:rsidRDefault="004A3868">
            <w:pPr>
              <w:rPr>
                <w:sz w:val="18"/>
                <w:szCs w:val="18"/>
              </w:rPr>
            </w:pPr>
          </w:p>
        </w:tc>
        <w:sdt>
          <w:sdtPr>
            <w:tag w:val="_PLD_72b090b1925c46349c7beb3ca6c0032f"/>
            <w:id w:val="-1208949906"/>
          </w:sdtPr>
          <w:sdtEndPr/>
          <w:sdtContent>
            <w:tc>
              <w:tcPr>
                <w:tcW w:w="930" w:type="dxa"/>
                <w:tcBorders>
                  <w:bottom w:val="single" w:sz="4" w:space="0" w:color="auto"/>
                </w:tcBorders>
                <w:shd w:val="clear" w:color="auto" w:fill="auto"/>
                <w:vAlign w:val="bottom"/>
              </w:tcPr>
              <w:p w:rsidR="004A3868" w:rsidRDefault="003F1AB5">
                <w:pPr>
                  <w:pStyle w:val="afffb"/>
                </w:pPr>
                <w:r>
                  <w:t>股份状态</w:t>
                </w:r>
              </w:p>
            </w:tc>
          </w:sdtContent>
        </w:sdt>
        <w:sdt>
          <w:sdtPr>
            <w:tag w:val="_PLD_76e0ca0392384ff795b7613d764041da"/>
            <w:id w:val="1891533532"/>
          </w:sdtPr>
          <w:sdtEndPr/>
          <w:sdtContent>
            <w:tc>
              <w:tcPr>
                <w:tcW w:w="771" w:type="dxa"/>
                <w:tcBorders>
                  <w:bottom w:val="single" w:sz="4" w:space="0" w:color="auto"/>
                </w:tcBorders>
                <w:shd w:val="clear" w:color="auto" w:fill="auto"/>
                <w:vAlign w:val="bottom"/>
              </w:tcPr>
              <w:p w:rsidR="004A3868" w:rsidRDefault="003F1AB5">
                <w:pPr>
                  <w:pStyle w:val="afffb"/>
                </w:pPr>
                <w:r>
                  <w:t>数量</w:t>
                </w:r>
              </w:p>
            </w:tc>
          </w:sdtContent>
        </w:sdt>
        <w:tc>
          <w:tcPr>
            <w:tcW w:w="1173" w:type="dxa"/>
            <w:vMerge/>
            <w:shd w:val="clear" w:color="auto" w:fill="auto"/>
            <w:vAlign w:val="bottom"/>
          </w:tcPr>
          <w:p w:rsidR="004A3868" w:rsidRDefault="004A3868">
            <w:pPr>
              <w:rPr>
                <w:sz w:val="18"/>
                <w:szCs w:val="18"/>
              </w:rPr>
            </w:pPr>
          </w:p>
        </w:tc>
      </w:tr>
      <w:tr w:rsidR="004A3868">
        <w:trPr>
          <w:cantSplit/>
          <w:trHeight w:val="397"/>
          <w:jc w:val="center"/>
        </w:trPr>
        <w:tc>
          <w:tcPr>
            <w:tcW w:w="1271" w:type="dxa"/>
            <w:shd w:val="clear" w:color="auto" w:fill="auto"/>
            <w:vAlign w:val="bottom"/>
          </w:tcPr>
          <w:p w:rsidR="004A3868" w:rsidRDefault="003F1AB5">
            <w:pPr>
              <w:pStyle w:val="afff9"/>
            </w:pPr>
            <w:r>
              <w:rPr>
                <w:rFonts w:hint="eastAsia"/>
              </w:rPr>
              <w:t>杨泽民</w:t>
            </w:r>
          </w:p>
        </w:tc>
        <w:tc>
          <w:tcPr>
            <w:tcW w:w="1276" w:type="dxa"/>
            <w:shd w:val="clear" w:color="auto" w:fill="auto"/>
            <w:vAlign w:val="bottom"/>
          </w:tcPr>
          <w:p w:rsidR="004A3868" w:rsidRDefault="003F1AB5">
            <w:pPr>
              <w:pStyle w:val="afff7"/>
            </w:pPr>
            <w:r>
              <w:t>0</w:t>
            </w:r>
          </w:p>
        </w:tc>
        <w:tc>
          <w:tcPr>
            <w:tcW w:w="1404" w:type="dxa"/>
            <w:shd w:val="clear" w:color="auto" w:fill="auto"/>
            <w:vAlign w:val="bottom"/>
          </w:tcPr>
          <w:p w:rsidR="004A3868" w:rsidRDefault="003F1AB5">
            <w:pPr>
              <w:pStyle w:val="afff7"/>
            </w:pPr>
            <w:r>
              <w:t>52,618,391</w:t>
            </w:r>
          </w:p>
        </w:tc>
        <w:tc>
          <w:tcPr>
            <w:tcW w:w="816" w:type="dxa"/>
            <w:shd w:val="clear" w:color="auto" w:fill="auto"/>
            <w:vAlign w:val="bottom"/>
          </w:tcPr>
          <w:p w:rsidR="004A3868" w:rsidRDefault="003F1AB5">
            <w:pPr>
              <w:pStyle w:val="afff7"/>
            </w:pPr>
            <w:r>
              <w:rPr>
                <w:rFonts w:hint="eastAsia"/>
              </w:rPr>
              <w:t>15.79</w:t>
            </w:r>
          </w:p>
        </w:tc>
        <w:tc>
          <w:tcPr>
            <w:tcW w:w="1182" w:type="dxa"/>
            <w:shd w:val="clear" w:color="auto" w:fill="auto"/>
            <w:vAlign w:val="bottom"/>
          </w:tcPr>
          <w:p w:rsidR="004A3868" w:rsidRDefault="003F1AB5">
            <w:pPr>
              <w:pStyle w:val="afff7"/>
            </w:pPr>
            <w:r>
              <w:t>52,618,391</w:t>
            </w:r>
          </w:p>
        </w:tc>
        <w:sdt>
          <w:sdtPr>
            <w:alias w:val="前十名股东持有股份状态"/>
            <w:tag w:val="_GBC_46a2e2b7fded452b84eec75a5e47296b"/>
            <w:id w:val="-167848789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sdt>
          <w:sdtPr>
            <w:alias w:val="前十名股东的股东性质"/>
            <w:tag w:val="_GBC_84391eccdbd14aa7bbd07a260ff9d747"/>
            <w:id w:val="172834168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境内自然人</w:t>
                </w:r>
              </w:p>
            </w:tc>
          </w:sdtContent>
        </w:sdt>
      </w:tr>
      <w:tr w:rsidR="004A3868">
        <w:trPr>
          <w:cantSplit/>
          <w:trHeight w:val="397"/>
          <w:jc w:val="center"/>
        </w:trPr>
        <w:tc>
          <w:tcPr>
            <w:tcW w:w="1271" w:type="dxa"/>
            <w:shd w:val="clear" w:color="auto" w:fill="auto"/>
            <w:vAlign w:val="bottom"/>
          </w:tcPr>
          <w:p w:rsidR="004A3868" w:rsidRDefault="003F1AB5">
            <w:pPr>
              <w:pStyle w:val="afff9"/>
            </w:pPr>
            <w:r>
              <w:rPr>
                <w:rFonts w:hint="eastAsia"/>
              </w:rPr>
              <w:t>秦惠兰</w:t>
            </w:r>
          </w:p>
        </w:tc>
        <w:tc>
          <w:tcPr>
            <w:tcW w:w="1276" w:type="dxa"/>
            <w:shd w:val="clear" w:color="auto" w:fill="auto"/>
            <w:vAlign w:val="bottom"/>
          </w:tcPr>
          <w:p w:rsidR="004A3868" w:rsidRDefault="003F1AB5">
            <w:pPr>
              <w:pStyle w:val="afff7"/>
            </w:pPr>
            <w:r>
              <w:t>669,600</w:t>
            </w:r>
          </w:p>
        </w:tc>
        <w:tc>
          <w:tcPr>
            <w:tcW w:w="1404" w:type="dxa"/>
            <w:shd w:val="clear" w:color="auto" w:fill="auto"/>
            <w:vAlign w:val="bottom"/>
          </w:tcPr>
          <w:p w:rsidR="004A3868" w:rsidRDefault="003F1AB5">
            <w:pPr>
              <w:pStyle w:val="afff7"/>
            </w:pPr>
            <w:r>
              <w:t>40,841,700</w:t>
            </w:r>
          </w:p>
        </w:tc>
        <w:tc>
          <w:tcPr>
            <w:tcW w:w="816" w:type="dxa"/>
            <w:shd w:val="clear" w:color="auto" w:fill="auto"/>
            <w:vAlign w:val="bottom"/>
          </w:tcPr>
          <w:p w:rsidR="004A3868" w:rsidRDefault="003F1AB5">
            <w:pPr>
              <w:pStyle w:val="afff7"/>
            </w:pPr>
            <w:r>
              <w:rPr>
                <w:rFonts w:hint="eastAsia"/>
              </w:rPr>
              <w:t>12.26</w:t>
            </w:r>
          </w:p>
        </w:tc>
        <w:tc>
          <w:tcPr>
            <w:tcW w:w="1182" w:type="dxa"/>
            <w:shd w:val="clear" w:color="auto" w:fill="auto"/>
            <w:vAlign w:val="bottom"/>
          </w:tcPr>
          <w:p w:rsidR="004A3868" w:rsidRDefault="003F1AB5">
            <w:pPr>
              <w:pStyle w:val="afff7"/>
            </w:pPr>
            <w:r>
              <w:t>40,172,100</w:t>
            </w:r>
          </w:p>
        </w:tc>
        <w:sdt>
          <w:sdtPr>
            <w:alias w:val="前十名股东持有股份状态"/>
            <w:tag w:val="_GBC_46a2e2b7fded452b84eec75a5e47296b"/>
            <w:id w:val="41004682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sdt>
          <w:sdtPr>
            <w:alias w:val="前十名股东的股东性质"/>
            <w:tag w:val="_GBC_84391eccdbd14aa7bbd07a260ff9d747"/>
            <w:id w:val="-179180715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境内自然人</w:t>
                </w:r>
              </w:p>
            </w:tc>
          </w:sdtContent>
        </w:sdt>
      </w:tr>
      <w:tr w:rsidR="004A3868">
        <w:trPr>
          <w:cantSplit/>
          <w:trHeight w:val="397"/>
          <w:jc w:val="center"/>
        </w:trPr>
        <w:tc>
          <w:tcPr>
            <w:tcW w:w="1271" w:type="dxa"/>
            <w:shd w:val="clear" w:color="auto" w:fill="auto"/>
            <w:vAlign w:val="bottom"/>
          </w:tcPr>
          <w:p w:rsidR="004A3868" w:rsidRDefault="003F1AB5">
            <w:pPr>
              <w:pStyle w:val="afff9"/>
            </w:pPr>
            <w:r>
              <w:rPr>
                <w:rFonts w:hint="eastAsia"/>
              </w:rPr>
              <w:t>杨秦</w:t>
            </w:r>
          </w:p>
        </w:tc>
        <w:tc>
          <w:tcPr>
            <w:tcW w:w="1276" w:type="dxa"/>
            <w:shd w:val="clear" w:color="auto" w:fill="auto"/>
            <w:vAlign w:val="bottom"/>
          </w:tcPr>
          <w:p w:rsidR="004A3868" w:rsidRDefault="003F1AB5">
            <w:pPr>
              <w:pStyle w:val="afff7"/>
            </w:pPr>
            <w:r>
              <w:t>15,000</w:t>
            </w:r>
          </w:p>
        </w:tc>
        <w:tc>
          <w:tcPr>
            <w:tcW w:w="1404" w:type="dxa"/>
            <w:shd w:val="clear" w:color="auto" w:fill="auto"/>
            <w:vAlign w:val="bottom"/>
          </w:tcPr>
          <w:p w:rsidR="004A3868" w:rsidRDefault="003F1AB5">
            <w:pPr>
              <w:pStyle w:val="afff7"/>
            </w:pPr>
            <w:r>
              <w:t>18,015,000</w:t>
            </w:r>
          </w:p>
        </w:tc>
        <w:tc>
          <w:tcPr>
            <w:tcW w:w="816" w:type="dxa"/>
            <w:shd w:val="clear" w:color="auto" w:fill="auto"/>
            <w:vAlign w:val="bottom"/>
          </w:tcPr>
          <w:p w:rsidR="004A3868" w:rsidRDefault="003F1AB5">
            <w:pPr>
              <w:pStyle w:val="afff7"/>
            </w:pPr>
            <w:r>
              <w:rPr>
                <w:rFonts w:hint="eastAsia"/>
              </w:rPr>
              <w:t>5.41</w:t>
            </w:r>
          </w:p>
        </w:tc>
        <w:tc>
          <w:tcPr>
            <w:tcW w:w="1182" w:type="dxa"/>
            <w:shd w:val="clear" w:color="auto" w:fill="auto"/>
            <w:vAlign w:val="bottom"/>
          </w:tcPr>
          <w:p w:rsidR="004A3868" w:rsidRDefault="003F1AB5">
            <w:pPr>
              <w:pStyle w:val="afff7"/>
            </w:pPr>
            <w:r>
              <w:t>18,000,000</w:t>
            </w:r>
          </w:p>
        </w:tc>
        <w:sdt>
          <w:sdtPr>
            <w:alias w:val="前十名股东持有股份状态"/>
            <w:tag w:val="_GBC_46a2e2b7fded452b84eec75a5e47296b"/>
            <w:id w:val="141974847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sdt>
          <w:sdtPr>
            <w:alias w:val="前十名股东的股东性质"/>
            <w:tag w:val="_GBC_84391eccdbd14aa7bbd07a260ff9d747"/>
            <w:id w:val="-106263662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境内自然人</w:t>
                </w:r>
              </w:p>
            </w:tc>
          </w:sdtContent>
        </w:sdt>
      </w:tr>
      <w:tr w:rsidR="004A3868">
        <w:trPr>
          <w:cantSplit/>
          <w:trHeight w:val="397"/>
          <w:jc w:val="center"/>
        </w:trPr>
        <w:tc>
          <w:tcPr>
            <w:tcW w:w="1271" w:type="dxa"/>
            <w:shd w:val="clear" w:color="auto" w:fill="auto"/>
            <w:vAlign w:val="bottom"/>
          </w:tcPr>
          <w:p w:rsidR="004A3868" w:rsidRDefault="003F1AB5">
            <w:pPr>
              <w:pStyle w:val="afff9"/>
            </w:pPr>
            <w:r>
              <w:rPr>
                <w:rFonts w:hint="eastAsia"/>
              </w:rPr>
              <w:t>杨耀</w:t>
            </w:r>
          </w:p>
        </w:tc>
        <w:tc>
          <w:tcPr>
            <w:tcW w:w="1276" w:type="dxa"/>
            <w:shd w:val="clear" w:color="auto" w:fill="auto"/>
            <w:vAlign w:val="bottom"/>
          </w:tcPr>
          <w:p w:rsidR="004A3868" w:rsidRDefault="003F1AB5">
            <w:pPr>
              <w:pStyle w:val="afff7"/>
            </w:pPr>
            <w:r>
              <w:t>0</w:t>
            </w:r>
          </w:p>
        </w:tc>
        <w:tc>
          <w:tcPr>
            <w:tcW w:w="1404" w:type="dxa"/>
            <w:shd w:val="clear" w:color="auto" w:fill="auto"/>
            <w:vAlign w:val="bottom"/>
          </w:tcPr>
          <w:p w:rsidR="004A3868" w:rsidRDefault="003F1AB5">
            <w:pPr>
              <w:pStyle w:val="afff7"/>
            </w:pPr>
            <w:r>
              <w:t>18,000,050</w:t>
            </w:r>
          </w:p>
        </w:tc>
        <w:tc>
          <w:tcPr>
            <w:tcW w:w="816" w:type="dxa"/>
            <w:shd w:val="clear" w:color="auto" w:fill="auto"/>
            <w:vAlign w:val="bottom"/>
          </w:tcPr>
          <w:p w:rsidR="004A3868" w:rsidRDefault="003F1AB5">
            <w:pPr>
              <w:pStyle w:val="afff7"/>
            </w:pPr>
            <w:r>
              <w:rPr>
                <w:rFonts w:hint="eastAsia"/>
              </w:rPr>
              <w:t>5.40</w:t>
            </w:r>
          </w:p>
        </w:tc>
        <w:tc>
          <w:tcPr>
            <w:tcW w:w="1182" w:type="dxa"/>
            <w:shd w:val="clear" w:color="auto" w:fill="auto"/>
            <w:vAlign w:val="bottom"/>
          </w:tcPr>
          <w:p w:rsidR="004A3868" w:rsidRDefault="003F1AB5">
            <w:pPr>
              <w:pStyle w:val="afff7"/>
            </w:pPr>
            <w:r>
              <w:t>18,000,050</w:t>
            </w:r>
          </w:p>
        </w:tc>
        <w:sdt>
          <w:sdtPr>
            <w:alias w:val="前十名股东持有股份状态"/>
            <w:tag w:val="_GBC_46a2e2b7fded452b84eec75a5e47296b"/>
            <w:id w:val="31028988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sdt>
          <w:sdtPr>
            <w:alias w:val="前十名股东的股东性质"/>
            <w:tag w:val="_GBC_84391eccdbd14aa7bbd07a260ff9d747"/>
            <w:id w:val="-107744028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境内自然人</w:t>
                </w:r>
              </w:p>
            </w:tc>
          </w:sdtContent>
        </w:sdt>
      </w:tr>
      <w:tr w:rsidR="004A3868">
        <w:trPr>
          <w:cantSplit/>
          <w:trHeight w:val="397"/>
          <w:jc w:val="center"/>
        </w:trPr>
        <w:tc>
          <w:tcPr>
            <w:tcW w:w="1271" w:type="dxa"/>
            <w:shd w:val="clear" w:color="auto" w:fill="auto"/>
            <w:vAlign w:val="bottom"/>
          </w:tcPr>
          <w:p w:rsidR="004A3868" w:rsidRDefault="003F1AB5">
            <w:pPr>
              <w:pStyle w:val="afff9"/>
            </w:pPr>
            <w:r>
              <w:rPr>
                <w:rFonts w:hint="eastAsia"/>
              </w:rPr>
              <w:t>杨厚群</w:t>
            </w:r>
          </w:p>
        </w:tc>
        <w:tc>
          <w:tcPr>
            <w:tcW w:w="1276" w:type="dxa"/>
            <w:shd w:val="clear" w:color="auto" w:fill="auto"/>
            <w:vAlign w:val="bottom"/>
          </w:tcPr>
          <w:p w:rsidR="004A3868" w:rsidRDefault="003F1AB5">
            <w:pPr>
              <w:pStyle w:val="afff7"/>
            </w:pPr>
            <w:r>
              <w:t>0</w:t>
            </w:r>
          </w:p>
        </w:tc>
        <w:tc>
          <w:tcPr>
            <w:tcW w:w="1404" w:type="dxa"/>
            <w:shd w:val="clear" w:color="auto" w:fill="auto"/>
            <w:vAlign w:val="bottom"/>
          </w:tcPr>
          <w:p w:rsidR="004A3868" w:rsidRDefault="003F1AB5">
            <w:pPr>
              <w:pStyle w:val="afff7"/>
            </w:pPr>
            <w:r>
              <w:t>7,500,000</w:t>
            </w:r>
          </w:p>
        </w:tc>
        <w:tc>
          <w:tcPr>
            <w:tcW w:w="816" w:type="dxa"/>
            <w:shd w:val="clear" w:color="auto" w:fill="auto"/>
            <w:vAlign w:val="bottom"/>
          </w:tcPr>
          <w:p w:rsidR="004A3868" w:rsidRDefault="003F1AB5">
            <w:pPr>
              <w:pStyle w:val="afff7"/>
            </w:pPr>
            <w:r>
              <w:rPr>
                <w:rFonts w:hint="eastAsia"/>
              </w:rPr>
              <w:t>2.25</w:t>
            </w:r>
          </w:p>
        </w:tc>
        <w:tc>
          <w:tcPr>
            <w:tcW w:w="1182" w:type="dxa"/>
            <w:shd w:val="clear" w:color="auto" w:fill="auto"/>
            <w:vAlign w:val="bottom"/>
          </w:tcPr>
          <w:p w:rsidR="004A3868" w:rsidRDefault="003F1AB5">
            <w:pPr>
              <w:pStyle w:val="afff7"/>
            </w:pPr>
            <w:r>
              <w:t>7,500,000</w:t>
            </w:r>
          </w:p>
        </w:tc>
        <w:sdt>
          <w:sdtPr>
            <w:alias w:val="前十名股东持有股份状态"/>
            <w:tag w:val="_GBC_46a2e2b7fded452b84eec75a5e47296b"/>
            <w:id w:val="-214433365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sdt>
          <w:sdtPr>
            <w:alias w:val="前十名股东的股东性质"/>
            <w:tag w:val="_GBC_84391eccdbd14aa7bbd07a260ff9d747"/>
            <w:id w:val="135106336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境内自然人</w:t>
                </w:r>
              </w:p>
            </w:tc>
          </w:sdtContent>
        </w:sdt>
      </w:tr>
      <w:tr w:rsidR="004A3868">
        <w:trPr>
          <w:cantSplit/>
          <w:trHeight w:val="397"/>
          <w:jc w:val="center"/>
        </w:trPr>
        <w:tc>
          <w:tcPr>
            <w:tcW w:w="1271" w:type="dxa"/>
            <w:shd w:val="clear" w:color="auto" w:fill="auto"/>
            <w:vAlign w:val="bottom"/>
          </w:tcPr>
          <w:p w:rsidR="004A3868" w:rsidRDefault="003F1AB5">
            <w:pPr>
              <w:pStyle w:val="afff9"/>
            </w:pPr>
            <w:r>
              <w:rPr>
                <w:rFonts w:hint="eastAsia"/>
              </w:rPr>
              <w:t>重庆长寿经济技术开发区开发投资集团有限公司</w:t>
            </w:r>
          </w:p>
        </w:tc>
        <w:tc>
          <w:tcPr>
            <w:tcW w:w="1276" w:type="dxa"/>
            <w:shd w:val="clear" w:color="auto" w:fill="auto"/>
            <w:vAlign w:val="bottom"/>
          </w:tcPr>
          <w:p w:rsidR="004A3868" w:rsidRDefault="003F1AB5">
            <w:pPr>
              <w:pStyle w:val="afff7"/>
            </w:pPr>
            <w:r>
              <w:t>0</w:t>
            </w:r>
          </w:p>
        </w:tc>
        <w:tc>
          <w:tcPr>
            <w:tcW w:w="1404" w:type="dxa"/>
            <w:shd w:val="clear" w:color="auto" w:fill="auto"/>
            <w:vAlign w:val="bottom"/>
          </w:tcPr>
          <w:p w:rsidR="004A3868" w:rsidRDefault="003F1AB5">
            <w:pPr>
              <w:pStyle w:val="afff7"/>
            </w:pPr>
            <w:r>
              <w:t>5,555,556</w:t>
            </w:r>
          </w:p>
        </w:tc>
        <w:tc>
          <w:tcPr>
            <w:tcW w:w="816" w:type="dxa"/>
            <w:shd w:val="clear" w:color="auto" w:fill="auto"/>
            <w:vAlign w:val="bottom"/>
          </w:tcPr>
          <w:p w:rsidR="004A3868" w:rsidRDefault="003F1AB5">
            <w:pPr>
              <w:pStyle w:val="afff7"/>
            </w:pPr>
            <w:r>
              <w:rPr>
                <w:rFonts w:hint="eastAsia"/>
              </w:rPr>
              <w:t>1.67</w:t>
            </w:r>
          </w:p>
        </w:tc>
        <w:tc>
          <w:tcPr>
            <w:tcW w:w="1182" w:type="dxa"/>
            <w:shd w:val="clear" w:color="auto" w:fill="auto"/>
            <w:vAlign w:val="bottom"/>
          </w:tcPr>
          <w:p w:rsidR="004A3868" w:rsidRDefault="003F1AB5">
            <w:pPr>
              <w:pStyle w:val="afff7"/>
            </w:pPr>
            <w:r>
              <w:rPr>
                <w:rFonts w:hint="eastAsia"/>
              </w:rPr>
              <w:t>0</w:t>
            </w:r>
          </w:p>
        </w:tc>
        <w:sdt>
          <w:sdtPr>
            <w:alias w:val="前十名股东持有股份状态"/>
            <w:tag w:val="_GBC_46a2e2b7fded452b84eec75a5e47296b"/>
            <w:id w:val="374126885"/>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质押</w:t>
                </w:r>
              </w:p>
            </w:tc>
          </w:sdtContent>
        </w:sdt>
        <w:tc>
          <w:tcPr>
            <w:tcW w:w="771" w:type="dxa"/>
            <w:shd w:val="clear" w:color="auto" w:fill="auto"/>
            <w:vAlign w:val="bottom"/>
          </w:tcPr>
          <w:p w:rsidR="004A3868" w:rsidRDefault="003F1AB5">
            <w:pPr>
              <w:pStyle w:val="afff7"/>
            </w:pPr>
            <w:r>
              <w:t>2,777,770</w:t>
            </w:r>
          </w:p>
        </w:tc>
        <w:sdt>
          <w:sdtPr>
            <w:alias w:val="前十名股东的股东性质"/>
            <w:tag w:val="_GBC_84391eccdbd14aa7bbd07a260ff9d747"/>
            <w:id w:val="55397266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国有法人</w:t>
                </w:r>
              </w:p>
            </w:tc>
          </w:sdtContent>
        </w:sdt>
      </w:tr>
      <w:tr w:rsidR="004A3868">
        <w:trPr>
          <w:cantSplit/>
          <w:trHeight w:val="397"/>
          <w:jc w:val="center"/>
        </w:trPr>
        <w:tc>
          <w:tcPr>
            <w:tcW w:w="1271" w:type="dxa"/>
            <w:shd w:val="clear" w:color="auto" w:fill="auto"/>
            <w:vAlign w:val="bottom"/>
          </w:tcPr>
          <w:p w:rsidR="004A3868" w:rsidRDefault="003F1AB5">
            <w:pPr>
              <w:pStyle w:val="afff9"/>
            </w:pPr>
            <w:r>
              <w:rPr>
                <w:rFonts w:hint="eastAsia"/>
              </w:rPr>
              <w:lastRenderedPageBreak/>
              <w:t>秦勇</w:t>
            </w:r>
          </w:p>
        </w:tc>
        <w:tc>
          <w:tcPr>
            <w:tcW w:w="1276" w:type="dxa"/>
            <w:shd w:val="clear" w:color="auto" w:fill="auto"/>
            <w:vAlign w:val="bottom"/>
          </w:tcPr>
          <w:p w:rsidR="004A3868" w:rsidRDefault="003F1AB5">
            <w:pPr>
              <w:pStyle w:val="afff7"/>
            </w:pPr>
            <w:r>
              <w:t>0</w:t>
            </w:r>
          </w:p>
        </w:tc>
        <w:tc>
          <w:tcPr>
            <w:tcW w:w="1404" w:type="dxa"/>
            <w:shd w:val="clear" w:color="auto" w:fill="auto"/>
            <w:vAlign w:val="bottom"/>
          </w:tcPr>
          <w:p w:rsidR="004A3868" w:rsidRDefault="003F1AB5">
            <w:pPr>
              <w:pStyle w:val="afff7"/>
            </w:pPr>
            <w:r>
              <w:t>5,400,000</w:t>
            </w:r>
          </w:p>
        </w:tc>
        <w:tc>
          <w:tcPr>
            <w:tcW w:w="816" w:type="dxa"/>
            <w:shd w:val="clear" w:color="auto" w:fill="auto"/>
            <w:vAlign w:val="bottom"/>
          </w:tcPr>
          <w:p w:rsidR="004A3868" w:rsidRDefault="003F1AB5">
            <w:pPr>
              <w:pStyle w:val="afff7"/>
            </w:pPr>
            <w:r>
              <w:rPr>
                <w:rFonts w:hint="eastAsia"/>
              </w:rPr>
              <w:t>1.62</w:t>
            </w:r>
          </w:p>
        </w:tc>
        <w:tc>
          <w:tcPr>
            <w:tcW w:w="1182" w:type="dxa"/>
            <w:shd w:val="clear" w:color="auto" w:fill="auto"/>
            <w:vAlign w:val="bottom"/>
          </w:tcPr>
          <w:p w:rsidR="004A3868" w:rsidRDefault="003F1AB5">
            <w:pPr>
              <w:pStyle w:val="afff7"/>
            </w:pPr>
            <w:r>
              <w:t>5,400,000</w:t>
            </w:r>
          </w:p>
        </w:tc>
        <w:sdt>
          <w:sdtPr>
            <w:alias w:val="前十名股东持有股份状态"/>
            <w:tag w:val="_GBC_46a2e2b7fded452b84eec75a5e47296b"/>
            <w:id w:val="-7574818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sdt>
          <w:sdtPr>
            <w:alias w:val="前十名股东的股东性质"/>
            <w:tag w:val="_GBC_84391eccdbd14aa7bbd07a260ff9d747"/>
            <w:id w:val="49808678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境内自然人</w:t>
                </w:r>
              </w:p>
            </w:tc>
          </w:sdtContent>
        </w:sdt>
      </w:tr>
      <w:tr w:rsidR="004A3868">
        <w:trPr>
          <w:cantSplit/>
          <w:trHeight w:val="397"/>
          <w:jc w:val="center"/>
        </w:trPr>
        <w:tc>
          <w:tcPr>
            <w:tcW w:w="1271" w:type="dxa"/>
            <w:shd w:val="clear" w:color="auto" w:fill="auto"/>
            <w:vAlign w:val="bottom"/>
          </w:tcPr>
          <w:p w:rsidR="004A3868" w:rsidRDefault="003F1AB5">
            <w:pPr>
              <w:pStyle w:val="afff9"/>
            </w:pPr>
            <w:r>
              <w:rPr>
                <w:rFonts w:hint="eastAsia"/>
              </w:rPr>
              <w:t>天津普思资产管理有限公司－平潭普思广和一号股权投资合伙企业（有限合伙）</w:t>
            </w:r>
          </w:p>
        </w:tc>
        <w:tc>
          <w:tcPr>
            <w:tcW w:w="1276" w:type="dxa"/>
            <w:shd w:val="clear" w:color="auto" w:fill="auto"/>
            <w:vAlign w:val="bottom"/>
          </w:tcPr>
          <w:p w:rsidR="004A3868" w:rsidRDefault="003F1AB5">
            <w:pPr>
              <w:pStyle w:val="afff7"/>
            </w:pPr>
            <w:r>
              <w:t>-17,627,000</w:t>
            </w:r>
          </w:p>
        </w:tc>
        <w:tc>
          <w:tcPr>
            <w:tcW w:w="1404" w:type="dxa"/>
            <w:shd w:val="clear" w:color="auto" w:fill="auto"/>
            <w:vAlign w:val="bottom"/>
          </w:tcPr>
          <w:p w:rsidR="004A3868" w:rsidRDefault="003F1AB5">
            <w:pPr>
              <w:pStyle w:val="afff7"/>
            </w:pPr>
            <w:r>
              <w:t>4,595,222</w:t>
            </w:r>
          </w:p>
        </w:tc>
        <w:tc>
          <w:tcPr>
            <w:tcW w:w="816" w:type="dxa"/>
            <w:shd w:val="clear" w:color="auto" w:fill="auto"/>
            <w:vAlign w:val="bottom"/>
          </w:tcPr>
          <w:p w:rsidR="004A3868" w:rsidRDefault="003F1AB5">
            <w:pPr>
              <w:pStyle w:val="afff7"/>
            </w:pPr>
            <w:r>
              <w:rPr>
                <w:rFonts w:hint="eastAsia"/>
              </w:rPr>
              <w:t>1.38</w:t>
            </w:r>
          </w:p>
        </w:tc>
        <w:tc>
          <w:tcPr>
            <w:tcW w:w="1182" w:type="dxa"/>
            <w:shd w:val="clear" w:color="auto" w:fill="auto"/>
            <w:vAlign w:val="bottom"/>
          </w:tcPr>
          <w:p w:rsidR="004A3868" w:rsidRDefault="003F1AB5">
            <w:pPr>
              <w:pStyle w:val="afff7"/>
            </w:pPr>
            <w:r>
              <w:rPr>
                <w:rFonts w:hint="eastAsia"/>
              </w:rPr>
              <w:t>0</w:t>
            </w:r>
          </w:p>
        </w:tc>
        <w:sdt>
          <w:sdtPr>
            <w:alias w:val="前十名股东持有股份状态"/>
            <w:tag w:val="_GBC_46a2e2b7fded452b84eec75a5e47296b"/>
            <w:id w:val="146068904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sdt>
          <w:sdtPr>
            <w:alias w:val="前十名股东的股东性质"/>
            <w:tag w:val="_GBC_84391eccdbd14aa7bbd07a260ff9d747"/>
            <w:id w:val="94928070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境内非国有法人</w:t>
                </w:r>
              </w:p>
            </w:tc>
          </w:sdtContent>
        </w:sdt>
      </w:tr>
      <w:tr w:rsidR="004A3868">
        <w:trPr>
          <w:cantSplit/>
          <w:trHeight w:val="397"/>
          <w:jc w:val="center"/>
        </w:trPr>
        <w:tc>
          <w:tcPr>
            <w:tcW w:w="1271" w:type="dxa"/>
            <w:shd w:val="clear" w:color="auto" w:fill="auto"/>
            <w:vAlign w:val="bottom"/>
          </w:tcPr>
          <w:p w:rsidR="004A3868" w:rsidRDefault="003F1AB5">
            <w:pPr>
              <w:pStyle w:val="afff9"/>
            </w:pPr>
            <w:r>
              <w:rPr>
                <w:rFonts w:hint="eastAsia"/>
              </w:rPr>
              <w:t>重庆望变电气（集团）股份有限公司回购专用证券账户</w:t>
            </w:r>
          </w:p>
        </w:tc>
        <w:tc>
          <w:tcPr>
            <w:tcW w:w="1276" w:type="dxa"/>
            <w:shd w:val="clear" w:color="auto" w:fill="auto"/>
            <w:vAlign w:val="bottom"/>
          </w:tcPr>
          <w:p w:rsidR="004A3868" w:rsidRDefault="003F1AB5">
            <w:pPr>
              <w:pStyle w:val="afff7"/>
            </w:pPr>
            <w:r>
              <w:t>3,202,768</w:t>
            </w:r>
          </w:p>
        </w:tc>
        <w:tc>
          <w:tcPr>
            <w:tcW w:w="1404" w:type="dxa"/>
            <w:shd w:val="clear" w:color="auto" w:fill="auto"/>
            <w:vAlign w:val="bottom"/>
          </w:tcPr>
          <w:p w:rsidR="004A3868" w:rsidRDefault="003F1AB5">
            <w:pPr>
              <w:pStyle w:val="afff7"/>
            </w:pPr>
            <w:r>
              <w:t>3,202,768</w:t>
            </w:r>
          </w:p>
        </w:tc>
        <w:tc>
          <w:tcPr>
            <w:tcW w:w="816" w:type="dxa"/>
            <w:shd w:val="clear" w:color="auto" w:fill="auto"/>
            <w:vAlign w:val="bottom"/>
          </w:tcPr>
          <w:p w:rsidR="004A3868" w:rsidRDefault="003F1AB5">
            <w:pPr>
              <w:pStyle w:val="afff7"/>
            </w:pPr>
            <w:r>
              <w:rPr>
                <w:rFonts w:hint="eastAsia"/>
              </w:rPr>
              <w:t>0.96</w:t>
            </w:r>
          </w:p>
        </w:tc>
        <w:tc>
          <w:tcPr>
            <w:tcW w:w="1182" w:type="dxa"/>
            <w:shd w:val="clear" w:color="auto" w:fill="auto"/>
            <w:vAlign w:val="bottom"/>
          </w:tcPr>
          <w:p w:rsidR="004A3868" w:rsidRDefault="003F1AB5">
            <w:pPr>
              <w:pStyle w:val="afff7"/>
            </w:pPr>
            <w:r>
              <w:rPr>
                <w:rFonts w:hint="eastAsia"/>
              </w:rPr>
              <w:t>0</w:t>
            </w:r>
          </w:p>
        </w:tc>
        <w:sdt>
          <w:sdtPr>
            <w:alias w:val="前十名股东持有股份状态"/>
            <w:tag w:val="_GBC_46a2e2b7fded452b84eec75a5e47296b"/>
            <w:id w:val="207408347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tc>
          <w:tcPr>
            <w:tcW w:w="1173" w:type="dxa"/>
            <w:shd w:val="clear" w:color="auto" w:fill="auto"/>
            <w:vAlign w:val="bottom"/>
          </w:tcPr>
          <w:p w:rsidR="004A3868" w:rsidRDefault="00B34370">
            <w:pPr>
              <w:pStyle w:val="afff9"/>
              <w:rPr>
                <w:color w:val="FF9900"/>
              </w:rPr>
            </w:pPr>
            <w:sdt>
              <w:sdtPr>
                <w:alias w:val="前十名股东的股东性质"/>
                <w:tag w:val="_GBC_84391eccdbd14aa7bbd07a260ff9d747"/>
                <w:id w:val="-58746903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r w:rsidR="003F1AB5">
                  <w:t>境内非国有法人</w:t>
                </w:r>
              </w:sdtContent>
            </w:sdt>
          </w:p>
        </w:tc>
      </w:tr>
      <w:tr w:rsidR="004A3868">
        <w:trPr>
          <w:cantSplit/>
          <w:trHeight w:val="397"/>
          <w:jc w:val="center"/>
        </w:trPr>
        <w:tc>
          <w:tcPr>
            <w:tcW w:w="1271" w:type="dxa"/>
            <w:shd w:val="clear" w:color="auto" w:fill="auto"/>
            <w:vAlign w:val="bottom"/>
          </w:tcPr>
          <w:p w:rsidR="004A3868" w:rsidRDefault="003F1AB5">
            <w:pPr>
              <w:pStyle w:val="afff9"/>
            </w:pPr>
            <w:r>
              <w:rPr>
                <w:rFonts w:hint="eastAsia"/>
              </w:rPr>
              <w:t>王育森</w:t>
            </w:r>
          </w:p>
        </w:tc>
        <w:tc>
          <w:tcPr>
            <w:tcW w:w="1276" w:type="dxa"/>
            <w:shd w:val="clear" w:color="auto" w:fill="auto"/>
            <w:vAlign w:val="bottom"/>
          </w:tcPr>
          <w:p w:rsidR="004A3868" w:rsidRDefault="003F1AB5">
            <w:pPr>
              <w:pStyle w:val="afff7"/>
            </w:pPr>
            <w:r>
              <w:t>2,001,044</w:t>
            </w:r>
          </w:p>
        </w:tc>
        <w:tc>
          <w:tcPr>
            <w:tcW w:w="1404" w:type="dxa"/>
            <w:shd w:val="clear" w:color="auto" w:fill="auto"/>
            <w:vAlign w:val="bottom"/>
          </w:tcPr>
          <w:p w:rsidR="004A3868" w:rsidRDefault="003F1AB5">
            <w:pPr>
              <w:pStyle w:val="afff7"/>
            </w:pPr>
            <w:r>
              <w:t>2,887,207</w:t>
            </w:r>
          </w:p>
        </w:tc>
        <w:tc>
          <w:tcPr>
            <w:tcW w:w="816" w:type="dxa"/>
            <w:shd w:val="clear" w:color="auto" w:fill="auto"/>
            <w:vAlign w:val="bottom"/>
          </w:tcPr>
          <w:p w:rsidR="004A3868" w:rsidRDefault="003F1AB5">
            <w:pPr>
              <w:pStyle w:val="afff7"/>
            </w:pPr>
            <w:r>
              <w:rPr>
                <w:rFonts w:hint="eastAsia"/>
              </w:rPr>
              <w:t>0.87</w:t>
            </w:r>
          </w:p>
        </w:tc>
        <w:tc>
          <w:tcPr>
            <w:tcW w:w="1182" w:type="dxa"/>
            <w:shd w:val="clear" w:color="auto" w:fill="auto"/>
            <w:vAlign w:val="bottom"/>
          </w:tcPr>
          <w:p w:rsidR="004A3868" w:rsidRDefault="003F1AB5">
            <w:pPr>
              <w:pStyle w:val="afff7"/>
            </w:pPr>
            <w:r>
              <w:rPr>
                <w:rFonts w:hint="eastAsia"/>
              </w:rPr>
              <w:t>0</w:t>
            </w:r>
          </w:p>
        </w:tc>
        <w:sdt>
          <w:sdtPr>
            <w:alias w:val="前十名股东持有股份状态"/>
            <w:tag w:val="_GBC_46a2e2b7fded452b84eec75a5e47296b"/>
            <w:id w:val="-1471347435"/>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30" w:type="dxa"/>
                <w:shd w:val="clear" w:color="auto" w:fill="auto"/>
                <w:vAlign w:val="bottom"/>
              </w:tcPr>
              <w:p w:rsidR="004A3868" w:rsidRDefault="003F1AB5">
                <w:pPr>
                  <w:pStyle w:val="afff7"/>
                  <w:rPr>
                    <w:color w:val="FF9900"/>
                  </w:rPr>
                </w:pPr>
                <w:r>
                  <w:t>无</w:t>
                </w:r>
              </w:p>
            </w:tc>
          </w:sdtContent>
        </w:sdt>
        <w:tc>
          <w:tcPr>
            <w:tcW w:w="771" w:type="dxa"/>
            <w:shd w:val="clear" w:color="auto" w:fill="auto"/>
            <w:vAlign w:val="bottom"/>
          </w:tcPr>
          <w:p w:rsidR="004A3868" w:rsidRDefault="003F1AB5">
            <w:pPr>
              <w:pStyle w:val="afff7"/>
            </w:pPr>
            <w:r>
              <w:rPr>
                <w:rFonts w:hint="eastAsia"/>
              </w:rPr>
              <w:t>0</w:t>
            </w:r>
          </w:p>
        </w:tc>
        <w:sdt>
          <w:sdtPr>
            <w:alias w:val="前十名股东的股东性质"/>
            <w:tag w:val="_GBC_84391eccdbd14aa7bbd07a260ff9d747"/>
            <w:id w:val="78608277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73" w:type="dxa"/>
                <w:shd w:val="clear" w:color="auto" w:fill="auto"/>
                <w:vAlign w:val="bottom"/>
              </w:tcPr>
              <w:p w:rsidR="004A3868" w:rsidRDefault="003F1AB5">
                <w:pPr>
                  <w:pStyle w:val="afff9"/>
                  <w:rPr>
                    <w:color w:val="FF9900"/>
                  </w:rPr>
                </w:pPr>
                <w:r>
                  <w:t>境内自然人</w:t>
                </w:r>
              </w:p>
            </w:tc>
          </w:sdtContent>
        </w:sdt>
      </w:tr>
      <w:tr w:rsidR="004A3868">
        <w:trPr>
          <w:cantSplit/>
          <w:trHeight w:val="397"/>
          <w:jc w:val="center"/>
        </w:trPr>
        <w:sdt>
          <w:sdtPr>
            <w:tag w:val="_PLD_7f241e5dc05a4ae7b61268f4f1627ca0"/>
            <w:id w:val="1941796794"/>
          </w:sdtPr>
          <w:sdtEndPr/>
          <w:sdtContent>
            <w:tc>
              <w:tcPr>
                <w:tcW w:w="8823" w:type="dxa"/>
                <w:gridSpan w:val="8"/>
                <w:shd w:val="clear" w:color="auto" w:fill="auto"/>
                <w:vAlign w:val="bottom"/>
              </w:tcPr>
              <w:p w:rsidR="004A3868" w:rsidRDefault="003F1AB5">
                <w:pPr>
                  <w:pStyle w:val="afff9"/>
                  <w:rPr>
                    <w:color w:val="FF9900"/>
                  </w:rPr>
                </w:pPr>
                <w:r>
                  <w:t>前十名无限售条件股东持股情况</w:t>
                </w:r>
              </w:p>
            </w:tc>
          </w:sdtContent>
        </w:sdt>
      </w:tr>
      <w:tr w:rsidR="004A3868">
        <w:trPr>
          <w:cantSplit/>
          <w:trHeight w:val="397"/>
          <w:jc w:val="center"/>
        </w:trPr>
        <w:sdt>
          <w:sdtPr>
            <w:tag w:val="_PLD_0443ad39720a4d59be87cdf7b0bc4970"/>
            <w:id w:val="1943646542"/>
          </w:sdtPr>
          <w:sdtEndPr/>
          <w:sdtContent>
            <w:tc>
              <w:tcPr>
                <w:tcW w:w="2547" w:type="dxa"/>
                <w:gridSpan w:val="2"/>
                <w:vMerge w:val="restart"/>
                <w:shd w:val="clear" w:color="auto" w:fill="auto"/>
                <w:vAlign w:val="bottom"/>
              </w:tcPr>
              <w:p w:rsidR="004A3868" w:rsidRDefault="003F1AB5">
                <w:pPr>
                  <w:pStyle w:val="afff9"/>
                  <w:rPr>
                    <w:color w:val="FF9900"/>
                  </w:rPr>
                </w:pPr>
                <w:r>
                  <w:t>股东名称</w:t>
                </w:r>
              </w:p>
            </w:tc>
          </w:sdtContent>
        </w:sdt>
        <w:sdt>
          <w:sdtPr>
            <w:tag w:val="_PLD_a7f143afa2b94466a44af03e770016b0"/>
            <w:id w:val="1510792806"/>
          </w:sdtPr>
          <w:sdtEndPr/>
          <w:sdtContent>
            <w:tc>
              <w:tcPr>
                <w:tcW w:w="3402" w:type="dxa"/>
                <w:gridSpan w:val="3"/>
                <w:vMerge w:val="restart"/>
                <w:shd w:val="clear" w:color="auto" w:fill="auto"/>
                <w:vAlign w:val="bottom"/>
              </w:tcPr>
              <w:p w:rsidR="004A3868" w:rsidRDefault="003F1AB5">
                <w:pPr>
                  <w:pStyle w:val="afff9"/>
                  <w:rPr>
                    <w:color w:val="FF9900"/>
                  </w:rPr>
                </w:pPr>
                <w:r>
                  <w:t>持有无限售条件流通股的数量</w:t>
                </w:r>
              </w:p>
            </w:tc>
          </w:sdtContent>
        </w:sdt>
        <w:sdt>
          <w:sdtPr>
            <w:tag w:val="_PLD_fa97ca004a544042af7e1d7463bea345"/>
            <w:id w:val="1653860319"/>
          </w:sdtPr>
          <w:sdtEndPr/>
          <w:sdtContent>
            <w:tc>
              <w:tcPr>
                <w:tcW w:w="2874" w:type="dxa"/>
                <w:gridSpan w:val="3"/>
                <w:tcBorders>
                  <w:bottom w:val="single" w:sz="4" w:space="0" w:color="auto"/>
                </w:tcBorders>
                <w:shd w:val="clear" w:color="auto" w:fill="auto"/>
                <w:vAlign w:val="bottom"/>
              </w:tcPr>
              <w:p w:rsidR="004A3868" w:rsidRDefault="003F1AB5">
                <w:pPr>
                  <w:pStyle w:val="afff9"/>
                  <w:rPr>
                    <w:color w:val="FF9900"/>
                  </w:rPr>
                </w:pPr>
                <w:r>
                  <w:t>股份种类</w:t>
                </w:r>
                <w:r>
                  <w:rPr>
                    <w:rFonts w:hint="eastAsia"/>
                  </w:rPr>
                  <w:t>及数量</w:t>
                </w:r>
              </w:p>
            </w:tc>
          </w:sdtContent>
        </w:sdt>
      </w:tr>
      <w:tr w:rsidR="004A3868">
        <w:trPr>
          <w:cantSplit/>
          <w:trHeight w:val="397"/>
          <w:jc w:val="center"/>
        </w:trPr>
        <w:tc>
          <w:tcPr>
            <w:tcW w:w="2547" w:type="dxa"/>
            <w:gridSpan w:val="2"/>
            <w:vMerge/>
            <w:shd w:val="clear" w:color="auto" w:fill="auto"/>
            <w:vAlign w:val="bottom"/>
          </w:tcPr>
          <w:p w:rsidR="004A3868" w:rsidRDefault="004A3868">
            <w:pPr>
              <w:pStyle w:val="afff9"/>
            </w:pPr>
          </w:p>
        </w:tc>
        <w:tc>
          <w:tcPr>
            <w:tcW w:w="3402" w:type="dxa"/>
            <w:gridSpan w:val="3"/>
            <w:vMerge/>
            <w:shd w:val="clear" w:color="auto" w:fill="auto"/>
            <w:vAlign w:val="bottom"/>
          </w:tcPr>
          <w:p w:rsidR="004A3868" w:rsidRDefault="004A3868">
            <w:pPr>
              <w:pStyle w:val="afff9"/>
            </w:pPr>
          </w:p>
        </w:tc>
        <w:sdt>
          <w:sdtPr>
            <w:tag w:val="_PLD_e67773187f2f4233a6666596947248e8"/>
            <w:id w:val="-1194154793"/>
          </w:sdtPr>
          <w:sdtEndPr/>
          <w:sdtContent>
            <w:tc>
              <w:tcPr>
                <w:tcW w:w="1578" w:type="dxa"/>
                <w:gridSpan w:val="2"/>
                <w:shd w:val="clear" w:color="auto" w:fill="auto"/>
                <w:vAlign w:val="bottom"/>
              </w:tcPr>
              <w:p w:rsidR="004A3868" w:rsidRDefault="003F1AB5">
                <w:pPr>
                  <w:pStyle w:val="afff9"/>
                  <w:rPr>
                    <w:color w:val="008000"/>
                  </w:rPr>
                </w:pPr>
                <w:r>
                  <w:rPr>
                    <w:rFonts w:hint="eastAsia"/>
                  </w:rPr>
                  <w:t>种类</w:t>
                </w:r>
              </w:p>
            </w:tc>
          </w:sdtContent>
        </w:sdt>
        <w:sdt>
          <w:sdtPr>
            <w:tag w:val="_PLD_2f2fd5088a82440f9265e00f4e298be0"/>
            <w:id w:val="1059896956"/>
          </w:sdtPr>
          <w:sdtEndPr/>
          <w:sdtContent>
            <w:tc>
              <w:tcPr>
                <w:tcW w:w="1296" w:type="dxa"/>
                <w:shd w:val="clear" w:color="auto" w:fill="auto"/>
                <w:vAlign w:val="bottom"/>
              </w:tcPr>
              <w:p w:rsidR="004A3868" w:rsidRDefault="003F1AB5">
                <w:pPr>
                  <w:pStyle w:val="afff9"/>
                  <w:rPr>
                    <w:color w:val="008000"/>
                  </w:rPr>
                </w:pPr>
                <w:r>
                  <w:rPr>
                    <w:rFonts w:hint="eastAsia"/>
                  </w:rPr>
                  <w:t>数量</w:t>
                </w:r>
              </w:p>
            </w:tc>
          </w:sdtContent>
        </w:sdt>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重庆长寿经济技术开发区开发投资集团有限公司</w:t>
            </w:r>
          </w:p>
        </w:tc>
        <w:tc>
          <w:tcPr>
            <w:tcW w:w="3402" w:type="dxa"/>
            <w:gridSpan w:val="3"/>
            <w:shd w:val="clear" w:color="auto" w:fill="auto"/>
            <w:vAlign w:val="bottom"/>
          </w:tcPr>
          <w:p w:rsidR="004A3868" w:rsidRDefault="003F1AB5">
            <w:pPr>
              <w:pStyle w:val="afff7"/>
            </w:pPr>
            <w:r>
              <w:t>5,555,556</w:t>
            </w:r>
          </w:p>
        </w:tc>
        <w:sdt>
          <w:sdtPr>
            <w:alias w:val="前十名无限售条件股东期末持有流通股的种类"/>
            <w:tag w:val="_GBC_b35ef493948141e0b9d0c3fd14aad59a"/>
            <w:id w:val="2745357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5,555,556</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天津普思资产管理有限公司－平潭普思广和一号股权投资合伙企业（有限合伙）</w:t>
            </w:r>
          </w:p>
        </w:tc>
        <w:tc>
          <w:tcPr>
            <w:tcW w:w="3402" w:type="dxa"/>
            <w:gridSpan w:val="3"/>
            <w:shd w:val="clear" w:color="auto" w:fill="auto"/>
            <w:vAlign w:val="bottom"/>
          </w:tcPr>
          <w:p w:rsidR="004A3868" w:rsidRDefault="003F1AB5">
            <w:pPr>
              <w:pStyle w:val="afff7"/>
            </w:pPr>
            <w:r>
              <w:t>4,595,222</w:t>
            </w:r>
          </w:p>
        </w:tc>
        <w:sdt>
          <w:sdtPr>
            <w:alias w:val="前十名无限售条件股东期末持有流通股的种类"/>
            <w:tag w:val="_GBC_b35ef493948141e0b9d0c3fd14aad59a"/>
            <w:id w:val="-209491633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4,595,222</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王育森</w:t>
            </w:r>
          </w:p>
        </w:tc>
        <w:tc>
          <w:tcPr>
            <w:tcW w:w="3402" w:type="dxa"/>
            <w:gridSpan w:val="3"/>
            <w:shd w:val="clear" w:color="auto" w:fill="auto"/>
            <w:vAlign w:val="bottom"/>
          </w:tcPr>
          <w:p w:rsidR="004A3868" w:rsidRDefault="003F1AB5">
            <w:pPr>
              <w:pStyle w:val="afff7"/>
            </w:pPr>
            <w:r>
              <w:t>2,887,207</w:t>
            </w:r>
          </w:p>
        </w:tc>
        <w:sdt>
          <w:sdtPr>
            <w:alias w:val="前十名无限售条件股东期末持有流通股的种类"/>
            <w:tag w:val="_GBC_b35ef493948141e0b9d0c3fd14aad59a"/>
            <w:id w:val="-29953688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2,887,207</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扬州尚颀二期创业投资合伙企业（有限合伙）</w:t>
            </w:r>
          </w:p>
        </w:tc>
        <w:tc>
          <w:tcPr>
            <w:tcW w:w="3402" w:type="dxa"/>
            <w:gridSpan w:val="3"/>
            <w:shd w:val="clear" w:color="auto" w:fill="auto"/>
            <w:vAlign w:val="bottom"/>
          </w:tcPr>
          <w:p w:rsidR="004A3868" w:rsidRDefault="003F1AB5">
            <w:pPr>
              <w:pStyle w:val="afff7"/>
            </w:pPr>
            <w:r>
              <w:t>2,855,733</w:t>
            </w:r>
          </w:p>
        </w:tc>
        <w:sdt>
          <w:sdtPr>
            <w:alias w:val="前十名无限售条件股东期末持有流通股的种类"/>
            <w:tag w:val="_GBC_b35ef493948141e0b9d0c3fd14aad59a"/>
            <w:id w:val="172563852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2,855,733</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夏强</w:t>
            </w:r>
          </w:p>
        </w:tc>
        <w:tc>
          <w:tcPr>
            <w:tcW w:w="3402" w:type="dxa"/>
            <w:gridSpan w:val="3"/>
            <w:shd w:val="clear" w:color="auto" w:fill="auto"/>
            <w:vAlign w:val="bottom"/>
          </w:tcPr>
          <w:p w:rsidR="004A3868" w:rsidRDefault="003F1AB5">
            <w:pPr>
              <w:pStyle w:val="afff7"/>
            </w:pPr>
            <w:r>
              <w:t>2,656,000</w:t>
            </w:r>
          </w:p>
        </w:tc>
        <w:sdt>
          <w:sdtPr>
            <w:alias w:val="前十名无限售条件股东期末持有流通股的种类"/>
            <w:tag w:val="_GBC_b35ef493948141e0b9d0c3fd14aad59a"/>
            <w:id w:val="-55192364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2,656,000</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黄静</w:t>
            </w:r>
          </w:p>
        </w:tc>
        <w:tc>
          <w:tcPr>
            <w:tcW w:w="3402" w:type="dxa"/>
            <w:gridSpan w:val="3"/>
            <w:shd w:val="clear" w:color="auto" w:fill="auto"/>
            <w:vAlign w:val="bottom"/>
          </w:tcPr>
          <w:p w:rsidR="004A3868" w:rsidRDefault="003F1AB5">
            <w:pPr>
              <w:pStyle w:val="afff7"/>
            </w:pPr>
            <w:r>
              <w:t>2,271,100</w:t>
            </w:r>
          </w:p>
        </w:tc>
        <w:sdt>
          <w:sdtPr>
            <w:alias w:val="前十名无限售条件股东期末持有流通股的种类"/>
            <w:tag w:val="_GBC_b35ef493948141e0b9d0c3fd14aad59a"/>
            <w:id w:val="93864476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2,271,100</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重庆铜爵科技有限公司</w:t>
            </w:r>
          </w:p>
        </w:tc>
        <w:tc>
          <w:tcPr>
            <w:tcW w:w="3402" w:type="dxa"/>
            <w:gridSpan w:val="3"/>
            <w:shd w:val="clear" w:color="auto" w:fill="auto"/>
            <w:vAlign w:val="bottom"/>
          </w:tcPr>
          <w:p w:rsidR="004A3868" w:rsidRDefault="003F1AB5">
            <w:pPr>
              <w:pStyle w:val="afff7"/>
            </w:pPr>
            <w:r>
              <w:t>2,183,400</w:t>
            </w:r>
          </w:p>
        </w:tc>
        <w:sdt>
          <w:sdtPr>
            <w:alias w:val="前十名无限售条件股东期末持有流通股的种类"/>
            <w:tag w:val="_GBC_b35ef493948141e0b9d0c3fd14aad59a"/>
            <w:id w:val="198033484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2,183,400</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詹正弋</w:t>
            </w:r>
          </w:p>
        </w:tc>
        <w:tc>
          <w:tcPr>
            <w:tcW w:w="3402" w:type="dxa"/>
            <w:gridSpan w:val="3"/>
            <w:shd w:val="clear" w:color="auto" w:fill="auto"/>
            <w:vAlign w:val="bottom"/>
          </w:tcPr>
          <w:p w:rsidR="004A3868" w:rsidRDefault="003F1AB5">
            <w:pPr>
              <w:pStyle w:val="afff7"/>
            </w:pPr>
            <w:r>
              <w:t>1,914,400</w:t>
            </w:r>
          </w:p>
        </w:tc>
        <w:sdt>
          <w:sdtPr>
            <w:alias w:val="前十名无限售条件股东期末持有流通股的种类"/>
            <w:tag w:val="_GBC_b35ef493948141e0b9d0c3fd14aad59a"/>
            <w:id w:val="-131756508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1,914,400</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朱冕</w:t>
            </w:r>
          </w:p>
        </w:tc>
        <w:tc>
          <w:tcPr>
            <w:tcW w:w="3402" w:type="dxa"/>
            <w:gridSpan w:val="3"/>
            <w:shd w:val="clear" w:color="auto" w:fill="auto"/>
            <w:vAlign w:val="bottom"/>
          </w:tcPr>
          <w:p w:rsidR="004A3868" w:rsidRDefault="003F1AB5">
            <w:pPr>
              <w:pStyle w:val="afff7"/>
            </w:pPr>
            <w:r>
              <w:t>1,700,478</w:t>
            </w:r>
          </w:p>
        </w:tc>
        <w:sdt>
          <w:sdtPr>
            <w:alias w:val="前十名无限售条件股东期末持有流通股的种类"/>
            <w:tag w:val="_GBC_b35ef493948141e0b9d0c3fd14aad59a"/>
            <w:id w:val="67977657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1,700,478</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香港中央结算有限公司</w:t>
            </w:r>
          </w:p>
        </w:tc>
        <w:tc>
          <w:tcPr>
            <w:tcW w:w="3402" w:type="dxa"/>
            <w:gridSpan w:val="3"/>
            <w:shd w:val="clear" w:color="auto" w:fill="auto"/>
            <w:vAlign w:val="bottom"/>
          </w:tcPr>
          <w:p w:rsidR="004A3868" w:rsidRDefault="003F1AB5">
            <w:pPr>
              <w:pStyle w:val="afff7"/>
            </w:pPr>
            <w:r>
              <w:t>1,329,747</w:t>
            </w:r>
          </w:p>
        </w:tc>
        <w:sdt>
          <w:sdtPr>
            <w:alias w:val="前十名无限售条件股东期末持有流通股的种类"/>
            <w:tag w:val="_GBC_b35ef493948141e0b9d0c3fd14aad59a"/>
            <w:id w:val="-190644619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78" w:type="dxa"/>
                <w:gridSpan w:val="2"/>
                <w:shd w:val="clear" w:color="auto" w:fill="auto"/>
                <w:vAlign w:val="bottom"/>
              </w:tcPr>
              <w:p w:rsidR="004A3868" w:rsidRDefault="003F1AB5">
                <w:pPr>
                  <w:pStyle w:val="afff9"/>
                </w:pPr>
                <w:r>
                  <w:t>人民币普通股</w:t>
                </w:r>
              </w:p>
            </w:tc>
          </w:sdtContent>
        </w:sdt>
        <w:tc>
          <w:tcPr>
            <w:tcW w:w="1296" w:type="dxa"/>
            <w:shd w:val="clear" w:color="auto" w:fill="auto"/>
            <w:vAlign w:val="bottom"/>
          </w:tcPr>
          <w:p w:rsidR="004A3868" w:rsidRDefault="003F1AB5">
            <w:pPr>
              <w:pStyle w:val="afff7"/>
            </w:pPr>
            <w:r>
              <w:t>1,329,747</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前十名股东中回购专户情况说明</w:t>
            </w:r>
          </w:p>
        </w:tc>
        <w:tc>
          <w:tcPr>
            <w:tcW w:w="6276" w:type="dxa"/>
            <w:gridSpan w:val="6"/>
            <w:shd w:val="clear" w:color="auto" w:fill="auto"/>
            <w:vAlign w:val="bottom"/>
          </w:tcPr>
          <w:p w:rsidR="004A3868" w:rsidRDefault="003F1AB5">
            <w:pPr>
              <w:pStyle w:val="afff9"/>
            </w:pPr>
            <w:r>
              <w:rPr>
                <w:rFonts w:hint="eastAsia"/>
              </w:rPr>
              <w:t>2023</w:t>
            </w:r>
            <w:r>
              <w:rPr>
                <w:rFonts w:hint="eastAsia"/>
              </w:rPr>
              <w:t>年</w:t>
            </w:r>
            <w:r>
              <w:rPr>
                <w:rFonts w:hint="eastAsia"/>
              </w:rPr>
              <w:t>10</w:t>
            </w:r>
            <w:r>
              <w:rPr>
                <w:rFonts w:hint="eastAsia"/>
              </w:rPr>
              <w:t>月</w:t>
            </w:r>
            <w:r>
              <w:rPr>
                <w:rFonts w:hint="eastAsia"/>
              </w:rPr>
              <w:t>25</w:t>
            </w:r>
            <w:r>
              <w:rPr>
                <w:rFonts w:hint="eastAsia"/>
              </w:rPr>
              <w:t>日公司召开第三届董事会第十八次会议，审议通过了《关于以集中竞价方式回购公司股份方案的议案》；</w:t>
            </w:r>
            <w:r>
              <w:rPr>
                <w:rFonts w:hint="eastAsia"/>
              </w:rPr>
              <w:t>2023</w:t>
            </w:r>
            <w:r>
              <w:rPr>
                <w:rFonts w:hint="eastAsia"/>
              </w:rPr>
              <w:t>年</w:t>
            </w:r>
            <w:r>
              <w:rPr>
                <w:rFonts w:hint="eastAsia"/>
              </w:rPr>
              <w:t>11</w:t>
            </w:r>
            <w:r>
              <w:rPr>
                <w:rFonts w:hint="eastAsia"/>
              </w:rPr>
              <w:t>月</w:t>
            </w:r>
            <w:r>
              <w:rPr>
                <w:rFonts w:hint="eastAsia"/>
              </w:rPr>
              <w:t>2</w:t>
            </w:r>
            <w:r>
              <w:rPr>
                <w:rFonts w:hint="eastAsia"/>
              </w:rPr>
              <w:t>日</w:t>
            </w:r>
            <w:r>
              <w:rPr>
                <w:rFonts w:hint="eastAsia"/>
              </w:rPr>
              <w:t>,</w:t>
            </w:r>
            <w:r>
              <w:rPr>
                <w:rFonts w:hint="eastAsia"/>
              </w:rPr>
              <w:t>公司通过集中竞价交易方式首次回购公司股份</w:t>
            </w:r>
            <w:r>
              <w:rPr>
                <w:rFonts w:hint="eastAsia"/>
              </w:rPr>
              <w:t>659,500</w:t>
            </w:r>
            <w:r>
              <w:rPr>
                <w:rFonts w:hint="eastAsia"/>
              </w:rPr>
              <w:t>股；截至</w:t>
            </w:r>
            <w:r>
              <w:rPr>
                <w:rFonts w:hint="eastAsia"/>
              </w:rPr>
              <w:t>2023</w:t>
            </w:r>
            <w:r>
              <w:rPr>
                <w:rFonts w:hint="eastAsia"/>
              </w:rPr>
              <w:t>年</w:t>
            </w:r>
            <w:r>
              <w:rPr>
                <w:rFonts w:hint="eastAsia"/>
              </w:rPr>
              <w:t>12</w:t>
            </w:r>
            <w:r>
              <w:rPr>
                <w:rFonts w:hint="eastAsia"/>
              </w:rPr>
              <w:t>月</w:t>
            </w:r>
            <w:r>
              <w:rPr>
                <w:rFonts w:hint="eastAsia"/>
              </w:rPr>
              <w:t>31</w:t>
            </w:r>
            <w:r>
              <w:rPr>
                <w:rFonts w:hint="eastAsia"/>
              </w:rPr>
              <w:t>日，公司通过集中竞价交易方式累计回购股份</w:t>
            </w:r>
            <w:r>
              <w:rPr>
                <w:rFonts w:hint="eastAsia"/>
              </w:rPr>
              <w:t>3,202,768</w:t>
            </w:r>
            <w:r>
              <w:rPr>
                <w:rFonts w:hint="eastAsia"/>
              </w:rPr>
              <w:t>股，占公司总股本的比例为</w:t>
            </w:r>
            <w:r>
              <w:rPr>
                <w:rFonts w:hint="eastAsia"/>
              </w:rPr>
              <w:t>0.9613%</w:t>
            </w:r>
            <w:r>
              <w:rPr>
                <w:rFonts w:hint="eastAsia"/>
              </w:rPr>
              <w:t>，购买的最高价格为</w:t>
            </w:r>
            <w:r>
              <w:rPr>
                <w:rFonts w:hint="eastAsia"/>
              </w:rPr>
              <w:t>16.38</w:t>
            </w:r>
            <w:r>
              <w:rPr>
                <w:rFonts w:hint="eastAsia"/>
              </w:rPr>
              <w:t>元</w:t>
            </w:r>
            <w:r>
              <w:rPr>
                <w:rFonts w:hint="eastAsia"/>
              </w:rPr>
              <w:t>/</w:t>
            </w:r>
            <w:r>
              <w:rPr>
                <w:rFonts w:hint="eastAsia"/>
              </w:rPr>
              <w:t>股、最低价格为</w:t>
            </w:r>
            <w:r>
              <w:rPr>
                <w:rFonts w:hint="eastAsia"/>
              </w:rPr>
              <w:t>15.10</w:t>
            </w:r>
            <w:r>
              <w:rPr>
                <w:rFonts w:hint="eastAsia"/>
              </w:rPr>
              <w:t>元</w:t>
            </w:r>
            <w:r>
              <w:rPr>
                <w:rFonts w:hint="eastAsia"/>
              </w:rPr>
              <w:t>/</w:t>
            </w:r>
            <w:r>
              <w:rPr>
                <w:rFonts w:hint="eastAsia"/>
              </w:rPr>
              <w:t>股，已支付的总金额为</w:t>
            </w:r>
            <w:r>
              <w:t>50,293,453.32</w:t>
            </w:r>
            <w:r>
              <w:rPr>
                <w:rFonts w:hint="eastAsia"/>
              </w:rPr>
              <w:t>元（不含交易费用）。</w:t>
            </w:r>
          </w:p>
        </w:tc>
      </w:tr>
      <w:tr w:rsidR="004A3868">
        <w:trPr>
          <w:cantSplit/>
          <w:trHeight w:val="397"/>
          <w:jc w:val="center"/>
        </w:trPr>
        <w:tc>
          <w:tcPr>
            <w:tcW w:w="2547" w:type="dxa"/>
            <w:gridSpan w:val="2"/>
            <w:shd w:val="clear" w:color="auto" w:fill="auto"/>
            <w:vAlign w:val="bottom"/>
          </w:tcPr>
          <w:p w:rsidR="004A3868" w:rsidRDefault="003F1AB5">
            <w:pPr>
              <w:pStyle w:val="afff9"/>
            </w:pPr>
            <w:r>
              <w:lastRenderedPageBreak/>
              <w:t>上述股东</w:t>
            </w:r>
            <w:r>
              <w:rPr>
                <w:rFonts w:hint="eastAsia"/>
              </w:rPr>
              <w:t>委托表决权、受托表决权、放弃表决权</w:t>
            </w:r>
            <w:r>
              <w:t>的说明</w:t>
            </w:r>
          </w:p>
        </w:tc>
        <w:tc>
          <w:tcPr>
            <w:tcW w:w="6276" w:type="dxa"/>
            <w:gridSpan w:val="6"/>
            <w:shd w:val="clear" w:color="auto" w:fill="auto"/>
            <w:vAlign w:val="bottom"/>
          </w:tcPr>
          <w:p w:rsidR="004A3868" w:rsidRDefault="003F1AB5">
            <w:pPr>
              <w:pStyle w:val="afff9"/>
            </w:pPr>
            <w:r>
              <w:rPr>
                <w:rFonts w:hint="eastAsia"/>
              </w:rPr>
              <w:t>无</w:t>
            </w:r>
          </w:p>
        </w:tc>
      </w:tr>
      <w:tr w:rsidR="004A3868">
        <w:trPr>
          <w:cantSplit/>
          <w:trHeight w:val="397"/>
          <w:jc w:val="center"/>
        </w:trPr>
        <w:tc>
          <w:tcPr>
            <w:tcW w:w="2547" w:type="dxa"/>
            <w:gridSpan w:val="2"/>
            <w:shd w:val="clear" w:color="auto" w:fill="auto"/>
            <w:vAlign w:val="bottom"/>
          </w:tcPr>
          <w:p w:rsidR="004A3868" w:rsidRDefault="003F1AB5">
            <w:pPr>
              <w:pStyle w:val="afff9"/>
            </w:pPr>
            <w:r>
              <w:t>上述股东关联关系或一致行动的说明</w:t>
            </w:r>
          </w:p>
        </w:tc>
        <w:tc>
          <w:tcPr>
            <w:tcW w:w="6276" w:type="dxa"/>
            <w:gridSpan w:val="6"/>
            <w:shd w:val="clear" w:color="auto" w:fill="auto"/>
            <w:vAlign w:val="bottom"/>
          </w:tcPr>
          <w:p w:rsidR="004A3868" w:rsidRDefault="003F1AB5">
            <w:pPr>
              <w:pStyle w:val="afff9"/>
            </w:pPr>
            <w:r>
              <w:rPr>
                <w:rFonts w:hint="eastAsia"/>
              </w:rPr>
              <w:t>上述股东中杨泽民、秦惠兰、杨耀与杨秦系一致行动人，杨泽民与秦惠兰系夫妻关系，其女杨秦与其子杨耀系姐弟关系，杨泽民与杨厚群系兄妹关系；黄静与詹正弋系夫妻关系。除此之外，公司未知上述股东是否存在关联关系，也未知上述股东之间是否属于《上市公司收购管理办法》规定的一致行动人。</w:t>
            </w:r>
          </w:p>
        </w:tc>
      </w:tr>
      <w:tr w:rsidR="004A3868">
        <w:trPr>
          <w:cantSplit/>
          <w:trHeight w:val="397"/>
          <w:jc w:val="center"/>
        </w:trPr>
        <w:tc>
          <w:tcPr>
            <w:tcW w:w="2547" w:type="dxa"/>
            <w:gridSpan w:val="2"/>
            <w:shd w:val="clear" w:color="auto" w:fill="auto"/>
            <w:vAlign w:val="bottom"/>
          </w:tcPr>
          <w:p w:rsidR="004A3868" w:rsidRDefault="003F1AB5">
            <w:pPr>
              <w:pStyle w:val="afff9"/>
            </w:pPr>
            <w:r>
              <w:rPr>
                <w:rFonts w:hint="eastAsia"/>
              </w:rPr>
              <w:t>表决权恢复的优先股股东及持股数量的说明</w:t>
            </w:r>
          </w:p>
        </w:tc>
        <w:tc>
          <w:tcPr>
            <w:tcW w:w="6276" w:type="dxa"/>
            <w:gridSpan w:val="6"/>
            <w:shd w:val="clear" w:color="auto" w:fill="auto"/>
            <w:vAlign w:val="bottom"/>
          </w:tcPr>
          <w:p w:rsidR="004A3868" w:rsidRDefault="003F1AB5">
            <w:pPr>
              <w:pStyle w:val="afff9"/>
            </w:pPr>
            <w:r>
              <w:rPr>
                <w:rFonts w:hint="eastAsia"/>
              </w:rPr>
              <w:t>无</w:t>
            </w:r>
          </w:p>
        </w:tc>
      </w:tr>
    </w:tbl>
    <w:p w:rsidR="004A3868" w:rsidRDefault="003F1AB5">
      <w:pPr>
        <w:pStyle w:val="Style124"/>
      </w:pPr>
      <w:r>
        <w:t>前十名股东</w:t>
      </w:r>
      <w:r>
        <w:rPr>
          <w:rFonts w:hint="eastAsia"/>
        </w:rPr>
        <w:t>参与转融通业务出借股份情况</w:t>
      </w:r>
    </w:p>
    <w:bookmarkStart w:id="100" w:name="_Hlk155094173" w:displacedByCustomXml="next"/>
    <w:sdt>
      <w:sdtPr>
        <w:rPr>
          <w:sz w:val="21"/>
          <w:szCs w:val="21"/>
        </w:rPr>
        <w:alias w:val="是否适用：前十名股东参与转融通业务出借股份情况[双击切换]"/>
        <w:tag w:val="_GBC_2d74b1abb153475cb0679c2ab4305c0d"/>
        <w:id w:val="1358082667"/>
        <w:placeholder>
          <w:docPart w:val="GBC22222222222222222222222222222"/>
        </w:placeholder>
      </w:sdtPr>
      <w:sdtEndPr/>
      <w:sdtContent>
        <w:p w:rsidR="004A3868" w:rsidRDefault="003F1AB5">
          <w:pPr>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bookmarkEnd w:id="100"/>
    <w:p w:rsidR="004A3868" w:rsidRDefault="003F1AB5">
      <w:pPr>
        <w:pStyle w:val="Style124"/>
      </w:pPr>
      <w:r>
        <w:t>前十名股东</w:t>
      </w:r>
      <w:r>
        <w:rPr>
          <w:rFonts w:hint="eastAsia"/>
        </w:rPr>
        <w:t>较上期发生变化</w:t>
      </w:r>
    </w:p>
    <w:bookmarkStart w:id="101" w:name="_Hlk155094189" w:displacedByCustomXml="next"/>
    <w:sdt>
      <w:sdtPr>
        <w:rPr>
          <w:rFonts w:hint="eastAsia"/>
        </w:rPr>
        <w:alias w:val="是否适用：前十名股东较上期发生变化[双击切换]"/>
        <w:tag w:val="_GBC_610830f75bf04d59a67019ded47646e5"/>
        <w:id w:val="572161197"/>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t>单位</w:t>
      </w:r>
      <w:r>
        <w:t>:</w:t>
      </w:r>
      <w:sdt>
        <w:sdtPr>
          <w:alias w:val="单位：前十名股东较上期发生变化"/>
          <w:tag w:val="_GBC_2e2345e201c045cbaec550c5344158ba"/>
          <w:id w:val="1414195241"/>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t>股</w:t>
          </w:r>
        </w:sdtContent>
      </w:sdt>
    </w:p>
    <w:tbl>
      <w:tblPr>
        <w:tblStyle w:val="Style74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36"/>
        <w:gridCol w:w="1558"/>
        <w:gridCol w:w="1136"/>
        <w:gridCol w:w="1338"/>
        <w:gridCol w:w="1108"/>
      </w:tblGrid>
      <w:tr w:rsidR="004A3868">
        <w:trPr>
          <w:cantSplit/>
        </w:trPr>
        <w:sdt>
          <w:sdtPr>
            <w:tag w:val="_PLD_51eb60cfc0e345eda1874e4575b3c0bb"/>
            <w:id w:val="-502582811"/>
          </w:sdtPr>
          <w:sdtEndPr/>
          <w:sdtContent>
            <w:tc>
              <w:tcPr>
                <w:tcW w:w="5000" w:type="pct"/>
                <w:gridSpan w:val="6"/>
              </w:tcPr>
              <w:p w:rsidR="004A3868" w:rsidRDefault="003F1AB5">
                <w:pPr>
                  <w:pStyle w:val="ab"/>
                </w:pPr>
                <w:r>
                  <w:t>前十名股东</w:t>
                </w:r>
                <w:r>
                  <w:rPr>
                    <w:rFonts w:hint="eastAsia"/>
                  </w:rPr>
                  <w:t>较上期末变化</w:t>
                </w:r>
                <w:r>
                  <w:t>情况</w:t>
                </w:r>
              </w:p>
            </w:tc>
          </w:sdtContent>
        </w:sdt>
      </w:tr>
      <w:tr w:rsidR="004A3868">
        <w:trPr>
          <w:cantSplit/>
          <w:trHeight w:val="555"/>
        </w:trPr>
        <w:sdt>
          <w:sdtPr>
            <w:rPr>
              <w:sz w:val="18"/>
              <w:szCs w:val="18"/>
            </w:rPr>
            <w:tag w:val="_PLD_7a9fa5bc6c434f078e8093637cfd2dcb"/>
            <w:id w:val="1878197370"/>
          </w:sdtPr>
          <w:sdtEndPr>
            <w:rPr>
              <w:rFonts w:hint="eastAsia"/>
            </w:rPr>
          </w:sdtEndPr>
          <w:sdtContent>
            <w:tc>
              <w:tcPr>
                <w:tcW w:w="1443" w:type="pct"/>
                <w:vMerge w:val="restart"/>
                <w:shd w:val="clear" w:color="auto" w:fill="auto"/>
                <w:vAlign w:val="center"/>
              </w:tcPr>
              <w:p w:rsidR="004A3868" w:rsidRDefault="003F1AB5">
                <w:pPr>
                  <w:rPr>
                    <w:sz w:val="18"/>
                    <w:szCs w:val="18"/>
                  </w:rPr>
                </w:pPr>
                <w:r>
                  <w:rPr>
                    <w:sz w:val="18"/>
                    <w:szCs w:val="18"/>
                  </w:rPr>
                  <w:t>股东名称</w:t>
                </w:r>
                <w:r>
                  <w:rPr>
                    <w:rFonts w:hint="eastAsia"/>
                    <w:sz w:val="18"/>
                    <w:szCs w:val="18"/>
                  </w:rPr>
                  <w:t>（全称）</w:t>
                </w:r>
              </w:p>
            </w:tc>
          </w:sdtContent>
        </w:sdt>
        <w:sdt>
          <w:sdtPr>
            <w:rPr>
              <w:rFonts w:hint="eastAsia"/>
              <w:sz w:val="18"/>
              <w:szCs w:val="18"/>
            </w:rPr>
            <w:tag w:val="_PLD_e3ee28fd5d6448a186c343b94bb825b8"/>
            <w:id w:val="35861033"/>
          </w:sdtPr>
          <w:sdtEndPr/>
          <w:sdtContent>
            <w:tc>
              <w:tcPr>
                <w:tcW w:w="644" w:type="pct"/>
                <w:vMerge w:val="restart"/>
                <w:shd w:val="clear" w:color="auto" w:fill="auto"/>
                <w:vAlign w:val="center"/>
              </w:tcPr>
              <w:p w:rsidR="004A3868" w:rsidRDefault="003F1AB5">
                <w:pPr>
                  <w:rPr>
                    <w:sz w:val="18"/>
                    <w:szCs w:val="18"/>
                  </w:rPr>
                </w:pPr>
                <w:r>
                  <w:rPr>
                    <w:rFonts w:hint="eastAsia"/>
                    <w:sz w:val="18"/>
                    <w:szCs w:val="18"/>
                  </w:rPr>
                  <w:t>本报告期新增/退出</w:t>
                </w:r>
              </w:p>
            </w:tc>
          </w:sdtContent>
        </w:sdt>
        <w:sdt>
          <w:sdtPr>
            <w:rPr>
              <w:rFonts w:hint="eastAsia"/>
              <w:sz w:val="18"/>
              <w:szCs w:val="18"/>
            </w:rPr>
            <w:tag w:val="_PLD_cfec23d275a1487ea21e1d9f193811de"/>
            <w:id w:val="1778990594"/>
          </w:sdtPr>
          <w:sdtEndPr/>
          <w:sdtContent>
            <w:tc>
              <w:tcPr>
                <w:tcW w:w="1527" w:type="pct"/>
                <w:gridSpan w:val="2"/>
                <w:shd w:val="clear" w:color="auto" w:fill="auto"/>
                <w:vAlign w:val="center"/>
              </w:tcPr>
              <w:p w:rsidR="004A3868" w:rsidRDefault="003F1AB5">
                <w:pPr>
                  <w:rPr>
                    <w:sz w:val="18"/>
                    <w:szCs w:val="18"/>
                  </w:rPr>
                </w:pPr>
                <w:r>
                  <w:rPr>
                    <w:rFonts w:hint="eastAsia"/>
                    <w:sz w:val="18"/>
                    <w:szCs w:val="18"/>
                  </w:rPr>
                  <w:t>期末转融通出借股份且尚未归还数量</w:t>
                </w:r>
              </w:p>
            </w:tc>
          </w:sdtContent>
        </w:sdt>
        <w:sdt>
          <w:sdtPr>
            <w:rPr>
              <w:rFonts w:hint="eastAsia"/>
              <w:sz w:val="18"/>
              <w:szCs w:val="18"/>
            </w:rPr>
            <w:tag w:val="_PLD_97598607938142ba9df407815c42c99e"/>
            <w:id w:val="600070246"/>
          </w:sdtPr>
          <w:sdtEndPr/>
          <w:sdtContent>
            <w:tc>
              <w:tcPr>
                <w:tcW w:w="1386" w:type="pct"/>
                <w:gridSpan w:val="2"/>
                <w:vAlign w:val="center"/>
              </w:tcPr>
              <w:p w:rsidR="004A3868" w:rsidRDefault="003F1AB5">
                <w:pPr>
                  <w:rPr>
                    <w:sz w:val="18"/>
                    <w:szCs w:val="18"/>
                  </w:rPr>
                </w:pPr>
                <w:r>
                  <w:rPr>
                    <w:rFonts w:hint="eastAsia"/>
                    <w:sz w:val="18"/>
                    <w:szCs w:val="18"/>
                  </w:rPr>
                  <w:t>期末股东普通账户、信用账户持股以及转融通出借尚未归还的股份数量</w:t>
                </w:r>
              </w:p>
            </w:tc>
          </w:sdtContent>
        </w:sdt>
      </w:tr>
      <w:tr w:rsidR="004A3868">
        <w:trPr>
          <w:cantSplit/>
          <w:trHeight w:val="70"/>
        </w:trPr>
        <w:tc>
          <w:tcPr>
            <w:tcW w:w="1443" w:type="pct"/>
            <w:vMerge/>
            <w:shd w:val="clear" w:color="auto" w:fill="auto"/>
            <w:vAlign w:val="center"/>
          </w:tcPr>
          <w:p w:rsidR="004A3868" w:rsidRDefault="004A3868">
            <w:pPr>
              <w:pStyle w:val="Style124"/>
            </w:pPr>
          </w:p>
        </w:tc>
        <w:tc>
          <w:tcPr>
            <w:tcW w:w="644" w:type="pct"/>
            <w:vMerge/>
            <w:shd w:val="clear" w:color="auto" w:fill="auto"/>
            <w:vAlign w:val="center"/>
          </w:tcPr>
          <w:p w:rsidR="004A3868" w:rsidRDefault="004A3868">
            <w:pPr>
              <w:rPr>
                <w:sz w:val="18"/>
                <w:szCs w:val="18"/>
              </w:rPr>
            </w:pPr>
          </w:p>
        </w:tc>
        <w:sdt>
          <w:sdtPr>
            <w:rPr>
              <w:sz w:val="18"/>
              <w:szCs w:val="18"/>
            </w:rPr>
            <w:tag w:val="_PLD_d1f1e669417848eba2ff4f136060710d"/>
            <w:id w:val="-1833832735"/>
          </w:sdtPr>
          <w:sdtEndPr/>
          <w:sdtContent>
            <w:tc>
              <w:tcPr>
                <w:tcW w:w="883" w:type="pct"/>
                <w:shd w:val="clear" w:color="auto" w:fill="auto"/>
                <w:vAlign w:val="center"/>
              </w:tcPr>
              <w:p w:rsidR="004A3868" w:rsidRDefault="003F1AB5">
                <w:pPr>
                  <w:jc w:val="center"/>
                  <w:rPr>
                    <w:sz w:val="18"/>
                    <w:szCs w:val="18"/>
                  </w:rPr>
                </w:pPr>
                <w:r>
                  <w:rPr>
                    <w:sz w:val="18"/>
                    <w:szCs w:val="18"/>
                  </w:rPr>
                  <w:t>数量合计</w:t>
                </w:r>
              </w:p>
            </w:tc>
          </w:sdtContent>
        </w:sdt>
        <w:sdt>
          <w:sdtPr>
            <w:rPr>
              <w:sz w:val="18"/>
              <w:szCs w:val="18"/>
            </w:rPr>
            <w:tag w:val="_PLD_93d96facd39f42369d9eb75dbaabd84a"/>
            <w:id w:val="-1420634040"/>
          </w:sdtPr>
          <w:sdtEndPr/>
          <w:sdtContent>
            <w:tc>
              <w:tcPr>
                <w:tcW w:w="644" w:type="pct"/>
                <w:shd w:val="clear" w:color="auto" w:fill="auto"/>
                <w:vAlign w:val="center"/>
              </w:tcPr>
              <w:p w:rsidR="004A3868" w:rsidRDefault="003F1AB5">
                <w:pPr>
                  <w:jc w:val="center"/>
                  <w:rPr>
                    <w:sz w:val="18"/>
                    <w:szCs w:val="18"/>
                  </w:rPr>
                </w:pPr>
                <w:r>
                  <w:rPr>
                    <w:sz w:val="18"/>
                    <w:szCs w:val="18"/>
                  </w:rPr>
                  <w:t>比例（%）</w:t>
                </w:r>
              </w:p>
            </w:tc>
          </w:sdtContent>
        </w:sdt>
        <w:sdt>
          <w:sdtPr>
            <w:rPr>
              <w:sz w:val="18"/>
              <w:szCs w:val="18"/>
            </w:rPr>
            <w:tag w:val="_PLD_abb18a49da9944b29de9515b911fb9d0"/>
            <w:id w:val="-1533491375"/>
          </w:sdtPr>
          <w:sdtEndPr/>
          <w:sdtContent>
            <w:tc>
              <w:tcPr>
                <w:tcW w:w="758" w:type="pct"/>
                <w:vAlign w:val="center"/>
              </w:tcPr>
              <w:p w:rsidR="004A3868" w:rsidRDefault="003F1AB5">
                <w:pPr>
                  <w:jc w:val="center"/>
                  <w:rPr>
                    <w:sz w:val="18"/>
                    <w:szCs w:val="18"/>
                  </w:rPr>
                </w:pPr>
                <w:r>
                  <w:rPr>
                    <w:sz w:val="18"/>
                    <w:szCs w:val="18"/>
                  </w:rPr>
                  <w:t>数量合计</w:t>
                </w:r>
              </w:p>
            </w:tc>
          </w:sdtContent>
        </w:sdt>
        <w:sdt>
          <w:sdtPr>
            <w:rPr>
              <w:sz w:val="18"/>
              <w:szCs w:val="18"/>
            </w:rPr>
            <w:tag w:val="_PLD_ddee7e13ede244949eadc75aa0e166db"/>
            <w:id w:val="-569659313"/>
          </w:sdtPr>
          <w:sdtEndPr/>
          <w:sdtContent>
            <w:tc>
              <w:tcPr>
                <w:tcW w:w="628" w:type="pct"/>
                <w:vAlign w:val="center"/>
              </w:tcPr>
              <w:p w:rsidR="004A3868" w:rsidRDefault="003F1AB5">
                <w:pPr>
                  <w:jc w:val="center"/>
                  <w:rPr>
                    <w:sz w:val="18"/>
                    <w:szCs w:val="18"/>
                  </w:rPr>
                </w:pPr>
                <w:r>
                  <w:rPr>
                    <w:sz w:val="18"/>
                    <w:szCs w:val="18"/>
                  </w:rPr>
                  <w:t>比例（%）</w:t>
                </w:r>
              </w:p>
            </w:tc>
          </w:sdtContent>
        </w:sdt>
      </w:tr>
      <w:tr w:rsidR="004A3868">
        <w:trPr>
          <w:cantSplit/>
          <w:trHeight w:val="70"/>
        </w:trPr>
        <w:tc>
          <w:tcPr>
            <w:tcW w:w="1443" w:type="pct"/>
            <w:shd w:val="clear" w:color="auto" w:fill="auto"/>
            <w:vAlign w:val="bottom"/>
          </w:tcPr>
          <w:p w:rsidR="004A3868" w:rsidRDefault="003F1AB5">
            <w:pPr>
              <w:pStyle w:val="Style124"/>
            </w:pPr>
            <w:r>
              <w:rPr>
                <w:rFonts w:hint="eastAsia"/>
              </w:rPr>
              <w:t>重庆长寿经济技术开发区开发投资集团有限公司</w:t>
            </w:r>
          </w:p>
        </w:tc>
        <w:tc>
          <w:tcPr>
            <w:tcW w:w="644" w:type="pct"/>
            <w:shd w:val="clear" w:color="auto" w:fill="auto"/>
            <w:vAlign w:val="bottom"/>
          </w:tcPr>
          <w:p w:rsidR="004A3868" w:rsidRDefault="003F1AB5">
            <w:pPr>
              <w:jc w:val="right"/>
              <w:rPr>
                <w:sz w:val="18"/>
                <w:szCs w:val="18"/>
              </w:rPr>
            </w:pPr>
            <w:r>
              <w:rPr>
                <w:rFonts w:hint="eastAsia"/>
                <w:sz w:val="18"/>
                <w:szCs w:val="18"/>
              </w:rPr>
              <w:t>新增</w:t>
            </w:r>
          </w:p>
        </w:tc>
        <w:tc>
          <w:tcPr>
            <w:tcW w:w="883" w:type="pct"/>
            <w:shd w:val="clear" w:color="auto" w:fill="auto"/>
            <w:vAlign w:val="bottom"/>
          </w:tcPr>
          <w:p w:rsidR="004A3868" w:rsidRDefault="003F1AB5">
            <w:pPr>
              <w:jc w:val="right"/>
              <w:rPr>
                <w:sz w:val="18"/>
                <w:szCs w:val="18"/>
              </w:rPr>
            </w:pPr>
            <w:r>
              <w:rPr>
                <w:rFonts w:hint="eastAsia"/>
                <w:sz w:val="18"/>
                <w:szCs w:val="18"/>
              </w:rPr>
              <w:t>0</w:t>
            </w:r>
          </w:p>
        </w:tc>
        <w:tc>
          <w:tcPr>
            <w:tcW w:w="644" w:type="pct"/>
            <w:shd w:val="clear" w:color="auto" w:fill="auto"/>
            <w:vAlign w:val="bottom"/>
          </w:tcPr>
          <w:p w:rsidR="004A3868" w:rsidRDefault="003F1AB5">
            <w:pPr>
              <w:jc w:val="right"/>
              <w:rPr>
                <w:sz w:val="18"/>
                <w:szCs w:val="18"/>
              </w:rPr>
            </w:pPr>
            <w:r>
              <w:rPr>
                <w:rFonts w:hint="eastAsia"/>
                <w:sz w:val="18"/>
                <w:szCs w:val="18"/>
              </w:rPr>
              <w:t>0</w:t>
            </w:r>
          </w:p>
        </w:tc>
        <w:tc>
          <w:tcPr>
            <w:tcW w:w="758" w:type="pct"/>
            <w:vAlign w:val="bottom"/>
          </w:tcPr>
          <w:p w:rsidR="004A3868" w:rsidRDefault="003F1AB5">
            <w:pPr>
              <w:jc w:val="right"/>
              <w:rPr>
                <w:sz w:val="18"/>
                <w:szCs w:val="18"/>
              </w:rPr>
            </w:pPr>
            <w:r>
              <w:rPr>
                <w:sz w:val="18"/>
                <w:szCs w:val="18"/>
              </w:rPr>
              <w:t>5,555,556</w:t>
            </w:r>
          </w:p>
        </w:tc>
        <w:tc>
          <w:tcPr>
            <w:tcW w:w="628" w:type="pct"/>
            <w:vAlign w:val="bottom"/>
          </w:tcPr>
          <w:p w:rsidR="004A3868" w:rsidRDefault="003F1AB5">
            <w:pPr>
              <w:jc w:val="right"/>
              <w:rPr>
                <w:sz w:val="18"/>
                <w:szCs w:val="18"/>
              </w:rPr>
            </w:pPr>
            <w:r>
              <w:rPr>
                <w:sz w:val="18"/>
                <w:szCs w:val="18"/>
              </w:rPr>
              <w:t>1.67</w:t>
            </w:r>
          </w:p>
        </w:tc>
      </w:tr>
      <w:tr w:rsidR="004A3868">
        <w:trPr>
          <w:cantSplit/>
          <w:trHeight w:val="70"/>
        </w:trPr>
        <w:tc>
          <w:tcPr>
            <w:tcW w:w="1443" w:type="pct"/>
            <w:shd w:val="clear" w:color="auto" w:fill="auto"/>
            <w:vAlign w:val="bottom"/>
          </w:tcPr>
          <w:p w:rsidR="004A3868" w:rsidRDefault="003F1AB5">
            <w:pPr>
              <w:pStyle w:val="Style124"/>
            </w:pPr>
            <w:r>
              <w:rPr>
                <w:rFonts w:hint="eastAsia"/>
              </w:rPr>
              <w:t>王育森</w:t>
            </w:r>
          </w:p>
        </w:tc>
        <w:tc>
          <w:tcPr>
            <w:tcW w:w="644" w:type="pct"/>
            <w:shd w:val="clear" w:color="auto" w:fill="auto"/>
            <w:vAlign w:val="bottom"/>
          </w:tcPr>
          <w:p w:rsidR="004A3868" w:rsidRDefault="003F1AB5">
            <w:pPr>
              <w:jc w:val="right"/>
              <w:rPr>
                <w:sz w:val="18"/>
                <w:szCs w:val="18"/>
              </w:rPr>
            </w:pPr>
            <w:r>
              <w:rPr>
                <w:rFonts w:hint="eastAsia"/>
                <w:sz w:val="18"/>
                <w:szCs w:val="18"/>
              </w:rPr>
              <w:t>新增</w:t>
            </w:r>
          </w:p>
        </w:tc>
        <w:tc>
          <w:tcPr>
            <w:tcW w:w="883" w:type="pct"/>
            <w:shd w:val="clear" w:color="auto" w:fill="auto"/>
            <w:vAlign w:val="bottom"/>
          </w:tcPr>
          <w:p w:rsidR="004A3868" w:rsidRDefault="003F1AB5">
            <w:pPr>
              <w:jc w:val="right"/>
              <w:rPr>
                <w:sz w:val="18"/>
                <w:szCs w:val="18"/>
              </w:rPr>
            </w:pPr>
            <w:r>
              <w:rPr>
                <w:rFonts w:hint="eastAsia"/>
                <w:sz w:val="18"/>
                <w:szCs w:val="18"/>
              </w:rPr>
              <w:t>0</w:t>
            </w:r>
          </w:p>
        </w:tc>
        <w:tc>
          <w:tcPr>
            <w:tcW w:w="644" w:type="pct"/>
            <w:shd w:val="clear" w:color="auto" w:fill="auto"/>
            <w:vAlign w:val="bottom"/>
          </w:tcPr>
          <w:p w:rsidR="004A3868" w:rsidRDefault="003F1AB5">
            <w:pPr>
              <w:jc w:val="right"/>
              <w:rPr>
                <w:sz w:val="18"/>
                <w:szCs w:val="18"/>
              </w:rPr>
            </w:pPr>
            <w:r>
              <w:rPr>
                <w:rFonts w:hint="eastAsia"/>
                <w:sz w:val="18"/>
                <w:szCs w:val="18"/>
              </w:rPr>
              <w:t>0</w:t>
            </w:r>
          </w:p>
        </w:tc>
        <w:tc>
          <w:tcPr>
            <w:tcW w:w="758" w:type="pct"/>
            <w:vAlign w:val="bottom"/>
          </w:tcPr>
          <w:p w:rsidR="004A3868" w:rsidRDefault="003F1AB5">
            <w:pPr>
              <w:jc w:val="right"/>
              <w:rPr>
                <w:sz w:val="18"/>
                <w:szCs w:val="18"/>
              </w:rPr>
            </w:pPr>
            <w:r>
              <w:rPr>
                <w:sz w:val="18"/>
                <w:szCs w:val="18"/>
              </w:rPr>
              <w:t>2,887,207</w:t>
            </w:r>
          </w:p>
        </w:tc>
        <w:tc>
          <w:tcPr>
            <w:tcW w:w="628" w:type="pct"/>
            <w:vAlign w:val="bottom"/>
          </w:tcPr>
          <w:p w:rsidR="004A3868" w:rsidRDefault="003F1AB5">
            <w:pPr>
              <w:jc w:val="right"/>
              <w:rPr>
                <w:sz w:val="18"/>
                <w:szCs w:val="18"/>
              </w:rPr>
            </w:pPr>
            <w:r>
              <w:rPr>
                <w:rFonts w:hint="eastAsia"/>
                <w:sz w:val="18"/>
                <w:szCs w:val="18"/>
              </w:rPr>
              <w:t>0</w:t>
            </w:r>
            <w:r>
              <w:rPr>
                <w:sz w:val="18"/>
                <w:szCs w:val="18"/>
              </w:rPr>
              <w:t>.87</w:t>
            </w:r>
          </w:p>
        </w:tc>
      </w:tr>
      <w:tr w:rsidR="004A3868">
        <w:trPr>
          <w:cantSplit/>
          <w:trHeight w:val="70"/>
        </w:trPr>
        <w:tc>
          <w:tcPr>
            <w:tcW w:w="1443" w:type="pct"/>
            <w:shd w:val="clear" w:color="auto" w:fill="auto"/>
            <w:vAlign w:val="bottom"/>
          </w:tcPr>
          <w:p w:rsidR="004A3868" w:rsidRDefault="003F1AB5">
            <w:pPr>
              <w:pStyle w:val="Style124"/>
            </w:pPr>
            <w:r>
              <w:rPr>
                <w:rStyle w:val="font11"/>
                <w:sz w:val="18"/>
                <w:szCs w:val="18"/>
              </w:rPr>
              <w:t>中国工商银行股份有限公司－交银施罗德趋势优先混合型证券投资基金</w:t>
            </w:r>
          </w:p>
        </w:tc>
        <w:tc>
          <w:tcPr>
            <w:tcW w:w="644" w:type="pct"/>
            <w:shd w:val="clear" w:color="auto" w:fill="auto"/>
            <w:vAlign w:val="bottom"/>
          </w:tcPr>
          <w:p w:rsidR="004A3868" w:rsidRDefault="003F1AB5">
            <w:pPr>
              <w:jc w:val="right"/>
              <w:rPr>
                <w:sz w:val="18"/>
                <w:szCs w:val="18"/>
              </w:rPr>
            </w:pPr>
            <w:r>
              <w:rPr>
                <w:rFonts w:hint="eastAsia"/>
                <w:sz w:val="18"/>
                <w:szCs w:val="18"/>
              </w:rPr>
              <w:t>退出</w:t>
            </w:r>
          </w:p>
        </w:tc>
        <w:tc>
          <w:tcPr>
            <w:tcW w:w="883" w:type="pct"/>
            <w:shd w:val="clear" w:color="auto" w:fill="auto"/>
            <w:vAlign w:val="bottom"/>
          </w:tcPr>
          <w:p w:rsidR="004A3868" w:rsidRDefault="003F1AB5">
            <w:pPr>
              <w:jc w:val="right"/>
              <w:rPr>
                <w:sz w:val="18"/>
                <w:szCs w:val="18"/>
              </w:rPr>
            </w:pPr>
            <w:r>
              <w:rPr>
                <w:rFonts w:hint="eastAsia"/>
                <w:sz w:val="18"/>
                <w:szCs w:val="18"/>
              </w:rPr>
              <w:t>0</w:t>
            </w:r>
          </w:p>
        </w:tc>
        <w:tc>
          <w:tcPr>
            <w:tcW w:w="644" w:type="pct"/>
            <w:shd w:val="clear" w:color="auto" w:fill="auto"/>
            <w:vAlign w:val="bottom"/>
          </w:tcPr>
          <w:p w:rsidR="004A3868" w:rsidRDefault="003F1AB5">
            <w:pPr>
              <w:jc w:val="right"/>
              <w:rPr>
                <w:sz w:val="18"/>
                <w:szCs w:val="18"/>
              </w:rPr>
            </w:pPr>
            <w:r>
              <w:rPr>
                <w:rFonts w:hint="eastAsia"/>
                <w:sz w:val="18"/>
                <w:szCs w:val="18"/>
              </w:rPr>
              <w:t>0</w:t>
            </w:r>
          </w:p>
        </w:tc>
        <w:tc>
          <w:tcPr>
            <w:tcW w:w="758" w:type="pct"/>
            <w:vAlign w:val="bottom"/>
          </w:tcPr>
          <w:p w:rsidR="004A3868" w:rsidRDefault="003F1AB5">
            <w:pPr>
              <w:jc w:val="right"/>
              <w:rPr>
                <w:sz w:val="18"/>
                <w:szCs w:val="18"/>
              </w:rPr>
            </w:pPr>
            <w:r>
              <w:rPr>
                <w:rFonts w:hint="eastAsia"/>
                <w:sz w:val="18"/>
                <w:szCs w:val="18"/>
              </w:rPr>
              <w:t>0</w:t>
            </w:r>
          </w:p>
        </w:tc>
        <w:tc>
          <w:tcPr>
            <w:tcW w:w="628" w:type="pct"/>
            <w:vAlign w:val="bottom"/>
          </w:tcPr>
          <w:p w:rsidR="004A3868" w:rsidRDefault="003F1AB5">
            <w:pPr>
              <w:jc w:val="right"/>
              <w:rPr>
                <w:sz w:val="18"/>
                <w:szCs w:val="18"/>
              </w:rPr>
            </w:pPr>
            <w:r>
              <w:rPr>
                <w:rFonts w:hint="eastAsia"/>
                <w:sz w:val="18"/>
                <w:szCs w:val="18"/>
              </w:rPr>
              <w:t>0</w:t>
            </w:r>
          </w:p>
        </w:tc>
      </w:tr>
      <w:tr w:rsidR="004A3868">
        <w:trPr>
          <w:cantSplit/>
          <w:trHeight w:val="70"/>
        </w:trPr>
        <w:tc>
          <w:tcPr>
            <w:tcW w:w="1443" w:type="pct"/>
            <w:shd w:val="clear" w:color="auto" w:fill="auto"/>
            <w:vAlign w:val="bottom"/>
          </w:tcPr>
          <w:p w:rsidR="004A3868" w:rsidRDefault="003F1AB5">
            <w:pPr>
              <w:pStyle w:val="Style124"/>
            </w:pPr>
            <w:r>
              <w:rPr>
                <w:rStyle w:val="font11"/>
                <w:sz w:val="18"/>
                <w:szCs w:val="18"/>
              </w:rPr>
              <w:t>扬州尚颀并购成长产业基金合伙企业（有限合伙）</w:t>
            </w:r>
          </w:p>
        </w:tc>
        <w:tc>
          <w:tcPr>
            <w:tcW w:w="644" w:type="pct"/>
            <w:shd w:val="clear" w:color="auto" w:fill="auto"/>
            <w:vAlign w:val="bottom"/>
          </w:tcPr>
          <w:p w:rsidR="004A3868" w:rsidRDefault="003F1AB5">
            <w:pPr>
              <w:jc w:val="right"/>
              <w:rPr>
                <w:sz w:val="18"/>
                <w:szCs w:val="18"/>
              </w:rPr>
            </w:pPr>
            <w:r>
              <w:rPr>
                <w:rFonts w:hint="eastAsia"/>
                <w:sz w:val="18"/>
                <w:szCs w:val="18"/>
              </w:rPr>
              <w:t>退出</w:t>
            </w:r>
          </w:p>
        </w:tc>
        <w:tc>
          <w:tcPr>
            <w:tcW w:w="883" w:type="pct"/>
            <w:shd w:val="clear" w:color="auto" w:fill="auto"/>
            <w:vAlign w:val="bottom"/>
          </w:tcPr>
          <w:p w:rsidR="004A3868" w:rsidRDefault="003F1AB5">
            <w:pPr>
              <w:jc w:val="right"/>
              <w:rPr>
                <w:sz w:val="18"/>
                <w:szCs w:val="18"/>
              </w:rPr>
            </w:pPr>
            <w:r>
              <w:rPr>
                <w:rFonts w:hint="eastAsia"/>
                <w:sz w:val="18"/>
                <w:szCs w:val="18"/>
              </w:rPr>
              <w:t>0</w:t>
            </w:r>
          </w:p>
        </w:tc>
        <w:tc>
          <w:tcPr>
            <w:tcW w:w="644" w:type="pct"/>
            <w:shd w:val="clear" w:color="auto" w:fill="auto"/>
            <w:vAlign w:val="bottom"/>
          </w:tcPr>
          <w:p w:rsidR="004A3868" w:rsidRDefault="003F1AB5">
            <w:pPr>
              <w:jc w:val="right"/>
              <w:rPr>
                <w:sz w:val="18"/>
                <w:szCs w:val="18"/>
              </w:rPr>
            </w:pPr>
            <w:r>
              <w:rPr>
                <w:rFonts w:hint="eastAsia"/>
                <w:sz w:val="18"/>
                <w:szCs w:val="18"/>
              </w:rPr>
              <w:t>0</w:t>
            </w:r>
          </w:p>
        </w:tc>
        <w:tc>
          <w:tcPr>
            <w:tcW w:w="758" w:type="pct"/>
            <w:vAlign w:val="bottom"/>
          </w:tcPr>
          <w:p w:rsidR="004A3868" w:rsidRDefault="003F1AB5">
            <w:pPr>
              <w:jc w:val="right"/>
              <w:rPr>
                <w:sz w:val="18"/>
                <w:szCs w:val="18"/>
              </w:rPr>
            </w:pPr>
            <w:r>
              <w:rPr>
                <w:rFonts w:hint="eastAsia"/>
                <w:sz w:val="18"/>
                <w:szCs w:val="18"/>
              </w:rPr>
              <w:t>0</w:t>
            </w:r>
          </w:p>
        </w:tc>
        <w:tc>
          <w:tcPr>
            <w:tcW w:w="628" w:type="pct"/>
            <w:vAlign w:val="bottom"/>
          </w:tcPr>
          <w:p w:rsidR="004A3868" w:rsidRDefault="003F1AB5">
            <w:pPr>
              <w:jc w:val="right"/>
              <w:rPr>
                <w:sz w:val="18"/>
                <w:szCs w:val="18"/>
              </w:rPr>
            </w:pPr>
            <w:r>
              <w:rPr>
                <w:rFonts w:hint="eastAsia"/>
                <w:sz w:val="18"/>
                <w:szCs w:val="18"/>
              </w:rPr>
              <w:t>0</w:t>
            </w:r>
          </w:p>
        </w:tc>
      </w:tr>
      <w:tr w:rsidR="004A3868">
        <w:trPr>
          <w:cantSplit/>
          <w:trHeight w:val="70"/>
        </w:trPr>
        <w:tc>
          <w:tcPr>
            <w:tcW w:w="1443" w:type="pct"/>
            <w:shd w:val="clear" w:color="auto" w:fill="auto"/>
            <w:vAlign w:val="bottom"/>
          </w:tcPr>
          <w:p w:rsidR="004A3868" w:rsidRDefault="003F1AB5">
            <w:pPr>
              <w:pStyle w:val="Style124"/>
            </w:pPr>
            <w:r>
              <w:rPr>
                <w:rStyle w:val="font11"/>
                <w:sz w:val="18"/>
                <w:szCs w:val="18"/>
              </w:rPr>
              <w:t>长兴浦京湾股权投资合伙企业（有限合伙）</w:t>
            </w:r>
          </w:p>
        </w:tc>
        <w:tc>
          <w:tcPr>
            <w:tcW w:w="644" w:type="pct"/>
            <w:shd w:val="clear" w:color="auto" w:fill="auto"/>
            <w:vAlign w:val="bottom"/>
          </w:tcPr>
          <w:p w:rsidR="004A3868" w:rsidRDefault="003F1AB5">
            <w:pPr>
              <w:jc w:val="right"/>
              <w:rPr>
                <w:sz w:val="18"/>
                <w:szCs w:val="18"/>
              </w:rPr>
            </w:pPr>
            <w:r>
              <w:rPr>
                <w:rFonts w:hint="eastAsia"/>
                <w:sz w:val="18"/>
                <w:szCs w:val="18"/>
              </w:rPr>
              <w:t>退出</w:t>
            </w:r>
          </w:p>
        </w:tc>
        <w:tc>
          <w:tcPr>
            <w:tcW w:w="883" w:type="pct"/>
            <w:shd w:val="clear" w:color="auto" w:fill="auto"/>
            <w:vAlign w:val="bottom"/>
          </w:tcPr>
          <w:p w:rsidR="004A3868" w:rsidRDefault="003F1AB5">
            <w:pPr>
              <w:jc w:val="right"/>
              <w:rPr>
                <w:sz w:val="18"/>
                <w:szCs w:val="18"/>
              </w:rPr>
            </w:pPr>
            <w:r>
              <w:rPr>
                <w:rFonts w:hint="eastAsia"/>
                <w:sz w:val="18"/>
                <w:szCs w:val="18"/>
              </w:rPr>
              <w:t>0</w:t>
            </w:r>
          </w:p>
        </w:tc>
        <w:tc>
          <w:tcPr>
            <w:tcW w:w="644" w:type="pct"/>
            <w:shd w:val="clear" w:color="auto" w:fill="auto"/>
            <w:vAlign w:val="bottom"/>
          </w:tcPr>
          <w:p w:rsidR="004A3868" w:rsidRDefault="003F1AB5">
            <w:pPr>
              <w:jc w:val="right"/>
              <w:rPr>
                <w:sz w:val="18"/>
                <w:szCs w:val="18"/>
              </w:rPr>
            </w:pPr>
            <w:r>
              <w:rPr>
                <w:rFonts w:hint="eastAsia"/>
                <w:sz w:val="18"/>
                <w:szCs w:val="18"/>
              </w:rPr>
              <w:t>0</w:t>
            </w:r>
          </w:p>
        </w:tc>
        <w:tc>
          <w:tcPr>
            <w:tcW w:w="758" w:type="pct"/>
            <w:vAlign w:val="bottom"/>
          </w:tcPr>
          <w:p w:rsidR="004A3868" w:rsidRDefault="003F1AB5">
            <w:pPr>
              <w:jc w:val="right"/>
              <w:rPr>
                <w:sz w:val="18"/>
                <w:szCs w:val="18"/>
              </w:rPr>
            </w:pPr>
            <w:r>
              <w:rPr>
                <w:rFonts w:hint="eastAsia"/>
                <w:sz w:val="18"/>
                <w:szCs w:val="18"/>
              </w:rPr>
              <w:t>0</w:t>
            </w:r>
          </w:p>
        </w:tc>
        <w:tc>
          <w:tcPr>
            <w:tcW w:w="628" w:type="pct"/>
            <w:vAlign w:val="bottom"/>
          </w:tcPr>
          <w:p w:rsidR="004A3868" w:rsidRDefault="003F1AB5">
            <w:pPr>
              <w:jc w:val="right"/>
              <w:rPr>
                <w:sz w:val="18"/>
                <w:szCs w:val="18"/>
              </w:rPr>
            </w:pPr>
            <w:r>
              <w:rPr>
                <w:rFonts w:hint="eastAsia"/>
                <w:sz w:val="18"/>
                <w:szCs w:val="18"/>
              </w:rPr>
              <w:t>0</w:t>
            </w:r>
          </w:p>
        </w:tc>
      </w:tr>
      <w:tr w:rsidR="004A3868">
        <w:trPr>
          <w:cantSplit/>
          <w:trHeight w:val="70"/>
        </w:trPr>
        <w:tc>
          <w:tcPr>
            <w:tcW w:w="1443" w:type="pct"/>
            <w:shd w:val="clear" w:color="auto" w:fill="auto"/>
            <w:vAlign w:val="bottom"/>
          </w:tcPr>
          <w:p w:rsidR="004A3868" w:rsidRDefault="003F1AB5">
            <w:pPr>
              <w:pStyle w:val="Style124"/>
            </w:pPr>
            <w:r>
              <w:rPr>
                <w:rStyle w:val="font11"/>
                <w:sz w:val="18"/>
                <w:szCs w:val="18"/>
              </w:rPr>
              <w:t>上海灏意投资管理咨询合伙企业（有限合伙）</w:t>
            </w:r>
          </w:p>
        </w:tc>
        <w:tc>
          <w:tcPr>
            <w:tcW w:w="644" w:type="pct"/>
            <w:shd w:val="clear" w:color="auto" w:fill="auto"/>
            <w:vAlign w:val="bottom"/>
          </w:tcPr>
          <w:p w:rsidR="004A3868" w:rsidRDefault="003F1AB5">
            <w:pPr>
              <w:jc w:val="right"/>
              <w:rPr>
                <w:sz w:val="18"/>
                <w:szCs w:val="18"/>
              </w:rPr>
            </w:pPr>
            <w:r>
              <w:rPr>
                <w:rFonts w:hint="eastAsia"/>
                <w:sz w:val="18"/>
                <w:szCs w:val="18"/>
              </w:rPr>
              <w:t>退出</w:t>
            </w:r>
          </w:p>
        </w:tc>
        <w:tc>
          <w:tcPr>
            <w:tcW w:w="883" w:type="pct"/>
            <w:shd w:val="clear" w:color="auto" w:fill="auto"/>
            <w:vAlign w:val="bottom"/>
          </w:tcPr>
          <w:p w:rsidR="004A3868" w:rsidRDefault="003F1AB5">
            <w:pPr>
              <w:jc w:val="right"/>
              <w:rPr>
                <w:sz w:val="18"/>
                <w:szCs w:val="18"/>
              </w:rPr>
            </w:pPr>
            <w:r>
              <w:rPr>
                <w:rFonts w:hint="eastAsia"/>
                <w:sz w:val="18"/>
                <w:szCs w:val="18"/>
              </w:rPr>
              <w:t>0</w:t>
            </w:r>
          </w:p>
        </w:tc>
        <w:tc>
          <w:tcPr>
            <w:tcW w:w="644" w:type="pct"/>
            <w:shd w:val="clear" w:color="auto" w:fill="auto"/>
            <w:vAlign w:val="bottom"/>
          </w:tcPr>
          <w:p w:rsidR="004A3868" w:rsidRDefault="003F1AB5">
            <w:pPr>
              <w:jc w:val="right"/>
              <w:rPr>
                <w:sz w:val="18"/>
                <w:szCs w:val="18"/>
              </w:rPr>
            </w:pPr>
            <w:r>
              <w:rPr>
                <w:rFonts w:hint="eastAsia"/>
                <w:sz w:val="18"/>
                <w:szCs w:val="18"/>
              </w:rPr>
              <w:t>0</w:t>
            </w:r>
          </w:p>
        </w:tc>
        <w:tc>
          <w:tcPr>
            <w:tcW w:w="758" w:type="pct"/>
            <w:vAlign w:val="bottom"/>
          </w:tcPr>
          <w:p w:rsidR="004A3868" w:rsidRDefault="003F1AB5">
            <w:pPr>
              <w:jc w:val="right"/>
              <w:rPr>
                <w:sz w:val="18"/>
                <w:szCs w:val="18"/>
              </w:rPr>
            </w:pPr>
            <w:r>
              <w:rPr>
                <w:sz w:val="18"/>
                <w:szCs w:val="18"/>
              </w:rPr>
              <w:t>830,756</w:t>
            </w:r>
          </w:p>
        </w:tc>
        <w:tc>
          <w:tcPr>
            <w:tcW w:w="628" w:type="pct"/>
            <w:vAlign w:val="bottom"/>
          </w:tcPr>
          <w:p w:rsidR="004A3868" w:rsidRDefault="003F1AB5">
            <w:pPr>
              <w:jc w:val="right"/>
              <w:rPr>
                <w:sz w:val="18"/>
                <w:szCs w:val="18"/>
              </w:rPr>
            </w:pPr>
            <w:r>
              <w:rPr>
                <w:rFonts w:hint="eastAsia"/>
                <w:sz w:val="18"/>
                <w:szCs w:val="18"/>
              </w:rPr>
              <w:t>0</w:t>
            </w:r>
            <w:r>
              <w:rPr>
                <w:sz w:val="18"/>
                <w:szCs w:val="18"/>
              </w:rPr>
              <w:t>.25</w:t>
            </w:r>
          </w:p>
        </w:tc>
      </w:tr>
      <w:bookmarkEnd w:id="101"/>
    </w:tbl>
    <w:p w:rsidR="004A3868" w:rsidRDefault="004A3868">
      <w:pPr>
        <w:pStyle w:val="Style124"/>
      </w:pPr>
    </w:p>
    <w:p w:rsidR="004A3868" w:rsidRDefault="003F1AB5">
      <w:pPr>
        <w:pStyle w:val="Style124"/>
      </w:pPr>
      <w:r>
        <w:t>前十名有限售条件股东持股数量及限售条件</w:t>
      </w:r>
    </w:p>
    <w:sdt>
      <w:sdtPr>
        <w:alias w:val="是否适用：前十名有限售条件股东持股数量及限售条件[双击切换]"/>
        <w:tag w:val="_GBC_99ceff37849a42f4b21400880589fbc1"/>
        <w:id w:val="487915897"/>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pPr>
      <w:r>
        <w:t>单位</w:t>
      </w:r>
      <w:r>
        <w:rPr>
          <w:rStyle w:val="afff6"/>
        </w:rPr>
        <w:t>：</w:t>
      </w:r>
      <w:sdt>
        <w:sdtPr>
          <w:rPr>
            <w:rStyle w:val="afff6"/>
          </w:rPr>
          <w:alias w:val="单位：前十名有限售条件股东持股数量及限售条件"/>
          <w:tag w:val="_GBC_ccabf48d11fc4d67b71762bd50ae5faf"/>
          <w:id w:val="-737854598"/>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Style w:val="afff6"/>
          </w:rPr>
        </w:sdtEndPr>
        <w:sdtContent>
          <w:r>
            <w:rPr>
              <w:rStyle w:val="afff6"/>
            </w:rPr>
            <w:t>股</w:t>
          </w:r>
        </w:sdtContent>
      </w:sdt>
    </w:p>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636"/>
        <w:gridCol w:w="1207"/>
        <w:gridCol w:w="1699"/>
        <w:gridCol w:w="2126"/>
        <w:gridCol w:w="1558"/>
        <w:gridCol w:w="1597"/>
      </w:tblGrid>
      <w:tr w:rsidR="004A3868">
        <w:trPr>
          <w:cantSplit/>
          <w:trHeight w:val="397"/>
          <w:jc w:val="center"/>
        </w:trPr>
        <w:sdt>
          <w:sdtPr>
            <w:rPr>
              <w:sz w:val="18"/>
              <w:szCs w:val="18"/>
            </w:rPr>
            <w:tag w:val="_PLD_d6b46c3e64c74877a86ed16591d841cb"/>
            <w:id w:val="355925477"/>
          </w:sdtPr>
          <w:sdtEndPr/>
          <w:sdtContent>
            <w:tc>
              <w:tcPr>
                <w:tcW w:w="360" w:type="pct"/>
                <w:vMerge w:val="restart"/>
                <w:shd w:val="clear" w:color="auto" w:fill="auto"/>
                <w:vAlign w:val="center"/>
              </w:tcPr>
              <w:p w:rsidR="004A3868" w:rsidRDefault="003F1AB5">
                <w:pPr>
                  <w:rPr>
                    <w:sz w:val="18"/>
                    <w:szCs w:val="18"/>
                  </w:rPr>
                </w:pPr>
                <w:r>
                  <w:rPr>
                    <w:sz w:val="18"/>
                    <w:szCs w:val="18"/>
                  </w:rPr>
                  <w:t>序号</w:t>
                </w:r>
              </w:p>
            </w:tc>
          </w:sdtContent>
        </w:sdt>
        <w:sdt>
          <w:sdtPr>
            <w:rPr>
              <w:sz w:val="18"/>
              <w:szCs w:val="18"/>
            </w:rPr>
            <w:tag w:val="_PLD_158549a651c94037ae0e8f138b766d22"/>
            <w:id w:val="-1249655901"/>
          </w:sdtPr>
          <w:sdtEndPr/>
          <w:sdtContent>
            <w:tc>
              <w:tcPr>
                <w:tcW w:w="683" w:type="pct"/>
                <w:vMerge w:val="restart"/>
                <w:shd w:val="clear" w:color="auto" w:fill="auto"/>
                <w:vAlign w:val="center"/>
              </w:tcPr>
              <w:p w:rsidR="004A3868" w:rsidRDefault="003F1AB5">
                <w:pPr>
                  <w:jc w:val="center"/>
                  <w:rPr>
                    <w:sz w:val="18"/>
                    <w:szCs w:val="18"/>
                  </w:rPr>
                </w:pPr>
                <w:r>
                  <w:rPr>
                    <w:sz w:val="18"/>
                    <w:szCs w:val="18"/>
                  </w:rPr>
                  <w:t>有限售条件股东名称</w:t>
                </w:r>
              </w:p>
            </w:tc>
          </w:sdtContent>
        </w:sdt>
        <w:sdt>
          <w:sdtPr>
            <w:rPr>
              <w:sz w:val="18"/>
              <w:szCs w:val="18"/>
            </w:rPr>
            <w:tag w:val="_PLD_367a1586e9074c6791b647b1d91d08f0"/>
            <w:id w:val="-1337686768"/>
          </w:sdtPr>
          <w:sdtEndPr/>
          <w:sdtContent>
            <w:tc>
              <w:tcPr>
                <w:tcW w:w="963" w:type="pct"/>
                <w:vMerge w:val="restart"/>
                <w:shd w:val="clear" w:color="auto" w:fill="auto"/>
                <w:vAlign w:val="center"/>
              </w:tcPr>
              <w:p w:rsidR="004A3868" w:rsidRDefault="003F1AB5">
                <w:pPr>
                  <w:jc w:val="center"/>
                  <w:rPr>
                    <w:sz w:val="18"/>
                    <w:szCs w:val="18"/>
                  </w:rPr>
                </w:pPr>
                <w:r>
                  <w:rPr>
                    <w:sz w:val="18"/>
                    <w:szCs w:val="18"/>
                  </w:rPr>
                  <w:t>持有的有限售条件股份数量</w:t>
                </w:r>
              </w:p>
            </w:tc>
          </w:sdtContent>
        </w:sdt>
        <w:sdt>
          <w:sdtPr>
            <w:rPr>
              <w:sz w:val="18"/>
              <w:szCs w:val="18"/>
            </w:rPr>
            <w:tag w:val="_PLD_5fb0b4bcfdf54b5e822c8e6186b6a7d2"/>
            <w:id w:val="113099601"/>
          </w:sdtPr>
          <w:sdtEndPr/>
          <w:sdtContent>
            <w:tc>
              <w:tcPr>
                <w:tcW w:w="2088" w:type="pct"/>
                <w:gridSpan w:val="2"/>
                <w:shd w:val="clear" w:color="auto" w:fill="auto"/>
                <w:vAlign w:val="center"/>
              </w:tcPr>
              <w:p w:rsidR="004A3868" w:rsidRDefault="003F1AB5">
                <w:pPr>
                  <w:jc w:val="center"/>
                  <w:rPr>
                    <w:sz w:val="18"/>
                    <w:szCs w:val="18"/>
                  </w:rPr>
                </w:pPr>
                <w:r>
                  <w:rPr>
                    <w:sz w:val="18"/>
                    <w:szCs w:val="18"/>
                  </w:rPr>
                  <w:t>有限售条件股份可上市交易情况</w:t>
                </w:r>
              </w:p>
            </w:tc>
          </w:sdtContent>
        </w:sdt>
        <w:sdt>
          <w:sdtPr>
            <w:rPr>
              <w:sz w:val="18"/>
              <w:szCs w:val="18"/>
            </w:rPr>
            <w:tag w:val="_PLD_54c0ff189b7843d9a5ae49ddbb583e3d"/>
            <w:id w:val="1364940159"/>
          </w:sdtPr>
          <w:sdtEndPr/>
          <w:sdtContent>
            <w:tc>
              <w:tcPr>
                <w:tcW w:w="906" w:type="pct"/>
                <w:vMerge w:val="restart"/>
                <w:shd w:val="clear" w:color="auto" w:fill="auto"/>
                <w:vAlign w:val="center"/>
              </w:tcPr>
              <w:p w:rsidR="004A3868" w:rsidRDefault="003F1AB5">
                <w:pPr>
                  <w:jc w:val="center"/>
                  <w:rPr>
                    <w:sz w:val="18"/>
                    <w:szCs w:val="18"/>
                  </w:rPr>
                </w:pPr>
                <w:r>
                  <w:rPr>
                    <w:sz w:val="18"/>
                    <w:szCs w:val="18"/>
                  </w:rPr>
                  <w:t>限售条件</w:t>
                </w:r>
              </w:p>
            </w:tc>
          </w:sdtContent>
        </w:sdt>
      </w:tr>
      <w:tr w:rsidR="004A3868">
        <w:trPr>
          <w:cantSplit/>
          <w:trHeight w:val="397"/>
          <w:jc w:val="center"/>
        </w:trPr>
        <w:tc>
          <w:tcPr>
            <w:tcW w:w="360" w:type="pct"/>
            <w:vMerge/>
            <w:shd w:val="clear" w:color="auto" w:fill="auto"/>
            <w:vAlign w:val="center"/>
          </w:tcPr>
          <w:p w:rsidR="004A3868" w:rsidRDefault="004A3868">
            <w:pPr>
              <w:rPr>
                <w:sz w:val="18"/>
                <w:szCs w:val="18"/>
              </w:rPr>
            </w:pPr>
          </w:p>
        </w:tc>
        <w:tc>
          <w:tcPr>
            <w:tcW w:w="683" w:type="pct"/>
            <w:vMerge/>
            <w:shd w:val="clear" w:color="auto" w:fill="auto"/>
            <w:vAlign w:val="center"/>
          </w:tcPr>
          <w:p w:rsidR="004A3868" w:rsidRDefault="004A3868">
            <w:pPr>
              <w:jc w:val="center"/>
              <w:rPr>
                <w:sz w:val="18"/>
                <w:szCs w:val="18"/>
              </w:rPr>
            </w:pPr>
          </w:p>
        </w:tc>
        <w:tc>
          <w:tcPr>
            <w:tcW w:w="963" w:type="pct"/>
            <w:vMerge/>
            <w:shd w:val="clear" w:color="auto" w:fill="auto"/>
            <w:vAlign w:val="center"/>
          </w:tcPr>
          <w:p w:rsidR="004A3868" w:rsidRDefault="004A3868">
            <w:pPr>
              <w:jc w:val="center"/>
              <w:rPr>
                <w:sz w:val="18"/>
                <w:szCs w:val="18"/>
              </w:rPr>
            </w:pPr>
          </w:p>
        </w:tc>
        <w:sdt>
          <w:sdtPr>
            <w:rPr>
              <w:sz w:val="18"/>
              <w:szCs w:val="18"/>
            </w:rPr>
            <w:tag w:val="_PLD_8b19569e4d664678885f9348aa052bc0"/>
            <w:id w:val="859472893"/>
          </w:sdtPr>
          <w:sdtEndPr/>
          <w:sdtContent>
            <w:tc>
              <w:tcPr>
                <w:tcW w:w="1205" w:type="pct"/>
                <w:shd w:val="clear" w:color="auto" w:fill="auto"/>
                <w:vAlign w:val="center"/>
              </w:tcPr>
              <w:p w:rsidR="004A3868" w:rsidRDefault="003F1AB5">
                <w:pPr>
                  <w:jc w:val="center"/>
                  <w:rPr>
                    <w:sz w:val="18"/>
                    <w:szCs w:val="18"/>
                  </w:rPr>
                </w:pPr>
                <w:r>
                  <w:rPr>
                    <w:sz w:val="18"/>
                    <w:szCs w:val="18"/>
                  </w:rPr>
                  <w:t>可上市交易时间</w:t>
                </w:r>
              </w:p>
            </w:tc>
          </w:sdtContent>
        </w:sdt>
        <w:sdt>
          <w:sdtPr>
            <w:rPr>
              <w:sz w:val="18"/>
              <w:szCs w:val="18"/>
            </w:rPr>
            <w:tag w:val="_PLD_1b5fddbd7f52465db9e65269733ef622"/>
            <w:id w:val="-532035777"/>
          </w:sdtPr>
          <w:sdtEndPr/>
          <w:sdtContent>
            <w:tc>
              <w:tcPr>
                <w:tcW w:w="883" w:type="pct"/>
                <w:shd w:val="clear" w:color="auto" w:fill="auto"/>
                <w:vAlign w:val="center"/>
              </w:tcPr>
              <w:p w:rsidR="004A3868" w:rsidRDefault="003F1AB5">
                <w:pPr>
                  <w:jc w:val="center"/>
                  <w:rPr>
                    <w:sz w:val="18"/>
                    <w:szCs w:val="18"/>
                  </w:rPr>
                </w:pPr>
                <w:r>
                  <w:rPr>
                    <w:sz w:val="18"/>
                    <w:szCs w:val="18"/>
                  </w:rPr>
                  <w:t>新增可上市交易股份数量</w:t>
                </w:r>
              </w:p>
            </w:tc>
          </w:sdtContent>
        </w:sdt>
        <w:tc>
          <w:tcPr>
            <w:tcW w:w="906" w:type="pct"/>
            <w:vMerge/>
            <w:shd w:val="clear" w:color="auto" w:fill="auto"/>
            <w:vAlign w:val="center"/>
          </w:tcPr>
          <w:p w:rsidR="004A3868" w:rsidRDefault="004A3868">
            <w:pPr>
              <w:jc w:val="center"/>
              <w:rPr>
                <w:sz w:val="18"/>
                <w:szCs w:val="18"/>
              </w:rPr>
            </w:pPr>
          </w:p>
        </w:tc>
      </w:tr>
      <w:tr w:rsidR="004A3868">
        <w:trPr>
          <w:cantSplit/>
          <w:trHeight w:val="397"/>
          <w:jc w:val="center"/>
        </w:trPr>
        <w:tc>
          <w:tcPr>
            <w:tcW w:w="360" w:type="pct"/>
            <w:shd w:val="clear" w:color="auto" w:fill="auto"/>
            <w:vAlign w:val="center"/>
          </w:tcPr>
          <w:p w:rsidR="004A3868" w:rsidRDefault="003F1AB5">
            <w:pPr>
              <w:pStyle w:val="ab"/>
            </w:pPr>
            <w:r>
              <w:t>1</w:t>
            </w:r>
          </w:p>
        </w:tc>
        <w:tc>
          <w:tcPr>
            <w:tcW w:w="683" w:type="pct"/>
            <w:shd w:val="clear" w:color="auto" w:fill="auto"/>
            <w:vAlign w:val="center"/>
          </w:tcPr>
          <w:p w:rsidR="004A3868" w:rsidRDefault="003F1AB5">
            <w:pPr>
              <w:rPr>
                <w:sz w:val="18"/>
                <w:szCs w:val="18"/>
              </w:rPr>
            </w:pPr>
            <w:r>
              <w:rPr>
                <w:rFonts w:hint="eastAsia"/>
                <w:sz w:val="18"/>
                <w:szCs w:val="18"/>
              </w:rPr>
              <w:t>杨泽民</w:t>
            </w:r>
          </w:p>
        </w:tc>
        <w:tc>
          <w:tcPr>
            <w:tcW w:w="963" w:type="pct"/>
            <w:shd w:val="clear" w:color="auto" w:fill="auto"/>
            <w:vAlign w:val="bottom"/>
          </w:tcPr>
          <w:p w:rsidR="004A3868" w:rsidRDefault="003F1AB5">
            <w:pPr>
              <w:jc w:val="right"/>
              <w:rPr>
                <w:sz w:val="18"/>
                <w:szCs w:val="18"/>
              </w:rPr>
            </w:pPr>
            <w:r>
              <w:rPr>
                <w:rFonts w:hint="eastAsia"/>
                <w:sz w:val="18"/>
                <w:szCs w:val="18"/>
              </w:rPr>
              <w:t>52,618,391</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52,618,391</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lastRenderedPageBreak/>
              <w:t>2</w:t>
            </w:r>
          </w:p>
        </w:tc>
        <w:tc>
          <w:tcPr>
            <w:tcW w:w="683" w:type="pct"/>
            <w:shd w:val="clear" w:color="auto" w:fill="auto"/>
            <w:vAlign w:val="center"/>
          </w:tcPr>
          <w:p w:rsidR="004A3868" w:rsidRDefault="003F1AB5">
            <w:pPr>
              <w:rPr>
                <w:sz w:val="18"/>
                <w:szCs w:val="18"/>
              </w:rPr>
            </w:pPr>
            <w:r>
              <w:rPr>
                <w:rFonts w:hint="eastAsia"/>
                <w:sz w:val="18"/>
                <w:szCs w:val="18"/>
              </w:rPr>
              <w:t>秦惠兰</w:t>
            </w:r>
          </w:p>
        </w:tc>
        <w:tc>
          <w:tcPr>
            <w:tcW w:w="963" w:type="pct"/>
            <w:shd w:val="clear" w:color="auto" w:fill="auto"/>
            <w:vAlign w:val="bottom"/>
          </w:tcPr>
          <w:p w:rsidR="004A3868" w:rsidRDefault="003F1AB5">
            <w:pPr>
              <w:jc w:val="right"/>
              <w:rPr>
                <w:sz w:val="18"/>
                <w:szCs w:val="18"/>
              </w:rPr>
            </w:pPr>
            <w:r>
              <w:rPr>
                <w:rFonts w:hint="eastAsia"/>
                <w:sz w:val="18"/>
                <w:szCs w:val="18"/>
              </w:rPr>
              <w:t>40,172,100</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40,172,100</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t>3</w:t>
            </w:r>
          </w:p>
        </w:tc>
        <w:tc>
          <w:tcPr>
            <w:tcW w:w="683" w:type="pct"/>
            <w:shd w:val="clear" w:color="auto" w:fill="auto"/>
            <w:vAlign w:val="center"/>
          </w:tcPr>
          <w:p w:rsidR="004A3868" w:rsidRDefault="003F1AB5">
            <w:pPr>
              <w:rPr>
                <w:sz w:val="18"/>
                <w:szCs w:val="18"/>
              </w:rPr>
            </w:pPr>
            <w:r>
              <w:rPr>
                <w:rFonts w:hint="eastAsia"/>
                <w:sz w:val="18"/>
                <w:szCs w:val="18"/>
              </w:rPr>
              <w:t>杨耀</w:t>
            </w:r>
          </w:p>
        </w:tc>
        <w:tc>
          <w:tcPr>
            <w:tcW w:w="963" w:type="pct"/>
            <w:shd w:val="clear" w:color="auto" w:fill="auto"/>
            <w:vAlign w:val="bottom"/>
          </w:tcPr>
          <w:p w:rsidR="004A3868" w:rsidRDefault="003F1AB5">
            <w:pPr>
              <w:jc w:val="right"/>
              <w:rPr>
                <w:sz w:val="18"/>
                <w:szCs w:val="18"/>
              </w:rPr>
            </w:pPr>
            <w:r>
              <w:rPr>
                <w:rFonts w:hint="eastAsia"/>
                <w:sz w:val="18"/>
                <w:szCs w:val="18"/>
              </w:rPr>
              <w:t>18,000,050</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18,000,050</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t>4</w:t>
            </w:r>
          </w:p>
        </w:tc>
        <w:tc>
          <w:tcPr>
            <w:tcW w:w="683" w:type="pct"/>
            <w:shd w:val="clear" w:color="auto" w:fill="auto"/>
            <w:vAlign w:val="center"/>
          </w:tcPr>
          <w:p w:rsidR="004A3868" w:rsidRDefault="003F1AB5">
            <w:pPr>
              <w:rPr>
                <w:sz w:val="18"/>
                <w:szCs w:val="18"/>
              </w:rPr>
            </w:pPr>
            <w:r>
              <w:rPr>
                <w:rFonts w:hint="eastAsia"/>
                <w:sz w:val="18"/>
                <w:szCs w:val="18"/>
              </w:rPr>
              <w:t>杨秦</w:t>
            </w:r>
          </w:p>
        </w:tc>
        <w:tc>
          <w:tcPr>
            <w:tcW w:w="963" w:type="pct"/>
            <w:shd w:val="clear" w:color="auto" w:fill="auto"/>
            <w:vAlign w:val="bottom"/>
          </w:tcPr>
          <w:p w:rsidR="004A3868" w:rsidRDefault="003F1AB5">
            <w:pPr>
              <w:jc w:val="right"/>
              <w:rPr>
                <w:sz w:val="18"/>
                <w:szCs w:val="18"/>
              </w:rPr>
            </w:pPr>
            <w:r>
              <w:rPr>
                <w:rFonts w:hint="eastAsia"/>
                <w:sz w:val="18"/>
                <w:szCs w:val="18"/>
              </w:rPr>
              <w:t>18,000,000</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18,000,000</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t>5</w:t>
            </w:r>
          </w:p>
        </w:tc>
        <w:tc>
          <w:tcPr>
            <w:tcW w:w="683" w:type="pct"/>
            <w:shd w:val="clear" w:color="auto" w:fill="auto"/>
            <w:vAlign w:val="center"/>
          </w:tcPr>
          <w:p w:rsidR="004A3868" w:rsidRDefault="003F1AB5">
            <w:pPr>
              <w:rPr>
                <w:sz w:val="18"/>
                <w:szCs w:val="18"/>
              </w:rPr>
            </w:pPr>
            <w:r>
              <w:rPr>
                <w:rFonts w:hint="eastAsia"/>
                <w:sz w:val="18"/>
                <w:szCs w:val="18"/>
              </w:rPr>
              <w:t>杨厚群</w:t>
            </w:r>
          </w:p>
        </w:tc>
        <w:tc>
          <w:tcPr>
            <w:tcW w:w="963" w:type="pct"/>
            <w:shd w:val="clear" w:color="auto" w:fill="auto"/>
            <w:vAlign w:val="bottom"/>
          </w:tcPr>
          <w:p w:rsidR="004A3868" w:rsidRDefault="003F1AB5">
            <w:pPr>
              <w:jc w:val="right"/>
              <w:rPr>
                <w:sz w:val="18"/>
                <w:szCs w:val="18"/>
              </w:rPr>
            </w:pPr>
            <w:r>
              <w:rPr>
                <w:rFonts w:hint="eastAsia"/>
                <w:sz w:val="18"/>
                <w:szCs w:val="18"/>
              </w:rPr>
              <w:t>7,500,000</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7,500,000</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t>6</w:t>
            </w:r>
          </w:p>
        </w:tc>
        <w:tc>
          <w:tcPr>
            <w:tcW w:w="683" w:type="pct"/>
            <w:shd w:val="clear" w:color="auto" w:fill="auto"/>
            <w:vAlign w:val="center"/>
          </w:tcPr>
          <w:p w:rsidR="004A3868" w:rsidRDefault="003F1AB5">
            <w:pPr>
              <w:rPr>
                <w:sz w:val="18"/>
                <w:szCs w:val="18"/>
              </w:rPr>
            </w:pPr>
            <w:r>
              <w:rPr>
                <w:rFonts w:hint="eastAsia"/>
                <w:sz w:val="18"/>
                <w:szCs w:val="18"/>
              </w:rPr>
              <w:t>秦勇</w:t>
            </w:r>
          </w:p>
        </w:tc>
        <w:tc>
          <w:tcPr>
            <w:tcW w:w="963" w:type="pct"/>
            <w:shd w:val="clear" w:color="auto" w:fill="auto"/>
            <w:vAlign w:val="bottom"/>
          </w:tcPr>
          <w:p w:rsidR="004A3868" w:rsidRDefault="003F1AB5">
            <w:pPr>
              <w:jc w:val="right"/>
              <w:rPr>
                <w:sz w:val="18"/>
                <w:szCs w:val="18"/>
              </w:rPr>
            </w:pPr>
            <w:r>
              <w:rPr>
                <w:rFonts w:hint="eastAsia"/>
                <w:sz w:val="18"/>
                <w:szCs w:val="18"/>
              </w:rPr>
              <w:t>5,400,000</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5,400,000</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t>7</w:t>
            </w:r>
          </w:p>
        </w:tc>
        <w:tc>
          <w:tcPr>
            <w:tcW w:w="683" w:type="pct"/>
            <w:shd w:val="clear" w:color="auto" w:fill="auto"/>
            <w:vAlign w:val="center"/>
          </w:tcPr>
          <w:p w:rsidR="004A3868" w:rsidRDefault="003F1AB5">
            <w:pPr>
              <w:rPr>
                <w:sz w:val="18"/>
                <w:szCs w:val="18"/>
              </w:rPr>
            </w:pPr>
            <w:r>
              <w:rPr>
                <w:rFonts w:hint="eastAsia"/>
                <w:sz w:val="18"/>
                <w:szCs w:val="18"/>
              </w:rPr>
              <w:t>杨小林</w:t>
            </w:r>
          </w:p>
        </w:tc>
        <w:tc>
          <w:tcPr>
            <w:tcW w:w="963" w:type="pct"/>
            <w:shd w:val="clear" w:color="auto" w:fill="auto"/>
            <w:vAlign w:val="bottom"/>
          </w:tcPr>
          <w:p w:rsidR="004A3868" w:rsidRDefault="003F1AB5">
            <w:pPr>
              <w:jc w:val="right"/>
              <w:rPr>
                <w:sz w:val="18"/>
                <w:szCs w:val="18"/>
              </w:rPr>
            </w:pPr>
            <w:r>
              <w:rPr>
                <w:rFonts w:hint="eastAsia"/>
                <w:sz w:val="18"/>
                <w:szCs w:val="18"/>
              </w:rPr>
              <w:t>1,730,000</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1,730,000</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t>8</w:t>
            </w:r>
          </w:p>
        </w:tc>
        <w:tc>
          <w:tcPr>
            <w:tcW w:w="683" w:type="pct"/>
            <w:shd w:val="clear" w:color="auto" w:fill="auto"/>
            <w:vAlign w:val="center"/>
          </w:tcPr>
          <w:p w:rsidR="004A3868" w:rsidRDefault="003F1AB5">
            <w:pPr>
              <w:rPr>
                <w:sz w:val="18"/>
                <w:szCs w:val="18"/>
              </w:rPr>
            </w:pPr>
            <w:r>
              <w:rPr>
                <w:rFonts w:hint="eastAsia"/>
                <w:sz w:val="18"/>
                <w:szCs w:val="18"/>
              </w:rPr>
              <w:t>皮天彬</w:t>
            </w:r>
          </w:p>
        </w:tc>
        <w:tc>
          <w:tcPr>
            <w:tcW w:w="963" w:type="pct"/>
            <w:shd w:val="clear" w:color="auto" w:fill="auto"/>
            <w:vAlign w:val="bottom"/>
          </w:tcPr>
          <w:p w:rsidR="004A3868" w:rsidRDefault="003F1AB5">
            <w:pPr>
              <w:jc w:val="right"/>
              <w:rPr>
                <w:sz w:val="18"/>
                <w:szCs w:val="18"/>
              </w:rPr>
            </w:pPr>
            <w:r>
              <w:rPr>
                <w:rFonts w:hint="eastAsia"/>
                <w:sz w:val="18"/>
                <w:szCs w:val="18"/>
              </w:rPr>
              <w:t>375,000</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375,000</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t>9</w:t>
            </w:r>
          </w:p>
        </w:tc>
        <w:tc>
          <w:tcPr>
            <w:tcW w:w="683" w:type="pct"/>
            <w:shd w:val="clear" w:color="auto" w:fill="auto"/>
            <w:vAlign w:val="center"/>
          </w:tcPr>
          <w:p w:rsidR="004A3868" w:rsidRDefault="003F1AB5">
            <w:pPr>
              <w:rPr>
                <w:sz w:val="18"/>
                <w:szCs w:val="18"/>
              </w:rPr>
            </w:pPr>
            <w:r>
              <w:rPr>
                <w:rFonts w:hint="eastAsia"/>
                <w:sz w:val="18"/>
                <w:szCs w:val="18"/>
              </w:rPr>
              <w:t>隆志钢</w:t>
            </w:r>
          </w:p>
        </w:tc>
        <w:tc>
          <w:tcPr>
            <w:tcW w:w="963" w:type="pct"/>
            <w:shd w:val="clear" w:color="auto" w:fill="auto"/>
            <w:vAlign w:val="bottom"/>
          </w:tcPr>
          <w:p w:rsidR="004A3868" w:rsidRDefault="003F1AB5">
            <w:pPr>
              <w:jc w:val="right"/>
              <w:rPr>
                <w:sz w:val="18"/>
                <w:szCs w:val="18"/>
              </w:rPr>
            </w:pPr>
            <w:r>
              <w:rPr>
                <w:rFonts w:hint="eastAsia"/>
                <w:sz w:val="18"/>
                <w:szCs w:val="18"/>
              </w:rPr>
              <w:t>116,000</w:t>
            </w:r>
          </w:p>
        </w:tc>
        <w:tc>
          <w:tcPr>
            <w:tcW w:w="1205" w:type="pct"/>
            <w:shd w:val="clear" w:color="auto" w:fill="auto"/>
            <w:vAlign w:val="bottom"/>
          </w:tcPr>
          <w:p w:rsidR="004A3868" w:rsidRDefault="003F1AB5">
            <w:pPr>
              <w:jc w:val="right"/>
              <w:rPr>
                <w:sz w:val="18"/>
                <w:szCs w:val="18"/>
              </w:rPr>
            </w:pPr>
            <w:r>
              <w:rPr>
                <w:rFonts w:hint="eastAsia"/>
                <w:sz w:val="18"/>
                <w:szCs w:val="18"/>
              </w:rPr>
              <w:t>2025.04.28</w:t>
            </w:r>
          </w:p>
        </w:tc>
        <w:tc>
          <w:tcPr>
            <w:tcW w:w="883" w:type="pct"/>
            <w:shd w:val="clear" w:color="auto" w:fill="auto"/>
            <w:vAlign w:val="bottom"/>
          </w:tcPr>
          <w:p w:rsidR="004A3868" w:rsidRDefault="003F1AB5">
            <w:pPr>
              <w:jc w:val="right"/>
              <w:rPr>
                <w:sz w:val="18"/>
                <w:szCs w:val="18"/>
              </w:rPr>
            </w:pPr>
            <w:r>
              <w:rPr>
                <w:rFonts w:hint="eastAsia"/>
                <w:sz w:val="18"/>
                <w:szCs w:val="18"/>
              </w:rPr>
              <w:t>116,000</w:t>
            </w:r>
          </w:p>
        </w:tc>
        <w:tc>
          <w:tcPr>
            <w:tcW w:w="906" w:type="pct"/>
            <w:shd w:val="clear" w:color="auto" w:fill="auto"/>
            <w:vAlign w:val="bottom"/>
          </w:tcPr>
          <w:p w:rsidR="004A3868" w:rsidRDefault="003F1AB5">
            <w:pPr>
              <w:jc w:val="left"/>
              <w:rPr>
                <w:sz w:val="18"/>
                <w:szCs w:val="18"/>
              </w:rPr>
            </w:pPr>
            <w:r>
              <w:rPr>
                <w:rFonts w:hint="eastAsia"/>
                <w:sz w:val="18"/>
                <w:szCs w:val="18"/>
              </w:rPr>
              <w:t>首发限售36个月</w:t>
            </w:r>
          </w:p>
        </w:tc>
      </w:tr>
      <w:tr w:rsidR="004A3868">
        <w:trPr>
          <w:cantSplit/>
          <w:trHeight w:val="397"/>
          <w:jc w:val="center"/>
        </w:trPr>
        <w:tc>
          <w:tcPr>
            <w:tcW w:w="360" w:type="pct"/>
            <w:shd w:val="clear" w:color="auto" w:fill="auto"/>
            <w:vAlign w:val="center"/>
          </w:tcPr>
          <w:p w:rsidR="004A3868" w:rsidRDefault="003F1AB5">
            <w:pPr>
              <w:pStyle w:val="ab"/>
            </w:pPr>
            <w:r>
              <w:t>10</w:t>
            </w:r>
          </w:p>
        </w:tc>
        <w:tc>
          <w:tcPr>
            <w:tcW w:w="683" w:type="pct"/>
            <w:shd w:val="clear" w:color="auto" w:fill="auto"/>
            <w:vAlign w:val="center"/>
          </w:tcPr>
          <w:p w:rsidR="004A3868" w:rsidRDefault="003F1AB5">
            <w:pPr>
              <w:rPr>
                <w:sz w:val="18"/>
                <w:szCs w:val="18"/>
              </w:rPr>
            </w:pPr>
            <w:r>
              <w:rPr>
                <w:rFonts w:hint="eastAsia"/>
                <w:sz w:val="18"/>
                <w:szCs w:val="18"/>
              </w:rPr>
              <w:t>-</w:t>
            </w:r>
          </w:p>
        </w:tc>
        <w:tc>
          <w:tcPr>
            <w:tcW w:w="963" w:type="pct"/>
            <w:shd w:val="clear" w:color="auto" w:fill="auto"/>
            <w:vAlign w:val="center"/>
          </w:tcPr>
          <w:p w:rsidR="004A3868" w:rsidRDefault="003F1AB5">
            <w:pPr>
              <w:rPr>
                <w:sz w:val="18"/>
                <w:szCs w:val="18"/>
              </w:rPr>
            </w:pPr>
            <w:r>
              <w:rPr>
                <w:rFonts w:hint="eastAsia"/>
                <w:sz w:val="18"/>
                <w:szCs w:val="18"/>
              </w:rPr>
              <w:t>-</w:t>
            </w:r>
          </w:p>
        </w:tc>
        <w:tc>
          <w:tcPr>
            <w:tcW w:w="1205" w:type="pct"/>
            <w:shd w:val="clear" w:color="auto" w:fill="auto"/>
            <w:vAlign w:val="center"/>
          </w:tcPr>
          <w:p w:rsidR="004A3868" w:rsidRDefault="003F1AB5">
            <w:pPr>
              <w:rPr>
                <w:sz w:val="18"/>
                <w:szCs w:val="18"/>
              </w:rPr>
            </w:pPr>
            <w:r>
              <w:rPr>
                <w:rFonts w:hint="eastAsia"/>
                <w:sz w:val="18"/>
                <w:szCs w:val="18"/>
              </w:rPr>
              <w:t>-</w:t>
            </w:r>
          </w:p>
        </w:tc>
        <w:tc>
          <w:tcPr>
            <w:tcW w:w="883" w:type="pct"/>
            <w:shd w:val="clear" w:color="auto" w:fill="auto"/>
            <w:vAlign w:val="center"/>
          </w:tcPr>
          <w:p w:rsidR="004A3868" w:rsidRDefault="003F1AB5">
            <w:pPr>
              <w:rPr>
                <w:sz w:val="18"/>
                <w:szCs w:val="18"/>
              </w:rPr>
            </w:pPr>
            <w:r>
              <w:rPr>
                <w:rFonts w:hint="eastAsia"/>
                <w:sz w:val="18"/>
                <w:szCs w:val="18"/>
              </w:rPr>
              <w:t>-</w:t>
            </w:r>
          </w:p>
        </w:tc>
        <w:tc>
          <w:tcPr>
            <w:tcW w:w="906" w:type="pct"/>
            <w:shd w:val="clear" w:color="auto" w:fill="auto"/>
            <w:vAlign w:val="center"/>
          </w:tcPr>
          <w:p w:rsidR="004A3868" w:rsidRDefault="003F1AB5">
            <w:pPr>
              <w:rPr>
                <w:sz w:val="18"/>
                <w:szCs w:val="18"/>
              </w:rPr>
            </w:pPr>
            <w:r>
              <w:rPr>
                <w:rFonts w:hint="eastAsia"/>
                <w:sz w:val="18"/>
                <w:szCs w:val="18"/>
              </w:rPr>
              <w:t>-</w:t>
            </w:r>
          </w:p>
        </w:tc>
      </w:tr>
      <w:tr w:rsidR="004A3868">
        <w:trPr>
          <w:cantSplit/>
          <w:trHeight w:val="397"/>
          <w:jc w:val="center"/>
        </w:trPr>
        <w:tc>
          <w:tcPr>
            <w:tcW w:w="1044" w:type="pct"/>
            <w:gridSpan w:val="2"/>
            <w:shd w:val="clear" w:color="auto" w:fill="auto"/>
            <w:vAlign w:val="center"/>
          </w:tcPr>
          <w:p w:rsidR="004A3868" w:rsidRDefault="003F1AB5">
            <w:pPr>
              <w:rPr>
                <w:sz w:val="18"/>
                <w:szCs w:val="18"/>
              </w:rPr>
            </w:pPr>
            <w:r>
              <w:rPr>
                <w:rFonts w:hint="eastAsia"/>
                <w:sz w:val="18"/>
                <w:szCs w:val="18"/>
              </w:rPr>
              <w:t>上述股东关联关系或一致行动的说明</w:t>
            </w:r>
          </w:p>
        </w:tc>
        <w:tc>
          <w:tcPr>
            <w:tcW w:w="3956" w:type="pct"/>
            <w:gridSpan w:val="4"/>
            <w:shd w:val="clear" w:color="auto" w:fill="auto"/>
            <w:vAlign w:val="center"/>
          </w:tcPr>
          <w:p w:rsidR="004A3868" w:rsidRDefault="003F1AB5">
            <w:pPr>
              <w:rPr>
                <w:sz w:val="18"/>
                <w:szCs w:val="18"/>
              </w:rPr>
            </w:pPr>
            <w:r>
              <w:rPr>
                <w:rFonts w:hint="eastAsia"/>
                <w:sz w:val="18"/>
                <w:szCs w:val="18"/>
              </w:rPr>
              <w:t>上述股东中杨泽民、秦惠兰、杨耀与杨秦系一致行动人，杨泽民与秦惠兰系夫妻关系，其女杨秦与其子杨耀系姐弟关系，杨泽民与杨小林、杨厚群系兄弟妹关系，秦惠兰与秦勇系姐妹关系，秦勇与隆志钢系夫妻关系，皮天彬与杨秦系公媳关系。除此之外，公司未知上述股东是否存在关联关系，也未知上述股东之间是否属于《上市公司收购管理办法》规定的一致行动人。</w:t>
            </w:r>
          </w:p>
        </w:tc>
      </w:tr>
    </w:tbl>
    <w:p w:rsidR="004A3868" w:rsidRDefault="003F1AB5">
      <w:pPr>
        <w:pStyle w:val="Style127"/>
        <w:numPr>
          <w:ilvl w:val="1"/>
          <w:numId w:val="53"/>
        </w:numPr>
      </w:pPr>
      <w:r>
        <w:t>战略投资者或一般法人因配售新股成为前</w:t>
      </w:r>
      <w:r>
        <w:t>10</w:t>
      </w:r>
      <w:r>
        <w:t>名股东</w:t>
      </w:r>
    </w:p>
    <w:bookmarkEnd w:id="99" w:displacedByCustomXml="next"/>
    <w:sdt>
      <w:sdtPr>
        <w:alias w:val="是否适用：战略投资者或一般法人因配售新股成为前10名股东[双击切换]"/>
        <w:tag w:val="_GBC_f3c63aafb8134fdcbdeb39fd33c2cd8d"/>
        <w:id w:val="86001369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2"/>
        <w:numPr>
          <w:ilvl w:val="0"/>
          <w:numId w:val="49"/>
        </w:numPr>
      </w:pPr>
      <w:r>
        <w:rPr>
          <w:rFonts w:hint="eastAsia"/>
        </w:rPr>
        <w:t>控股股东及实际控制人情况</w:t>
      </w:r>
    </w:p>
    <w:p w:rsidR="004A3868" w:rsidRDefault="003F1AB5">
      <w:pPr>
        <w:pStyle w:val="Style127"/>
        <w:numPr>
          <w:ilvl w:val="0"/>
          <w:numId w:val="54"/>
        </w:numPr>
      </w:pPr>
      <w:r>
        <w:t>控股股东情况</w:t>
      </w:r>
    </w:p>
    <w:p w:rsidR="004A3868" w:rsidRDefault="003F1AB5">
      <w:pPr>
        <w:pStyle w:val="4"/>
        <w:numPr>
          <w:ilvl w:val="0"/>
          <w:numId w:val="55"/>
        </w:numPr>
      </w:pPr>
      <w:r>
        <w:t>法人</w:t>
      </w:r>
    </w:p>
    <w:sdt>
      <w:sdtPr>
        <w:alias w:val="是否适用：法人_控股股东情况[双击切换]"/>
        <w:tag w:val="_GBC_eab2d7c8478645dbae996b49d203b0d9"/>
        <w:id w:val="157971551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4"/>
        <w:numPr>
          <w:ilvl w:val="0"/>
          <w:numId w:val="55"/>
        </w:numPr>
      </w:pPr>
      <w:r>
        <w:t>自然人</w:t>
      </w:r>
    </w:p>
    <w:sdt>
      <w:sdtPr>
        <w:alias w:val="是否适用：自然人_控股股东情况[双击切换]"/>
        <w:tag w:val="_GBC_050e33c59070475b9b048117126cc6ba"/>
        <w:id w:val="143825065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5"/>
        <w:tblW w:w="5000" w:type="pct"/>
        <w:jc w:val="center"/>
        <w:tblLayout w:type="fixed"/>
        <w:tblCellMar>
          <w:left w:w="0" w:type="dxa"/>
          <w:right w:w="28" w:type="dxa"/>
        </w:tblCellMar>
        <w:tblLook w:val="04A0" w:firstRow="1" w:lastRow="0" w:firstColumn="1" w:lastColumn="0" w:noHBand="0" w:noVBand="1"/>
      </w:tblPr>
      <w:tblGrid>
        <w:gridCol w:w="3904"/>
        <w:gridCol w:w="4919"/>
      </w:tblGrid>
      <w:tr w:rsidR="004A3868">
        <w:trPr>
          <w:trHeight w:val="397"/>
          <w:jc w:val="center"/>
        </w:trPr>
        <w:sdt>
          <w:sdtPr>
            <w:tag w:val="_PLD_03439092ce5a4b60ae749dbfc542870d"/>
            <w:id w:val="1367099463"/>
          </w:sdtPr>
          <w:sdtEndPr/>
          <w:sdtContent>
            <w:tc>
              <w:tcPr>
                <w:tcW w:w="4390" w:type="dxa"/>
                <w:vAlign w:val="center"/>
              </w:tcPr>
              <w:p w:rsidR="004A3868" w:rsidRDefault="003F1AB5">
                <w:pPr>
                  <w:pStyle w:val="afffb"/>
                </w:pPr>
                <w:r>
                  <w:rPr>
                    <w:rFonts w:hint="eastAsia"/>
                  </w:rPr>
                  <w:t>姓名</w:t>
                </w:r>
              </w:p>
            </w:tc>
          </w:sdtContent>
        </w:sdt>
        <w:tc>
          <w:tcPr>
            <w:tcW w:w="5533" w:type="dxa"/>
            <w:vAlign w:val="center"/>
          </w:tcPr>
          <w:p w:rsidR="004A3868" w:rsidRDefault="003F1AB5">
            <w:pPr>
              <w:pStyle w:val="afffb"/>
            </w:pPr>
            <w:r>
              <w:rPr>
                <w:rFonts w:hint="eastAsia"/>
              </w:rPr>
              <w:t>杨泽民</w:t>
            </w:r>
          </w:p>
        </w:tc>
      </w:tr>
      <w:tr w:rsidR="004A3868">
        <w:trPr>
          <w:trHeight w:val="397"/>
          <w:jc w:val="center"/>
        </w:trPr>
        <w:tc>
          <w:tcPr>
            <w:tcW w:w="4390" w:type="dxa"/>
            <w:vAlign w:val="center"/>
          </w:tcPr>
          <w:p w:rsidR="004A3868" w:rsidRDefault="003F1AB5">
            <w:pPr>
              <w:pStyle w:val="afffb"/>
            </w:pPr>
            <w:r>
              <w:rPr>
                <w:rFonts w:hint="eastAsia"/>
              </w:rPr>
              <w:t>国籍</w:t>
            </w:r>
          </w:p>
        </w:tc>
        <w:tc>
          <w:tcPr>
            <w:tcW w:w="5533" w:type="dxa"/>
            <w:vAlign w:val="center"/>
          </w:tcPr>
          <w:p w:rsidR="004A3868" w:rsidRDefault="003F1AB5">
            <w:pPr>
              <w:pStyle w:val="afffb"/>
            </w:pPr>
            <w:r>
              <w:rPr>
                <w:rFonts w:hint="eastAsia"/>
              </w:rPr>
              <w:t>中国</w:t>
            </w:r>
          </w:p>
        </w:tc>
      </w:tr>
      <w:tr w:rsidR="004A3868">
        <w:trPr>
          <w:trHeight w:val="397"/>
          <w:jc w:val="center"/>
        </w:trPr>
        <w:tc>
          <w:tcPr>
            <w:tcW w:w="4390" w:type="dxa"/>
            <w:vAlign w:val="center"/>
          </w:tcPr>
          <w:p w:rsidR="004A3868" w:rsidRDefault="003F1AB5">
            <w:pPr>
              <w:pStyle w:val="afffb"/>
            </w:pPr>
            <w:r>
              <w:rPr>
                <w:rFonts w:hint="eastAsia"/>
              </w:rPr>
              <w:t>是否取得其他国家或地区居留权</w:t>
            </w:r>
          </w:p>
        </w:tc>
        <w:tc>
          <w:tcPr>
            <w:tcW w:w="5533" w:type="dxa"/>
            <w:vAlign w:val="center"/>
          </w:tcPr>
          <w:p w:rsidR="004A3868" w:rsidRDefault="003F1AB5">
            <w:pPr>
              <w:pStyle w:val="afffb"/>
            </w:pPr>
            <w:r>
              <w:rPr>
                <w:rFonts w:hint="eastAsia"/>
              </w:rPr>
              <w:t>否</w:t>
            </w:r>
          </w:p>
        </w:tc>
      </w:tr>
      <w:tr w:rsidR="004A3868">
        <w:trPr>
          <w:trHeight w:val="397"/>
          <w:jc w:val="center"/>
        </w:trPr>
        <w:tc>
          <w:tcPr>
            <w:tcW w:w="4390" w:type="dxa"/>
            <w:vAlign w:val="center"/>
          </w:tcPr>
          <w:p w:rsidR="004A3868" w:rsidRDefault="003F1AB5">
            <w:pPr>
              <w:pStyle w:val="afffb"/>
            </w:pPr>
            <w:r>
              <w:rPr>
                <w:rFonts w:hint="eastAsia"/>
              </w:rPr>
              <w:t>主要</w:t>
            </w:r>
            <w:r>
              <w:t>职业及职务</w:t>
            </w:r>
          </w:p>
        </w:tc>
        <w:tc>
          <w:tcPr>
            <w:tcW w:w="5533" w:type="dxa"/>
            <w:vAlign w:val="center"/>
          </w:tcPr>
          <w:p w:rsidR="004A3868" w:rsidRDefault="003F1AB5">
            <w:pPr>
              <w:pStyle w:val="afffb"/>
            </w:pPr>
            <w:r>
              <w:rPr>
                <w:rFonts w:hint="eastAsia"/>
              </w:rPr>
              <w:t>董事长兼总经理</w:t>
            </w:r>
          </w:p>
        </w:tc>
      </w:tr>
      <w:tr w:rsidR="004A3868">
        <w:trPr>
          <w:trHeight w:val="397"/>
          <w:jc w:val="center"/>
        </w:trPr>
        <w:tc>
          <w:tcPr>
            <w:tcW w:w="4390" w:type="dxa"/>
            <w:vAlign w:val="center"/>
          </w:tcPr>
          <w:p w:rsidR="004A3868" w:rsidRDefault="003F1AB5">
            <w:pPr>
              <w:pStyle w:val="afffb"/>
            </w:pPr>
            <w:r>
              <w:rPr>
                <w:rFonts w:hint="eastAsia"/>
              </w:rPr>
              <w:t>姓名</w:t>
            </w:r>
          </w:p>
        </w:tc>
        <w:tc>
          <w:tcPr>
            <w:tcW w:w="5533" w:type="dxa"/>
            <w:vAlign w:val="center"/>
          </w:tcPr>
          <w:p w:rsidR="004A3868" w:rsidRDefault="003F1AB5">
            <w:pPr>
              <w:pStyle w:val="afffb"/>
            </w:pPr>
            <w:r>
              <w:rPr>
                <w:rFonts w:hint="eastAsia"/>
              </w:rPr>
              <w:t>秦惠兰</w:t>
            </w:r>
          </w:p>
        </w:tc>
      </w:tr>
      <w:tr w:rsidR="004A3868">
        <w:trPr>
          <w:trHeight w:val="397"/>
          <w:jc w:val="center"/>
        </w:trPr>
        <w:tc>
          <w:tcPr>
            <w:tcW w:w="4390" w:type="dxa"/>
            <w:vAlign w:val="center"/>
          </w:tcPr>
          <w:p w:rsidR="004A3868" w:rsidRDefault="003F1AB5">
            <w:pPr>
              <w:pStyle w:val="afffb"/>
            </w:pPr>
            <w:r>
              <w:rPr>
                <w:rFonts w:hint="eastAsia"/>
              </w:rPr>
              <w:t>国籍</w:t>
            </w:r>
          </w:p>
        </w:tc>
        <w:tc>
          <w:tcPr>
            <w:tcW w:w="5533" w:type="dxa"/>
            <w:vAlign w:val="center"/>
          </w:tcPr>
          <w:p w:rsidR="004A3868" w:rsidRDefault="003F1AB5">
            <w:pPr>
              <w:pStyle w:val="afffb"/>
            </w:pPr>
            <w:r>
              <w:rPr>
                <w:rFonts w:hint="eastAsia"/>
              </w:rPr>
              <w:t>中国</w:t>
            </w:r>
          </w:p>
        </w:tc>
      </w:tr>
      <w:tr w:rsidR="004A3868">
        <w:trPr>
          <w:trHeight w:val="397"/>
          <w:jc w:val="center"/>
        </w:trPr>
        <w:tc>
          <w:tcPr>
            <w:tcW w:w="4390" w:type="dxa"/>
            <w:vAlign w:val="center"/>
          </w:tcPr>
          <w:p w:rsidR="004A3868" w:rsidRDefault="003F1AB5">
            <w:pPr>
              <w:pStyle w:val="afffb"/>
            </w:pPr>
            <w:r>
              <w:rPr>
                <w:rFonts w:hint="eastAsia"/>
              </w:rPr>
              <w:t>是否取得其他国家或地区居留权</w:t>
            </w:r>
          </w:p>
        </w:tc>
        <w:tc>
          <w:tcPr>
            <w:tcW w:w="5533" w:type="dxa"/>
            <w:vAlign w:val="center"/>
          </w:tcPr>
          <w:p w:rsidR="004A3868" w:rsidRDefault="003F1AB5">
            <w:pPr>
              <w:pStyle w:val="afffb"/>
            </w:pPr>
            <w:r>
              <w:rPr>
                <w:rFonts w:hint="eastAsia"/>
              </w:rPr>
              <w:t>否</w:t>
            </w:r>
          </w:p>
        </w:tc>
      </w:tr>
      <w:tr w:rsidR="004A3868">
        <w:trPr>
          <w:trHeight w:val="397"/>
          <w:jc w:val="center"/>
        </w:trPr>
        <w:tc>
          <w:tcPr>
            <w:tcW w:w="4390" w:type="dxa"/>
            <w:vAlign w:val="center"/>
          </w:tcPr>
          <w:p w:rsidR="004A3868" w:rsidRDefault="003F1AB5">
            <w:pPr>
              <w:pStyle w:val="afffb"/>
            </w:pPr>
            <w:r>
              <w:rPr>
                <w:rFonts w:hint="eastAsia"/>
              </w:rPr>
              <w:t>主要</w:t>
            </w:r>
            <w:r>
              <w:t>职业及职务</w:t>
            </w:r>
          </w:p>
        </w:tc>
        <w:tc>
          <w:tcPr>
            <w:tcW w:w="5533" w:type="dxa"/>
            <w:vAlign w:val="center"/>
          </w:tcPr>
          <w:p w:rsidR="004A3868" w:rsidRDefault="003F1AB5">
            <w:pPr>
              <w:pStyle w:val="afffb"/>
            </w:pPr>
            <w:r>
              <w:rPr>
                <w:rFonts w:hint="eastAsia"/>
              </w:rPr>
              <w:t>无</w:t>
            </w:r>
          </w:p>
        </w:tc>
      </w:tr>
    </w:tbl>
    <w:p w:rsidR="004A3868" w:rsidRDefault="003F1AB5">
      <w:pPr>
        <w:pStyle w:val="4"/>
        <w:numPr>
          <w:ilvl w:val="0"/>
          <w:numId w:val="55"/>
        </w:num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500234115"/>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4"/>
        <w:numPr>
          <w:ilvl w:val="0"/>
          <w:numId w:val="55"/>
        </w:numPr>
      </w:pPr>
      <w:r>
        <w:rPr>
          <w:rFonts w:hint="eastAsia"/>
        </w:rPr>
        <w:lastRenderedPageBreak/>
        <w:t>报告期内控股股东变更情况的说明</w:t>
      </w:r>
    </w:p>
    <w:sdt>
      <w:sdtPr>
        <w:rPr>
          <w:rFonts w:hint="eastAsia"/>
        </w:rPr>
        <w:alias w:val="是否适用：报告期内控股股东变更情况的说明[双击切换]"/>
        <w:tag w:val="_GBC_ba32d923117643d78736fd77472e578b"/>
        <w:id w:val="-1055775263"/>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4"/>
        <w:numPr>
          <w:ilvl w:val="0"/>
          <w:numId w:val="55"/>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2094970402"/>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图片：公司与控股股东之间的产权及控制关系的方框图"/>
        <w:tag w:val="_GBC_237afe95a2de48a5baec021682951b46"/>
        <w:id w:val="-1434275557"/>
        <w:placeholder>
          <w:docPart w:val="GBC22222222222222222222222222222"/>
        </w:placeholder>
        <w:picture/>
      </w:sdtPr>
      <w:sdtEndPr/>
      <w:sdtContent>
        <w:p w:rsidR="004A3868" w:rsidRDefault="003F1AB5">
          <w:pPr>
            <w:pStyle w:val="Style842"/>
          </w:pPr>
          <w:r>
            <w:rPr>
              <w:rFonts w:hint="eastAsia"/>
              <w:noProof/>
            </w:rPr>
            <w:drawing>
              <wp:inline distT="0" distB="0" distL="0" distR="0">
                <wp:extent cx="5505450" cy="2067560"/>
                <wp:effectExtent l="0" t="0" r="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542524" cy="2082057"/>
                        </a:xfrm>
                        <a:prstGeom prst="rect">
                          <a:avLst/>
                        </a:prstGeom>
                        <a:noFill/>
                        <a:ln w="9525">
                          <a:noFill/>
                          <a:miter lim="800000"/>
                          <a:headEnd/>
                          <a:tailEnd/>
                        </a:ln>
                      </pic:spPr>
                    </pic:pic>
                  </a:graphicData>
                </a:graphic>
              </wp:inline>
            </w:drawing>
          </w:r>
        </w:p>
      </w:sdtContent>
    </w:sdt>
    <w:p w:rsidR="004A3868" w:rsidRDefault="004A3868">
      <w:pPr>
        <w:pStyle w:val="Style124"/>
      </w:pPr>
    </w:p>
    <w:p w:rsidR="004A3868" w:rsidRDefault="003F1AB5">
      <w:pPr>
        <w:pStyle w:val="Style127"/>
        <w:numPr>
          <w:ilvl w:val="0"/>
          <w:numId w:val="54"/>
        </w:numPr>
      </w:pPr>
      <w:r>
        <w:rPr>
          <w:rFonts w:hint="eastAsia"/>
        </w:rPr>
        <w:t>实际控制人情况</w:t>
      </w:r>
    </w:p>
    <w:p w:rsidR="004A3868" w:rsidRDefault="003F1AB5">
      <w:pPr>
        <w:pStyle w:val="4"/>
        <w:numPr>
          <w:ilvl w:val="0"/>
          <w:numId w:val="56"/>
        </w:numPr>
      </w:pPr>
      <w:r>
        <w:rPr>
          <w:rFonts w:hint="eastAsia"/>
        </w:rPr>
        <w:t>法人</w:t>
      </w:r>
    </w:p>
    <w:sdt>
      <w:sdtPr>
        <w:alias w:val="是否适用：法人_实际控制人情况[双击切换]"/>
        <w:tag w:val="_GBC_6cb3195cd6c545489bd6151d0ee57d58"/>
        <w:id w:val="-1231462068"/>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4"/>
        <w:numPr>
          <w:ilvl w:val="0"/>
          <w:numId w:val="56"/>
        </w:numPr>
      </w:pPr>
      <w:r>
        <w:rPr>
          <w:rFonts w:hint="eastAsia"/>
        </w:rPr>
        <w:t>自然人</w:t>
      </w:r>
    </w:p>
    <w:sdt>
      <w:sdtPr>
        <w:alias w:val="是否适用：自然人_实际控制人情况[双击切换]"/>
        <w:tag w:val="_GBC_359229fa8cca4506ac3cec3de8b5e99b"/>
        <w:id w:val="-87163192"/>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5"/>
        <w:tblW w:w="5000" w:type="pct"/>
        <w:jc w:val="center"/>
        <w:tblLayout w:type="fixed"/>
        <w:tblCellMar>
          <w:left w:w="0" w:type="dxa"/>
          <w:right w:w="28" w:type="dxa"/>
        </w:tblCellMar>
        <w:tblLook w:val="04A0" w:firstRow="1" w:lastRow="0" w:firstColumn="1" w:lastColumn="0" w:noHBand="0" w:noVBand="1"/>
      </w:tblPr>
      <w:tblGrid>
        <w:gridCol w:w="4157"/>
        <w:gridCol w:w="4666"/>
      </w:tblGrid>
      <w:tr w:rsidR="004A3868">
        <w:trPr>
          <w:trHeight w:val="397"/>
          <w:jc w:val="center"/>
        </w:trPr>
        <w:sdt>
          <w:sdtPr>
            <w:tag w:val="_PLD_3830c2543f934eef9f87e91c1b08ec23"/>
            <w:id w:val="-1238090259"/>
          </w:sdtPr>
          <w:sdtEndPr/>
          <w:sdtContent>
            <w:tc>
              <w:tcPr>
                <w:tcW w:w="4673" w:type="dxa"/>
                <w:vAlign w:val="center"/>
              </w:tcPr>
              <w:p w:rsidR="004A3868" w:rsidRDefault="003F1AB5">
                <w:pPr>
                  <w:pStyle w:val="afffb"/>
                </w:pPr>
                <w:r>
                  <w:t>姓名</w:t>
                </w:r>
              </w:p>
            </w:tc>
          </w:sdtContent>
        </w:sdt>
        <w:tc>
          <w:tcPr>
            <w:tcW w:w="5245" w:type="dxa"/>
            <w:vAlign w:val="center"/>
          </w:tcPr>
          <w:p w:rsidR="004A3868" w:rsidRDefault="003F1AB5">
            <w:pPr>
              <w:pStyle w:val="afffb"/>
            </w:pPr>
            <w:r>
              <w:rPr>
                <w:rFonts w:hint="eastAsia"/>
              </w:rPr>
              <w:t>杨泽民</w:t>
            </w:r>
          </w:p>
        </w:tc>
      </w:tr>
      <w:tr w:rsidR="004A3868">
        <w:trPr>
          <w:trHeight w:val="397"/>
          <w:jc w:val="center"/>
        </w:trPr>
        <w:tc>
          <w:tcPr>
            <w:tcW w:w="4673" w:type="dxa"/>
            <w:vAlign w:val="center"/>
          </w:tcPr>
          <w:p w:rsidR="004A3868" w:rsidRDefault="003F1AB5">
            <w:pPr>
              <w:pStyle w:val="afffb"/>
            </w:pPr>
            <w:r>
              <w:t>国籍</w:t>
            </w:r>
          </w:p>
        </w:tc>
        <w:tc>
          <w:tcPr>
            <w:tcW w:w="5245" w:type="dxa"/>
            <w:vAlign w:val="center"/>
          </w:tcPr>
          <w:p w:rsidR="004A3868" w:rsidRDefault="003F1AB5">
            <w:pPr>
              <w:pStyle w:val="afffb"/>
            </w:pPr>
            <w:r>
              <w:rPr>
                <w:rFonts w:hint="eastAsia"/>
              </w:rPr>
              <w:t>中国</w:t>
            </w:r>
          </w:p>
        </w:tc>
      </w:tr>
      <w:tr w:rsidR="004A3868">
        <w:trPr>
          <w:trHeight w:val="397"/>
          <w:jc w:val="center"/>
        </w:trPr>
        <w:tc>
          <w:tcPr>
            <w:tcW w:w="4673" w:type="dxa"/>
            <w:vAlign w:val="center"/>
          </w:tcPr>
          <w:p w:rsidR="004A3868" w:rsidRDefault="003F1AB5">
            <w:pPr>
              <w:pStyle w:val="afffb"/>
            </w:pPr>
            <w:r>
              <w:t>是否取得其他国家或地区居留权</w:t>
            </w:r>
          </w:p>
        </w:tc>
        <w:tc>
          <w:tcPr>
            <w:tcW w:w="5245" w:type="dxa"/>
            <w:vAlign w:val="center"/>
          </w:tcPr>
          <w:p w:rsidR="004A3868" w:rsidRDefault="003F1AB5">
            <w:pPr>
              <w:pStyle w:val="afffb"/>
            </w:pPr>
            <w:r>
              <w:rPr>
                <w:rFonts w:hint="eastAsia"/>
              </w:rPr>
              <w:t>否</w:t>
            </w:r>
          </w:p>
        </w:tc>
      </w:tr>
      <w:tr w:rsidR="004A3868">
        <w:trPr>
          <w:trHeight w:val="397"/>
          <w:jc w:val="center"/>
        </w:trPr>
        <w:tc>
          <w:tcPr>
            <w:tcW w:w="4673" w:type="dxa"/>
            <w:vAlign w:val="center"/>
          </w:tcPr>
          <w:p w:rsidR="004A3868" w:rsidRDefault="003F1AB5">
            <w:pPr>
              <w:pStyle w:val="afffb"/>
            </w:pPr>
            <w:r>
              <w:rPr>
                <w:rFonts w:hint="eastAsia"/>
              </w:rPr>
              <w:t>主要</w:t>
            </w:r>
            <w:r>
              <w:t>职业及职务</w:t>
            </w:r>
          </w:p>
        </w:tc>
        <w:tc>
          <w:tcPr>
            <w:tcW w:w="5245" w:type="dxa"/>
            <w:vAlign w:val="center"/>
          </w:tcPr>
          <w:p w:rsidR="004A3868" w:rsidRDefault="003F1AB5">
            <w:pPr>
              <w:pStyle w:val="afffb"/>
            </w:pPr>
            <w:r>
              <w:rPr>
                <w:rFonts w:hint="eastAsia"/>
              </w:rPr>
              <w:t>董事长、总经理</w:t>
            </w:r>
          </w:p>
        </w:tc>
      </w:tr>
      <w:tr w:rsidR="004A3868">
        <w:trPr>
          <w:trHeight w:val="397"/>
          <w:jc w:val="center"/>
        </w:trPr>
        <w:tc>
          <w:tcPr>
            <w:tcW w:w="4673" w:type="dxa"/>
            <w:vAlign w:val="center"/>
          </w:tcPr>
          <w:p w:rsidR="004A3868" w:rsidRDefault="003F1AB5">
            <w:pPr>
              <w:pStyle w:val="afffb"/>
            </w:pPr>
            <w:r>
              <w:t>过去10年曾控股的境内外上市公司情况</w:t>
            </w:r>
          </w:p>
        </w:tc>
        <w:tc>
          <w:tcPr>
            <w:tcW w:w="5245" w:type="dxa"/>
            <w:vAlign w:val="center"/>
          </w:tcPr>
          <w:p w:rsidR="004A3868" w:rsidRDefault="003F1AB5">
            <w:pPr>
              <w:pStyle w:val="afffb"/>
            </w:pPr>
            <w:r>
              <w:rPr>
                <w:rFonts w:hint="eastAsia"/>
              </w:rPr>
              <w:t>无</w:t>
            </w:r>
          </w:p>
        </w:tc>
      </w:tr>
      <w:tr w:rsidR="004A3868">
        <w:trPr>
          <w:trHeight w:val="397"/>
          <w:jc w:val="center"/>
        </w:trPr>
        <w:tc>
          <w:tcPr>
            <w:tcW w:w="4673" w:type="dxa"/>
            <w:vAlign w:val="center"/>
          </w:tcPr>
          <w:p w:rsidR="004A3868" w:rsidRDefault="003F1AB5">
            <w:pPr>
              <w:pStyle w:val="afffb"/>
            </w:pPr>
            <w:r>
              <w:t>姓名</w:t>
            </w:r>
          </w:p>
        </w:tc>
        <w:tc>
          <w:tcPr>
            <w:tcW w:w="5245" w:type="dxa"/>
            <w:vAlign w:val="center"/>
          </w:tcPr>
          <w:p w:rsidR="004A3868" w:rsidRDefault="003F1AB5">
            <w:pPr>
              <w:pStyle w:val="afffb"/>
            </w:pPr>
            <w:r>
              <w:rPr>
                <w:rFonts w:hint="eastAsia"/>
              </w:rPr>
              <w:t>秦惠兰</w:t>
            </w:r>
          </w:p>
        </w:tc>
      </w:tr>
      <w:tr w:rsidR="004A3868">
        <w:trPr>
          <w:trHeight w:val="397"/>
          <w:jc w:val="center"/>
        </w:trPr>
        <w:tc>
          <w:tcPr>
            <w:tcW w:w="4673" w:type="dxa"/>
            <w:vAlign w:val="center"/>
          </w:tcPr>
          <w:p w:rsidR="004A3868" w:rsidRDefault="003F1AB5">
            <w:pPr>
              <w:pStyle w:val="afffb"/>
            </w:pPr>
            <w:r>
              <w:t>国籍</w:t>
            </w:r>
          </w:p>
        </w:tc>
        <w:tc>
          <w:tcPr>
            <w:tcW w:w="5245" w:type="dxa"/>
            <w:vAlign w:val="center"/>
          </w:tcPr>
          <w:p w:rsidR="004A3868" w:rsidRDefault="003F1AB5">
            <w:pPr>
              <w:pStyle w:val="afffb"/>
            </w:pPr>
            <w:r>
              <w:rPr>
                <w:rFonts w:hint="eastAsia"/>
              </w:rPr>
              <w:t>中国</w:t>
            </w:r>
          </w:p>
        </w:tc>
      </w:tr>
      <w:tr w:rsidR="004A3868">
        <w:trPr>
          <w:trHeight w:val="397"/>
          <w:jc w:val="center"/>
        </w:trPr>
        <w:tc>
          <w:tcPr>
            <w:tcW w:w="4673" w:type="dxa"/>
            <w:vAlign w:val="center"/>
          </w:tcPr>
          <w:p w:rsidR="004A3868" w:rsidRDefault="003F1AB5">
            <w:pPr>
              <w:pStyle w:val="afffb"/>
            </w:pPr>
            <w:r>
              <w:t>是否取得其他国家或地区居留权</w:t>
            </w:r>
          </w:p>
        </w:tc>
        <w:tc>
          <w:tcPr>
            <w:tcW w:w="5245" w:type="dxa"/>
            <w:vAlign w:val="center"/>
          </w:tcPr>
          <w:p w:rsidR="004A3868" w:rsidRDefault="003F1AB5">
            <w:pPr>
              <w:pStyle w:val="afffb"/>
            </w:pPr>
            <w:r>
              <w:rPr>
                <w:rFonts w:hint="eastAsia"/>
              </w:rPr>
              <w:t>否</w:t>
            </w:r>
          </w:p>
        </w:tc>
      </w:tr>
      <w:tr w:rsidR="004A3868">
        <w:trPr>
          <w:trHeight w:val="397"/>
          <w:jc w:val="center"/>
        </w:trPr>
        <w:tc>
          <w:tcPr>
            <w:tcW w:w="4673" w:type="dxa"/>
            <w:vAlign w:val="center"/>
          </w:tcPr>
          <w:p w:rsidR="004A3868" w:rsidRDefault="003F1AB5">
            <w:pPr>
              <w:pStyle w:val="afffb"/>
            </w:pPr>
            <w:r>
              <w:rPr>
                <w:rFonts w:hint="eastAsia"/>
              </w:rPr>
              <w:t>主要</w:t>
            </w:r>
            <w:r>
              <w:t>职业及职务</w:t>
            </w:r>
          </w:p>
        </w:tc>
        <w:tc>
          <w:tcPr>
            <w:tcW w:w="5245" w:type="dxa"/>
            <w:vAlign w:val="center"/>
          </w:tcPr>
          <w:p w:rsidR="004A3868" w:rsidRDefault="003F1AB5">
            <w:pPr>
              <w:pStyle w:val="afffb"/>
            </w:pPr>
            <w:r>
              <w:rPr>
                <w:rFonts w:hint="eastAsia"/>
              </w:rPr>
              <w:t>无</w:t>
            </w:r>
          </w:p>
        </w:tc>
      </w:tr>
      <w:tr w:rsidR="004A3868">
        <w:trPr>
          <w:trHeight w:val="397"/>
          <w:jc w:val="center"/>
        </w:trPr>
        <w:tc>
          <w:tcPr>
            <w:tcW w:w="4673" w:type="dxa"/>
            <w:vAlign w:val="center"/>
          </w:tcPr>
          <w:p w:rsidR="004A3868" w:rsidRDefault="003F1AB5">
            <w:pPr>
              <w:pStyle w:val="afffb"/>
            </w:pPr>
            <w:r>
              <w:t>过去10年曾控股的境内外上市公司情况</w:t>
            </w:r>
          </w:p>
        </w:tc>
        <w:tc>
          <w:tcPr>
            <w:tcW w:w="5245" w:type="dxa"/>
            <w:vAlign w:val="center"/>
          </w:tcPr>
          <w:p w:rsidR="004A3868" w:rsidRDefault="003F1AB5">
            <w:pPr>
              <w:pStyle w:val="afffb"/>
            </w:pPr>
            <w:r>
              <w:rPr>
                <w:rFonts w:hint="eastAsia"/>
              </w:rPr>
              <w:t>无</w:t>
            </w:r>
          </w:p>
        </w:tc>
      </w:tr>
      <w:tr w:rsidR="004A3868">
        <w:trPr>
          <w:trHeight w:val="397"/>
          <w:jc w:val="center"/>
        </w:trPr>
        <w:tc>
          <w:tcPr>
            <w:tcW w:w="4673" w:type="dxa"/>
            <w:vAlign w:val="center"/>
          </w:tcPr>
          <w:p w:rsidR="004A3868" w:rsidRDefault="003F1AB5">
            <w:pPr>
              <w:pStyle w:val="afffb"/>
            </w:pPr>
            <w:r>
              <w:t>姓名</w:t>
            </w:r>
          </w:p>
        </w:tc>
        <w:tc>
          <w:tcPr>
            <w:tcW w:w="5245" w:type="dxa"/>
            <w:vAlign w:val="center"/>
          </w:tcPr>
          <w:p w:rsidR="004A3868" w:rsidRDefault="003F1AB5">
            <w:pPr>
              <w:pStyle w:val="afffb"/>
            </w:pPr>
            <w:r>
              <w:rPr>
                <w:rFonts w:hint="eastAsia"/>
              </w:rPr>
              <w:t>杨耀</w:t>
            </w:r>
          </w:p>
        </w:tc>
      </w:tr>
      <w:tr w:rsidR="004A3868">
        <w:trPr>
          <w:trHeight w:val="397"/>
          <w:jc w:val="center"/>
        </w:trPr>
        <w:tc>
          <w:tcPr>
            <w:tcW w:w="4673" w:type="dxa"/>
            <w:vAlign w:val="center"/>
          </w:tcPr>
          <w:p w:rsidR="004A3868" w:rsidRDefault="003F1AB5">
            <w:pPr>
              <w:pStyle w:val="afffb"/>
            </w:pPr>
            <w:r>
              <w:t>国籍</w:t>
            </w:r>
          </w:p>
        </w:tc>
        <w:tc>
          <w:tcPr>
            <w:tcW w:w="5245" w:type="dxa"/>
            <w:vAlign w:val="center"/>
          </w:tcPr>
          <w:p w:rsidR="004A3868" w:rsidRDefault="003F1AB5">
            <w:pPr>
              <w:pStyle w:val="afffb"/>
            </w:pPr>
            <w:r>
              <w:rPr>
                <w:rFonts w:hint="eastAsia"/>
              </w:rPr>
              <w:t>中国</w:t>
            </w:r>
          </w:p>
        </w:tc>
      </w:tr>
      <w:tr w:rsidR="004A3868">
        <w:trPr>
          <w:trHeight w:val="397"/>
          <w:jc w:val="center"/>
        </w:trPr>
        <w:tc>
          <w:tcPr>
            <w:tcW w:w="4673" w:type="dxa"/>
            <w:vAlign w:val="center"/>
          </w:tcPr>
          <w:p w:rsidR="004A3868" w:rsidRDefault="003F1AB5">
            <w:pPr>
              <w:pStyle w:val="afffb"/>
            </w:pPr>
            <w:r>
              <w:t>是否取得其他国家或地区居留权</w:t>
            </w:r>
          </w:p>
        </w:tc>
        <w:tc>
          <w:tcPr>
            <w:tcW w:w="5245" w:type="dxa"/>
            <w:vAlign w:val="center"/>
          </w:tcPr>
          <w:p w:rsidR="004A3868" w:rsidRDefault="003F1AB5">
            <w:pPr>
              <w:pStyle w:val="afffb"/>
            </w:pPr>
            <w:r>
              <w:rPr>
                <w:rFonts w:hint="eastAsia"/>
              </w:rPr>
              <w:t>否</w:t>
            </w:r>
          </w:p>
        </w:tc>
      </w:tr>
      <w:tr w:rsidR="004A3868">
        <w:trPr>
          <w:trHeight w:val="397"/>
          <w:jc w:val="center"/>
        </w:trPr>
        <w:tc>
          <w:tcPr>
            <w:tcW w:w="4673" w:type="dxa"/>
            <w:vAlign w:val="center"/>
          </w:tcPr>
          <w:p w:rsidR="004A3868" w:rsidRDefault="003F1AB5">
            <w:pPr>
              <w:pStyle w:val="afffb"/>
            </w:pPr>
            <w:r>
              <w:rPr>
                <w:rFonts w:hint="eastAsia"/>
              </w:rPr>
              <w:t>主要</w:t>
            </w:r>
            <w:r>
              <w:t>职业及职务</w:t>
            </w:r>
          </w:p>
        </w:tc>
        <w:tc>
          <w:tcPr>
            <w:tcW w:w="5245" w:type="dxa"/>
            <w:vAlign w:val="center"/>
          </w:tcPr>
          <w:p w:rsidR="004A3868" w:rsidRDefault="003F1AB5">
            <w:pPr>
              <w:pStyle w:val="afffb"/>
            </w:pPr>
            <w:r>
              <w:rPr>
                <w:rFonts w:hint="eastAsia"/>
              </w:rPr>
              <w:t>国际业务总监</w:t>
            </w:r>
          </w:p>
        </w:tc>
      </w:tr>
      <w:tr w:rsidR="004A3868">
        <w:trPr>
          <w:trHeight w:val="397"/>
          <w:jc w:val="center"/>
        </w:trPr>
        <w:tc>
          <w:tcPr>
            <w:tcW w:w="4673" w:type="dxa"/>
            <w:vAlign w:val="center"/>
          </w:tcPr>
          <w:p w:rsidR="004A3868" w:rsidRDefault="003F1AB5">
            <w:pPr>
              <w:pStyle w:val="afffb"/>
            </w:pPr>
            <w:r>
              <w:t>过去10年曾控股的境内外上市公司情况</w:t>
            </w:r>
          </w:p>
        </w:tc>
        <w:tc>
          <w:tcPr>
            <w:tcW w:w="5245" w:type="dxa"/>
            <w:vAlign w:val="center"/>
          </w:tcPr>
          <w:p w:rsidR="004A3868" w:rsidRDefault="003F1AB5">
            <w:pPr>
              <w:pStyle w:val="afffb"/>
            </w:pPr>
            <w:r>
              <w:rPr>
                <w:rFonts w:hint="eastAsia"/>
              </w:rPr>
              <w:t>无</w:t>
            </w:r>
          </w:p>
        </w:tc>
      </w:tr>
      <w:tr w:rsidR="004A3868">
        <w:trPr>
          <w:trHeight w:val="397"/>
          <w:jc w:val="center"/>
        </w:trPr>
        <w:tc>
          <w:tcPr>
            <w:tcW w:w="4673" w:type="dxa"/>
            <w:vAlign w:val="center"/>
          </w:tcPr>
          <w:p w:rsidR="004A3868" w:rsidRDefault="003F1AB5">
            <w:pPr>
              <w:pStyle w:val="afffb"/>
            </w:pPr>
            <w:r>
              <w:lastRenderedPageBreak/>
              <w:t>姓名</w:t>
            </w:r>
          </w:p>
        </w:tc>
        <w:tc>
          <w:tcPr>
            <w:tcW w:w="5245" w:type="dxa"/>
            <w:vAlign w:val="center"/>
          </w:tcPr>
          <w:p w:rsidR="004A3868" w:rsidRDefault="003F1AB5">
            <w:pPr>
              <w:pStyle w:val="afffb"/>
            </w:pPr>
            <w:r>
              <w:rPr>
                <w:rFonts w:hint="eastAsia"/>
              </w:rPr>
              <w:t>杨秦</w:t>
            </w:r>
          </w:p>
        </w:tc>
      </w:tr>
      <w:tr w:rsidR="004A3868">
        <w:trPr>
          <w:trHeight w:val="397"/>
          <w:jc w:val="center"/>
        </w:trPr>
        <w:tc>
          <w:tcPr>
            <w:tcW w:w="4673" w:type="dxa"/>
            <w:vAlign w:val="center"/>
          </w:tcPr>
          <w:p w:rsidR="004A3868" w:rsidRDefault="003F1AB5">
            <w:pPr>
              <w:pStyle w:val="afffb"/>
            </w:pPr>
            <w:r>
              <w:t>国籍</w:t>
            </w:r>
          </w:p>
        </w:tc>
        <w:tc>
          <w:tcPr>
            <w:tcW w:w="5245" w:type="dxa"/>
            <w:vAlign w:val="center"/>
          </w:tcPr>
          <w:p w:rsidR="004A3868" w:rsidRDefault="003F1AB5">
            <w:pPr>
              <w:pStyle w:val="afffb"/>
            </w:pPr>
            <w:r>
              <w:rPr>
                <w:rFonts w:hint="eastAsia"/>
              </w:rPr>
              <w:t>中国</w:t>
            </w:r>
          </w:p>
        </w:tc>
      </w:tr>
      <w:tr w:rsidR="004A3868">
        <w:trPr>
          <w:trHeight w:val="397"/>
          <w:jc w:val="center"/>
        </w:trPr>
        <w:tc>
          <w:tcPr>
            <w:tcW w:w="4673" w:type="dxa"/>
            <w:vAlign w:val="center"/>
          </w:tcPr>
          <w:p w:rsidR="004A3868" w:rsidRDefault="003F1AB5">
            <w:pPr>
              <w:pStyle w:val="afffb"/>
            </w:pPr>
            <w:r>
              <w:t>是否取得其他国家或地区居留权</w:t>
            </w:r>
          </w:p>
        </w:tc>
        <w:tc>
          <w:tcPr>
            <w:tcW w:w="5245" w:type="dxa"/>
            <w:vAlign w:val="center"/>
          </w:tcPr>
          <w:p w:rsidR="004A3868" w:rsidRDefault="003F1AB5">
            <w:pPr>
              <w:pStyle w:val="afffb"/>
            </w:pPr>
            <w:r>
              <w:rPr>
                <w:rFonts w:hint="eastAsia"/>
              </w:rPr>
              <w:t>否</w:t>
            </w:r>
          </w:p>
        </w:tc>
      </w:tr>
      <w:tr w:rsidR="004A3868">
        <w:trPr>
          <w:trHeight w:val="397"/>
          <w:jc w:val="center"/>
        </w:trPr>
        <w:tc>
          <w:tcPr>
            <w:tcW w:w="4673" w:type="dxa"/>
            <w:vAlign w:val="center"/>
          </w:tcPr>
          <w:p w:rsidR="004A3868" w:rsidRDefault="003F1AB5">
            <w:pPr>
              <w:pStyle w:val="afffb"/>
            </w:pPr>
            <w:r>
              <w:rPr>
                <w:rFonts w:hint="eastAsia"/>
              </w:rPr>
              <w:t>主要</w:t>
            </w:r>
            <w:r>
              <w:t>职业及职务</w:t>
            </w:r>
          </w:p>
        </w:tc>
        <w:tc>
          <w:tcPr>
            <w:tcW w:w="5245" w:type="dxa"/>
            <w:vAlign w:val="center"/>
          </w:tcPr>
          <w:p w:rsidR="004A3868" w:rsidRDefault="003F1AB5">
            <w:pPr>
              <w:pStyle w:val="afffb"/>
            </w:pPr>
            <w:r>
              <w:rPr>
                <w:rFonts w:hint="eastAsia"/>
              </w:rPr>
              <w:t>总经办文秘</w:t>
            </w:r>
          </w:p>
        </w:tc>
      </w:tr>
      <w:tr w:rsidR="004A3868">
        <w:trPr>
          <w:trHeight w:val="397"/>
          <w:jc w:val="center"/>
        </w:trPr>
        <w:tc>
          <w:tcPr>
            <w:tcW w:w="4673" w:type="dxa"/>
            <w:vAlign w:val="center"/>
          </w:tcPr>
          <w:p w:rsidR="004A3868" w:rsidRDefault="003F1AB5">
            <w:pPr>
              <w:pStyle w:val="afffb"/>
            </w:pPr>
            <w:r>
              <w:t>过去10年曾控股的境内外上市公司情况</w:t>
            </w:r>
          </w:p>
        </w:tc>
        <w:tc>
          <w:tcPr>
            <w:tcW w:w="5245" w:type="dxa"/>
            <w:vAlign w:val="center"/>
          </w:tcPr>
          <w:p w:rsidR="004A3868" w:rsidRDefault="003F1AB5">
            <w:pPr>
              <w:pStyle w:val="afffb"/>
            </w:pPr>
            <w:r>
              <w:rPr>
                <w:rFonts w:hint="eastAsia"/>
              </w:rPr>
              <w:t>无</w:t>
            </w:r>
          </w:p>
        </w:tc>
      </w:tr>
    </w:tbl>
    <w:p w:rsidR="004A3868" w:rsidRDefault="003F1AB5">
      <w:pPr>
        <w:pStyle w:val="4"/>
        <w:numPr>
          <w:ilvl w:val="0"/>
          <w:numId w:val="56"/>
        </w:numPr>
      </w:pPr>
      <w:r>
        <w:t>公司不存在实际控制人情况的特别说明</w:t>
      </w:r>
    </w:p>
    <w:sdt>
      <w:sdtPr>
        <w:rPr>
          <w:rFonts w:hint="eastAsia"/>
        </w:rPr>
        <w:alias w:val="是否适用：公司不存在实际控制人情况的特别说明[双击切换]"/>
        <w:tag w:val="_GBC_7380ff5e0fc6471583dc22db2252e039"/>
        <w:id w:val="-155616520"/>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4"/>
        <w:numPr>
          <w:ilvl w:val="0"/>
          <w:numId w:val="56"/>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728225684"/>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4"/>
        <w:numPr>
          <w:ilvl w:val="0"/>
          <w:numId w:val="56"/>
        </w:numPr>
      </w:pPr>
      <w:r>
        <w:t>公司与实际控制人之间的产权及控制关系的方框图</w:t>
      </w:r>
    </w:p>
    <w:sdt>
      <w:sdtPr>
        <w:alias w:val="是否适用：公司与实际控制人之间的产权及控制关系的方框图[双击切换]"/>
        <w:tag w:val="_GBC_8ddc5ba6a04141dc94582029460f81bd"/>
        <w:id w:val="235054093"/>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B34370">
      <w:pPr>
        <w:pStyle w:val="Style842"/>
      </w:pPr>
      <w:sdt>
        <w:sdtPr>
          <w:rPr>
            <w:rFonts w:hint="eastAsia"/>
          </w:rPr>
          <w:alias w:val="图片：公司与实际控制人之间的产权及控制关系的方框图"/>
          <w:tag w:val="_GBC_538f0b25ae684717a3c8362262a5a004"/>
          <w:id w:val="-164329074"/>
          <w:placeholder>
            <w:docPart w:val="D4D21A3050AE4230A4E89AE932B790CE"/>
          </w:placeholder>
          <w:picture/>
        </w:sdtPr>
        <w:sdtEndPr/>
        <w:sdtContent>
          <w:r w:rsidR="003F1AB5">
            <w:rPr>
              <w:rFonts w:hint="eastAsia"/>
              <w:noProof/>
            </w:rPr>
            <w:drawing>
              <wp:inline distT="0" distB="0" distL="0" distR="0">
                <wp:extent cx="5686425" cy="2106930"/>
                <wp:effectExtent l="0" t="0" r="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718151" cy="2118686"/>
                        </a:xfrm>
                        <a:prstGeom prst="rect">
                          <a:avLst/>
                        </a:prstGeom>
                        <a:noFill/>
                        <a:ln>
                          <a:noFill/>
                        </a:ln>
                      </pic:spPr>
                    </pic:pic>
                  </a:graphicData>
                </a:graphic>
              </wp:inline>
            </w:drawing>
          </w:r>
        </w:sdtContent>
      </w:sdt>
    </w:p>
    <w:p w:rsidR="004A3868" w:rsidRDefault="003F1AB5">
      <w:pPr>
        <w:pStyle w:val="4"/>
        <w:numPr>
          <w:ilvl w:val="0"/>
          <w:numId w:val="56"/>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547179290"/>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Style127"/>
        <w:numPr>
          <w:ilvl w:val="0"/>
          <w:numId w:val="54"/>
        </w:numPr>
      </w:pPr>
      <w:r>
        <w:t>控股股东及实际控制人其他情况介绍</w:t>
      </w:r>
    </w:p>
    <w:sdt>
      <w:sdtPr>
        <w:rPr>
          <w:rFonts w:hint="eastAsia"/>
        </w:rPr>
        <w:alias w:val="是否适用：控股股东及实际控制人其他情况介绍[双击切换]"/>
        <w:tag w:val="_GBC_f45ea2fa04e04b71a116fba6ba3bff32"/>
        <w:id w:val="-835069497"/>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2"/>
        <w:numPr>
          <w:ilvl w:val="0"/>
          <w:numId w:val="49"/>
        </w:numPr>
      </w:pPr>
      <w:r>
        <w:t>公司控股股东或第一大股东及其一致行动人累计质押股份数量占其所持公司股份数量比例达到</w:t>
      </w:r>
      <w:r>
        <w:t>80%</w:t>
      </w:r>
      <w:r>
        <w:t>以上</w:t>
      </w:r>
    </w:p>
    <w:bookmarkStart w:id="102" w:name="_Hlk89353035" w:displacedByCustomXml="next"/>
    <w:sdt>
      <w:sdtPr>
        <w:rPr>
          <w:rFonts w:hint="eastAsia"/>
        </w:rPr>
        <w:alias w:val="是否适用：公司控股股东或第一大股东及其一致行动人累计质押股份数量情况明细[双击切换]"/>
        <w:tag w:val="_GBC_f07bbd5a46a94903bbea3fbbdc7b769f"/>
        <w:id w:val="438728646"/>
        <w:placeholder>
          <w:docPart w:val="GBC22222222222222222222222222222"/>
        </w:placeholder>
      </w:sdtPr>
      <w:sdtEndPr/>
      <w:sdtContent>
        <w:p w:rsidR="004A3868" w:rsidRDefault="003F1AB5">
          <w:pPr>
            <w:pStyle w:val="Style124"/>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102"/>
    <w:p w:rsidR="004A3868" w:rsidRDefault="003F1AB5">
      <w:pPr>
        <w:pStyle w:val="2"/>
        <w:numPr>
          <w:ilvl w:val="0"/>
          <w:numId w:val="49"/>
        </w:numPr>
      </w:pPr>
      <w:r>
        <w:rPr>
          <w:rFonts w:hint="eastAsia"/>
        </w:rPr>
        <w:t>其他持股在百分之十以上的法人股东</w:t>
      </w:r>
    </w:p>
    <w:sdt>
      <w:sdtPr>
        <w:alias w:val="是否适用：其他持股在百分之十以上的法人股东[双击切换]"/>
        <w:tag w:val="_GBC_7c5d05f2d72d4d3c9ef6e9b93777b39f"/>
        <w:id w:val="794331650"/>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rsidR="004A3868" w:rsidRDefault="003F1AB5">
      <w:pPr>
        <w:pStyle w:val="2"/>
        <w:numPr>
          <w:ilvl w:val="0"/>
          <w:numId w:val="49"/>
        </w:numPr>
      </w:pPr>
      <w:r>
        <w:rPr>
          <w:rFonts w:hint="eastAsia"/>
        </w:rPr>
        <w:t>股份限制减持情况说明</w:t>
      </w:r>
    </w:p>
    <w:p w:rsidR="004A3868" w:rsidRDefault="00B34370">
      <w:pPr>
        <w:pStyle w:val="Style124"/>
      </w:pPr>
      <w:sdt>
        <w:sdtPr>
          <w:rPr>
            <w:rFonts w:hint="eastAsia"/>
          </w:rPr>
          <w:alias w:val="是否适用：股份限制减持情况说明[双击切换]"/>
          <w:tag w:val="_GBC_38db60098ddc4e12bffd328b521e0c35"/>
          <w:id w:val="-726758176"/>
          <w:placeholder>
            <w:docPart w:val="GBC22222222222222222222222222222"/>
          </w:placeholder>
        </w:sdtPr>
        <w:sdtEndPr>
          <w:rPr>
            <w:rFonts w:hint="default"/>
          </w:rPr>
        </w:sdtEndPr>
        <w:sdtContent>
          <w:r w:rsidR="003F1AB5">
            <w:fldChar w:fldCharType="begin"/>
          </w:r>
          <w:r w:rsidR="003F1AB5">
            <w:rPr>
              <w:rFonts w:hint="eastAsia"/>
            </w:rPr>
            <w:instrText xml:space="preserve">MACROBUTTON  SnrToggleCheckbox □适用 </w:instrText>
          </w:r>
          <w:r w:rsidR="003F1AB5">
            <w:fldChar w:fldCharType="end"/>
          </w:r>
          <w:r w:rsidR="003F1AB5">
            <w:fldChar w:fldCharType="begin"/>
          </w:r>
          <w:r w:rsidR="003F1AB5">
            <w:rPr>
              <w:rFonts w:hint="eastAsia"/>
            </w:rPr>
            <w:instrText xml:space="preserve"> MACROBUTTON  SnrToggleCheckbox √不适用 </w:instrText>
          </w:r>
          <w:r w:rsidR="003F1AB5">
            <w:fldChar w:fldCharType="end"/>
          </w:r>
        </w:sdtContent>
      </w:sdt>
    </w:p>
    <w:p w:rsidR="004A3868" w:rsidRDefault="003F1AB5">
      <w:pPr>
        <w:pStyle w:val="2"/>
        <w:numPr>
          <w:ilvl w:val="0"/>
          <w:numId w:val="49"/>
        </w:numPr>
      </w:pPr>
      <w:r>
        <w:rPr>
          <w:rFonts w:hint="eastAsia"/>
        </w:rPr>
        <w:t>股份回购在报告期的具体实施情况</w:t>
      </w:r>
    </w:p>
    <w:bookmarkStart w:id="103" w:name="_Hlk89353439" w:displacedByCustomXml="next"/>
    <w:bookmarkStart w:id="104" w:name="_Hlk90042255" w:displacedByCustomXml="next"/>
    <w:sdt>
      <w:sdtPr>
        <w:rPr>
          <w:rFonts w:hint="eastAsia"/>
        </w:rPr>
        <w:alias w:val="是否适用：股份回购在报告期的具体实施情况[双击切换]"/>
        <w:tag w:val="_GBC_382f884c74d74cfd9a74c18c52645b0e"/>
        <w:id w:val="-1118983922"/>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股份回购在报告期的具体实施情况"/>
          <w:tag w:val="_GBC_21792546ad004ee39a278a585bed9af7"/>
          <w:id w:val="-60133181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币种：</w:t>
      </w:r>
      <w:sdt>
        <w:sdtPr>
          <w:rPr>
            <w:rFonts w:hint="eastAsia"/>
          </w:rPr>
          <w:alias w:val="币种：股份回购在报告期的具体实施情况"/>
          <w:tag w:val="_GBC_d28ce55fd5d44a2a8978fe14c4fed7a0"/>
          <w:id w:val="-10009608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74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286"/>
        <w:gridCol w:w="5537"/>
      </w:tblGrid>
      <w:tr w:rsidR="004A3868">
        <w:trPr>
          <w:trHeight w:val="397"/>
          <w:jc w:val="center"/>
        </w:trPr>
        <w:sdt>
          <w:sdtPr>
            <w:rPr>
              <w:rFonts w:hint="eastAsia"/>
            </w:rPr>
            <w:tag w:val="_PLD_b8991132154646319b355a22c4f93ad1"/>
            <w:id w:val="-1876681702"/>
          </w:sdtPr>
          <w:sdtEndPr/>
          <w:sdtContent>
            <w:tc>
              <w:tcPr>
                <w:tcW w:w="1862" w:type="pct"/>
                <w:shd w:val="clear" w:color="auto" w:fill="auto"/>
                <w:vAlign w:val="center"/>
              </w:tcPr>
              <w:p w:rsidR="004A3868" w:rsidRDefault="003F1AB5">
                <w:pPr>
                  <w:pStyle w:val="afff9"/>
                </w:pPr>
                <w:r>
                  <w:rPr>
                    <w:rFonts w:hint="eastAsia"/>
                  </w:rPr>
                  <w:t>回购股份方案名称</w:t>
                </w:r>
              </w:p>
            </w:tc>
          </w:sdtContent>
        </w:sdt>
        <w:sdt>
          <w:sdtPr>
            <w:alias w:val="回购股份方案名称"/>
            <w:tag w:val="_GBC_4613feedd9fa4680b4c5e8a18b0d9a89"/>
            <w:id w:val="1863549418"/>
          </w:sdtPr>
          <w:sdtEndPr/>
          <w:sdtContent>
            <w:tc>
              <w:tcPr>
                <w:tcW w:w="3138" w:type="pct"/>
                <w:shd w:val="clear" w:color="auto" w:fill="auto"/>
                <w:vAlign w:val="center"/>
              </w:tcPr>
              <w:p w:rsidR="004A3868" w:rsidRDefault="003F1AB5">
                <w:pPr>
                  <w:pStyle w:val="afff9"/>
                </w:pPr>
                <w:r>
                  <w:rPr>
                    <w:rFonts w:hint="eastAsia"/>
                  </w:rPr>
                  <w:t>关于以集中竞价方式回购公司股份方案</w:t>
                </w:r>
              </w:p>
            </w:tc>
          </w:sdtContent>
        </w:sdt>
      </w:tr>
      <w:tr w:rsidR="004A3868">
        <w:trPr>
          <w:trHeight w:val="397"/>
          <w:jc w:val="center"/>
        </w:trPr>
        <w:tc>
          <w:tcPr>
            <w:tcW w:w="1862" w:type="pct"/>
            <w:shd w:val="clear" w:color="auto" w:fill="auto"/>
            <w:vAlign w:val="center"/>
          </w:tcPr>
          <w:p w:rsidR="004A3868" w:rsidRDefault="003F1AB5">
            <w:pPr>
              <w:pStyle w:val="afff9"/>
            </w:pPr>
            <w:r>
              <w:rPr>
                <w:rFonts w:hint="eastAsia"/>
              </w:rPr>
              <w:t>回购股份方案披露时间</w:t>
            </w:r>
          </w:p>
        </w:tc>
        <w:tc>
          <w:tcPr>
            <w:tcW w:w="3138" w:type="pct"/>
            <w:shd w:val="clear" w:color="auto" w:fill="auto"/>
            <w:vAlign w:val="center"/>
          </w:tcPr>
          <w:p w:rsidR="004A3868" w:rsidRDefault="003F1AB5">
            <w:pPr>
              <w:pStyle w:val="afff9"/>
            </w:pPr>
            <w:r>
              <w:rPr>
                <w:rFonts w:hint="eastAsia"/>
              </w:rPr>
              <w:t>2</w:t>
            </w:r>
            <w:r>
              <w:t>023</w:t>
            </w:r>
            <w:r>
              <w:rPr>
                <w:rFonts w:hint="eastAsia"/>
              </w:rPr>
              <w:t>年</w:t>
            </w:r>
            <w:r>
              <w:rPr>
                <w:rFonts w:hint="eastAsia"/>
              </w:rPr>
              <w:t>1</w:t>
            </w:r>
            <w:r>
              <w:t>0</w:t>
            </w:r>
            <w:r>
              <w:rPr>
                <w:rFonts w:hint="eastAsia"/>
              </w:rPr>
              <w:t>月</w:t>
            </w:r>
            <w:r>
              <w:rPr>
                <w:rFonts w:hint="eastAsia"/>
              </w:rPr>
              <w:t>2</w:t>
            </w:r>
            <w:r>
              <w:t>7</w:t>
            </w:r>
            <w:r>
              <w:rPr>
                <w:rFonts w:hint="eastAsia"/>
              </w:rPr>
              <w:t>日</w:t>
            </w:r>
          </w:p>
        </w:tc>
      </w:tr>
      <w:tr w:rsidR="004A3868">
        <w:trPr>
          <w:trHeight w:val="397"/>
          <w:jc w:val="center"/>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拟回购股份数量及占总股本的比例</w:t>
            </w:r>
            <w:r>
              <w:rPr>
                <w:rFonts w:hint="eastAsia"/>
              </w:rPr>
              <w:t>(%)</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w:t>
            </w:r>
          </w:p>
        </w:tc>
      </w:tr>
      <w:tr w:rsidR="004A3868">
        <w:trPr>
          <w:trHeight w:val="397"/>
          <w:jc w:val="center"/>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拟回购金额</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5</w:t>
            </w:r>
            <w:r>
              <w:t>,000-10,000</w:t>
            </w:r>
          </w:p>
        </w:tc>
      </w:tr>
      <w:tr w:rsidR="004A3868">
        <w:trPr>
          <w:trHeight w:val="397"/>
          <w:jc w:val="center"/>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拟回购期间</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2</w:t>
            </w:r>
            <w:r>
              <w:t>023</w:t>
            </w:r>
            <w:r>
              <w:rPr>
                <w:rFonts w:hint="eastAsia"/>
              </w:rPr>
              <w:t>年</w:t>
            </w:r>
            <w:r>
              <w:rPr>
                <w:rFonts w:hint="eastAsia"/>
              </w:rPr>
              <w:t>1</w:t>
            </w:r>
            <w:r>
              <w:t>0</w:t>
            </w:r>
            <w:r>
              <w:rPr>
                <w:rFonts w:hint="eastAsia"/>
              </w:rPr>
              <w:t>月</w:t>
            </w:r>
            <w:r>
              <w:rPr>
                <w:rFonts w:hint="eastAsia"/>
              </w:rPr>
              <w:t>2</w:t>
            </w:r>
            <w:r>
              <w:t>5</w:t>
            </w:r>
            <w:r>
              <w:rPr>
                <w:rFonts w:hint="eastAsia"/>
              </w:rPr>
              <w:t>日</w:t>
            </w:r>
            <w:r>
              <w:rPr>
                <w:rFonts w:hint="eastAsia"/>
              </w:rPr>
              <w:t>-</w:t>
            </w:r>
            <w:r>
              <w:t>2024</w:t>
            </w:r>
            <w:r>
              <w:rPr>
                <w:rFonts w:hint="eastAsia"/>
              </w:rPr>
              <w:t>年</w:t>
            </w:r>
            <w:r>
              <w:rPr>
                <w:rFonts w:hint="eastAsia"/>
              </w:rPr>
              <w:t>1</w:t>
            </w:r>
            <w:r>
              <w:t>0</w:t>
            </w:r>
            <w:r>
              <w:rPr>
                <w:rFonts w:hint="eastAsia"/>
              </w:rPr>
              <w:t>月</w:t>
            </w:r>
            <w:r>
              <w:rPr>
                <w:rFonts w:hint="eastAsia"/>
              </w:rPr>
              <w:t>2</w:t>
            </w:r>
            <w:r>
              <w:t>5</w:t>
            </w:r>
            <w:r>
              <w:rPr>
                <w:rFonts w:hint="eastAsia"/>
              </w:rPr>
              <w:t>日</w:t>
            </w:r>
          </w:p>
        </w:tc>
      </w:tr>
      <w:tr w:rsidR="004A3868">
        <w:trPr>
          <w:trHeight w:val="397"/>
          <w:jc w:val="center"/>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回购用途</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实施员工持股计划或股权激励。</w:t>
            </w:r>
          </w:p>
        </w:tc>
      </w:tr>
      <w:tr w:rsidR="004A3868">
        <w:trPr>
          <w:trHeight w:val="397"/>
          <w:jc w:val="center"/>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已回购数量</w:t>
            </w:r>
            <w:r>
              <w:rPr>
                <w:rFonts w:hint="eastAsia"/>
              </w:rPr>
              <w:t>(</w:t>
            </w:r>
            <w:r>
              <w:rPr>
                <w:rFonts w:hint="eastAsia"/>
              </w:rPr>
              <w:t>股</w:t>
            </w:r>
            <w:r>
              <w:rPr>
                <w:rFonts w:hint="eastAsia"/>
              </w:rPr>
              <w:t>)</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3,202,768</w:t>
            </w:r>
          </w:p>
        </w:tc>
      </w:tr>
      <w:tr w:rsidR="004A3868">
        <w:trPr>
          <w:trHeight w:val="397"/>
          <w:jc w:val="center"/>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已回购数量占股权激励计划所涉及的标的股票的比例</w:t>
            </w:r>
            <w:r>
              <w:rPr>
                <w:rFonts w:hint="eastAsia"/>
              </w:rPr>
              <w:t>(%)</w:t>
            </w:r>
            <w:r>
              <w:rPr>
                <w:rFonts w:hint="eastAsia"/>
              </w:rPr>
              <w:t>（如有）</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w:t>
            </w:r>
          </w:p>
        </w:tc>
      </w:tr>
      <w:tr w:rsidR="004A3868">
        <w:trPr>
          <w:trHeight w:val="397"/>
          <w:jc w:val="center"/>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公司采用集中竞价交易方式减持回购股份的进展情况</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截止本报告披露之日，公司通过集中竞价交易方式累计回购股份</w:t>
            </w:r>
            <w:r>
              <w:rPr>
                <w:rFonts w:hint="eastAsia"/>
              </w:rPr>
              <w:t>3,202,768</w:t>
            </w:r>
            <w:r>
              <w:rPr>
                <w:rFonts w:hint="eastAsia"/>
              </w:rPr>
              <w:t>股，占公司总股本的比例为</w:t>
            </w:r>
            <w:r>
              <w:rPr>
                <w:rFonts w:hint="eastAsia"/>
              </w:rPr>
              <w:t>0.9613%</w:t>
            </w:r>
            <w:r>
              <w:rPr>
                <w:rFonts w:hint="eastAsia"/>
              </w:rPr>
              <w:t>，购买的最高价格为</w:t>
            </w:r>
            <w:r>
              <w:rPr>
                <w:rFonts w:hint="eastAsia"/>
              </w:rPr>
              <w:t>16.38</w:t>
            </w:r>
            <w:r>
              <w:rPr>
                <w:rFonts w:hint="eastAsia"/>
              </w:rPr>
              <w:t>元</w:t>
            </w:r>
            <w:r>
              <w:rPr>
                <w:rFonts w:hint="eastAsia"/>
              </w:rPr>
              <w:t>/</w:t>
            </w:r>
            <w:r>
              <w:rPr>
                <w:rFonts w:hint="eastAsia"/>
              </w:rPr>
              <w:t>股、最低价格为</w:t>
            </w:r>
            <w:r>
              <w:rPr>
                <w:rFonts w:hint="eastAsia"/>
              </w:rPr>
              <w:t>15.10</w:t>
            </w:r>
            <w:r>
              <w:rPr>
                <w:rFonts w:hint="eastAsia"/>
              </w:rPr>
              <w:t>元</w:t>
            </w:r>
            <w:r>
              <w:rPr>
                <w:rFonts w:hint="eastAsia"/>
              </w:rPr>
              <w:t>/</w:t>
            </w:r>
            <w:r>
              <w:rPr>
                <w:rFonts w:hint="eastAsia"/>
              </w:rPr>
              <w:t>股，已支付的总金额为</w:t>
            </w:r>
            <w:r>
              <w:t>5,029.35</w:t>
            </w:r>
            <w:r>
              <w:rPr>
                <w:rFonts w:hint="eastAsia"/>
              </w:rPr>
              <w:t>万元（不含交易费用）。</w:t>
            </w:r>
          </w:p>
        </w:tc>
      </w:tr>
      <w:bookmarkEnd w:id="103"/>
    </w:tbl>
    <w:p w:rsidR="004A3868" w:rsidRDefault="004A3868">
      <w:pPr>
        <w:pStyle w:val="affd"/>
      </w:pPr>
    </w:p>
    <w:bookmarkEnd w:id="104"/>
    <w:p w:rsidR="004A3868" w:rsidRDefault="004A3868">
      <w:pPr>
        <w:pStyle w:val="Style124"/>
      </w:pPr>
    </w:p>
    <w:p w:rsidR="004A3868" w:rsidRDefault="003F1AB5">
      <w:pPr>
        <w:pStyle w:val="1"/>
      </w:pPr>
      <w:bookmarkStart w:id="105" w:name="_Toc409437608"/>
      <w:bookmarkStart w:id="106" w:name="_Toc164947207"/>
      <w:bookmarkStart w:id="107" w:name="_Toc437440714"/>
      <w:r>
        <w:rPr>
          <w:rFonts w:hint="eastAsia"/>
        </w:rPr>
        <w:t>优先股相关情况</w:t>
      </w:r>
      <w:bookmarkEnd w:id="105"/>
      <w:bookmarkEnd w:id="106"/>
      <w:bookmarkEnd w:id="107"/>
    </w:p>
    <w:sdt>
      <w:sdtPr>
        <w:alias w:val="是否适用：优先股相关情况[双击切换]"/>
        <w:tag w:val="_GBC_0076278996ac412e9bff14977615c2e3"/>
        <w:id w:val="1534695946"/>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4A3868">
      <w:bookmarkStart w:id="108" w:name="_Toc342566003"/>
    </w:p>
    <w:p w:rsidR="004A3868" w:rsidRDefault="004A3868"/>
    <w:p w:rsidR="004A3868" w:rsidRDefault="003F1AB5">
      <w:pPr>
        <w:pStyle w:val="1"/>
      </w:pPr>
      <w:bookmarkStart w:id="109" w:name="_Toc164947208"/>
      <w:bookmarkStart w:id="110" w:name="_Toc437440717"/>
      <w:r>
        <w:rPr>
          <w:rFonts w:hint="eastAsia"/>
        </w:rPr>
        <w:t>债券相关情况</w:t>
      </w:r>
      <w:bookmarkEnd w:id="109"/>
      <w:bookmarkEnd w:id="110"/>
    </w:p>
    <w:p w:rsidR="004A3868" w:rsidRDefault="003F1AB5">
      <w:pPr>
        <w:pStyle w:val="2"/>
        <w:numPr>
          <w:ilvl w:val="0"/>
          <w:numId w:val="57"/>
        </w:numPr>
      </w:pPr>
      <w:bookmarkStart w:id="111" w:name="_Hlk89955979"/>
      <w:bookmarkStart w:id="112" w:name="_Hlk89353982"/>
      <w:r>
        <w:rPr>
          <w:rFonts w:hint="eastAsia"/>
        </w:rPr>
        <w:t>企业债券、公司债券和非金融企业债务融资工具</w:t>
      </w:r>
    </w:p>
    <w:bookmarkStart w:id="113" w:name="_Hlk73352152" w:displacedByCustomXml="next"/>
    <w:sdt>
      <w:sdtPr>
        <w:alias w:val="是否适用：债券相关情况[双击切换]"/>
        <w:tag w:val="_GBC_804ac0b5f8c94edbbb148299204e0a43"/>
        <w:id w:val="-901437681"/>
        <w:placeholder>
          <w:docPart w:val="14C52424A3B943AD8328CE98DF998C0E"/>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11"/>
    <w:bookmarkEnd w:id="112"/>
    <w:bookmarkEnd w:id="113"/>
    <w:p w:rsidR="004A3868" w:rsidRDefault="003F1AB5">
      <w:pPr>
        <w:pStyle w:val="2"/>
        <w:numPr>
          <w:ilvl w:val="0"/>
          <w:numId w:val="57"/>
        </w:numPr>
      </w:pPr>
      <w:r>
        <w:rPr>
          <w:rFonts w:hint="eastAsia"/>
        </w:rPr>
        <w:t>可转换公司债券情况</w:t>
      </w:r>
    </w:p>
    <w:sdt>
      <w:sdtPr>
        <w:rPr>
          <w:rFonts w:hint="eastAsia"/>
        </w:rPr>
        <w:alias w:val="是否适用：可转换公司债券情况[双击切换]"/>
        <w:tag w:val="_GBC_9680c57d3e6a4ee9b01aefbd4b8545db"/>
        <w:id w:val="-1481369508"/>
        <w:placeholder>
          <w:docPart w:val="14C52424A3B943AD8328CE98DF998C0E"/>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4A3868">
      <w:pPr>
        <w:sectPr w:rsidR="004A3868">
          <w:pgSz w:w="11906" w:h="16838"/>
          <w:pgMar w:top="1525" w:right="1276" w:bottom="1440" w:left="1797" w:header="855" w:footer="992" w:gutter="0"/>
          <w:cols w:space="425"/>
          <w:docGrid w:type="lines" w:linePitch="312"/>
        </w:sectPr>
      </w:pPr>
    </w:p>
    <w:p w:rsidR="004A3868" w:rsidRDefault="003F1AB5">
      <w:pPr>
        <w:pStyle w:val="Style843"/>
        <w:numPr>
          <w:ilvl w:val="0"/>
          <w:numId w:val="1"/>
        </w:numPr>
      </w:pPr>
      <w:bookmarkStart w:id="114" w:name="_Toc407111364"/>
      <w:bookmarkStart w:id="115" w:name="_Toc164947209"/>
      <w:bookmarkEnd w:id="108"/>
      <w:r>
        <w:lastRenderedPageBreak/>
        <w:t>财务报告</w:t>
      </w:r>
      <w:bookmarkEnd w:id="114"/>
      <w:bookmarkEnd w:id="115"/>
    </w:p>
    <w:p w:rsidR="004A3868" w:rsidRDefault="003F1AB5">
      <w:pPr>
        <w:pStyle w:val="Style954"/>
      </w:pPr>
      <w:r>
        <w:rPr>
          <w:rFonts w:hint="eastAsia"/>
        </w:rPr>
        <w:t>审计报告</w:t>
      </w:r>
    </w:p>
    <w:sdt>
      <w:sdtPr>
        <w:alias w:val="是否适用：审计报告[双击切换]"/>
        <w:tag w:val="_GBC_8a37b9861aa34a8d89cae86ad0133ffb"/>
        <w:id w:val="-800997597"/>
        <w:placeholder>
          <w:docPart w:val="GBC22222222222222222222222222222"/>
        </w:placeholder>
      </w:sdtPr>
      <w:sdtEndPr>
        <w:rPr>
          <w:rStyle w:val="af2"/>
          <w:rFonts w:hAnsi="Courier New"/>
          <w:kern w:val="2"/>
          <w:sz w:val="21"/>
        </w:rPr>
      </w:sdtEndPr>
      <w:sdtContent>
        <w:p w:rsidR="004A3868" w:rsidRDefault="003F1AB5">
          <w:pPr>
            <w:pStyle w:val="Style853"/>
            <w:rPr>
              <w:rStyle w:val="af2"/>
            </w:rPr>
          </w:pPr>
          <w:r>
            <w:rPr>
              <w:rStyle w:val="af2"/>
            </w:rPr>
            <w:fldChar w:fldCharType="begin"/>
          </w:r>
          <w:r>
            <w:rPr>
              <w:rStyle w:val="af2"/>
              <w:rFonts w:hint="eastAsia"/>
            </w:rPr>
            <w:instrText xml:space="preserve">MACROBUTTON  SnrToggleCheckbox √适用 </w:instrText>
          </w:r>
          <w:r>
            <w:rPr>
              <w:rStyle w:val="af2"/>
            </w:rPr>
            <w:fldChar w:fldCharType="end"/>
          </w:r>
          <w:r>
            <w:rPr>
              <w:rStyle w:val="af2"/>
            </w:rPr>
            <w:fldChar w:fldCharType="begin"/>
          </w:r>
          <w:r>
            <w:rPr>
              <w:rStyle w:val="af2"/>
            </w:rPr>
            <w:instrText xml:space="preserve"> MACROBUTTON  SnrToggleCheckbox </w:instrText>
          </w:r>
          <w:r>
            <w:rPr>
              <w:rStyle w:val="af2"/>
            </w:rPr>
            <w:instrText>□</w:instrText>
          </w:r>
          <w:r>
            <w:rPr>
              <w:rStyle w:val="af2"/>
            </w:rPr>
            <w:instrText xml:space="preserve">不适用 </w:instrText>
          </w:r>
          <w:r>
            <w:rPr>
              <w:rStyle w:val="af2"/>
            </w:rPr>
            <w:fldChar w:fldCharType="end"/>
          </w:r>
        </w:p>
      </w:sdtContent>
    </w:sdt>
    <w:sdt>
      <w:sdtPr>
        <w:rPr>
          <w:rFonts w:hint="eastAsia"/>
        </w:rPr>
        <w:alias w:val="审计报告全文"/>
        <w:tag w:val="_GBC_08aaee8d8997491cb4fc7ef77b493e65"/>
        <w:id w:val="146948400"/>
        <w:placeholder>
          <w:docPart w:val="GBC22222222222222222222222222222"/>
        </w:placeholder>
      </w:sdtPr>
      <w:sdtEndPr/>
      <w:sdtContent>
        <w:p w:rsidR="004A3868" w:rsidRDefault="003F1AB5">
          <w:pPr>
            <w:pStyle w:val="afff1"/>
            <w:ind w:firstLine="420"/>
          </w:pPr>
          <w:r>
            <w:t>(</w:t>
          </w:r>
          <w:r>
            <w:rPr>
              <w:rFonts w:hint="eastAsia"/>
            </w:rPr>
            <w:t>一)审计意见</w:t>
          </w:r>
        </w:p>
        <w:p w:rsidR="004A3868" w:rsidRDefault="003F1AB5">
          <w:pPr>
            <w:pStyle w:val="afff1"/>
            <w:ind w:firstLine="420"/>
          </w:pPr>
          <w:r>
            <w:rPr>
              <w:rFonts w:hint="eastAsia"/>
            </w:rPr>
            <w:t>我们审计了重庆望变电气（集团）股份有限公司</w:t>
          </w:r>
          <w:r>
            <w:t>(以下简称望变电气)财务报表，包括2023年12月31日的合并及母公司资产负债表，2023年度的合并及母公司利润表、合并及母公司现金流量表、合并及母公司股东权益变动表以及相关财务报表附注。</w:t>
          </w:r>
        </w:p>
        <w:p w:rsidR="004A3868" w:rsidRDefault="003F1AB5">
          <w:pPr>
            <w:pStyle w:val="afff1"/>
            <w:ind w:firstLine="420"/>
          </w:pPr>
          <w:r>
            <w:rPr>
              <w:rFonts w:hint="eastAsia"/>
            </w:rPr>
            <w:t>我们认为，后附的财务报表在所有重大方面按照企业会计准则的规定编制，公允反映了望变电气</w:t>
          </w:r>
          <w:r>
            <w:t>2023年12月31日的合并及母公司财务状况以及2023年度的合并及母公司经营成果和现金流量。</w:t>
          </w:r>
        </w:p>
        <w:p w:rsidR="004A3868" w:rsidRDefault="003F1AB5">
          <w:pPr>
            <w:pStyle w:val="afff1"/>
            <w:ind w:firstLine="420"/>
          </w:pPr>
          <w:r>
            <w:rPr>
              <w:rFonts w:hint="eastAsia"/>
            </w:rPr>
            <w:t>(二)形成审计意见的基础</w:t>
          </w:r>
        </w:p>
        <w:p w:rsidR="004A3868" w:rsidRDefault="003F1AB5">
          <w:pPr>
            <w:pStyle w:val="afff1"/>
            <w:ind w:firstLine="420"/>
          </w:pPr>
          <w:r>
            <w:rPr>
              <w:rFonts w:hint="eastAsia"/>
            </w:rPr>
            <w:t>我们按照中国注册会计师审计准则的规定执行了审计工作。审计报告的“注册会计师对财务报表审计的责任”部分进一步阐述了我们在这些准则下的责任。按照中国注册会计师职业道德守则，我们独立于望变电气，并履行了职业道德方面的其他责任。我们相信，我们获取的审计证据是充分、适当的，为发表审计意见提供了基础。</w:t>
          </w:r>
        </w:p>
        <w:p w:rsidR="004A3868" w:rsidRDefault="003F1AB5">
          <w:pPr>
            <w:pStyle w:val="afff1"/>
            <w:ind w:firstLine="420"/>
          </w:pPr>
          <w:r>
            <w:rPr>
              <w:rFonts w:hint="eastAsia"/>
            </w:rPr>
            <w:t>(三)关键审计事项</w:t>
          </w:r>
        </w:p>
        <w:p w:rsidR="004A3868" w:rsidRDefault="003F1AB5">
          <w:pPr>
            <w:pStyle w:val="afff1"/>
            <w:ind w:firstLine="420"/>
          </w:pPr>
          <w:r>
            <w:rPr>
              <w:rFonts w:hint="eastAsia"/>
            </w:rPr>
            <w:t>关键审计事项是我们根据职业判断，认为对本期财务报表审计最为重要的事项。这些事项的应对以对财务报表整体进行审计并形成审计意见为背景，我们不对这些事项单独发表意见。</w:t>
          </w:r>
        </w:p>
        <w:p w:rsidR="004A3868" w:rsidRDefault="003F1AB5">
          <w:pPr>
            <w:pStyle w:val="afff1"/>
            <w:ind w:firstLine="420"/>
          </w:pPr>
          <w:r>
            <w:rPr>
              <w:rFonts w:hint="eastAsia"/>
            </w:rPr>
            <w:t>我们确定下列事项是需要在审计报告中沟通的关键审计事项。</w:t>
          </w:r>
        </w:p>
        <w:p w:rsidR="004A3868" w:rsidRDefault="003F1AB5">
          <w:pPr>
            <w:pStyle w:val="afff1"/>
            <w:ind w:firstLine="420"/>
          </w:pPr>
          <w:r>
            <w:rPr>
              <w:rFonts w:hint="eastAsia"/>
            </w:rPr>
            <w:t>（</w:t>
          </w:r>
          <w:r>
            <w:t>1</w:t>
          </w:r>
          <w:r>
            <w:rPr>
              <w:rFonts w:hint="eastAsia"/>
            </w:rPr>
            <w:t>）</w:t>
          </w:r>
          <w:r>
            <w:t>收入确认</w:t>
          </w:r>
        </w:p>
        <w:p w:rsidR="004A3868" w:rsidRDefault="003F1AB5">
          <w:pPr>
            <w:pStyle w:val="afff1"/>
            <w:ind w:firstLine="420"/>
          </w:pPr>
          <w:r>
            <w:rPr>
              <w:rFonts w:hint="eastAsia"/>
            </w:rPr>
            <w:t>（</w:t>
          </w:r>
          <w:r>
            <w:t>2</w:t>
          </w:r>
          <w:r>
            <w:rPr>
              <w:rFonts w:hint="eastAsia"/>
            </w:rPr>
            <w:t>）</w:t>
          </w:r>
          <w:r>
            <w:t>应收账款减值</w:t>
          </w:r>
        </w:p>
        <w:p w:rsidR="004A3868" w:rsidRDefault="003F1AB5">
          <w:pPr>
            <w:pStyle w:val="afff1"/>
            <w:ind w:firstLine="420"/>
          </w:pPr>
          <w:r>
            <w:t>1</w:t>
          </w:r>
          <w:r>
            <w:rPr>
              <w:rFonts w:hint="eastAsia"/>
            </w:rPr>
            <w:t>、</w:t>
          </w:r>
          <w:r>
            <w:t>收入确认</w:t>
          </w:r>
        </w:p>
        <w:p w:rsidR="004A3868" w:rsidRDefault="003F1AB5">
          <w:pPr>
            <w:pStyle w:val="afff1"/>
            <w:ind w:firstLine="420"/>
          </w:pPr>
          <w:r>
            <w:rPr>
              <w:rFonts w:hint="eastAsia"/>
            </w:rPr>
            <w:t>（</w:t>
          </w:r>
          <w:r>
            <w:t>1</w:t>
          </w:r>
          <w:r>
            <w:rPr>
              <w:rFonts w:hint="eastAsia"/>
            </w:rPr>
            <w:t>）</w:t>
          </w:r>
          <w:r>
            <w:t>事项描述</w:t>
          </w:r>
        </w:p>
        <w:p w:rsidR="004A3868" w:rsidRDefault="003F1AB5">
          <w:pPr>
            <w:pStyle w:val="afff1"/>
            <w:ind w:firstLine="420"/>
          </w:pPr>
          <w:r>
            <w:rPr>
              <w:rFonts w:hint="eastAsia"/>
            </w:rPr>
            <w:t>如附注六（注释</w:t>
          </w:r>
          <w:r>
            <w:t>39）所示，2023年度望变电气合并财务报表中营业收入为人民币271,778.88万元，较上年同期增长7.57%。由于收入金额重大且为关键业绩指标，从而存在管理层为达到特定目标或期望而操纵收入确认的固有风险，我们将收入确认识别为关键审计事项。</w:t>
          </w:r>
        </w:p>
        <w:p w:rsidR="004A3868" w:rsidRDefault="003F1AB5">
          <w:pPr>
            <w:pStyle w:val="afff1"/>
            <w:ind w:firstLine="420"/>
          </w:pPr>
          <w:r>
            <w:rPr>
              <w:rFonts w:hint="eastAsia"/>
            </w:rPr>
            <w:t>（</w:t>
          </w:r>
          <w:r>
            <w:t>2</w:t>
          </w:r>
          <w:r>
            <w:rPr>
              <w:rFonts w:hint="eastAsia"/>
            </w:rPr>
            <w:t>）</w:t>
          </w:r>
          <w:r>
            <w:t>审计应对</w:t>
          </w:r>
        </w:p>
        <w:p w:rsidR="004A3868" w:rsidRDefault="003F1AB5">
          <w:pPr>
            <w:pStyle w:val="afff1"/>
            <w:ind w:firstLine="420"/>
          </w:pPr>
          <w:r>
            <w:rPr>
              <w:rFonts w:hint="eastAsia"/>
            </w:rPr>
            <w:t>我们对于收入确认所实施的重要审计程序包括：</w:t>
          </w:r>
        </w:p>
        <w:p w:rsidR="004A3868" w:rsidRDefault="003F1AB5">
          <w:pPr>
            <w:pStyle w:val="afff1"/>
            <w:ind w:firstLine="420"/>
          </w:pPr>
          <w:r>
            <w:t>1）了解管理层与收入确认相关的关键内部控制的设计，并测试其运行的有效性；</w:t>
          </w:r>
        </w:p>
        <w:p w:rsidR="004A3868" w:rsidRDefault="003F1AB5">
          <w:pPr>
            <w:pStyle w:val="afff1"/>
            <w:ind w:firstLine="420"/>
          </w:pPr>
          <w:r>
            <w:lastRenderedPageBreak/>
            <w:t>2）通过审阅销售合同与收入确认相关的主要条款，与管理层的沟通，评价收入确认的会计政策是否符合企业会计准则的要求；</w:t>
          </w:r>
        </w:p>
        <w:p w:rsidR="004A3868" w:rsidRDefault="003F1AB5">
          <w:pPr>
            <w:pStyle w:val="afff1"/>
            <w:ind w:firstLine="420"/>
          </w:pPr>
          <w:r>
            <w:t>3）对收入和成本执行分析程序，包括：本报告期内收入季度间波动对比分析，本报告期内各类产品收入、成本、毛利率比较分析等；</w:t>
          </w:r>
        </w:p>
        <w:p w:rsidR="004A3868" w:rsidRDefault="003F1AB5">
          <w:pPr>
            <w:pStyle w:val="afff1"/>
            <w:ind w:firstLine="420"/>
          </w:pPr>
          <w:r>
            <w:t>4）针对不同业务收入进行抽样测试，了解业务情况，核对销售合同、收入确认支持性文件，抽查销售合同或订单、出库单、物流单据、验收单、报关单和销售发票等与收入确认相关单据，检查收款记录，并结合函证程序以确认收入的真实性；</w:t>
          </w:r>
        </w:p>
        <w:p w:rsidR="004A3868" w:rsidRDefault="003F1AB5">
          <w:pPr>
            <w:pStyle w:val="afff1"/>
            <w:ind w:firstLine="420"/>
          </w:pPr>
          <w:r>
            <w:t>5）针对资产负债表日前后确认的营业收入执行抽样测试，以评估营业收入是否在恰当的期间确认。</w:t>
          </w:r>
        </w:p>
        <w:p w:rsidR="004A3868" w:rsidRDefault="003F1AB5">
          <w:pPr>
            <w:pStyle w:val="afff1"/>
            <w:ind w:firstLine="420"/>
          </w:pPr>
          <w:r>
            <w:rPr>
              <w:rFonts w:hint="eastAsia"/>
            </w:rPr>
            <w:t>基于已执行的审计工作，我们认为，望变电气的收入确认符合企业会计准则的规定。</w:t>
          </w:r>
        </w:p>
        <w:p w:rsidR="004A3868" w:rsidRDefault="003F1AB5">
          <w:pPr>
            <w:pStyle w:val="afff1"/>
            <w:ind w:firstLine="420"/>
          </w:pPr>
          <w:r>
            <w:t>2</w:t>
          </w:r>
          <w:r>
            <w:rPr>
              <w:rFonts w:hint="eastAsia"/>
            </w:rPr>
            <w:t>、</w:t>
          </w:r>
          <w:r>
            <w:t>应收账款减值</w:t>
          </w:r>
        </w:p>
        <w:p w:rsidR="004A3868" w:rsidRDefault="003F1AB5">
          <w:pPr>
            <w:pStyle w:val="afff1"/>
            <w:ind w:firstLine="420"/>
          </w:pPr>
          <w:r>
            <w:rPr>
              <w:rFonts w:hint="eastAsia"/>
            </w:rPr>
            <w:t>（</w:t>
          </w:r>
          <w:r>
            <w:t>1</w:t>
          </w:r>
          <w:r>
            <w:rPr>
              <w:rFonts w:hint="eastAsia"/>
            </w:rPr>
            <w:t>）</w:t>
          </w:r>
          <w:r>
            <w:t>事项描述</w:t>
          </w:r>
        </w:p>
        <w:p w:rsidR="004A3868" w:rsidRDefault="003F1AB5">
          <w:pPr>
            <w:pStyle w:val="afff1"/>
            <w:ind w:firstLine="420"/>
          </w:pPr>
          <w:r>
            <w:rPr>
              <w:rFonts w:hint="eastAsia"/>
            </w:rPr>
            <w:t>如附注六（注释</w:t>
          </w:r>
          <w:r>
            <w:t>4）所示，2023年12月31日，望变电气合并财务报表中应收账款的账面原值为人民币107,899.94万元，减值准备为人民币11,221.72万元。由于应收账款金额重大，且应收账款减值涉及重大管理层判断，我们将应收账款减值确定为关键审计事项。</w:t>
          </w:r>
        </w:p>
        <w:p w:rsidR="004A3868" w:rsidRDefault="003F1AB5">
          <w:pPr>
            <w:pStyle w:val="afff1"/>
            <w:ind w:firstLine="420"/>
          </w:pPr>
          <w:r>
            <w:rPr>
              <w:rFonts w:hint="eastAsia"/>
            </w:rPr>
            <w:t>（</w:t>
          </w:r>
          <w:r>
            <w:t>2</w:t>
          </w:r>
          <w:r>
            <w:rPr>
              <w:rFonts w:hint="eastAsia"/>
            </w:rPr>
            <w:t>）</w:t>
          </w:r>
          <w:r>
            <w:t>审计应对</w:t>
          </w:r>
        </w:p>
        <w:p w:rsidR="004A3868" w:rsidRDefault="003F1AB5">
          <w:pPr>
            <w:pStyle w:val="afff1"/>
            <w:ind w:firstLine="420"/>
          </w:pPr>
          <w:r>
            <w:rPr>
              <w:rFonts w:hint="eastAsia"/>
            </w:rPr>
            <w:t>我们对于应收账款减值所实施的重要审计程序包括：</w:t>
          </w:r>
        </w:p>
        <w:p w:rsidR="004A3868" w:rsidRDefault="003F1AB5">
          <w:pPr>
            <w:pStyle w:val="afff1"/>
            <w:ind w:firstLine="420"/>
          </w:pPr>
          <w:r>
            <w:t>1）了解与应收账款减值相关的关键内部控制，评价这些控制的设计，确定其是否得到执行，并测试相关内部控制的运行有效性；</w:t>
          </w:r>
        </w:p>
        <w:p w:rsidR="004A3868" w:rsidRDefault="003F1AB5">
          <w:pPr>
            <w:pStyle w:val="afff1"/>
            <w:ind w:firstLine="420"/>
          </w:pPr>
          <w:r>
            <w:t>2）复核以前年度已计提坏账准备的应收账款的后续实际核销或转回情况，评价管理层过往预测的准确性；</w:t>
          </w:r>
        </w:p>
        <w:p w:rsidR="004A3868" w:rsidRDefault="003F1AB5">
          <w:pPr>
            <w:pStyle w:val="afff1"/>
            <w:ind w:firstLine="420"/>
          </w:pPr>
          <w:r>
            <w:t>3）复核管理层对应收账款进行信用风险评估的相关考虑和客观证据，评价管理层是否恰当识别各项应收账款的信用风险特征；</w:t>
          </w:r>
        </w:p>
        <w:p w:rsidR="004A3868" w:rsidRDefault="003F1AB5">
          <w:pPr>
            <w:pStyle w:val="afff1"/>
            <w:ind w:firstLine="420"/>
          </w:pPr>
          <w:r>
            <w:t>4）对于以组合为基础计量预期信用损失的应收账款，评价管理层按信用风险特征划分组合的合理性；根据具有类似信用风险特征组合的历史信用损失经验及前瞻性估计，评价管理层编制的应收账款账龄与整个存续期预期信用损失率对照表的合理性；测试管理层使用数据（包括应收账款账龄、历史损失率、迁徙率等）的准确性和完整性以及对坏账准备的计算是否准确；</w:t>
          </w:r>
        </w:p>
        <w:p w:rsidR="004A3868" w:rsidRDefault="003F1AB5">
          <w:pPr>
            <w:pStyle w:val="afff1"/>
            <w:ind w:firstLine="420"/>
          </w:pPr>
          <w:r>
            <w:t>5）关注检查账龄较长、大额等情形应收账款的客户财务状况，对于已经出现逾期、违约或其他财务状况不良现象的应收账款，其可收回金额的预测使用的相关假设和参数是否合理；</w:t>
          </w:r>
        </w:p>
        <w:p w:rsidR="004A3868" w:rsidRDefault="003F1AB5">
          <w:pPr>
            <w:pStyle w:val="afff1"/>
            <w:ind w:firstLine="420"/>
          </w:pPr>
          <w:r>
            <w:lastRenderedPageBreak/>
            <w:t>6）抽取样本对应收账款实施函证程序，并检查应收账款的期后回款情况，评价管理层计提应收账款坏账准备的合理性；</w:t>
          </w:r>
        </w:p>
        <w:p w:rsidR="004A3868" w:rsidRDefault="003F1AB5">
          <w:pPr>
            <w:pStyle w:val="afff1"/>
            <w:ind w:firstLine="420"/>
          </w:pPr>
          <w:r>
            <w:t>7）检查大额坏账准备转回和核销的相关依据及账务处理；</w:t>
          </w:r>
        </w:p>
        <w:p w:rsidR="004A3868" w:rsidRDefault="003F1AB5">
          <w:pPr>
            <w:pStyle w:val="afff1"/>
            <w:ind w:firstLine="420"/>
          </w:pPr>
          <w:r>
            <w:t>8）检查与应收账款减值相关的信息是否已在财务报表中作出恰当列报。</w:t>
          </w:r>
        </w:p>
        <w:p w:rsidR="004A3868" w:rsidRDefault="003F1AB5">
          <w:pPr>
            <w:pStyle w:val="afff1"/>
            <w:ind w:firstLine="420"/>
          </w:pPr>
          <w:r>
            <w:rPr>
              <w:rFonts w:hint="eastAsia"/>
            </w:rPr>
            <w:t>基于已执行的审计工作，我们认为，望变电气的应收账款减值符合企业会计准则的规定，管理层对应收账款减值的相关判断及估计是合理的）。</w:t>
          </w:r>
        </w:p>
        <w:p w:rsidR="004A3868" w:rsidRDefault="003F1AB5">
          <w:pPr>
            <w:pStyle w:val="afff1"/>
            <w:ind w:firstLine="420"/>
          </w:pPr>
          <w:r>
            <w:rPr>
              <w:rFonts w:hint="eastAsia"/>
            </w:rPr>
            <w:t>（四）其他信息</w:t>
          </w:r>
        </w:p>
        <w:p w:rsidR="004A3868" w:rsidRDefault="003F1AB5">
          <w:pPr>
            <w:pStyle w:val="afff1"/>
            <w:ind w:firstLine="420"/>
          </w:pPr>
          <w:r>
            <w:rPr>
              <w:rFonts w:hint="eastAsia"/>
            </w:rPr>
            <w:t>望变电气管理层对其他信息负责。其他信息包括</w:t>
          </w:r>
          <w:r>
            <w:t>2023年度报告中涵盖的信息，但不包括财务报表和我们的审计报告。</w:t>
          </w:r>
        </w:p>
        <w:p w:rsidR="004A3868" w:rsidRDefault="003F1AB5">
          <w:pPr>
            <w:pStyle w:val="afff1"/>
            <w:ind w:firstLine="420"/>
          </w:pPr>
          <w:r>
            <w:rPr>
              <w:rFonts w:hint="eastAsia"/>
            </w:rPr>
            <w:t>我们对财务报表的审计意见并不涵盖其他信息，我们也不对其他信息发表任何形式的鉴证结论。</w:t>
          </w:r>
        </w:p>
        <w:p w:rsidR="004A3868" w:rsidRDefault="003F1AB5">
          <w:pPr>
            <w:pStyle w:val="afff1"/>
            <w:ind w:firstLine="420"/>
          </w:pPr>
          <w:r>
            <w:rPr>
              <w:rFonts w:hint="eastAsia"/>
            </w:rPr>
            <w:t>结合我们对财务报表的审计，我们的责任是阅读其他信息，在此过程中，考虑其他信息是否与财务报表或我们在审计过程中了解的情况存在重大不一致或者似乎存在重大错报。</w:t>
          </w:r>
        </w:p>
        <w:p w:rsidR="004A3868" w:rsidRDefault="003F1AB5">
          <w:pPr>
            <w:pStyle w:val="afff1"/>
            <w:ind w:firstLine="420"/>
          </w:pPr>
          <w:r>
            <w:rPr>
              <w:rFonts w:hint="eastAsia"/>
            </w:rPr>
            <w:t>基于我们已执行的工作</w:t>
          </w:r>
          <w:r>
            <w:t>,如果我们确定其他信息存在重大错报，我们应当报告该事实。在这方面，我们无任何事项需要报告。</w:t>
          </w:r>
        </w:p>
        <w:p w:rsidR="004A3868" w:rsidRDefault="003F1AB5">
          <w:pPr>
            <w:pStyle w:val="afff1"/>
            <w:ind w:firstLine="420"/>
          </w:pPr>
          <w:r>
            <w:rPr>
              <w:rFonts w:hint="eastAsia"/>
            </w:rPr>
            <w:t>（五）管理层和治理层对财务报表的责任</w:t>
          </w:r>
        </w:p>
        <w:p w:rsidR="004A3868" w:rsidRDefault="003F1AB5">
          <w:pPr>
            <w:pStyle w:val="afff1"/>
            <w:ind w:firstLine="420"/>
          </w:pPr>
          <w:r>
            <w:rPr>
              <w:rFonts w:hint="eastAsia"/>
            </w:rPr>
            <w:t>望变电气管理层负责按照企业会计准则的规定编制财务报表，使其实现公允反映，并设计、执行和维护必要的内部控制，以使财务报表不存在由于舞弊或错误导致的重大错报。</w:t>
          </w:r>
        </w:p>
        <w:p w:rsidR="004A3868" w:rsidRDefault="003F1AB5">
          <w:pPr>
            <w:pStyle w:val="afff1"/>
            <w:ind w:firstLine="420"/>
          </w:pPr>
          <w:r>
            <w:rPr>
              <w:rFonts w:hint="eastAsia"/>
            </w:rPr>
            <w:t>在编制财务报表时，望变电气管理层负责评估望变电气的持续经营能力，披露与持续经营相关的事项（如适用），并运用持续经营假设，除非管理层计划清算望变电气、终止运营或别无其他现实的选择。</w:t>
          </w:r>
        </w:p>
        <w:p w:rsidR="004A3868" w:rsidRDefault="003F1AB5">
          <w:pPr>
            <w:pStyle w:val="afff1"/>
            <w:ind w:firstLine="420"/>
          </w:pPr>
          <w:r>
            <w:rPr>
              <w:rFonts w:hint="eastAsia"/>
            </w:rPr>
            <w:t>治理层负责监督望变电气的财务报告过程。</w:t>
          </w:r>
        </w:p>
        <w:p w:rsidR="004A3868" w:rsidRDefault="003F1AB5">
          <w:pPr>
            <w:pStyle w:val="afff1"/>
            <w:ind w:firstLine="420"/>
          </w:pPr>
          <w:r>
            <w:rPr>
              <w:rFonts w:hint="eastAsia"/>
            </w:rPr>
            <w:t>（六）注册会计师对财务报表审计的责任</w:t>
          </w:r>
        </w:p>
        <w:p w:rsidR="004A3868" w:rsidRDefault="003F1AB5">
          <w:pPr>
            <w:pStyle w:val="afff1"/>
            <w:ind w:firstLine="420"/>
          </w:pPr>
          <w:r>
            <w:rPr>
              <w:rFonts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4A3868" w:rsidRDefault="003F1AB5">
          <w:pPr>
            <w:pStyle w:val="afff1"/>
            <w:ind w:firstLine="420"/>
          </w:pPr>
          <w:r>
            <w:rPr>
              <w:rFonts w:hint="eastAsia"/>
            </w:rPr>
            <w:t>在按照审计准则执行审计工作的过程中，我们运用职业判断，并保持职业怀疑。同时，我们也执行以下工作：</w:t>
          </w:r>
        </w:p>
        <w:p w:rsidR="004A3868" w:rsidRDefault="003F1AB5">
          <w:pPr>
            <w:pStyle w:val="afff1"/>
            <w:ind w:firstLine="420"/>
          </w:pPr>
          <w:r>
            <w:rPr>
              <w:rFonts w:hint="eastAsia"/>
            </w:rPr>
            <w:lastRenderedPageBreak/>
            <w:t>（</w:t>
          </w:r>
          <w:r>
            <w:t>1</w:t>
          </w:r>
          <w:r>
            <w:rPr>
              <w:rFonts w:hint="eastAsia"/>
            </w:rPr>
            <w:t>）</w:t>
          </w:r>
          <w: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4A3868" w:rsidRDefault="003F1AB5">
          <w:pPr>
            <w:pStyle w:val="afff1"/>
            <w:ind w:firstLine="420"/>
          </w:pPr>
          <w:r>
            <w:rPr>
              <w:rFonts w:hint="eastAsia"/>
            </w:rPr>
            <w:t>（</w:t>
          </w:r>
          <w:r>
            <w:t>2</w:t>
          </w:r>
          <w:r>
            <w:rPr>
              <w:rFonts w:hint="eastAsia"/>
            </w:rPr>
            <w:t>）</w:t>
          </w:r>
          <w:r>
            <w:t>了解与审计相关的内部控制，以设计恰当的审计程序。</w:t>
          </w:r>
        </w:p>
        <w:p w:rsidR="004A3868" w:rsidRDefault="003F1AB5">
          <w:pPr>
            <w:pStyle w:val="afff1"/>
            <w:ind w:firstLine="420"/>
          </w:pPr>
          <w:r>
            <w:rPr>
              <w:rFonts w:hint="eastAsia"/>
            </w:rPr>
            <w:t>（</w:t>
          </w:r>
          <w:r>
            <w:t>3</w:t>
          </w:r>
          <w:r>
            <w:rPr>
              <w:rFonts w:hint="eastAsia"/>
            </w:rPr>
            <w:t>）</w:t>
          </w:r>
          <w:r>
            <w:t>评价管理层选用会计政策的恰当性和作出会计估计及相关披露的合理性。</w:t>
          </w:r>
        </w:p>
        <w:p w:rsidR="004A3868" w:rsidRDefault="003F1AB5">
          <w:pPr>
            <w:pStyle w:val="afff1"/>
            <w:ind w:firstLine="420"/>
          </w:pPr>
          <w:r>
            <w:rPr>
              <w:rFonts w:hint="eastAsia"/>
            </w:rPr>
            <w:t>（</w:t>
          </w:r>
          <w:r>
            <w:t>4</w:t>
          </w:r>
          <w:r>
            <w:rPr>
              <w:rFonts w:hint="eastAsia"/>
            </w:rPr>
            <w:t>）</w:t>
          </w:r>
          <w:r>
            <w:t>对管理层使用持续经营假设的恰当性得出结论。同时，根据获取的审计证据，就可能导致对望变电气持续经营能力产生重大疑虑的事项或情况是否存在重大不确定性得出结论。如果我们得出结论认为存在重大不确定性，审计准则要求我们在审计报告中提请报告使用者注意财务报表中的相关披露；如果披露不充分，我们应当发表非无保留意见。我们的结论基于截至审计报告日可获得的信息。然而，未来的事项或情况可能导致望变电气不能持续经营。</w:t>
          </w:r>
        </w:p>
        <w:p w:rsidR="004A3868" w:rsidRDefault="003F1AB5">
          <w:pPr>
            <w:pStyle w:val="afff1"/>
            <w:ind w:firstLine="420"/>
          </w:pPr>
          <w:r>
            <w:rPr>
              <w:rFonts w:hint="eastAsia"/>
            </w:rPr>
            <w:t>（</w:t>
          </w:r>
          <w:r>
            <w:t>5</w:t>
          </w:r>
          <w:r>
            <w:rPr>
              <w:rFonts w:hint="eastAsia"/>
            </w:rPr>
            <w:t>）</w:t>
          </w:r>
          <w:r>
            <w:t>评价财务报表的总体列报、结构和内容，并评价财务报表是否公允反映相关交易和事项。</w:t>
          </w:r>
        </w:p>
        <w:p w:rsidR="004A3868" w:rsidRDefault="003F1AB5">
          <w:pPr>
            <w:pStyle w:val="afff1"/>
            <w:ind w:firstLine="420"/>
          </w:pPr>
          <w:r>
            <w:rPr>
              <w:rFonts w:hint="eastAsia"/>
            </w:rPr>
            <w:t>（</w:t>
          </w:r>
          <w:r>
            <w:t>6</w:t>
          </w:r>
          <w:r>
            <w:rPr>
              <w:rFonts w:hint="eastAsia"/>
            </w:rPr>
            <w:t>）</w:t>
          </w:r>
          <w:r>
            <w:t>就望变电气中实体或业务活动的财务信息获取充分、适当的审计证据，以对财务报表发表意见。我们负责指导、监督和执行集团审计，并对审计意见承担全部责任。</w:t>
          </w:r>
        </w:p>
        <w:p w:rsidR="004A3868" w:rsidRDefault="003F1AB5">
          <w:pPr>
            <w:pStyle w:val="afff1"/>
            <w:ind w:firstLine="420"/>
          </w:pPr>
          <w:r>
            <w:rPr>
              <w:rFonts w:hint="eastAsia"/>
            </w:rPr>
            <w:t>我们与治理层就计划的审计范围、时间安排和重大审计发现等事项进行沟通，包括沟通我们在审计中识别出的值得关注的内部控制缺陷。</w:t>
          </w:r>
        </w:p>
        <w:p w:rsidR="004A3868" w:rsidRDefault="003F1AB5">
          <w:pPr>
            <w:pStyle w:val="afff1"/>
            <w:ind w:firstLine="420"/>
          </w:pPr>
          <w:r>
            <w:rPr>
              <w:rFonts w:hint="eastAsia"/>
            </w:rPr>
            <w:t>我们还就已遵守与独立性相关的职业道德要求向治理层提供声明，并与治理层沟通可能被合理认为影响我们独立性的所有关系和其他事项，以及相关的防范措施（如适用）。</w:t>
          </w:r>
        </w:p>
        <w:p w:rsidR="004A3868" w:rsidRDefault="003F1AB5">
          <w:pPr>
            <w:pStyle w:val="afff1"/>
            <w:ind w:firstLine="420"/>
          </w:pPr>
          <w:r>
            <w:rPr>
              <w:rFonts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sdtContent>
    </w:sdt>
    <w:p w:rsidR="004A3868" w:rsidRDefault="004A3868">
      <w:pPr>
        <w:pStyle w:val="Style853"/>
      </w:pPr>
    </w:p>
    <w:p w:rsidR="004A3868" w:rsidRDefault="003F1AB5">
      <w:pPr>
        <w:pStyle w:val="Style954"/>
      </w:pPr>
      <w:r>
        <w:rPr>
          <w:rFonts w:hint="eastAsia"/>
        </w:rPr>
        <w:t>财务报表</w:t>
      </w:r>
      <w:bookmarkStart w:id="116" w:name="_Hlk24034092"/>
    </w:p>
    <w:bookmarkEnd w:id="116" w:displacedByCustomXml="next"/>
    <w:sdt>
      <w:sdtPr>
        <w:rPr>
          <w:rFonts w:hint="eastAsia"/>
          <w:b/>
          <w:szCs w:val="21"/>
        </w:rPr>
        <w:tag w:val="_SEC_da8537716f844d348642866e2e19ed15"/>
        <w:id w:val="-739332458"/>
        <w:placeholder>
          <w:docPart w:val="GBC22222222222222222222222222222"/>
        </w:placeholder>
      </w:sdtPr>
      <w:sdtEndPr>
        <w:rPr>
          <w:rFonts w:hint="default"/>
          <w:b w:val="0"/>
          <w:szCs w:val="24"/>
        </w:rPr>
      </w:sdtEndPr>
      <w:sdtContent>
        <w:p w:rsidR="004A3868" w:rsidRDefault="003F1AB5">
          <w:pPr>
            <w:tabs>
              <w:tab w:val="left" w:pos="10080"/>
            </w:tabs>
            <w:snapToGrid w:val="0"/>
            <w:spacing w:line="240" w:lineRule="atLeast"/>
            <w:ind w:rightChars="12" w:right="29"/>
            <w:jc w:val="center"/>
            <w:outlineLvl w:val="2"/>
            <w:rPr>
              <w:b/>
              <w:bCs/>
            </w:rPr>
          </w:pPr>
          <w:r>
            <w:rPr>
              <w:rFonts w:hint="eastAsia"/>
              <w:b/>
              <w:szCs w:val="21"/>
            </w:rPr>
            <w:t>合并资产负债表</w:t>
          </w:r>
        </w:p>
        <w:p w:rsidR="004A3868" w:rsidRDefault="003F1AB5">
          <w:pPr>
            <w:pStyle w:val="Style1226"/>
            <w:rPr>
              <w:b/>
            </w:rPr>
          </w:pPr>
          <w:r>
            <w:t xml:space="preserve">     2023年12月31日</w:t>
          </w:r>
        </w:p>
        <w:p w:rsidR="004A3868" w:rsidRDefault="003F1AB5">
          <w:pPr>
            <w:pStyle w:val="afffb"/>
          </w:pPr>
          <w:r>
            <w:t xml:space="preserve">编制单位: </w:t>
          </w:r>
          <w:sdt>
            <w:sdtPr>
              <w:alias w:val="公司法定中文名称"/>
              <w:tag w:val="_GBC_22071e1c4bb04578b94539b252cb1c67"/>
              <w:id w:val="708844713"/>
              <w:placeholder>
                <w:docPart w:val="GBC22222222222222222222222222222"/>
              </w:placeholder>
              <w:dataBinding w:prefixMappings="xmlns:clcid-cgi='clcid-cgi'" w:xpath="/*/clcid-cgi:GongSiFaDingZhongWenMingCheng[not(@periodRef)]" w:storeItemID="{89EBAB94-44A0-46A2-B712-30D997D04A6D}"/>
              <w:text/>
            </w:sdtPr>
            <w:sdtEndPr/>
            <w:sdtContent>
              <w:r>
                <w:t>重庆望变电气（集团）股份有限公司</w:t>
              </w:r>
            </w:sdtContent>
          </w:sdt>
        </w:p>
        <w:p w:rsidR="004A3868" w:rsidRDefault="003F1AB5">
          <w:pPr>
            <w:pStyle w:val="affff"/>
          </w:pPr>
          <w:r>
            <w:rPr>
              <w:rStyle w:val="afffc"/>
            </w:rPr>
            <w:t>单位:</w:t>
          </w:r>
          <w:sdt>
            <w:sdtPr>
              <w:rPr>
                <w:rStyle w:val="afffc"/>
              </w:rPr>
              <w:alias w:val="单位：合并资产负债表"/>
              <w:tag w:val="_GBC_8c6918f285a44e0f8fb06fefffa27df4"/>
              <w:id w:val="-6912998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afffc"/>
              </w:rPr>
            </w:sdtEndPr>
            <w:sdtContent>
              <w:r>
                <w:rPr>
                  <w:rStyle w:val="afffc"/>
                  <w:rFonts w:hint="eastAsia"/>
                </w:rPr>
                <w:t>元</w:t>
              </w:r>
            </w:sdtContent>
          </w:sdt>
          <w:r>
            <w:rPr>
              <w:rStyle w:val="afffc"/>
            </w:rPr>
            <w:t xml:space="preserve">  币种:</w:t>
          </w:r>
          <w:sdt>
            <w:sdtPr>
              <w:rPr>
                <w:rStyle w:val="afffc"/>
              </w:rPr>
              <w:alias w:val="币种：合并资产负债表"/>
              <w:tag w:val="_GBC_0953b26208a64010937af0b40efed509"/>
              <w:id w:val="-14053014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afffc"/>
              </w:rPr>
            </w:sdtEndPr>
            <w:sdtContent>
              <w:r>
                <w:rPr>
                  <w:rStyle w:val="afffc"/>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2872"/>
            <w:gridCol w:w="1106"/>
            <w:gridCol w:w="2488"/>
            <w:gridCol w:w="2351"/>
          </w:tblGrid>
          <w:tr w:rsidR="004A3868">
            <w:trPr>
              <w:trHeight w:val="397"/>
              <w:jc w:val="center"/>
            </w:trPr>
            <w:sdt>
              <w:sdtPr>
                <w:tag w:val="_PLD_84c27050653a48c5a546a57ae8416994"/>
                <w:id w:val="-178971459"/>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b"/>
                    </w:pPr>
                    <w:r>
                      <w:t>项目</w:t>
                    </w:r>
                  </w:p>
                </w:tc>
              </w:sdtContent>
            </w:sdt>
            <w:sdt>
              <w:sdtPr>
                <w:tag w:val="_PLD_8ac07e922cfc49539af3e18b6fb1e9ef"/>
                <w:id w:val="-569198555"/>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b"/>
                    </w:pPr>
                    <w:r>
                      <w:rPr>
                        <w:rFonts w:hint="eastAsia"/>
                      </w:rPr>
                      <w:t>附注</w:t>
                    </w:r>
                  </w:p>
                </w:tc>
              </w:sdtContent>
            </w:sdt>
            <w:sdt>
              <w:sdtPr>
                <w:tag w:val="_PLD_6a3e769a95b74706b81a9893b779573c"/>
                <w:id w:val="-1102489672"/>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b"/>
                    </w:pPr>
                    <w:r>
                      <w:rPr>
                        <w:rFonts w:hint="eastAsia"/>
                      </w:rPr>
                      <w:t>2023年1</w:t>
                    </w:r>
                    <w:r>
                      <w:t>2</w:t>
                    </w:r>
                    <w:r>
                      <w:rPr>
                        <w:rFonts w:hint="eastAsia"/>
                      </w:rPr>
                      <w:t>月</w:t>
                    </w:r>
                    <w:r>
                      <w:t>31</w:t>
                    </w:r>
                    <w:r>
                      <w:rPr>
                        <w:rFonts w:hint="eastAsia"/>
                      </w:rPr>
                      <w:t>日</w:t>
                    </w:r>
                  </w:p>
                </w:tc>
              </w:sdtContent>
            </w:sdt>
            <w:sdt>
              <w:sdtPr>
                <w:tag w:val="_PLD_3c9a89d7045e40ff9c0f81ac747711c4"/>
                <w:id w:val="2046710150"/>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b"/>
                    </w:pPr>
                    <w:r>
                      <w:rPr>
                        <w:rFonts w:hint="eastAsia"/>
                      </w:rPr>
                      <w:t>2022年12月31日</w:t>
                    </w:r>
                  </w:p>
                </w:tc>
              </w:sdtContent>
            </w:sdt>
          </w:tr>
          <w:tr w:rsidR="004A3868">
            <w:trPr>
              <w:trHeight w:val="397"/>
              <w:jc w:val="center"/>
            </w:trPr>
            <w:sdt>
              <w:sdtPr>
                <w:tag w:val="_PLD_ddefc78a30fc4d35a7bb6c1f0057e4ef"/>
                <w:id w:val="-43189992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rPr>
                        <w:color w:val="FF00FF"/>
                      </w:rPr>
                    </w:pPr>
                    <w:r>
                      <w:rPr>
                        <w:rStyle w:val="afffa"/>
                        <w:rFonts w:hint="eastAsia"/>
                      </w:rPr>
                      <w:t>流动资产：</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货币资金</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1</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1,373,135,140.58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932,989,509.07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结算备付金</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lastRenderedPageBreak/>
                  <w:t>拆出资金</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2</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30,021,369.86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衍生金融资产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应收票据</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4</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122,497,435.87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141,482,291.57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应收账款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966,782,160.45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739,136,224.42</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rPr>
                    <w:rFonts w:hint="eastAsia"/>
                  </w:rPr>
                  <w:t>7</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12,244,653.97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16,434,665.10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预付款项</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rPr>
                    <w:rFonts w:hint="eastAsia"/>
                  </w:rPr>
                  <w:t>8</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57,812,835.44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54,606,579.17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应收保费</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应收分保账款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应收分保合同准备金</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其他应收款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rPr>
                    <w:rFonts w:hint="eastAsia"/>
                  </w:rPr>
                  <w:t>9</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12,412,973.60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11,777,870.79</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其中：应收利息</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应收股利</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买入返售金融资产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存货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rPr>
                    <w:rFonts w:hint="eastAsia"/>
                  </w:rPr>
                  <w:t>1</w:t>
                </w:r>
                <w:r>
                  <w:t>0</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509,071,438.50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445,999,284.72</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持有待售资产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一年内到期的非流动资产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12</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40,061,815.49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51,872,087.40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其他流动资产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13</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25,398,571.02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2,188,378.10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流动资产合计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3,119,417,024.92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2,426,508,260.20</w:t>
                </w:r>
              </w:p>
            </w:tc>
          </w:tr>
          <w:tr w:rsidR="004A3868">
            <w:trPr>
              <w:trHeight w:val="397"/>
              <w:jc w:val="center"/>
            </w:trPr>
            <w:sdt>
              <w:sdtPr>
                <w:tag w:val="_PLD_72b86b17371840d39acb38a5d1204c0e"/>
                <w:id w:val="94735260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非流动资产：</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发放贷款和垫款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长期应收款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16</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6,249,285.19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长期股权投资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17</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15,534,673.57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16,014,232.96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投资性房地产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固定资产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21</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1,114,808,714.61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589,304,155.96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在建工程</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22</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377,807,134.75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224,832,421.82</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生产性生物资产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油气资产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lastRenderedPageBreak/>
                  <w:t>使用权资产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25</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9,039,176.27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1,629,479.69</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无形资产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26</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125,521,103.93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81,743,789.48</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开发支出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商誉</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长期待摊费用</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28</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3,846,148.12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1,479,417.03</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递延所得税资产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29</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24,480,159.10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19,766,550.69</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其他非流动资产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30</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78,538,506.70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145,238,856.84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非流动资产合计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1,755,824,902.24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1,080,008,904.47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资产总计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4,875,241,927.16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3,506,517,164.67</w:t>
                </w:r>
              </w:p>
            </w:tc>
          </w:tr>
          <w:tr w:rsidR="004A3868">
            <w:trPr>
              <w:trHeight w:val="397"/>
              <w:jc w:val="center"/>
            </w:trPr>
            <w:sdt>
              <w:sdtPr>
                <w:tag w:val="_PLD_97e1ad068b5b418999e5a3a4eadcffca"/>
                <w:id w:val="-181332690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流动负债：</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短期借款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32</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264,252,578.55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33,427,049.42</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向中央银行借款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拆入资金</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衍生金融负债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应付票据</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35</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539,910,353.67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204,336,375.66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应付账款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36</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553,013,553.52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312,451,101.55</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预收款项</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38</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84,726,984.24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174,632,230.88</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卖出回购金融资产款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吸收存款及同业存放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代理买卖证券款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代理承销证券款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应付职工薪酬</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39</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34,228,541.23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33,526,170.16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应交税费</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40</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2,615,419.62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9,326,528.04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其他应付款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41</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17,557,617.05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15,593,721.54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其中：应付利息</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应付股利</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应付手续费及佣金</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应付分保账款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持有待售负债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一年内到期的非流动负债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43</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69,001,998.56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13,413,072.13</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其他流动负债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44</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137,846,607.49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170,647,854.36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lastRenderedPageBreak/>
                  <w:t>流动负债合计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1,703,153,653.93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967,354,103.74</w:t>
                </w:r>
              </w:p>
            </w:tc>
          </w:tr>
          <w:tr w:rsidR="004A3868">
            <w:trPr>
              <w:trHeight w:val="397"/>
              <w:jc w:val="center"/>
            </w:trPr>
            <w:sdt>
              <w:sdtPr>
                <w:tag w:val="_PLD_76615034b106405f8ae606a6fc253d93"/>
                <w:id w:val="-71904719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非流动负债：</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保险合同准备金</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长期借款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45</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665,117,590.59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179,206,688.74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应付债券</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其中：优先股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永续债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47</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4,228,032.70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561,243.09</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长期应付款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长期应付职工薪酬</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预计负债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50</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352,153.47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2,785,840.00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递延收益</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51</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64,166,099.46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64,627,958.53</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递延所得税负债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rPr>
                    <w:rFonts w:hint="eastAsia"/>
                  </w:rPr>
                  <w:t>2</w:t>
                </w:r>
                <w:r>
                  <w:t>9</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47,415,940.07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24,707,838.86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其他非流动负债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52</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非流动负债合计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842"/>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781,279,816.29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271,889,569.22</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负债合计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842"/>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2,484,433,470.22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1,239,243,672.96</w:t>
                </w:r>
              </w:p>
            </w:tc>
          </w:tr>
          <w:tr w:rsidR="004A3868">
            <w:trPr>
              <w:trHeight w:val="397"/>
              <w:jc w:val="center"/>
            </w:trPr>
            <w:sdt>
              <w:sdtPr>
                <w:tag w:val="_PLD_c6760bbd367544f58c1b02c0378c7818"/>
                <w:id w:val="-71820049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所有者权益（或股东权益）：</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实收资本（或股本）</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53</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333,167,407.00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333,167,407.00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其他权益工具</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其中：优先股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永续债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资本公积</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55</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975,698,666.95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982,384,564.80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减：库存股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56</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50,299,241.28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其他综合收益</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专项储备</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58</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21,903,104.70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15,311,928.33</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盈余公积</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59</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118,088,672.71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94,090,598.13</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一般风险准备</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未分配利润</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七、</w:t>
                </w:r>
                <w:r>
                  <w:t>60</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992,249,846.86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841,631,315.88</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842"/>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2,390,808,456.94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2,266,585,814.14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少数股东权益</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842"/>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687,677.57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842"/>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2,390,808,456.94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2,267,273,491.71</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842"/>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4,875,241,927.16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3,506,517,164.67</w:t>
                </w:r>
              </w:p>
            </w:tc>
          </w:tr>
        </w:tbl>
        <w:p w:rsidR="004A3868" w:rsidRDefault="004A3868">
          <w:pPr>
            <w:pStyle w:val="Style853"/>
          </w:pPr>
        </w:p>
        <w:p w:rsidR="004A3868" w:rsidRDefault="003F1AB5">
          <w:pPr>
            <w:rPr>
              <w:color w:val="008000"/>
              <w:u w:val="single"/>
            </w:rPr>
          </w:pPr>
          <w:r>
            <w:rPr>
              <w:rStyle w:val="Char10"/>
              <w:rFonts w:hint="eastAsia"/>
            </w:rPr>
            <w:t>公司负责</w:t>
          </w:r>
          <w:r>
            <w:rPr>
              <w:rStyle w:val="Char10"/>
            </w:rPr>
            <w:t>人</w:t>
          </w:r>
          <w:r>
            <w:rPr>
              <w:rStyle w:val="Char10"/>
              <w:rFonts w:hint="eastAsia"/>
            </w:rPr>
            <w:t>：</w:t>
          </w:r>
          <w:sdt>
            <w:sdtPr>
              <w:rPr>
                <w:rStyle w:val="Char10"/>
                <w:rFonts w:hint="eastAsia"/>
              </w:rPr>
              <w:alias w:val="公司负责人姓名"/>
              <w:tag w:val="_GBC_295740a12aa8498286bf2ef11896dbe9"/>
              <w:id w:val="-770542417"/>
              <w:placeholder>
                <w:docPart w:val="GBC22222222222222222222222222222"/>
              </w:placeholder>
              <w:dataBinding w:prefixMappings="xmlns:clcid-mr='clcid-mr'" w:xpath="/*/clcid-mr:GongSiFuZeRenXingMing[not(@periodRef)]" w:storeItemID="{89EBAB94-44A0-46A2-B712-30D997D04A6D}"/>
              <w:text/>
            </w:sdtPr>
            <w:sdtEndPr>
              <w:rPr>
                <w:rStyle w:val="Char10"/>
              </w:rPr>
            </w:sdtEndPr>
            <w:sdtContent>
              <w:r>
                <w:rPr>
                  <w:rStyle w:val="Char10"/>
                  <w:rFonts w:hint="eastAsia"/>
                </w:rPr>
                <w:t>杨泽民</w:t>
              </w:r>
            </w:sdtContent>
          </w:sdt>
          <w:r>
            <w:rPr>
              <w:rStyle w:val="Char10"/>
              <w:rFonts w:hint="eastAsia"/>
            </w:rPr>
            <w:t xml:space="preserve"> </w:t>
          </w:r>
          <w:r>
            <w:rPr>
              <w:rStyle w:val="Char10"/>
            </w:rPr>
            <w:t>主管会计工作负责人</w:t>
          </w:r>
          <w:r>
            <w:rPr>
              <w:rStyle w:val="Char10"/>
              <w:rFonts w:hint="eastAsia"/>
            </w:rPr>
            <w:t>：</w:t>
          </w:r>
          <w:sdt>
            <w:sdtPr>
              <w:rPr>
                <w:rStyle w:val="Char10"/>
                <w:rFonts w:hint="eastAsia"/>
              </w:rPr>
              <w:alias w:val="主管会计工作负责人姓名"/>
              <w:tag w:val="_GBC_095c1df7dd6b412590466f3e711cd1e6"/>
              <w:id w:val="-1044827466"/>
              <w:placeholder>
                <w:docPart w:val="GBC22222222222222222222222222222"/>
              </w:placeholder>
              <w:dataBinding w:prefixMappings="xmlns:clcid-mr='clcid-mr'" w:xpath="/*/clcid-mr:ZhuGuanKuaiJiGongZuoFuZeRenXingMing[not(@periodRef)]" w:storeItemID="{89EBAB94-44A0-46A2-B712-30D997D04A6D}"/>
              <w:text/>
            </w:sdtPr>
            <w:sdtEndPr>
              <w:rPr>
                <w:rStyle w:val="Char10"/>
              </w:rPr>
            </w:sdtEndPr>
            <w:sdtContent>
              <w:r>
                <w:rPr>
                  <w:rStyle w:val="Char10"/>
                  <w:rFonts w:hint="eastAsia"/>
                </w:rPr>
                <w:t>李代萍</w:t>
              </w:r>
            </w:sdtContent>
          </w:sdt>
          <w:r>
            <w:rPr>
              <w:rStyle w:val="Char10"/>
              <w:rFonts w:hint="eastAsia"/>
            </w:rPr>
            <w:t xml:space="preserve"> </w:t>
          </w:r>
          <w:r>
            <w:rPr>
              <w:rStyle w:val="Char10"/>
            </w:rPr>
            <w:t>会计机构负责人</w:t>
          </w:r>
          <w:r>
            <w:rPr>
              <w:rStyle w:val="Char10"/>
              <w:rFonts w:hint="eastAsia"/>
            </w:rPr>
            <w:t>：</w:t>
          </w:r>
          <w:sdt>
            <w:sdtPr>
              <w:rPr>
                <w:rStyle w:val="Char10"/>
                <w:rFonts w:hint="eastAsia"/>
              </w:rPr>
              <w:alias w:val="会计机构负责人姓名"/>
              <w:tag w:val="_GBC_b9cb47d6db784ba8a6b148d9331df451"/>
              <w:id w:val="-885177973"/>
              <w:placeholder>
                <w:docPart w:val="GBC22222222222222222222222222222"/>
              </w:placeholder>
              <w:dataBinding w:prefixMappings="xmlns:clcid-mr='clcid-mr'" w:xpath="/*/clcid-mr:KuaiJiJiGouFuZeRenXingMing[not(@periodRef)]" w:storeItemID="{89EBAB94-44A0-46A2-B712-30D997D04A6D}"/>
              <w:text/>
            </w:sdtPr>
            <w:sdtEndPr>
              <w:rPr>
                <w:rStyle w:val="Char10"/>
              </w:rPr>
            </w:sdtEndPr>
            <w:sdtContent>
              <w:r>
                <w:rPr>
                  <w:rStyle w:val="Char10"/>
                  <w:rFonts w:hint="eastAsia"/>
                </w:rPr>
                <w:t>杨万华</w:t>
              </w:r>
            </w:sdtContent>
          </w:sdt>
        </w:p>
        <w:p w:rsidR="004A3868" w:rsidRDefault="00B34370">
          <w:pPr>
            <w:pStyle w:val="Style853"/>
          </w:pPr>
        </w:p>
      </w:sdtContent>
    </w:sdt>
    <w:p w:rsidR="004A3868" w:rsidRDefault="004A3868">
      <w:pPr>
        <w:pStyle w:val="Style853"/>
      </w:pPr>
    </w:p>
    <w:bookmarkStart w:id="117" w:name="_Hlk24034197" w:displacedByCustomXml="next"/>
    <w:sdt>
      <w:sdtPr>
        <w:rPr>
          <w:rFonts w:hint="eastAsia"/>
          <w:b/>
          <w:bCs/>
        </w:rPr>
        <w:tag w:val="_SEC_d76935fe25d141cfbe5d3c4ac87a2e6b"/>
        <w:id w:val="305141523"/>
        <w:placeholder>
          <w:docPart w:val="GBC22222222222222222222222222222"/>
        </w:placeholder>
      </w:sdtPr>
      <w:sdtEndPr>
        <w:rPr>
          <w:b w:val="0"/>
          <w:bCs w:val="0"/>
        </w:rPr>
      </w:sdtEndPr>
      <w:sdtContent>
        <w:p w:rsidR="004A3868" w:rsidRDefault="003F1AB5">
          <w:pPr>
            <w:tabs>
              <w:tab w:val="left" w:pos="10080"/>
            </w:tabs>
            <w:snapToGrid w:val="0"/>
            <w:spacing w:line="240" w:lineRule="atLeast"/>
            <w:ind w:rightChars="12" w:right="29"/>
            <w:jc w:val="center"/>
            <w:outlineLvl w:val="2"/>
            <w:rPr>
              <w:b/>
            </w:rPr>
          </w:pPr>
          <w:r>
            <w:rPr>
              <w:rFonts w:hint="eastAsia"/>
              <w:b/>
            </w:rPr>
            <w:t>母</w:t>
          </w:r>
          <w:r>
            <w:rPr>
              <w:rFonts w:hint="eastAsia"/>
              <w:b/>
              <w:szCs w:val="21"/>
            </w:rPr>
            <w:t>公司</w:t>
          </w:r>
          <w:r>
            <w:rPr>
              <w:b/>
              <w:szCs w:val="21"/>
            </w:rPr>
            <w:t>资产负债</w:t>
          </w:r>
          <w:r>
            <w:rPr>
              <w:b/>
            </w:rPr>
            <w:t>表</w:t>
          </w:r>
        </w:p>
        <w:p w:rsidR="004A3868" w:rsidRDefault="003F1AB5">
          <w:pPr>
            <w:pStyle w:val="Style1226"/>
            <w:rPr>
              <w:b/>
              <w:bCs/>
            </w:rPr>
          </w:pPr>
          <w:r>
            <w:t xml:space="preserve">    2023年12月31日</w:t>
          </w:r>
        </w:p>
        <w:p w:rsidR="004A3868" w:rsidRDefault="003F1AB5">
          <w:pPr>
            <w:pStyle w:val="Style842"/>
          </w:pPr>
          <w:r>
            <w:rPr>
              <w:rStyle w:val="afffc"/>
            </w:rPr>
            <w:t>编制单位:</w:t>
          </w:r>
          <w:sdt>
            <w:sdtPr>
              <w:rPr>
                <w:rStyle w:val="afffc"/>
              </w:rPr>
              <w:alias w:val="公司法定中文名称"/>
              <w:tag w:val="_GBC_476f9df1cf8d4d36868d3058a4da7d15"/>
              <w:id w:val="635069194"/>
              <w:placeholder>
                <w:docPart w:val="GBC22222222222222222222222222222"/>
              </w:placeholder>
              <w:dataBinding w:prefixMappings="xmlns:clcid-cgi='clcid-cgi'" w:xpath="/*/clcid-cgi:GongSiFaDingZhongWenMingCheng[not(@periodRef)]" w:storeItemID="{89EBAB94-44A0-46A2-B712-30D997D04A6D}"/>
              <w:text/>
            </w:sdtPr>
            <w:sdtEndPr>
              <w:rPr>
                <w:rStyle w:val="afffc"/>
              </w:rPr>
            </w:sdtEndPr>
            <w:sdtContent>
              <w:r>
                <w:rPr>
                  <w:rStyle w:val="afffc"/>
                </w:rPr>
                <w:t>重庆望变电气（集团）股份有限公司</w:t>
              </w:r>
            </w:sdtContent>
          </w:sdt>
          <w:r>
            <w:t> </w:t>
          </w:r>
        </w:p>
        <w:p w:rsidR="004A3868" w:rsidRDefault="003F1AB5">
          <w:pPr>
            <w:pStyle w:val="affff"/>
          </w:pPr>
          <w:r>
            <w:rPr>
              <w:rStyle w:val="afffc"/>
            </w:rPr>
            <w:t>单位:</w:t>
          </w:r>
          <w:sdt>
            <w:sdtPr>
              <w:rPr>
                <w:rStyle w:val="afffc"/>
              </w:rPr>
              <w:alias w:val="单位：母公司资产负债表"/>
              <w:tag w:val="_GBC_e3e6bb2b9b89482085daf4528af32780"/>
              <w:id w:val="-9437594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afffc"/>
              </w:rPr>
            </w:sdtEndPr>
            <w:sdtContent>
              <w:r>
                <w:rPr>
                  <w:rStyle w:val="afffc"/>
                  <w:rFonts w:hint="eastAsia"/>
                </w:rPr>
                <w:t>元</w:t>
              </w:r>
            </w:sdtContent>
          </w:sdt>
          <w:r>
            <w:rPr>
              <w:rStyle w:val="afffc"/>
            </w:rPr>
            <w:t xml:space="preserve">  币种:</w:t>
          </w:r>
          <w:sdt>
            <w:sdtPr>
              <w:rPr>
                <w:rStyle w:val="afffc"/>
              </w:rPr>
              <w:alias w:val="币种：母公司资产负债表"/>
              <w:tag w:val="_GBC_31e3f7c7e30144c684d9b3387d64ec2f"/>
              <w:id w:val="-19470614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afffc"/>
              </w:rPr>
            </w:sdtEndPr>
            <w:sdtContent>
              <w:r>
                <w:rPr>
                  <w:rStyle w:val="afffc"/>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2872"/>
            <w:gridCol w:w="1106"/>
            <w:gridCol w:w="2488"/>
            <w:gridCol w:w="2351"/>
          </w:tblGrid>
          <w:tr w:rsidR="004A3868">
            <w:trPr>
              <w:trHeight w:val="397"/>
              <w:jc w:val="center"/>
            </w:trPr>
            <w:sdt>
              <w:sdtPr>
                <w:tag w:val="_PLD_f723b67ceca442958b85c16ecbcde6c4"/>
                <w:id w:val="704370392"/>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b"/>
                    </w:pPr>
                    <w:r>
                      <w:t>项目</w:t>
                    </w:r>
                  </w:p>
                </w:tc>
              </w:sdtContent>
            </w:sdt>
            <w:sdt>
              <w:sdtPr>
                <w:tag w:val="_PLD_b4b39e4179664db3908076caa97ec93e"/>
                <w:id w:val="-1809841727"/>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b"/>
                    </w:pPr>
                    <w:r>
                      <w:rPr>
                        <w:rFonts w:hint="eastAsia"/>
                      </w:rPr>
                      <w:t>附注</w:t>
                    </w:r>
                  </w:p>
                </w:tc>
              </w:sdtContent>
            </w:sdt>
            <w:sdt>
              <w:sdtPr>
                <w:tag w:val="_PLD_5c114924d291471984aab4fc4a2ab196"/>
                <w:id w:val="-1599395321"/>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b"/>
                    </w:pPr>
                    <w:r>
                      <w:rPr>
                        <w:rFonts w:hint="eastAsia"/>
                      </w:rPr>
                      <w:t>2023年1</w:t>
                    </w:r>
                    <w:r>
                      <w:t>2</w:t>
                    </w:r>
                    <w:r>
                      <w:rPr>
                        <w:rFonts w:hint="eastAsia"/>
                      </w:rPr>
                      <w:t>月</w:t>
                    </w:r>
                    <w:r>
                      <w:t>31</w:t>
                    </w:r>
                    <w:r>
                      <w:rPr>
                        <w:rFonts w:hint="eastAsia"/>
                      </w:rPr>
                      <w:t>日</w:t>
                    </w:r>
                  </w:p>
                </w:tc>
              </w:sdtContent>
            </w:sdt>
            <w:sdt>
              <w:sdtPr>
                <w:tag w:val="_PLD_09aa0ba5dd484fa6ad7dfbe2d2221c60"/>
                <w:id w:val="-1605560682"/>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b"/>
                    </w:pPr>
                    <w:r>
                      <w:rPr>
                        <w:rFonts w:hint="eastAsia"/>
                      </w:rPr>
                      <w:t>2022年12月31日</w:t>
                    </w:r>
                  </w:p>
                </w:tc>
              </w:sdtContent>
            </w:sdt>
          </w:tr>
          <w:tr w:rsidR="004A3868">
            <w:trPr>
              <w:trHeight w:val="397"/>
              <w:jc w:val="center"/>
            </w:trPr>
            <w:sdt>
              <w:sdtPr>
                <w:tag w:val="_PLD_75b96d9020f14b08bb8885e10bb72ed3"/>
                <w:id w:val="-122012436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Style1224"/>
                      <w:rPr>
                        <w:color w:val="FF00FF"/>
                      </w:rPr>
                    </w:pPr>
                    <w:r>
                      <w:rPr>
                        <w:rStyle w:val="afffa"/>
                        <w:rFonts w:hint="eastAsia"/>
                      </w:rPr>
                      <w:t>流动资产</w:t>
                    </w:r>
                    <w:r>
                      <w:rPr>
                        <w:rFonts w:hint="eastAsia"/>
                      </w:rPr>
                      <w:t>：</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货币资金</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1,337,532,723.36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926,105,217.37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30,021,369.86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衍生金融资产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应收票据</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121,981,138.42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138,310,800.15</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应收账款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十九、</w:t>
                </w:r>
                <w:r>
                  <w:rPr>
                    <w:rFonts w:hint="eastAsia"/>
                  </w:rPr>
                  <w:t>1</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906,875,544.90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695,982,917.81</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11,872,206.97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16,434,665.10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预付款项</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9"/>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57,686,790.11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53,729,247.71</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其他应收款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t>十九、</w:t>
                </w:r>
                <w:r>
                  <w:t>2</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60,395,553.44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97,046,657.77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其中：应收利息</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应收股利</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存货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470,020,980.72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423,373,289.58</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持有待售资产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一年内到期的非流动资产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40,061,815.49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51,872,087.40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其他流动资产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25,398,571.02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2,188,378.10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流动资产合计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3,031,825,324.43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2,435,064,630.85</w:t>
                </w:r>
              </w:p>
            </w:tc>
          </w:tr>
          <w:tr w:rsidR="004A3868">
            <w:trPr>
              <w:trHeight w:val="397"/>
              <w:jc w:val="center"/>
            </w:trPr>
            <w:sdt>
              <w:sdtPr>
                <w:tag w:val="_PLD_df64afc7e223416b92b823e4e8fb4a3a"/>
                <w:id w:val="-167278718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rPr>
                        <w:rFonts w:hint="eastAsia"/>
                      </w:rPr>
                      <w:t>非流动资产：</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长期应收款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6,249,285.19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长期股权投资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十九、</w:t>
                </w:r>
                <w:r>
                  <w:t>3</w:t>
                </w: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116,143,380.47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34,095,019.86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投资性房地产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固定资产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1,032,445,232.72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502,607,152.17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lastRenderedPageBreak/>
                  <w:t>在建工程</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377,783,054.97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224,769,162.11</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生产性生物资产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油气资产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9,039,176.27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1,629,479.69</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无形资产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113,392,733.77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69,363,313.46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开发支出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商誉</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长期待摊费用</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3,846,148.12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1,479,417.03</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递延所得税资产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19,341,632.78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16,155,545.74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其他非流动资产</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78,519,638.78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145,238,856.84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非流动资产合计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1,756,760,283.07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995,337,946.90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资产总计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4,788,585,607.50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3,430,402,577.75</w:t>
                </w:r>
              </w:p>
            </w:tc>
          </w:tr>
          <w:tr w:rsidR="004A3868">
            <w:trPr>
              <w:trHeight w:val="397"/>
              <w:jc w:val="center"/>
            </w:trPr>
            <w:sdt>
              <w:sdtPr>
                <w:tag w:val="_PLD_097e7abf0b344d7ba64ab9a99dd2d2fa"/>
                <w:id w:val="-169360404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rPr>
                        <w:rFonts w:hint="eastAsia"/>
                      </w:rPr>
                      <w:t>流动负债：</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短期借款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234,236,393.79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33,427,049.42</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衍生金融负债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应付票据</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539,910,353.67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204,336,375.66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应付账款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515,848,076.78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274,529,857.31</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预收款项</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83,110,694.50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173,545,818.62</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应付职工薪酬</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31,372,194.24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30,734,104.98</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应交税费</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749,462.82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8,008,691.47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其他应付款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31,368,741.33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22,536,113.74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其中：应付利息</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应付股利</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持有待售负债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一年内到期的非流动负债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62,618,817.31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6,542,590.80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其他流动负债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135,372,302.67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167,168,208.75</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流动负债合计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1,634,587,037.11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920,828,810.75</w:t>
                </w:r>
              </w:p>
            </w:tc>
          </w:tr>
          <w:tr w:rsidR="004A3868">
            <w:trPr>
              <w:trHeight w:val="397"/>
              <w:jc w:val="center"/>
            </w:trPr>
            <w:sdt>
              <w:sdtPr>
                <w:tag w:val="_PLD_5a8813ff8c984fc28cd8ddc8db922fd5"/>
                <w:id w:val="12960336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afff9"/>
                      <w:rPr>
                        <w:color w:val="008000"/>
                      </w:rPr>
                    </w:pPr>
                    <w:r>
                      <w:rPr>
                        <w:rFonts w:hint="eastAsia"/>
                      </w:rPr>
                      <w:t>非流动负债：</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长期借款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642,571,693.43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153,581,292.84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应付债券</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其中：优先股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lastRenderedPageBreak/>
                  <w:t>永续债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4,228,032.70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561,243.09</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长期应付款</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长期应付职工薪酬</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预计负债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352,153.47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2,785,840.00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递延收益</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59,436,515.93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63,009,244.77</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递延所得税负债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45,979,502.05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23,205,800.54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其他非流动负债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非流动负债合计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752,567,897.58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243,143,421.24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负债合计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2,387,154,934.69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1,163,972,231.99</w:t>
                </w:r>
              </w:p>
            </w:tc>
          </w:tr>
          <w:tr w:rsidR="004A3868">
            <w:trPr>
              <w:trHeight w:val="397"/>
              <w:jc w:val="center"/>
            </w:trPr>
            <w:sdt>
              <w:sdtPr>
                <w:tag w:val="_PLD_7ccfdb4b1195457b8de4211feea2cac2"/>
                <w:id w:val="126240678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4A3868" w:rsidRDefault="003F1AB5">
                    <w:pPr>
                      <w:pStyle w:val="afff9"/>
                      <w:rPr>
                        <w:color w:val="008000"/>
                      </w:rPr>
                    </w:pPr>
                    <w:r>
                      <w:rPr>
                        <w:rFonts w:hint="eastAsia"/>
                      </w:rPr>
                      <w:t>所有者权益（或股东权益）：</w:t>
                    </w:r>
                  </w:p>
                </w:tc>
              </w:sdtContent>
            </w:sdt>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实收资本（或股本）</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333,167,407.00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333,167,407.00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其他权益工具</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其中：优先股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永续债</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资本公积</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984,845,013.70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984,845,013.70</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减：库存股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50,299,241.28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其他综合收益</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afff7"/>
                </w:pP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专项储备</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 xml:space="preserve"> 20,486,861.44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15,197,905.64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盈余公积</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117,387,556.66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93,389,482.08</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未分配利润</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995,843,075.29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839,830,537.34</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2,401,430,672.81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2,266,430,345.76</w:t>
                </w:r>
              </w:p>
            </w:tc>
          </w:tr>
          <w:tr w:rsidR="004A3868">
            <w:trPr>
              <w:trHeight w:val="397"/>
              <w:jc w:val="center"/>
            </w:trPr>
            <w:tc>
              <w:tcPr>
                <w:tcW w:w="1629"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9"/>
                </w:pPr>
                <w:r>
                  <w:rPr>
                    <w:rFonts w:hint="eastAsia"/>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vAlign w:val="center"/>
              </w:tcPr>
              <w:p w:rsidR="004A3868" w:rsidRDefault="004A3868">
                <w:pPr>
                  <w:pStyle w:val="Style1224"/>
                </w:pPr>
              </w:p>
            </w:tc>
            <w:tc>
              <w:tcPr>
                <w:tcW w:w="1411"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rPr>
                    <w:highlight w:val="yellow"/>
                  </w:rPr>
                </w:pPr>
                <w:r>
                  <w:t xml:space="preserve"> 4,788,585,607.50 </w:t>
                </w:r>
              </w:p>
            </w:tc>
            <w:tc>
              <w:tcPr>
                <w:tcW w:w="1333" w:type="pct"/>
                <w:tcBorders>
                  <w:top w:val="outset" w:sz="6" w:space="0" w:color="auto"/>
                  <w:left w:val="outset" w:sz="6" w:space="0" w:color="auto"/>
                  <w:bottom w:val="outset" w:sz="6" w:space="0" w:color="auto"/>
                  <w:right w:val="outset" w:sz="6" w:space="0" w:color="auto"/>
                </w:tcBorders>
                <w:vAlign w:val="center"/>
              </w:tcPr>
              <w:p w:rsidR="004A3868" w:rsidRDefault="003F1AB5">
                <w:pPr>
                  <w:pStyle w:val="afff7"/>
                </w:pPr>
                <w:r>
                  <w:t>3,430,402,577.75</w:t>
                </w:r>
              </w:p>
            </w:tc>
          </w:tr>
        </w:tbl>
        <w:p w:rsidR="004A3868" w:rsidRDefault="003F1AB5">
          <w:pPr>
            <w:pStyle w:val="Style842"/>
          </w:pPr>
          <w:r>
            <w:rPr>
              <w:rStyle w:val="Char20"/>
              <w:rFonts w:hint="eastAsia"/>
            </w:rPr>
            <w:t>公司负责</w:t>
          </w:r>
          <w:r>
            <w:rPr>
              <w:rStyle w:val="Char20"/>
            </w:rPr>
            <w:t>人</w:t>
          </w:r>
          <w:r>
            <w:rPr>
              <w:rStyle w:val="Char20"/>
              <w:rFonts w:hint="eastAsia"/>
            </w:rPr>
            <w:t>：</w:t>
          </w:r>
          <w:sdt>
            <w:sdtPr>
              <w:rPr>
                <w:rStyle w:val="Char20"/>
                <w:rFonts w:hint="eastAsia"/>
              </w:rPr>
              <w:alias w:val="公司负责人姓名"/>
              <w:tag w:val="_GBC_a81a61c6d7bb46bfa69f34f205086804"/>
              <w:id w:val="943184102"/>
              <w:placeholder>
                <w:docPart w:val="GBC22222222222222222222222222222"/>
              </w:placeholder>
              <w:dataBinding w:prefixMappings="xmlns:clcid-mr='clcid-mr'" w:xpath="/*/clcid-mr:GongSiFuZeRenXingMing[not(@periodRef)]" w:storeItemID="{89EBAB94-44A0-46A2-B712-30D997D04A6D}"/>
              <w:text/>
            </w:sdtPr>
            <w:sdtEndPr>
              <w:rPr>
                <w:rStyle w:val="Char20"/>
              </w:rPr>
            </w:sdtEndPr>
            <w:sdtContent>
              <w:r>
                <w:rPr>
                  <w:rStyle w:val="Char20"/>
                  <w:rFonts w:hint="eastAsia"/>
                </w:rPr>
                <w:t>杨泽民</w:t>
              </w:r>
            </w:sdtContent>
          </w:sdt>
          <w:r>
            <w:rPr>
              <w:rStyle w:val="Char20"/>
              <w:rFonts w:hint="eastAsia"/>
            </w:rPr>
            <w:t xml:space="preserve"> </w:t>
          </w:r>
          <w:r>
            <w:rPr>
              <w:rStyle w:val="Char20"/>
            </w:rPr>
            <w:t>主管会计工作负责人</w:t>
          </w:r>
          <w:r>
            <w:rPr>
              <w:rStyle w:val="Char20"/>
              <w:rFonts w:hint="eastAsia"/>
            </w:rPr>
            <w:t>：</w:t>
          </w:r>
          <w:sdt>
            <w:sdtPr>
              <w:rPr>
                <w:rStyle w:val="Char20"/>
                <w:rFonts w:hint="eastAsia"/>
              </w:rPr>
              <w:alias w:val="主管会计工作负责人姓名"/>
              <w:tag w:val="_GBC_12b89d18f9094da18899493b997b98a8"/>
              <w:id w:val="1751005691"/>
              <w:placeholder>
                <w:docPart w:val="GBC22222222222222222222222222222"/>
              </w:placeholder>
              <w:dataBinding w:prefixMappings="xmlns:clcid-mr='clcid-mr'" w:xpath="/*/clcid-mr:ZhuGuanKuaiJiGongZuoFuZeRenXingMing[not(@periodRef)]" w:storeItemID="{89EBAB94-44A0-46A2-B712-30D997D04A6D}"/>
              <w:text/>
            </w:sdtPr>
            <w:sdtEndPr>
              <w:rPr>
                <w:rStyle w:val="Char20"/>
              </w:rPr>
            </w:sdtEndPr>
            <w:sdtContent>
              <w:r>
                <w:rPr>
                  <w:rStyle w:val="Char20"/>
                  <w:rFonts w:hint="eastAsia"/>
                </w:rPr>
                <w:t>李代萍</w:t>
              </w:r>
            </w:sdtContent>
          </w:sdt>
          <w:r>
            <w:rPr>
              <w:rStyle w:val="Char20"/>
              <w:rFonts w:hint="eastAsia"/>
            </w:rPr>
            <w:t xml:space="preserve"> </w:t>
          </w:r>
          <w:r>
            <w:rPr>
              <w:rStyle w:val="Char20"/>
            </w:rPr>
            <w:t>会计机构负责人</w:t>
          </w:r>
          <w:r>
            <w:rPr>
              <w:rStyle w:val="Char20"/>
              <w:rFonts w:hint="eastAsia"/>
            </w:rPr>
            <w:t>：</w:t>
          </w:r>
          <w:sdt>
            <w:sdtPr>
              <w:rPr>
                <w:rStyle w:val="Char20"/>
                <w:rFonts w:hint="eastAsia"/>
              </w:rPr>
              <w:alias w:val="会计机构负责人姓名"/>
              <w:tag w:val="_GBC_80397291c44b4713afb5a711c98f3ea6"/>
              <w:id w:val="-1377314581"/>
              <w:placeholder>
                <w:docPart w:val="GBC22222222222222222222222222222"/>
              </w:placeholder>
              <w:dataBinding w:prefixMappings="xmlns:clcid-mr='clcid-mr'" w:xpath="/*/clcid-mr:KuaiJiJiGouFuZeRenXingMing[not(@periodRef)]" w:storeItemID="{89EBAB94-44A0-46A2-B712-30D997D04A6D}"/>
              <w:text/>
            </w:sdtPr>
            <w:sdtEndPr>
              <w:rPr>
                <w:rStyle w:val="Char20"/>
              </w:rPr>
            </w:sdtEndPr>
            <w:sdtContent>
              <w:r>
                <w:rPr>
                  <w:rStyle w:val="Char20"/>
                  <w:rFonts w:hint="eastAsia"/>
                </w:rPr>
                <w:t>杨万华</w:t>
              </w:r>
            </w:sdtContent>
          </w:sdt>
        </w:p>
      </w:sdtContent>
    </w:sdt>
    <w:p w:rsidR="004A3868" w:rsidRDefault="004A3868">
      <w:pPr>
        <w:pStyle w:val="Style853"/>
      </w:pPr>
    </w:p>
    <w:p w:rsidR="004A3868" w:rsidRDefault="004A3868">
      <w:pPr>
        <w:pStyle w:val="Style842"/>
      </w:pPr>
    </w:p>
    <w:bookmarkEnd w:id="117" w:displacedByCustomXml="next"/>
    <w:bookmarkStart w:id="118" w:name="_Hlk24038378" w:displacedByCustomXml="next"/>
    <w:sdt>
      <w:sdtPr>
        <w:rPr>
          <w:rFonts w:ascii="Times New Roman" w:hAnsi="Times New Roman" w:cs="Times New Roman" w:hint="eastAsia"/>
          <w:b/>
          <w:kern w:val="2"/>
          <w:sz w:val="21"/>
          <w:szCs w:val="21"/>
        </w:rPr>
        <w:tag w:val="_SEC_38d2275e2dcd4f8eb0870715a2a226c7"/>
        <w:id w:val="-357035535"/>
        <w:placeholder>
          <w:docPart w:val="GBC22222222222222222222222222222"/>
        </w:placeholder>
      </w:sdtPr>
      <w:sdtEndPr>
        <w:rPr>
          <w:b w:val="0"/>
        </w:rPr>
      </w:sdtEndPr>
      <w:sdtContent>
        <w:p w:rsidR="004A3868" w:rsidRDefault="003F1AB5">
          <w:pPr>
            <w:tabs>
              <w:tab w:val="left" w:pos="10080"/>
            </w:tabs>
            <w:snapToGrid w:val="0"/>
            <w:spacing w:line="240" w:lineRule="atLeast"/>
            <w:ind w:rightChars="12" w:right="29"/>
            <w:jc w:val="center"/>
            <w:outlineLvl w:val="2"/>
            <w:rPr>
              <w:szCs w:val="21"/>
            </w:rPr>
          </w:pPr>
          <w:r>
            <w:rPr>
              <w:rFonts w:hint="eastAsia"/>
              <w:b/>
              <w:szCs w:val="21"/>
            </w:rPr>
            <w:t>合并</w:t>
          </w:r>
          <w:r>
            <w:rPr>
              <w:b/>
              <w:szCs w:val="21"/>
            </w:rPr>
            <w:t>利润表</w:t>
          </w:r>
        </w:p>
        <w:p w:rsidR="004A3868" w:rsidRDefault="003F1AB5">
          <w:pPr>
            <w:pStyle w:val="Style1226"/>
            <w:rPr>
              <w:b/>
              <w:bCs/>
            </w:rPr>
          </w:pPr>
          <w:r>
            <w:t xml:space="preserve">    2023年</w:t>
          </w:r>
          <w:r>
            <w:rPr>
              <w:rFonts w:hint="eastAsia"/>
            </w:rPr>
            <w:t>1—</w:t>
          </w:r>
          <w:r>
            <w:t>12月</w:t>
          </w:r>
        </w:p>
        <w:p w:rsidR="004A3868" w:rsidRDefault="003F1AB5">
          <w:pPr>
            <w:pStyle w:val="affff"/>
            <w:rPr>
              <w:rStyle w:val="Char0"/>
            </w:rPr>
          </w:pPr>
          <w:r>
            <w:rPr>
              <w:rStyle w:val="Char0"/>
            </w:rPr>
            <w:t>单位</w:t>
          </w:r>
          <w:r>
            <w:rPr>
              <w:rStyle w:val="Char0"/>
            </w:rPr>
            <w:t>:</w:t>
          </w:r>
          <w:sdt>
            <w:sdtPr>
              <w:rPr>
                <w:rStyle w:val="Char0"/>
              </w:rPr>
              <w:alias w:val="单位：合并利润表"/>
              <w:tag w:val="_GBC_95830fead96c480388a2e386c3331383"/>
              <w:id w:val="-19897041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0"/>
              </w:rPr>
            </w:sdtEndPr>
            <w:sdtContent>
              <w:r>
                <w:rPr>
                  <w:rStyle w:val="Char0"/>
                  <w:rFonts w:hint="eastAsia"/>
                </w:rPr>
                <w:t>元</w:t>
              </w:r>
            </w:sdtContent>
          </w:sdt>
          <w:r>
            <w:rPr>
              <w:rStyle w:val="Char0"/>
            </w:rPr>
            <w:t xml:space="preserve">  </w:t>
          </w:r>
          <w:r>
            <w:rPr>
              <w:rStyle w:val="Char0"/>
            </w:rPr>
            <w:t>币种</w:t>
          </w:r>
          <w:r>
            <w:rPr>
              <w:rStyle w:val="Char0"/>
            </w:rPr>
            <w:t>:</w:t>
          </w:r>
          <w:sdt>
            <w:sdtPr>
              <w:rPr>
                <w:rStyle w:val="Char0"/>
              </w:rPr>
              <w:alias w:val="币种：合并利润表"/>
              <w:tag w:val="_GBC_4902a1798447427ba99922213b04b39b"/>
              <w:id w:val="9943839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0"/>
              </w:rPr>
            </w:sdtEndPr>
            <w:sdtContent>
              <w:r>
                <w:rPr>
                  <w:rStyle w:val="Char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3247"/>
            <w:gridCol w:w="1306"/>
            <w:gridCol w:w="2135"/>
            <w:gridCol w:w="2135"/>
          </w:tblGrid>
          <w:tr w:rsidR="004A3868">
            <w:trPr>
              <w:trHeight w:val="397"/>
              <w:jc w:val="center"/>
            </w:trPr>
            <w:sdt>
              <w:sdtPr>
                <w:tag w:val="_PLD_2e3f33fcce354b339a86add10899a6c5"/>
                <w:id w:val="-1843308893"/>
              </w:sdtPr>
              <w:sdtEndPr/>
              <w:sdtContent>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b"/>
                    </w:pPr>
                    <w:r>
                      <w:t>项目</w:t>
                    </w:r>
                  </w:p>
                </w:tc>
              </w:sdtContent>
            </w:sdt>
            <w:sdt>
              <w:sdtPr>
                <w:tag w:val="_PLD_93edd7a3846d4cd58b14d043e9b33f2c"/>
                <w:id w:val="303662014"/>
              </w:sdtPr>
              <w:sdtEndPr/>
              <w:sdtContent>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b"/>
                    </w:pPr>
                    <w:r>
                      <w:rPr>
                        <w:rFonts w:hint="eastAsia"/>
                      </w:rPr>
                      <w:t>附注</w:t>
                    </w:r>
                  </w:p>
                </w:tc>
              </w:sdtContent>
            </w:sdt>
            <w:sdt>
              <w:sdtPr>
                <w:tag w:val="_PLD_49f84cca199c45e7bc0f9fea5b73078c"/>
                <w:id w:val="1524746322"/>
              </w:sdtPr>
              <w:sdtEndPr/>
              <w:sdtContent>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b"/>
                    </w:pPr>
                    <w:r>
                      <w:rPr>
                        <w:rFonts w:hint="eastAsia"/>
                      </w:rPr>
                      <w:t>2023年度</w:t>
                    </w:r>
                  </w:p>
                </w:tc>
              </w:sdtContent>
            </w:sdt>
            <w:sdt>
              <w:sdtPr>
                <w:tag w:val="_PLD_8b5fde21bc974404b892a88906dec352"/>
                <w:id w:val="1596822573"/>
              </w:sdtPr>
              <w:sdtEndPr/>
              <w:sdtContent>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b"/>
                    </w:pPr>
                    <w:r>
                      <w:rPr>
                        <w:rFonts w:hint="eastAsia"/>
                      </w:rPr>
                      <w:t>2022年度</w:t>
                    </w:r>
                  </w:p>
                </w:tc>
              </w:sdtContent>
            </w:sdt>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一、营业总收入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61</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2,717,788,848.14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2,526,479,663.80</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其中：营业收入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61</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2,717,788,848.14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2,526,479,663.80</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利息收入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已赚保费</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lastRenderedPageBreak/>
                  <w:t>手续费及佣金收入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二、营业总成本</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61</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2,439,516,259.99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2,175,987,765.94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其中：营业成本</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61</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2,245,995,214.65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2,013,645,477.06</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利息支出</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手续费及佣金支出</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退保金</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赔付支出净额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提取保险责任准备金净额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保单红利支出</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分保费用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税金及附加</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62</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10,536,943.27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10,016,385.04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销售费用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63</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92,258,288.89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74,663,341.12</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管理费用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64</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78,347,811.76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60,792,066.62</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研发费用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65</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29,249,129.81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27,700,401.94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财务费用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66</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-16,871,128.39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-10,829,905.84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其中：利息费用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15,768,915.69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10,311,590.95</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利息收入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33,542,141.89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14,319,484.42</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加：其他收益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67</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24,677,957.26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11,472,655.82</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投资收益（损失以“－”号填列）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68</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404,051.81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1,865,048.21</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其中：对联营企业和合营企业的投资收益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323,689.95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971,512.67</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以摊余成本计量的金融资产终止确认收益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汇兑收益（损失以“－”号填列）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净敞口套期收益（损失以“</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公允价值变动收益（损失以“－”号填列）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70</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176,054.79</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信用减值损失（损失以“</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71</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-20,766,547.31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-24,648,975.40</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资产减值损失（损失以“</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72</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-5,623,463.67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-5,283,281.48</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资产处置收益（损失以“－”号填列）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73</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1,347.71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-25,448.65</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三、营业利润（亏损以“－”号填列）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276,965,933.95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334,047,951.15</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加：营业外收入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74</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690,296.93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3,520,707.06</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减：营业外支出</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75</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4,229,292.42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2,414,546.06</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四、利润总额（亏损总额以</w:t>
                </w:r>
                <w:r>
                  <w:t>“</w:t>
                </w:r>
                <w:r>
                  <w:rPr>
                    <w:rFonts w:hint="eastAsia"/>
                  </w:rPr>
                  <w:t>－</w:t>
                </w:r>
                <w:r>
                  <w:t>”</w:t>
                </w:r>
                <w:r>
                  <w:rPr>
                    <w:rFonts w:hint="eastAsia"/>
                  </w:rP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273,426,938.46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335,154,112.15</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减：所得税费用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七、</w:t>
                </w:r>
                <w:r>
                  <w:t>76</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41,408,855.06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41,546,162.60</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lastRenderedPageBreak/>
                  <w:t>五、净利润（净亏损以</w:t>
                </w:r>
                <w:r>
                  <w:t>“</w:t>
                </w:r>
                <w:r>
                  <w:rPr>
                    <w:rFonts w:hint="eastAsia"/>
                  </w:rPr>
                  <w:t>－</w:t>
                </w:r>
                <w:r>
                  <w:t>”</w:t>
                </w:r>
                <w:r>
                  <w:rPr>
                    <w:rFonts w:hint="eastAsia"/>
                  </w:rP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232,018,083.40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293,607,949.55</w:t>
                </w:r>
              </w:p>
            </w:tc>
          </w:tr>
          <w:tr w:rsidR="004A3868">
            <w:trPr>
              <w:trHeight w:val="397"/>
              <w:jc w:val="center"/>
            </w:trPr>
            <w:sdt>
              <w:sdtPr>
                <w:tag w:val="_PLD_9445f61075384ccaafee7a9aff738d9c"/>
                <w:id w:val="-768238735"/>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（一）</w:t>
                    </w:r>
                    <w:r>
                      <w:t>按经营持续性分类</w:t>
                    </w:r>
                  </w:p>
                </w:tc>
              </w:sdtContent>
            </w:sdt>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1.</w:t>
                </w:r>
                <w:r>
                  <w:t>持续经营净利润（净亏损以</w:t>
                </w:r>
                <w:r>
                  <w:t>“</w:t>
                </w:r>
                <w:r>
                  <w:t>－</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232,018,083.40</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293,607,949.55</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2.</w:t>
                </w:r>
                <w:r>
                  <w:t>终止经营净利润（净亏损以</w:t>
                </w:r>
                <w:r>
                  <w:t>“</w:t>
                </w:r>
                <w:r>
                  <w:t>－</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sdt>
              <w:sdtPr>
                <w:tag w:val="_PLD_5703d86636cb476dab82350c9f6475fc"/>
                <w:id w:val="-1465192194"/>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（二）</w:t>
                    </w:r>
                    <w:r>
                      <w:t>按所有权归属分类</w:t>
                    </w:r>
                  </w:p>
                </w:tc>
              </w:sdtContent>
            </w:sdt>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1.</w:t>
                </w:r>
                <w:r>
                  <w:rPr>
                    <w:rFonts w:hint="eastAsia"/>
                  </w:rPr>
                  <w:t>归属于母公司股东的净利润（净亏损以“</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234,586,738.82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298,110,172.84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2.</w:t>
                </w:r>
                <w:r>
                  <w:rPr>
                    <w:rFonts w:hint="eastAsia"/>
                  </w:rPr>
                  <w:t>少数股东损益（净亏损以“</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-2,568,655.42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-4,502,223.29</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六、其他综合收益的税后净额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（一）归属母公司所有者的其他综合收益的税后净额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1</w:t>
                </w:r>
                <w:r>
                  <w:rPr>
                    <w:rFonts w:hint="eastAsia"/>
                  </w:rPr>
                  <w:t>．不能重分类进损益的其他综合收益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1</w:t>
                </w:r>
                <w:r>
                  <w:rPr>
                    <w:rFonts w:hint="eastAsia"/>
                  </w:rPr>
                  <w:t>）</w:t>
                </w:r>
                <w:r>
                  <w:t>重新计量设定受益计划变动额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2</w:t>
                </w:r>
                <w:r>
                  <w:rPr>
                    <w:rFonts w:hint="eastAsia"/>
                  </w:rPr>
                  <w:t>）</w:t>
                </w:r>
                <w:r>
                  <w:t>权益法下不能转损益的其他综合收益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3</w:t>
                </w:r>
                <w:r>
                  <w:rPr>
                    <w:rFonts w:hint="eastAsia"/>
                  </w:rPr>
                  <w:t>）</w:t>
                </w:r>
                <w:r>
                  <w:t>其他权益工具投资公允价值变动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4</w:t>
                </w:r>
                <w:r>
                  <w:rPr>
                    <w:rFonts w:hint="eastAsia"/>
                  </w:rPr>
                  <w:t>）</w:t>
                </w:r>
                <w:r>
                  <w:t>企业自身信用风险公允价值变动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2</w:t>
                </w:r>
                <w:r>
                  <w:rPr>
                    <w:rFonts w:hint="eastAsia"/>
                  </w:rPr>
                  <w:t>．将重分类进损益的其他综合收益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1</w:t>
                </w:r>
                <w:r>
                  <w:rPr>
                    <w:rFonts w:hint="eastAsia"/>
                  </w:rPr>
                  <w:t>）</w:t>
                </w:r>
                <w:r>
                  <w:t>权益法下可转损益的其他综合收益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2</w:t>
                </w:r>
                <w:r>
                  <w:rPr>
                    <w:rFonts w:hint="eastAsia"/>
                  </w:rPr>
                  <w:t>）</w:t>
                </w:r>
                <w:r>
                  <w:t>其他债权投资公允价值变动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3</w:t>
                </w:r>
                <w:r>
                  <w:rPr>
                    <w:rFonts w:hint="eastAsia"/>
                  </w:rPr>
                  <w:t>）</w:t>
                </w:r>
                <w:r>
                  <w:t>金融资产重分类计入其他综合收益的金额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4</w:t>
                </w:r>
                <w:r>
                  <w:rPr>
                    <w:rFonts w:hint="eastAsia"/>
                  </w:rPr>
                  <w:t>）</w:t>
                </w:r>
                <w:r>
                  <w:t>其他债权投资信用减值准备</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5</w:t>
                </w:r>
                <w:r>
                  <w:rPr>
                    <w:rFonts w:hint="eastAsia"/>
                  </w:rPr>
                  <w:t>）</w:t>
                </w:r>
                <w:r>
                  <w:t>现金流量套期储备</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6</w:t>
                </w:r>
                <w:r>
                  <w:rPr>
                    <w:rFonts w:hint="eastAsia"/>
                  </w:rPr>
                  <w:t>）</w:t>
                </w:r>
                <w:r>
                  <w:t>外币财务报表折算差额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w:t>
                </w:r>
                <w:r>
                  <w:rPr>
                    <w:rFonts w:hint="eastAsia"/>
                  </w:rPr>
                  <w:t>7</w:t>
                </w:r>
                <w:r>
                  <w:rPr>
                    <w:rFonts w:hint="eastAsia"/>
                  </w:rPr>
                  <w:t>）</w:t>
                </w:r>
                <w:r>
                  <w:t>其他</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（二）</w:t>
                </w:r>
                <w:r>
                  <w:rPr>
                    <w:rFonts w:hint="eastAsia"/>
                  </w:rPr>
                  <w:t>归属于少数股东的其他综合收益的税后净额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七、综合收益总额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232,018,083.40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293,607,949.55</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（一）</w:t>
                </w:r>
                <w:r>
                  <w:rPr>
                    <w:rFonts w:hint="eastAsia"/>
                  </w:rPr>
                  <w:t>归属于母公司所有者的综合收益总额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234,586,738.82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298,110,172.84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（二）</w:t>
                </w:r>
                <w:r>
                  <w:rPr>
                    <w:rFonts w:hint="eastAsia"/>
                  </w:rPr>
                  <w:t>归属于少数股东的综合收益总额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-2,568,655.42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-4,502,223.29</w:t>
                </w:r>
              </w:p>
            </w:tc>
          </w:tr>
          <w:tr w:rsidR="004A3868">
            <w:trPr>
              <w:trHeight w:val="397"/>
              <w:jc w:val="center"/>
            </w:trPr>
            <w:sdt>
              <w:sdtPr>
                <w:tag w:val="_PLD_6e9655fe2b7c48e3964f7a74f9c6deea"/>
                <w:id w:val="-111836184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8000"/>
                      </w:rPr>
                    </w:pPr>
                    <w:r>
                      <w:rPr>
                        <w:rFonts w:hint="eastAsia"/>
                      </w:rPr>
                      <w:t>八、每股收益：</w:t>
                    </w:r>
                  </w:p>
                </w:tc>
              </w:sdtContent>
            </w:sdt>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0.70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0.98</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lastRenderedPageBreak/>
                  <w:t>（二）稀释每股收益</w:t>
                </w:r>
                <w:r>
                  <w:rPr>
                    <w:rFonts w:hint="eastAsia"/>
                  </w:rPr>
                  <w:t>(</w:t>
                </w:r>
                <w:r>
                  <w:rPr>
                    <w:rFonts w:hint="eastAsia"/>
                  </w:rPr>
                  <w:t>元</w:t>
                </w:r>
                <w:r>
                  <w:rPr>
                    <w:rFonts w:hint="eastAsia"/>
                  </w:rPr>
                  <w:t>/</w:t>
                </w:r>
                <w:r>
                  <w:rPr>
                    <w:rFonts w:hint="eastAsia"/>
                  </w:rPr>
                  <w:t>股</w:t>
                </w:r>
                <w:r>
                  <w:rPr>
                    <w:rFonts w:hint="eastAsia"/>
                  </w:rPr>
                  <w:t>)</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0.70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0.98</w:t>
                </w:r>
              </w:p>
            </w:tc>
          </w:tr>
        </w:tbl>
        <w:p w:rsidR="004A3868" w:rsidRDefault="004A3868">
          <w:pPr>
            <w:pStyle w:val="Style853"/>
          </w:pPr>
        </w:p>
        <w:p w:rsidR="004A3868" w:rsidRDefault="003F1AB5">
          <w:pPr>
            <w:pStyle w:val="a9"/>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dee3746024314be88287a46c20d21a26"/>
              <w:id w:val="-1913617886"/>
              <w:placeholder>
                <w:docPart w:val="GBC22222222222222222222222222222"/>
              </w:placeholder>
            </w:sdtPr>
            <w:sdtEndPr/>
            <w:sdtContent>
              <w:r>
                <w:t>0</w:t>
              </w:r>
            </w:sdtContent>
          </w:sdt>
          <w:r>
            <w:rPr>
              <w:rFonts w:hint="eastAsia"/>
            </w:rPr>
            <w:t xml:space="preserve"> </w:t>
          </w:r>
          <w:r>
            <w:rPr>
              <w:rFonts w:hint="eastAsia"/>
            </w:rPr>
            <w:t>元</w:t>
          </w:r>
          <w:r>
            <w:rPr>
              <w:rFonts w:hint="eastAsia"/>
            </w:rPr>
            <w:t xml:space="preserve">, </w:t>
          </w:r>
          <w:r>
            <w:rPr>
              <w:rFonts w:hint="eastAsia"/>
            </w:rPr>
            <w:t>上期被合并方实现的净利润为：</w:t>
          </w:r>
          <w:r>
            <w:rPr>
              <w:rFonts w:hint="eastAsia"/>
            </w:rPr>
            <w:t xml:space="preserve"> </w:t>
          </w:r>
          <w:sdt>
            <w:sdtPr>
              <w:rPr>
                <w:rFonts w:hint="eastAsia"/>
              </w:rPr>
              <w:alias w:val="同一控制下的企业合并中被合并方在合并前实现的净利润"/>
              <w:tag w:val="_GBC_12f9ba898e4e450d82ca7ea5336921ae"/>
              <w:id w:val="-1625535895"/>
              <w:placeholder>
                <w:docPart w:val="GBC22222222222222222222222222222"/>
              </w:placeholder>
            </w:sdtPr>
            <w:sdtEndPr>
              <w:rPr>
                <w:rFonts w:hint="default"/>
              </w:rPr>
            </w:sdtEndPr>
            <w:sdtContent>
              <w:r>
                <w:t>0</w:t>
              </w:r>
            </w:sdtContent>
          </w:sdt>
          <w:r>
            <w:rPr>
              <w:rFonts w:hint="eastAsia"/>
            </w:rPr>
            <w:t xml:space="preserve"> </w:t>
          </w:r>
          <w:r>
            <w:rPr>
              <w:rFonts w:hint="eastAsia"/>
            </w:rPr>
            <w:t>元。</w:t>
          </w:r>
        </w:p>
        <w:p w:rsidR="004A3868" w:rsidRDefault="003F1AB5">
          <w:pPr>
            <w:pStyle w:val="a9"/>
          </w:pPr>
          <w:r>
            <w:rPr>
              <w:rFonts w:hint="eastAsia"/>
            </w:rPr>
            <w:t>公司负责</w:t>
          </w:r>
          <w:r>
            <w:t>人</w:t>
          </w:r>
          <w:r>
            <w:rPr>
              <w:rFonts w:hint="eastAsia"/>
            </w:rPr>
            <w:t>：</w:t>
          </w:r>
          <w:sdt>
            <w:sdtPr>
              <w:rPr>
                <w:rFonts w:hint="eastAsia"/>
              </w:rPr>
              <w:alias w:val="公司负责人姓名"/>
              <w:tag w:val="_GBC_85589cdf09ed4055b8d177524f5a0df0"/>
              <w:id w:val="-217977443"/>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d5d5ec398a544491b9394eef54a56ec6"/>
              <w:id w:val="36110831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李代萍</w:t>
              </w:r>
            </w:sdtContent>
          </w:sdt>
          <w:r>
            <w:rPr>
              <w:rFonts w:hint="eastAsia"/>
            </w:rPr>
            <w:t xml:space="preserve"> </w:t>
          </w:r>
          <w:r>
            <w:t>会计机构负责人</w:t>
          </w:r>
          <w:r>
            <w:rPr>
              <w:rFonts w:hint="eastAsia"/>
            </w:rPr>
            <w:t>：</w:t>
          </w:r>
          <w:sdt>
            <w:sdtPr>
              <w:rPr>
                <w:rFonts w:hint="eastAsia"/>
              </w:rPr>
              <w:alias w:val="会计机构负责人姓名"/>
              <w:tag w:val="_GBC_b776bf38628747739bf5cfe3f08d63a8"/>
              <w:id w:val="1434860956"/>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杨万华</w:t>
              </w:r>
            </w:sdtContent>
          </w:sdt>
        </w:p>
      </w:sdtContent>
    </w:sdt>
    <w:bookmarkEnd w:id="118"/>
    <w:p w:rsidR="004A3868" w:rsidRDefault="004A3868">
      <w:pPr>
        <w:pStyle w:val="Style842"/>
      </w:pPr>
    </w:p>
    <w:bookmarkStart w:id="119" w:name="_Hlk24038476" w:displacedByCustomXml="next"/>
    <w:sdt>
      <w:sdtPr>
        <w:rPr>
          <w:rFonts w:hint="eastAsia"/>
          <w:b/>
          <w:bCs/>
        </w:rPr>
        <w:tag w:val="_SEC_7398696337e643be900ea0fa28731754"/>
        <w:id w:val="1535853086"/>
        <w:placeholder>
          <w:docPart w:val="GBC22222222222222222222222222222"/>
        </w:placeholder>
      </w:sdtPr>
      <w:sdtEndPr>
        <w:rPr>
          <w:rFonts w:cs="宋体-方正超大字符集"/>
          <w:b w:val="0"/>
          <w:bCs w:val="0"/>
        </w:rPr>
      </w:sdtEndPr>
      <w:sdtContent>
        <w:p w:rsidR="004A3868" w:rsidRDefault="003F1AB5">
          <w:pPr>
            <w:tabs>
              <w:tab w:val="left" w:pos="10080"/>
            </w:tabs>
            <w:snapToGrid w:val="0"/>
            <w:spacing w:line="240" w:lineRule="atLeast"/>
            <w:ind w:rightChars="12" w:right="29"/>
            <w:jc w:val="center"/>
            <w:outlineLvl w:val="2"/>
            <w:rPr>
              <w:rStyle w:val="Style928"/>
              <w:b w:val="0"/>
              <w:bCs/>
            </w:rPr>
          </w:pPr>
          <w:r>
            <w:rPr>
              <w:rStyle w:val="Style928"/>
              <w:rFonts w:hint="eastAsia"/>
            </w:rPr>
            <w:t>母公司</w:t>
          </w:r>
          <w:r>
            <w:rPr>
              <w:b/>
              <w:szCs w:val="21"/>
            </w:rPr>
            <w:t>利润</w:t>
          </w:r>
          <w:r>
            <w:rPr>
              <w:rStyle w:val="Style928"/>
            </w:rPr>
            <w:t>表</w:t>
          </w:r>
        </w:p>
        <w:p w:rsidR="004A3868" w:rsidRDefault="003F1AB5">
          <w:pPr>
            <w:pStyle w:val="Style1226"/>
            <w:rPr>
              <w:b/>
              <w:bCs/>
            </w:rPr>
          </w:pPr>
          <w:r>
            <w:t xml:space="preserve">    2023年</w:t>
          </w:r>
          <w:r>
            <w:rPr>
              <w:rFonts w:hint="eastAsia"/>
            </w:rPr>
            <w:t>1—</w:t>
          </w:r>
          <w:r>
            <w:t>12月</w:t>
          </w:r>
        </w:p>
        <w:p w:rsidR="004A3868" w:rsidRDefault="003F1AB5">
          <w:pPr>
            <w:pStyle w:val="affff"/>
            <w:rPr>
              <w:b/>
              <w:bCs/>
              <w:color w:val="FF0000"/>
            </w:rPr>
          </w:pPr>
          <w:r>
            <w:rPr>
              <w:rStyle w:val="afffc"/>
            </w:rPr>
            <w:t>单位:</w:t>
          </w:r>
          <w:sdt>
            <w:sdtPr>
              <w:rPr>
                <w:rStyle w:val="afffc"/>
              </w:rPr>
              <w:alias w:val="单位：母公司利润表"/>
              <w:tag w:val="_GBC_f17e8cd8a21b417cb065f4c3b94f9c26"/>
              <w:id w:val="-16931387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afffc"/>
              </w:rPr>
            </w:sdtEndPr>
            <w:sdtContent>
              <w:r>
                <w:rPr>
                  <w:rStyle w:val="afffc"/>
                  <w:rFonts w:hint="eastAsia"/>
                </w:rPr>
                <w:t>元</w:t>
              </w:r>
            </w:sdtContent>
          </w:sdt>
          <w:r>
            <w:rPr>
              <w:rStyle w:val="afffc"/>
            </w:rPr>
            <w:t xml:space="preserve">  币种:</w:t>
          </w:r>
          <w:sdt>
            <w:sdtPr>
              <w:rPr>
                <w:rStyle w:val="afffc"/>
              </w:rPr>
              <w:alias w:val="币种：母公司利润表"/>
              <w:tag w:val="_GBC_514289adafbe4fe995f8f3791e23e392"/>
              <w:id w:val="12205590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afffc"/>
              </w:rPr>
            </w:sdtEndPr>
            <w:sdtContent>
              <w:r>
                <w:rPr>
                  <w:rStyle w:val="afffc"/>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47"/>
            <w:gridCol w:w="1306"/>
            <w:gridCol w:w="2135"/>
            <w:gridCol w:w="2135"/>
          </w:tblGrid>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25f325e0afe4d279180290df7e1dd6d"/>
                  <w:id w:val="416910002"/>
                </w:sdtPr>
                <w:sdtEndPr/>
                <w:sdtContent>
                  <w:p w:rsidR="004A3868" w:rsidRDefault="003F1AB5">
                    <w:pPr>
                      <w:pStyle w:val="afffb"/>
                    </w:pPr>
                    <w:r>
                      <w:rPr>
                        <w:rFonts w:hint="eastAsia"/>
                      </w:rPr>
                      <w:t>项目</w:t>
                    </w:r>
                  </w:p>
                </w:sdtContent>
              </w:sdt>
            </w:tc>
            <w:tc>
              <w:tcPr>
                <w:tcW w:w="74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ea71a35f204b56bca2b7ea223d4b71"/>
                  <w:id w:val="1026991360"/>
                </w:sdtPr>
                <w:sdtEndPr/>
                <w:sdtContent>
                  <w:p w:rsidR="004A3868" w:rsidRDefault="003F1AB5">
                    <w:pPr>
                      <w:pStyle w:val="afffb"/>
                    </w:pPr>
                    <w:r>
                      <w:rPr>
                        <w:rFonts w:hint="eastAsia"/>
                      </w:rPr>
                      <w:t>附注</w:t>
                    </w:r>
                  </w:p>
                </w:sdtContent>
              </w:sdt>
            </w:tc>
            <w:tc>
              <w:tcPr>
                <w:tcW w:w="12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2bf02ec3f0b4ce2b9d25f751262d2b0"/>
                  <w:id w:val="1628441047"/>
                </w:sdtPr>
                <w:sdtEndPr/>
                <w:sdtContent>
                  <w:p w:rsidR="004A3868" w:rsidRDefault="003F1AB5">
                    <w:pPr>
                      <w:pStyle w:val="afffb"/>
                    </w:pPr>
                    <w:r>
                      <w:rPr>
                        <w:rFonts w:hint="eastAsia"/>
                      </w:rPr>
                      <w:t>2023年度</w:t>
                    </w:r>
                  </w:p>
                </w:sdtContent>
              </w:sdt>
            </w:tc>
            <w:tc>
              <w:tcPr>
                <w:tcW w:w="12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01f378d3e3492c9571d4400832431f"/>
                  <w:id w:val="-1155830897"/>
                </w:sdtPr>
                <w:sdtEndPr/>
                <w:sdtContent>
                  <w:p w:rsidR="004A3868" w:rsidRDefault="003F1AB5">
                    <w:pPr>
                      <w:pStyle w:val="afffb"/>
                    </w:pPr>
                    <w:r>
                      <w:rPr>
                        <w:rFonts w:hint="eastAsia"/>
                      </w:rPr>
                      <w:t>2022年度</w:t>
                    </w:r>
                  </w:p>
                </w:sdtContent>
              </w:sdt>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一、营业收入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十九、</w:t>
                </w:r>
                <w:r>
                  <w:t>4</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2,664,791,256.60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2,493,492,981.56</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减：营业成本</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十九、</w:t>
                </w:r>
                <w:r>
                  <w:t>4</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2,209,503,976.53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1,989,012,370.28</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税金及附加</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9,579,418.97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9,535,576.09</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销售费用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88,041,031.71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71,148,713.88</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管理费用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68,199,688.12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51,020,241.64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研发费用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24,518,960.49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27,240,271.36</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财务费用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-21,146,403.39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-16,218,536.64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其中：利息费用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14,037,939.52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8,375,997.88</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利息收入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36,048,177.62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17,762,618.07</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加：其他收益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9"/>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23,762,176.25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11,360,024.21</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投资收益（损失以“－”号填列）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十九、</w:t>
                </w:r>
                <w:r>
                  <w:t>5</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404,051.81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1,865,048.21</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其中：对联营企业和合营企业的投资收益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323,689.95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971,512.67</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以摊余成本计量的金融资产终止确认收益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净敞口套期收益（损失以“</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公允价值变动收益（损失以“－”号填列）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176,054.79</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信用减值损失（损失以“</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-18,615,395.59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-22,827,758.06</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资产减值损失（损失以“</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-5,149,307.33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-4,450,628.21</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资产处置收益（损失以“－”号填列）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1,347.71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-14,185.51</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二、营业利润（亏损以“－”号填列）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286,497,457.02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347,862,900.38</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加：营业外收入</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690,296.93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3,520,707.06</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减：营业外支出</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4,205,031.43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2,401,179.84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三、利润总额（亏损总额以“－”号填列）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282,982,722.52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348,982,427.60</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lastRenderedPageBreak/>
                  <w:t>减：所得税费用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43,001,976.73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42,992,948.76</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四、净利润（净亏损以“－”号填列）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239,980,745.79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305,989,478.84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（一）</w:t>
                </w:r>
                <w:r>
                  <w:t>持续经营净利润（净亏损以</w:t>
                </w:r>
                <w:r>
                  <w:t>“</w:t>
                </w:r>
                <w:r>
                  <w:t>－</w:t>
                </w:r>
                <w:r>
                  <w:t>”</w:t>
                </w:r>
                <w:r>
                  <w:t>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 239,980,745.79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305,989,478.84</w:t>
                </w: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（二）终止经营净利润（净亏损以“－”号填列）</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五、其他综合收益的税后净额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（一）不能重分类进损益的其他综合收益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1.</w:t>
                </w:r>
                <w:r>
                  <w:t>重新计量设定受益计划变动额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2.</w:t>
                </w:r>
                <w:r>
                  <w:t>权益法下不能转损益的其他综合收益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3.</w:t>
                </w:r>
                <w:r>
                  <w:t>其他权益工具投资公允价值变动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4.</w:t>
                </w:r>
                <w:r>
                  <w:t>企业自身信用风险公允价值变动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（二）将重分类进损益的其他综合收益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1.</w:t>
                </w:r>
                <w:r>
                  <w:t>权益法下可转损益的其他综合收益</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2.</w:t>
                </w:r>
                <w:r>
                  <w:t>其他债权投资公允价值变动</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3.</w:t>
                </w:r>
                <w:r>
                  <w:t>金融资产重分类计入其他综合收益的金额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4.</w:t>
                </w:r>
                <w:r>
                  <w:t>其他债权投资信用减值准备</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5.</w:t>
                </w:r>
                <w:r>
                  <w:t>现金流量套期储备</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6.</w:t>
                </w:r>
                <w:r>
                  <w:t>外币财务报表折算差额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7.</w:t>
                </w:r>
                <w:r>
                  <w:t>其他</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六、综合收益总额</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239,980,745.79 </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305,989,478.84</w:t>
                </w:r>
              </w:p>
            </w:tc>
          </w:tr>
          <w:tr w:rsidR="004A3868">
            <w:trPr>
              <w:trHeight w:val="397"/>
              <w:jc w:val="center"/>
            </w:trPr>
            <w:sdt>
              <w:sdtPr>
                <w:tag w:val="_PLD_3b0447fd122e4105bde5cc49acaea414"/>
                <w:id w:val="-1694376578"/>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七</w:t>
                    </w:r>
                    <w:r>
                      <w:t>、每股收益：</w:t>
                    </w:r>
                  </w:p>
                </w:tc>
              </w:sdtContent>
            </w:sdt>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r>
          <w:tr w:rsidR="004A3868">
            <w:trPr>
              <w:trHeight w:val="397"/>
              <w:jc w:val="center"/>
            </w:trPr>
            <w:tc>
              <w:tcPr>
                <w:tcW w:w="184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74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r>
        </w:tbl>
        <w:p w:rsidR="004A3868" w:rsidRDefault="004A3868">
          <w:pPr>
            <w:pStyle w:val="Style853"/>
          </w:pPr>
        </w:p>
        <w:p w:rsidR="004A3868" w:rsidRDefault="003F1AB5">
          <w:pPr>
            <w:rPr>
              <w:rFonts w:cs="宋体-方正超大字符集"/>
            </w:rPr>
          </w:pPr>
          <w:r>
            <w:rPr>
              <w:rStyle w:val="Char0"/>
              <w:rFonts w:hint="eastAsia"/>
            </w:rPr>
            <w:t>公司负责</w:t>
          </w:r>
          <w:r>
            <w:rPr>
              <w:rStyle w:val="Char0"/>
            </w:rPr>
            <w:t>人</w:t>
          </w:r>
          <w:r>
            <w:rPr>
              <w:rStyle w:val="Char0"/>
              <w:rFonts w:hint="eastAsia"/>
            </w:rPr>
            <w:t>：</w:t>
          </w:r>
          <w:sdt>
            <w:sdtPr>
              <w:rPr>
                <w:rStyle w:val="Char0"/>
                <w:rFonts w:hint="eastAsia"/>
              </w:rPr>
              <w:alias w:val="公司负责人姓名"/>
              <w:tag w:val="_GBC_04fbc09e50eb44a79e1d4314733be4f9"/>
              <w:id w:val="-1593927924"/>
              <w:placeholder>
                <w:docPart w:val="GBC22222222222222222222222222222"/>
              </w:placeholder>
              <w:dataBinding w:prefixMappings="xmlns:clcid-mr='clcid-mr'" w:xpath="/*/clcid-mr:GongSiFuZeRenXingMing[not(@periodRef)]" w:storeItemID="{89EBAB94-44A0-46A2-B712-30D997D04A6D}"/>
              <w:text/>
            </w:sdtPr>
            <w:sdtEndPr>
              <w:rPr>
                <w:rStyle w:val="Char0"/>
              </w:rPr>
            </w:sdtEndPr>
            <w:sdtContent>
              <w:r>
                <w:rPr>
                  <w:rStyle w:val="Char0"/>
                  <w:rFonts w:hint="eastAsia"/>
                </w:rPr>
                <w:t>杨泽民</w:t>
              </w:r>
            </w:sdtContent>
          </w:sdt>
          <w:r>
            <w:rPr>
              <w:rStyle w:val="Char0"/>
              <w:rFonts w:hint="eastAsia"/>
            </w:rPr>
            <w:t xml:space="preserve"> </w:t>
          </w:r>
          <w:r>
            <w:rPr>
              <w:rStyle w:val="Char0"/>
            </w:rPr>
            <w:t>主管会计工作负责人</w:t>
          </w:r>
          <w:r>
            <w:rPr>
              <w:rStyle w:val="Char0"/>
              <w:rFonts w:hint="eastAsia"/>
            </w:rPr>
            <w:t>：</w:t>
          </w:r>
          <w:sdt>
            <w:sdtPr>
              <w:rPr>
                <w:rStyle w:val="Char0"/>
                <w:rFonts w:hint="eastAsia"/>
              </w:rPr>
              <w:alias w:val="主管会计工作负责人姓名"/>
              <w:tag w:val="_GBC_37d9f750e6c04845b9e34ad6da976b56"/>
              <w:id w:val="-490714689"/>
              <w:placeholder>
                <w:docPart w:val="GBC22222222222222222222222222222"/>
              </w:placeholder>
              <w:dataBinding w:prefixMappings="xmlns:clcid-mr='clcid-mr'" w:xpath="/*/clcid-mr:ZhuGuanKuaiJiGongZuoFuZeRenXingMing[not(@periodRef)]" w:storeItemID="{89EBAB94-44A0-46A2-B712-30D997D04A6D}"/>
              <w:text/>
            </w:sdtPr>
            <w:sdtEndPr>
              <w:rPr>
                <w:rStyle w:val="Char0"/>
              </w:rPr>
            </w:sdtEndPr>
            <w:sdtContent>
              <w:r>
                <w:rPr>
                  <w:rStyle w:val="Char0"/>
                  <w:rFonts w:hint="eastAsia"/>
                </w:rPr>
                <w:t>李代萍</w:t>
              </w:r>
            </w:sdtContent>
          </w:sdt>
          <w:r>
            <w:rPr>
              <w:rStyle w:val="Char0"/>
              <w:rFonts w:hint="eastAsia"/>
            </w:rPr>
            <w:t xml:space="preserve"> </w:t>
          </w:r>
          <w:r>
            <w:rPr>
              <w:rStyle w:val="Char0"/>
            </w:rPr>
            <w:t>会计机构负责人</w:t>
          </w:r>
          <w:r>
            <w:rPr>
              <w:rStyle w:val="Char0"/>
              <w:rFonts w:hint="eastAsia"/>
            </w:rPr>
            <w:t>：</w:t>
          </w:r>
          <w:sdt>
            <w:sdtPr>
              <w:rPr>
                <w:rStyle w:val="Char0"/>
                <w:rFonts w:hint="eastAsia"/>
              </w:rPr>
              <w:alias w:val="会计机构负责人姓名"/>
              <w:tag w:val="_GBC_b8515644d08d42edafc210cf569b9b08"/>
              <w:id w:val="2016180280"/>
              <w:placeholder>
                <w:docPart w:val="GBC22222222222222222222222222222"/>
              </w:placeholder>
              <w:dataBinding w:prefixMappings="xmlns:clcid-mr='clcid-mr'" w:xpath="/*/clcid-mr:KuaiJiJiGouFuZeRenXingMing[not(@periodRef)]" w:storeItemID="{89EBAB94-44A0-46A2-B712-30D997D04A6D}"/>
              <w:text/>
            </w:sdtPr>
            <w:sdtEndPr>
              <w:rPr>
                <w:rStyle w:val="Char0"/>
              </w:rPr>
            </w:sdtEndPr>
            <w:sdtContent>
              <w:r>
                <w:rPr>
                  <w:rStyle w:val="Char0"/>
                  <w:rFonts w:hint="eastAsia"/>
                </w:rPr>
                <w:t>杨万华</w:t>
              </w:r>
            </w:sdtContent>
          </w:sdt>
        </w:p>
      </w:sdtContent>
    </w:sdt>
    <w:p w:rsidR="004A3868" w:rsidRDefault="004A3868">
      <w:pPr>
        <w:pStyle w:val="Style842"/>
      </w:pPr>
    </w:p>
    <w:p w:rsidR="004A3868" w:rsidRDefault="004A3868">
      <w:pPr>
        <w:pStyle w:val="Style842"/>
      </w:pPr>
    </w:p>
    <w:p w:rsidR="004A3868" w:rsidRDefault="004A3868">
      <w:pPr>
        <w:pStyle w:val="Style842"/>
      </w:pPr>
    </w:p>
    <w:bookmarkEnd w:id="119" w:displacedByCustomXml="next"/>
    <w:bookmarkStart w:id="120" w:name="_Hlk1156136" w:displacedByCustomXml="next"/>
    <w:sdt>
      <w:sdtPr>
        <w:rPr>
          <w:rFonts w:hint="eastAsia"/>
          <w:b/>
          <w:bCs/>
        </w:rPr>
        <w:tag w:val="_GBC_17c43da24c7845d3aa093910aeaf2348"/>
        <w:id w:val="1074554086"/>
        <w:placeholder>
          <w:docPart w:val="GBC22222222222222222222222222222"/>
        </w:placeholder>
      </w:sdtPr>
      <w:sdtEndPr>
        <w:rPr>
          <w:b w:val="0"/>
          <w:bCs w:val="0"/>
        </w:rPr>
      </w:sdtEndPr>
      <w:sdtContent>
        <w:p w:rsidR="004A3868" w:rsidRDefault="003F1AB5">
          <w:pPr>
            <w:tabs>
              <w:tab w:val="left" w:pos="10080"/>
            </w:tabs>
            <w:snapToGrid w:val="0"/>
            <w:spacing w:line="240" w:lineRule="atLeast"/>
            <w:ind w:rightChars="12" w:right="29"/>
            <w:jc w:val="center"/>
            <w:outlineLvl w:val="2"/>
            <w:rPr>
              <w:rStyle w:val="Style1230"/>
              <w:rFonts w:eastAsia="宋体"/>
              <w:b w:val="0"/>
              <w:bCs/>
              <w:sz w:val="21"/>
              <w:szCs w:val="21"/>
            </w:rPr>
          </w:pPr>
          <w:r>
            <w:rPr>
              <w:rStyle w:val="Style1230"/>
              <w:rFonts w:eastAsia="宋体" w:hint="eastAsia"/>
              <w:sz w:val="21"/>
              <w:szCs w:val="21"/>
            </w:rPr>
            <w:t>合并</w:t>
          </w:r>
          <w:r>
            <w:rPr>
              <w:b/>
            </w:rPr>
            <w:t>现金</w:t>
          </w:r>
          <w:r>
            <w:rPr>
              <w:b/>
              <w:szCs w:val="21"/>
            </w:rPr>
            <w:t>流量表</w:t>
          </w:r>
        </w:p>
        <w:p w:rsidR="004A3868" w:rsidRDefault="003F1AB5">
          <w:pPr>
            <w:pStyle w:val="Style1226"/>
            <w:rPr>
              <w:b/>
              <w:bCs/>
            </w:rPr>
          </w:pPr>
          <w:r>
            <w:t xml:space="preserve">  2023年</w:t>
          </w:r>
          <w:r>
            <w:rPr>
              <w:rFonts w:hint="eastAsia"/>
            </w:rPr>
            <w:t>1—12</w:t>
          </w:r>
          <w:r>
            <w:t>月</w:t>
          </w:r>
        </w:p>
        <w:p w:rsidR="004A3868" w:rsidRDefault="003F1AB5">
          <w:pPr>
            <w:pStyle w:val="afffb"/>
            <w:ind w:firstLineChars="3100" w:firstLine="6510"/>
          </w:pPr>
          <w:r>
            <w:rPr>
              <w:rStyle w:val="Char0"/>
            </w:rPr>
            <w:t>单位</w:t>
          </w:r>
          <w:r>
            <w:rPr>
              <w:rStyle w:val="Char0"/>
              <w:rFonts w:hint="eastAsia"/>
            </w:rPr>
            <w:t>：</w:t>
          </w:r>
          <w:sdt>
            <w:sdtPr>
              <w:rPr>
                <w:rStyle w:val="Char0"/>
                <w:rFonts w:hint="eastAsia"/>
              </w:rPr>
              <w:alias w:val="单位：合并现金流量表"/>
              <w:tag w:val="_GBC_7049413ddb8f4e5eac9cb9fb4f802433"/>
              <w:id w:val="-5829110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0"/>
              </w:rPr>
            </w:sdtEndPr>
            <w:sdtContent>
              <w:r>
                <w:rPr>
                  <w:rStyle w:val="Char0"/>
                  <w:rFonts w:hint="eastAsia"/>
                </w:rPr>
                <w:t>元</w:t>
              </w:r>
            </w:sdtContent>
          </w:sdt>
          <w:r>
            <w:rPr>
              <w:rStyle w:val="Char0"/>
            </w:rPr>
            <w:t xml:space="preserve">  </w:t>
          </w:r>
          <w:r>
            <w:rPr>
              <w:rStyle w:val="Char0"/>
            </w:rPr>
            <w:t>币种</w:t>
          </w:r>
          <w:r>
            <w:rPr>
              <w:rStyle w:val="Char0"/>
              <w:rFonts w:hint="eastAsia"/>
            </w:rPr>
            <w:t>：</w:t>
          </w:r>
          <w:sdt>
            <w:sdtPr>
              <w:rPr>
                <w:rStyle w:val="Char0"/>
                <w:rFonts w:hint="eastAsia"/>
              </w:rPr>
              <w:alias w:val="币种：合并现金流量表"/>
              <w:tag w:val="_GBC_5ab1c6e244484b228b8cdc6ee3840fd6"/>
              <w:id w:val="-18426189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0"/>
              </w:rPr>
            </w:sdtEndPr>
            <w:sdtContent>
              <w:r>
                <w:rPr>
                  <w:rStyle w:val="Char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3039"/>
            <w:gridCol w:w="1509"/>
            <w:gridCol w:w="2135"/>
            <w:gridCol w:w="2140"/>
          </w:tblGrid>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1e687815424d54a4dd8744648aa3cb"/>
                  <w:id w:val="-134255829"/>
                </w:sdtPr>
                <w:sdtEndPr/>
                <w:sdtContent>
                  <w:p w:rsidR="004A3868" w:rsidRDefault="003F1AB5">
                    <w:pPr>
                      <w:pStyle w:val="afffb"/>
                    </w:pPr>
                    <w:r>
                      <w:rPr>
                        <w:rFonts w:hint="eastAsia"/>
                      </w:rPr>
                      <w:t>项目</w:t>
                    </w:r>
                  </w:p>
                </w:sdtContent>
              </w:sdt>
            </w:tc>
            <w:tc>
              <w:tcPr>
                <w:tcW w:w="85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902166982f4ea18b3f3d11c1fe2190"/>
                  <w:id w:val="-1726136042"/>
                </w:sdtPr>
                <w:sdtEndPr/>
                <w:sdtContent>
                  <w:p w:rsidR="004A3868" w:rsidRDefault="003F1AB5">
                    <w:pPr>
                      <w:pStyle w:val="afffb"/>
                    </w:pPr>
                    <w:r>
                      <w:rPr>
                        <w:rFonts w:hint="eastAsia"/>
                      </w:rPr>
                      <w:t>附注</w:t>
                    </w:r>
                  </w:p>
                </w:sdtContent>
              </w:sdt>
            </w:tc>
            <w:tc>
              <w:tcPr>
                <w:tcW w:w="12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9a06cc719e5467e82013eb798ebb143"/>
                  <w:id w:val="788632857"/>
                </w:sdtPr>
                <w:sdtEndPr/>
                <w:sdtContent>
                  <w:p w:rsidR="004A3868" w:rsidRDefault="003F1AB5">
                    <w:pPr>
                      <w:pStyle w:val="afffb"/>
                    </w:pPr>
                    <w:r>
                      <w:rPr>
                        <w:rFonts w:hint="eastAsia"/>
                      </w:rPr>
                      <w:t>2023年度</w:t>
                    </w:r>
                  </w:p>
                </w:sdtContent>
              </w:sdt>
            </w:tc>
            <w:tc>
              <w:tcPr>
                <w:tcW w:w="121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bd5effed8234e5eb21199f6669657c2"/>
                  <w:id w:val="1372031669"/>
                </w:sdtPr>
                <w:sdtEndPr/>
                <w:sdtContent>
                  <w:p w:rsidR="004A3868" w:rsidRDefault="003F1AB5">
                    <w:pPr>
                      <w:pStyle w:val="afffb"/>
                    </w:pPr>
                    <w:r>
                      <w:rPr>
                        <w:rFonts w:hint="eastAsia"/>
                      </w:rPr>
                      <w:t>2022年度</w:t>
                    </w:r>
                  </w:p>
                </w:sdtContent>
              </w:sdt>
            </w:tc>
          </w:tr>
          <w:tr w:rsidR="004A3868">
            <w:trPr>
              <w:trHeight w:val="397"/>
              <w:jc w:val="center"/>
            </w:trPr>
            <w:sdt>
              <w:sdtPr>
                <w:tag w:val="_PLD_c03c8258c1684fb989d96332af6834de"/>
                <w:id w:val="-165197812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33"/>
                    </w:pPr>
                    <w:r>
                      <w:rPr>
                        <w:rFonts w:hint="eastAsia"/>
                      </w:rPr>
                      <w:t>一、经营活动产生的现金流量：</w:t>
                    </w:r>
                  </w:p>
                </w:tc>
              </w:sdtContent>
            </w:sdt>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33"/>
                  <w:rPr>
                    <w:color w:val="000000"/>
                  </w:rPr>
                </w:pPr>
                <w:r>
                  <w:rPr>
                    <w:rFonts w:hint="eastAsia"/>
                  </w:rPr>
                  <w:t>销售商品、提供劳务收到的现金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33"/>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33"/>
                </w:pPr>
                <w:r>
                  <w:t xml:space="preserve"> 2,036,501,918.73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33"/>
                </w:pPr>
                <w:r>
                  <w:t>1,961,110,625.76</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客户存款和同业存放款项净增加额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向中央银行借款净增加额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向其他金融机构拆入资金净增加额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收到原保险合同保费取得的现金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收到再保业务现金净额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保户储金及投资款净增加额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收取利息、手续费及佣金的现金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拆入资金净增加额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回购业务资金净增加额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代理买卖证券收到的现金净额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收到的税费返还</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17,095,936.78</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收到其他与经营活动有关的现金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Style1224"/>
                  <w:rPr>
                    <w:szCs w:val="21"/>
                  </w:rPr>
                </w:pPr>
                <w:r>
                  <w:t>七、</w:t>
                </w:r>
                <w:r>
                  <w:t>78</w:t>
                </w:r>
                <w:r>
                  <w:t>（</w:t>
                </w:r>
                <w:r>
                  <w:t>1</w:t>
                </w:r>
                <w:r>
                  <w:t>）</w:t>
                </w: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104,788,728.80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105,128,816.75</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经营活动现金流入小计</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2,141,290,647.53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2,083,335,379.29</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购买商品、接受劳务支付的现金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1,331,632,803.83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1,528,469,347.17</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客户贷款及垫款净增加额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存放中央银行和同业款项净增加额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支付原保险合同赔付款项的现金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拆出资金净增加额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支付利息、手续费及佣金的现金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支付保单红利的现金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支付给职工及为职工支付的现金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213,681,695.95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150,650,080.80</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支付的各项税费</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90,664,824.40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122,576,290.96</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支付其他与经营活动有关的现金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Style1224"/>
                  <w:rPr>
                    <w:szCs w:val="21"/>
                  </w:rPr>
                </w:pPr>
                <w:r>
                  <w:t>七、</w:t>
                </w:r>
                <w:r>
                  <w:t>78</w:t>
                </w:r>
                <w:r>
                  <w:t>（</w:t>
                </w:r>
                <w:r>
                  <w:t>2</w:t>
                </w:r>
                <w:r>
                  <w:t>）</w:t>
                </w: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213,447,308.55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77,289,793.58</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经营活动现金流出小计</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1,849,426,632.73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1,878,985,512.51</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经营活动产生的现金流量净额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291,864,014.80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204,349,866.78</w:t>
                </w:r>
              </w:p>
            </w:tc>
          </w:tr>
          <w:tr w:rsidR="004A3868">
            <w:trPr>
              <w:trHeight w:val="397"/>
              <w:jc w:val="center"/>
            </w:trPr>
            <w:sdt>
              <w:sdtPr>
                <w:tag w:val="_PLD_cb59aa0e2bd944b8ba7271368c6da00a"/>
                <w:id w:val="-178974008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8000"/>
                      </w:rPr>
                    </w:pPr>
                    <w:r>
                      <w:rPr>
                        <w:rFonts w:hint="eastAsia"/>
                      </w:rPr>
                      <w:t>二、投资活动产生的现金流量：</w:t>
                    </w:r>
                  </w:p>
                </w:tc>
              </w:sdtContent>
            </w:sdt>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收回投资收到的现金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70,101,731.72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146,048,220.47</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取得投资收益收到的现金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803,249.34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1,091,417.43</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处置固定资产、无形资产和其他长期资产收回的现金净额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1,592,632.76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209,542.39</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处置子公司及其他营业单位收到</w:t>
                </w:r>
                <w:r>
                  <w:rPr>
                    <w:rFonts w:hint="eastAsia"/>
                  </w:rPr>
                  <w:lastRenderedPageBreak/>
                  <w:t>的现金净额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收到其他与投资活动有关的现金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投资活动现金流入小计</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72,497,613.82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147,349,180.29</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购建固定资产、无形资产和其他长期资产支付的现金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563,466,537.77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347,182,305.07</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投资支付的现金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44,804,920.00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175,000,000.00</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质押贷款净增加额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取得子公司及其他营业单位支付的现金净额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支付其他与投资活动有关的现金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50,000,000.00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投资活动现金流出小计</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658,271,457.77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522,182,305.07</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投资活动产生的现金流量净额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-585,773,843.95</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-374,833,124.78</w:t>
                </w:r>
              </w:p>
            </w:tc>
          </w:tr>
          <w:tr w:rsidR="004A3868">
            <w:trPr>
              <w:trHeight w:val="397"/>
              <w:jc w:val="center"/>
            </w:trPr>
            <w:sdt>
              <w:sdtPr>
                <w:tag w:val="_PLD_8e0d926902804b5baefad8990e4523b4"/>
                <w:id w:val="594829441"/>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8000"/>
                      </w:rPr>
                    </w:pPr>
                    <w:r>
                      <w:rPr>
                        <w:rFonts w:hint="eastAsia"/>
                      </w:rPr>
                      <w:t>三、筹资活动产生的现金流量：</w:t>
                    </w:r>
                  </w:p>
                </w:tc>
              </w:sdtContent>
            </w:sdt>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吸收投资收到的现金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884,426,270.38</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其中：子公司吸收少数股东投资收到的现金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取得借款收到的现金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799,337,657.48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297,014,886.86</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收到其他与筹资活动有关的现金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筹资活动现金流入小计</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799,337,657.48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1,181,441,157.24</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偿还债务支付的现金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33,364,776.23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322,109,821.63</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分配股利、利润或偿付利息支付的现金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75,368,452.84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10,548,172.40</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其中：子公司支付给少数股东的股利、利润</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支付其他与筹资活动有关的现金</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Style1224"/>
                </w:pPr>
                <w:r>
                  <w:rPr>
                    <w:rFonts w:hint="eastAsia"/>
                  </w:rPr>
                  <w:t>七、</w:t>
                </w:r>
                <w:r>
                  <w:rPr>
                    <w:rFonts w:hint="eastAsia"/>
                  </w:rPr>
                  <w:t>78</w:t>
                </w:r>
                <w:r>
                  <w:rPr>
                    <w:rFonts w:hint="eastAsia"/>
                  </w:rPr>
                  <w:t>（</w:t>
                </w:r>
                <w:r>
                  <w:rPr>
                    <w:rFonts w:hint="eastAsia"/>
                  </w:rPr>
                  <w:t>3</w:t>
                </w:r>
                <w:r>
                  <w:rPr>
                    <w:rFonts w:hint="eastAsia"/>
                  </w:rPr>
                  <w:t>）</w:t>
                </w: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51,655,603.89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23,832,715.90</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筹资活动现金流出小计</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160,388,832.96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356,490,709.93</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筹资活动产生的现金流量净额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638,948,824.52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824,950,447.31</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四、汇率变动对现金及现金等价物的影响</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1,281,373.64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1,705,552.35</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五、现金及现金等价物净增加额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rsidRPr="00E31D2B">
                  <w:t xml:space="preserve"> 346,320,369.01</w:t>
                </w:r>
                <w:r>
                  <w:rPr>
                    <w:highlight w:val="yellow"/>
                  </w:rPr>
                  <w:t xml:space="preserve">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656,172,741.66</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加：期初现金及现金等价物余额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rPr>
                    <w:highlight w:val="yellow"/>
                  </w:rPr>
                </w:pPr>
                <w:r>
                  <w:t xml:space="preserve">880,322,286.19 </w:t>
                </w:r>
                <w:r>
                  <w:rPr>
                    <w:highlight w:val="yellow"/>
                  </w:rPr>
                  <w:t xml:space="preserve">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224,149,544.53</w:t>
                </w:r>
              </w:p>
            </w:tc>
          </w:tr>
          <w:tr w:rsidR="004A3868">
            <w:trPr>
              <w:trHeight w:val="397"/>
              <w:jc w:val="center"/>
            </w:trPr>
            <w:tc>
              <w:tcPr>
                <w:tcW w:w="1722"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六、期末现金及现金等价物余额</w:t>
                </w:r>
              </w:p>
            </w:tc>
            <w:tc>
              <w:tcPr>
                <w:tcW w:w="855"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 xml:space="preserve"> 1,226,642,655.20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880,322,286.19</w:t>
                </w:r>
              </w:p>
            </w:tc>
          </w:tr>
        </w:tbl>
        <w:p w:rsidR="004A3868" w:rsidRDefault="004A3868">
          <w:pPr>
            <w:pStyle w:val="Style853"/>
          </w:pPr>
        </w:p>
        <w:p w:rsidR="004A3868" w:rsidRDefault="003F1AB5">
          <w:pPr>
            <w:rPr>
              <w:b/>
              <w:bCs/>
              <w:color w:val="FF0000"/>
            </w:rPr>
          </w:pPr>
          <w:r>
            <w:rPr>
              <w:rStyle w:val="aa"/>
              <w:rFonts w:hint="eastAsia"/>
            </w:rPr>
            <w:t>公司负责</w:t>
          </w:r>
          <w:r>
            <w:rPr>
              <w:rStyle w:val="aa"/>
            </w:rPr>
            <w:t>人</w:t>
          </w:r>
          <w:r>
            <w:rPr>
              <w:rStyle w:val="aa"/>
              <w:rFonts w:hint="eastAsia"/>
            </w:rPr>
            <w:t>：</w:t>
          </w:r>
          <w:sdt>
            <w:sdtPr>
              <w:rPr>
                <w:rStyle w:val="aa"/>
                <w:rFonts w:hint="eastAsia"/>
              </w:rPr>
              <w:alias w:val="公司负责人姓名"/>
              <w:tag w:val="_GBC_d1f7cb193ab444ff8482a06aad12f0db"/>
              <w:id w:val="-1780399244"/>
              <w:placeholder>
                <w:docPart w:val="GBC22222222222222222222222222222"/>
              </w:placeholder>
              <w:dataBinding w:prefixMappings="xmlns:clcid-mr='clcid-mr'" w:xpath="/*/clcid-mr:GongSiFuZeRenXingMing[not(@periodRef)]" w:storeItemID="{89EBAB94-44A0-46A2-B712-30D997D04A6D}"/>
              <w:text/>
            </w:sdtPr>
            <w:sdtEndPr>
              <w:rPr>
                <w:rStyle w:val="aa"/>
              </w:rPr>
            </w:sdtEndPr>
            <w:sdtContent>
              <w:r>
                <w:rPr>
                  <w:rStyle w:val="aa"/>
                  <w:rFonts w:hint="eastAsia"/>
                </w:rPr>
                <w:t>杨泽民</w:t>
              </w:r>
            </w:sdtContent>
          </w:sdt>
          <w:r>
            <w:rPr>
              <w:rStyle w:val="aa"/>
              <w:rFonts w:hint="eastAsia"/>
            </w:rPr>
            <w:t xml:space="preserve"> </w:t>
          </w:r>
          <w:r>
            <w:rPr>
              <w:rStyle w:val="aa"/>
            </w:rPr>
            <w:t>主管会计工作负责人</w:t>
          </w:r>
          <w:r>
            <w:rPr>
              <w:rStyle w:val="aa"/>
              <w:rFonts w:hint="eastAsia"/>
            </w:rPr>
            <w:t>：</w:t>
          </w:r>
          <w:sdt>
            <w:sdtPr>
              <w:rPr>
                <w:rStyle w:val="aa"/>
                <w:rFonts w:hint="eastAsia"/>
              </w:rPr>
              <w:alias w:val="主管会计工作负责人姓名"/>
              <w:tag w:val="_GBC_45110b4746914613a7aad68cef7b1bed"/>
              <w:id w:val="88286898"/>
              <w:placeholder>
                <w:docPart w:val="GBC22222222222222222222222222222"/>
              </w:placeholder>
              <w:dataBinding w:prefixMappings="xmlns:clcid-mr='clcid-mr'" w:xpath="/*/clcid-mr:ZhuGuanKuaiJiGongZuoFuZeRenXingMing[not(@periodRef)]" w:storeItemID="{89EBAB94-44A0-46A2-B712-30D997D04A6D}"/>
              <w:text/>
            </w:sdtPr>
            <w:sdtEndPr>
              <w:rPr>
                <w:rStyle w:val="aa"/>
              </w:rPr>
            </w:sdtEndPr>
            <w:sdtContent>
              <w:r>
                <w:rPr>
                  <w:rStyle w:val="aa"/>
                  <w:rFonts w:hint="eastAsia"/>
                </w:rPr>
                <w:t>李代萍</w:t>
              </w:r>
            </w:sdtContent>
          </w:sdt>
          <w:r>
            <w:rPr>
              <w:rStyle w:val="aa"/>
              <w:rFonts w:hint="eastAsia"/>
            </w:rPr>
            <w:t xml:space="preserve"> </w:t>
          </w:r>
          <w:r>
            <w:rPr>
              <w:rStyle w:val="aa"/>
            </w:rPr>
            <w:t>会计机构负责人</w:t>
          </w:r>
          <w:r>
            <w:rPr>
              <w:rStyle w:val="aa"/>
              <w:rFonts w:hint="eastAsia"/>
            </w:rPr>
            <w:t>：</w:t>
          </w:r>
          <w:sdt>
            <w:sdtPr>
              <w:rPr>
                <w:rStyle w:val="aa"/>
                <w:rFonts w:hint="eastAsia"/>
              </w:rPr>
              <w:alias w:val="会计机构负责人姓名"/>
              <w:tag w:val="_GBC_e7d70223996e482d9871cfff87704452"/>
              <w:id w:val="-792678854"/>
              <w:placeholder>
                <w:docPart w:val="GBC22222222222222222222222222222"/>
              </w:placeholder>
              <w:dataBinding w:prefixMappings="xmlns:clcid-mr='clcid-mr'" w:xpath="/*/clcid-mr:KuaiJiJiGouFuZeRenXingMing[not(@periodRef)]" w:storeItemID="{89EBAB94-44A0-46A2-B712-30D997D04A6D}"/>
              <w:text/>
            </w:sdtPr>
            <w:sdtEndPr>
              <w:rPr>
                <w:rStyle w:val="aa"/>
              </w:rPr>
            </w:sdtEndPr>
            <w:sdtContent>
              <w:r>
                <w:rPr>
                  <w:rStyle w:val="aa"/>
                  <w:rFonts w:hint="eastAsia"/>
                </w:rPr>
                <w:t>杨万华</w:t>
              </w:r>
            </w:sdtContent>
          </w:sdt>
        </w:p>
      </w:sdtContent>
    </w:sdt>
    <w:p w:rsidR="004A3868" w:rsidRDefault="004A3868">
      <w:pPr>
        <w:pStyle w:val="Style842"/>
      </w:pPr>
    </w:p>
    <w:p w:rsidR="004A3868" w:rsidRDefault="004A3868">
      <w:pPr>
        <w:pStyle w:val="Style842"/>
      </w:pPr>
    </w:p>
    <w:sdt>
      <w:sdtPr>
        <w:rPr>
          <w:rFonts w:hint="eastAsia"/>
          <w:b/>
          <w:bCs/>
        </w:rPr>
        <w:tag w:val="_GBC_fa07832b39b14b348ba105d6cedbd7b8"/>
        <w:id w:val="520442968"/>
        <w:placeholder>
          <w:docPart w:val="GBC22222222222222222222222222222"/>
        </w:placeholder>
      </w:sdtPr>
      <w:sdtEndPr>
        <w:rPr>
          <w:b w:val="0"/>
          <w:bCs w:val="0"/>
        </w:rPr>
      </w:sdtEndPr>
      <w:sdtContent>
        <w:p w:rsidR="004A3868" w:rsidRDefault="003F1AB5">
          <w:pPr>
            <w:tabs>
              <w:tab w:val="left" w:pos="10080"/>
            </w:tabs>
            <w:snapToGrid w:val="0"/>
            <w:spacing w:line="240" w:lineRule="atLeast"/>
            <w:ind w:rightChars="12" w:right="29"/>
            <w:jc w:val="center"/>
            <w:outlineLvl w:val="2"/>
            <w:rPr>
              <w:rStyle w:val="Style1230"/>
              <w:rFonts w:eastAsia="宋体"/>
              <w:b w:val="0"/>
              <w:bCs/>
              <w:sz w:val="21"/>
              <w:szCs w:val="21"/>
            </w:rPr>
          </w:pPr>
          <w:r>
            <w:rPr>
              <w:rStyle w:val="Style1230"/>
              <w:rFonts w:eastAsia="宋体" w:hint="eastAsia"/>
              <w:sz w:val="21"/>
              <w:szCs w:val="21"/>
            </w:rPr>
            <w:t>母公司</w:t>
          </w:r>
          <w:r>
            <w:rPr>
              <w:rStyle w:val="Style1230"/>
              <w:rFonts w:eastAsia="宋体"/>
              <w:sz w:val="21"/>
              <w:szCs w:val="21"/>
            </w:rPr>
            <w:t>现金流量表</w:t>
          </w:r>
        </w:p>
        <w:p w:rsidR="004A3868" w:rsidRDefault="003F1AB5">
          <w:pPr>
            <w:pStyle w:val="Style1226"/>
            <w:rPr>
              <w:b/>
              <w:bCs/>
            </w:rPr>
          </w:pPr>
          <w:r>
            <w:t>2023年</w:t>
          </w:r>
          <w:r>
            <w:rPr>
              <w:rFonts w:hint="eastAsia"/>
            </w:rPr>
            <w:t>1—12</w:t>
          </w:r>
          <w:r>
            <w:t>月</w:t>
          </w:r>
        </w:p>
        <w:p w:rsidR="004A3868" w:rsidRDefault="003F1AB5">
          <w:pPr>
            <w:pStyle w:val="affff"/>
            <w:rPr>
              <w:rStyle w:val="Char0"/>
            </w:rPr>
          </w:pPr>
          <w:r>
            <w:rPr>
              <w:rStyle w:val="Char0"/>
            </w:rPr>
            <w:lastRenderedPageBreak/>
            <w:t>单位</w:t>
          </w:r>
          <w:r>
            <w:rPr>
              <w:rStyle w:val="Char0"/>
            </w:rPr>
            <w:t>:</w:t>
          </w:r>
          <w:sdt>
            <w:sdtPr>
              <w:rPr>
                <w:rStyle w:val="Char0"/>
              </w:rPr>
              <w:alias w:val="单位：母公司现金流量表"/>
              <w:tag w:val="_GBC_993ead81b27a41dfaccaacfaec8b7c78"/>
              <w:id w:val="8259328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0"/>
              </w:rPr>
            </w:sdtEndPr>
            <w:sdtContent>
              <w:r>
                <w:rPr>
                  <w:rStyle w:val="Char0"/>
                </w:rPr>
                <w:t>元</w:t>
              </w:r>
            </w:sdtContent>
          </w:sdt>
          <w:r>
            <w:rPr>
              <w:rStyle w:val="Char0"/>
            </w:rPr>
            <w:t xml:space="preserve">  </w:t>
          </w:r>
          <w:r>
            <w:rPr>
              <w:rStyle w:val="Char0"/>
            </w:rPr>
            <w:t>币种</w:t>
          </w:r>
          <w:r>
            <w:rPr>
              <w:rStyle w:val="Char0"/>
            </w:rPr>
            <w:t>:</w:t>
          </w:r>
          <w:sdt>
            <w:sdtPr>
              <w:rPr>
                <w:rStyle w:val="Char0"/>
              </w:rPr>
              <w:alias w:val="币种：母公司现金流量表"/>
              <w:tag w:val="_GBC_2dd4b706d0a244a4b4c21166025356cc"/>
              <w:id w:val="19963733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0"/>
              </w:rPr>
            </w:sdtEndPr>
            <w:sdtContent>
              <w:r>
                <w:rPr>
                  <w:rStyle w:val="Char0"/>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3041"/>
            <w:gridCol w:w="1507"/>
            <w:gridCol w:w="2135"/>
            <w:gridCol w:w="2140"/>
          </w:tblGrid>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a8a4a4fe8df4f0086d4a3f59744ef0c"/>
                  <w:id w:val="-979846818"/>
                </w:sdtPr>
                <w:sdtEndPr/>
                <w:sdtContent>
                  <w:p w:rsidR="004A3868" w:rsidRDefault="003F1AB5">
                    <w:pPr>
                      <w:pStyle w:val="afffb"/>
                    </w:pPr>
                    <w:r>
                      <w:rPr>
                        <w:rFonts w:hint="eastAsia"/>
                      </w:rPr>
                      <w:t>项目</w:t>
                    </w:r>
                  </w:p>
                </w:sdtContent>
              </w:sdt>
            </w:tc>
            <w:tc>
              <w:tcPr>
                <w:tcW w:w="85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2b9d4cf46994f4f99a9560554670b54"/>
                  <w:id w:val="-1192679216"/>
                </w:sdtPr>
                <w:sdtEndPr/>
                <w:sdtContent>
                  <w:p w:rsidR="004A3868" w:rsidRDefault="003F1AB5">
                    <w:pPr>
                      <w:pStyle w:val="afffb"/>
                    </w:pPr>
                    <w:r>
                      <w:rPr>
                        <w:rFonts w:hint="eastAsia"/>
                      </w:rPr>
                      <w:t>附注</w:t>
                    </w:r>
                  </w:p>
                </w:sdtContent>
              </w:sdt>
            </w:tc>
            <w:tc>
              <w:tcPr>
                <w:tcW w:w="12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5e1076b6ae14d71abde0e9180405588"/>
                  <w:id w:val="15205935"/>
                </w:sdtPr>
                <w:sdtEndPr/>
                <w:sdtContent>
                  <w:p w:rsidR="004A3868" w:rsidRDefault="003F1AB5">
                    <w:pPr>
                      <w:pStyle w:val="afffb"/>
                    </w:pPr>
                    <w:r>
                      <w:rPr>
                        <w:rFonts w:hint="eastAsia"/>
                      </w:rPr>
                      <w:t>2023年度</w:t>
                    </w:r>
                  </w:p>
                </w:sdtContent>
              </w:sdt>
            </w:tc>
            <w:tc>
              <w:tcPr>
                <w:tcW w:w="121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f1994ac47d2487c870c64df42698a51"/>
                  <w:id w:val="-1932503297"/>
                </w:sdtPr>
                <w:sdtEndPr/>
                <w:sdtContent>
                  <w:p w:rsidR="004A3868" w:rsidRDefault="003F1AB5">
                    <w:pPr>
                      <w:pStyle w:val="afffb"/>
                    </w:pPr>
                    <w:r>
                      <w:rPr>
                        <w:rFonts w:hint="eastAsia"/>
                      </w:rPr>
                      <w:t>2022年度</w:t>
                    </w:r>
                  </w:p>
                </w:sdtContent>
              </w:sdt>
            </w:tc>
          </w:tr>
          <w:tr w:rsidR="004A3868">
            <w:trPr>
              <w:trHeight w:val="397"/>
              <w:jc w:val="center"/>
            </w:trPr>
            <w:sdt>
              <w:sdtPr>
                <w:tag w:val="_PLD_d5384e7a1c2841c78793ee2e647fdb97"/>
                <w:id w:val="-59431719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9"/>
                    </w:pPr>
                    <w:r>
                      <w:rPr>
                        <w:rFonts w:hint="eastAsia"/>
                      </w:rPr>
                      <w:t>一、经营活动产生的现金流量：</w:t>
                    </w:r>
                  </w:p>
                </w:tc>
              </w:sdtContent>
            </w:sdt>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销售商品、提供劳务收到的现金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1,982,514,784.41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1,910,077,714.71</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收到的税费返还</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8,713,057.38</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收到其他与经营活动有关的现金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119,035,194.70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109,147,168.86</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经营活动现金流入小计</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2,101,549,979.11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2,027,937,940.95</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购买商品、接受劳务支付的现金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1,290,869,428.44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1,483,912,378.77</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支付给职工及为职工支付的现金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188,747,684.07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138,751,139.42</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支付的各项税费</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87,914,475.09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120,747,734.72</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支付其他与经营活动有关的现金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203,948,434.38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75,269,915.18</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经营活动现金流出小计</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1,771,480,021.98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1,818,681,168.09</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经营活动产生的现金流量净额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330,069,957.13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209,256,772.86</w:t>
                </w:r>
              </w:p>
            </w:tc>
          </w:tr>
          <w:tr w:rsidR="004A3868">
            <w:trPr>
              <w:trHeight w:val="397"/>
              <w:jc w:val="center"/>
            </w:trPr>
            <w:sdt>
              <w:sdtPr>
                <w:tag w:val="_PLD_ea89a8f6b76943769d484d535b94417c"/>
                <w:id w:val="108709521"/>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8000"/>
                      </w:rPr>
                    </w:pPr>
                    <w:r>
                      <w:rPr>
                        <w:rFonts w:hint="eastAsia"/>
                      </w:rPr>
                      <w:t>二、投资活动产生的现金流量：</w:t>
                    </w:r>
                  </w:p>
                </w:tc>
              </w:sdtContent>
            </w:sdt>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收回投资收到的现金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70,101,731.72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146,048,220.47</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取得投资收益收到的现金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803,249.34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1,091,417.43</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处置固定资产、无形资产和其他长期资产收回的现金净额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1,592,632.76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209,542.39</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处置子公司及其他营业单位收到的现金净额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收到其他与投资活动有关的现金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48,000,000.00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投资活动现金流入小计</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120,497,613.82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147,349,180.29</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购建固定资产、无形资产和其他长期资产支付的现金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555,949,195.85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308,735,721.80</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投资支付的现金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122,527,920.00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175,000,000.00</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取得子公司及其他营业单位支付的现金净额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4A3868">
                <w:pPr>
                  <w:pStyle w:val="afff7"/>
                </w:pP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支付其他与投资活动有关的现金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70,000,000.00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25,000,000.00</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投资活动现金流出小计</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748,477,115.85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508,735,721.80</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投资活动产生的现金流量净额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-627,979,502.03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-361,386,541.51</w:t>
                </w:r>
              </w:p>
            </w:tc>
          </w:tr>
          <w:tr w:rsidR="004A3868">
            <w:trPr>
              <w:trHeight w:val="397"/>
              <w:jc w:val="center"/>
            </w:trPr>
            <w:sdt>
              <w:sdtPr>
                <w:tag w:val="_PLD_8b6929c78db14ee1bde1ca4b9a47a65c"/>
                <w:id w:val="26072051"/>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8000"/>
                      </w:rPr>
                    </w:pPr>
                    <w:r>
                      <w:rPr>
                        <w:rFonts w:hint="eastAsia"/>
                      </w:rPr>
                      <w:t>三、筹资活动产生的现金流量：</w:t>
                    </w:r>
                  </w:p>
                </w:tc>
              </w:sdtContent>
            </w:sdt>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吸收投资收到的现金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884,426,270.38</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取得借款收到的现金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769,310,308.07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242,079,188.00</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收到其他与筹资活动有关的现金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afff7"/>
                </w:pP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筹资活动现金流入小计</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769,310,308.07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1,126,505,458.38</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t>偿还债务支付的现金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29,760,628.00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289,500,000.00</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pPr>
                <w:r>
                  <w:rPr>
                    <w:rFonts w:hint="eastAsia"/>
                  </w:rPr>
                  <w:lastRenderedPageBreak/>
                  <w:t>分配股利、利润或偿付利息支付的现金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73,663,661.43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8,594,523.77</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支付其他与筹资活动有关的现金</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51,655,603.89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23,832,715.90</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筹资活动现金流出小计</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155,079,893.32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321,927,239.67</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筹资活动产生的现金流量净额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614,230,414.75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804,578,218.71</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四、汇率变动对现金及现金等价物的影响</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1,281,373.64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1,705,552.35</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五、现金及现金等价物净增加额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317,602,243.49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654,154,002.41</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加：期初现金及现金等价物余额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 873,437,994.49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219,283,992.08</w:t>
                </w:r>
              </w:p>
            </w:tc>
          </w:tr>
          <w:tr w:rsidR="004A3868">
            <w:trPr>
              <w:trHeight w:val="397"/>
              <w:jc w:val="center"/>
            </w:trPr>
            <w:tc>
              <w:tcPr>
                <w:tcW w:w="172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9"/>
                  <w:rPr>
                    <w:color w:val="000000"/>
                  </w:rPr>
                </w:pPr>
                <w:r>
                  <w:rPr>
                    <w:rFonts w:hint="eastAsia"/>
                  </w:rPr>
                  <w:t>六、期末现金及现金等价物余额</w:t>
                </w:r>
              </w:p>
            </w:tc>
            <w:tc>
              <w:tcPr>
                <w:tcW w:w="854" w:type="pct"/>
                <w:tcBorders>
                  <w:top w:val="outset" w:sz="4" w:space="0" w:color="auto"/>
                  <w:left w:val="outset" w:sz="4" w:space="0" w:color="auto"/>
                  <w:bottom w:val="outset" w:sz="4" w:space="0" w:color="auto"/>
                  <w:right w:val="outset" w:sz="4" w:space="0" w:color="auto"/>
                </w:tcBorders>
                <w:vAlign w:val="center"/>
              </w:tcPr>
              <w:p w:rsidR="004A3868" w:rsidRDefault="004A3868">
                <w:pPr>
                  <w:pStyle w:val="Style1224"/>
                </w:pPr>
              </w:p>
            </w:tc>
            <w:tc>
              <w:tcPr>
                <w:tcW w:w="1210" w:type="pct"/>
                <w:tcBorders>
                  <w:top w:val="outset" w:sz="4" w:space="0" w:color="auto"/>
                  <w:left w:val="outset" w:sz="4" w:space="0" w:color="auto"/>
                  <w:bottom w:val="outset" w:sz="4" w:space="0" w:color="auto"/>
                  <w:right w:val="outset" w:sz="4" w:space="0" w:color="auto"/>
                </w:tcBorders>
              </w:tcPr>
              <w:p w:rsidR="004A3868" w:rsidRDefault="003F1AB5">
                <w:pPr>
                  <w:pStyle w:val="afff7"/>
                </w:pPr>
                <w:r>
                  <w:t xml:space="preserve">1,191,040,237.98 </w:t>
                </w:r>
              </w:p>
            </w:tc>
            <w:tc>
              <w:tcPr>
                <w:tcW w:w="1213" w:type="pct"/>
                <w:tcBorders>
                  <w:top w:val="outset" w:sz="4" w:space="0" w:color="auto"/>
                  <w:left w:val="outset" w:sz="4" w:space="0" w:color="auto"/>
                  <w:bottom w:val="outset" w:sz="4" w:space="0" w:color="auto"/>
                  <w:right w:val="outset" w:sz="4" w:space="0" w:color="auto"/>
                </w:tcBorders>
                <w:vAlign w:val="center"/>
              </w:tcPr>
              <w:p w:rsidR="004A3868" w:rsidRDefault="003F1AB5">
                <w:pPr>
                  <w:pStyle w:val="afff7"/>
                </w:pPr>
                <w:r>
                  <w:t>873,437,994.49</w:t>
                </w:r>
              </w:p>
            </w:tc>
          </w:tr>
        </w:tbl>
        <w:p w:rsidR="004A3868" w:rsidRDefault="004A3868">
          <w:pPr>
            <w:pStyle w:val="Style853"/>
          </w:pPr>
        </w:p>
        <w:p w:rsidR="004A3868" w:rsidRDefault="003F1AB5">
          <w:pPr>
            <w:rPr>
              <w:b/>
              <w:bCs/>
              <w:color w:val="FF0000"/>
            </w:rPr>
          </w:pPr>
          <w:r>
            <w:rPr>
              <w:rStyle w:val="aa"/>
              <w:rFonts w:hint="eastAsia"/>
            </w:rPr>
            <w:t>公司负责</w:t>
          </w:r>
          <w:r>
            <w:rPr>
              <w:rStyle w:val="aa"/>
            </w:rPr>
            <w:t>人</w:t>
          </w:r>
          <w:r>
            <w:rPr>
              <w:rStyle w:val="aa"/>
              <w:rFonts w:hint="eastAsia"/>
            </w:rPr>
            <w:t>：</w:t>
          </w:r>
          <w:sdt>
            <w:sdtPr>
              <w:rPr>
                <w:rStyle w:val="aa"/>
                <w:rFonts w:hint="eastAsia"/>
              </w:rPr>
              <w:alias w:val="公司负责人姓名"/>
              <w:tag w:val="_GBC_b872f4b10a12453987b2d73dfe2a5ff9"/>
              <w:id w:val="-2021232658"/>
              <w:placeholder>
                <w:docPart w:val="GBC22222222222222222222222222222"/>
              </w:placeholder>
              <w:dataBinding w:prefixMappings="xmlns:clcid-mr='clcid-mr'" w:xpath="/*/clcid-mr:GongSiFuZeRenXingMing[not(@periodRef)]" w:storeItemID="{89EBAB94-44A0-46A2-B712-30D997D04A6D}"/>
              <w:text/>
            </w:sdtPr>
            <w:sdtEndPr>
              <w:rPr>
                <w:rStyle w:val="aa"/>
              </w:rPr>
            </w:sdtEndPr>
            <w:sdtContent>
              <w:r>
                <w:rPr>
                  <w:rStyle w:val="aa"/>
                  <w:rFonts w:hint="eastAsia"/>
                </w:rPr>
                <w:t>杨泽民</w:t>
              </w:r>
            </w:sdtContent>
          </w:sdt>
          <w:r>
            <w:rPr>
              <w:rStyle w:val="aa"/>
              <w:rFonts w:hint="eastAsia"/>
            </w:rPr>
            <w:t xml:space="preserve"> </w:t>
          </w:r>
          <w:r>
            <w:rPr>
              <w:rStyle w:val="aa"/>
            </w:rPr>
            <w:t>主管会计工作负责人</w:t>
          </w:r>
          <w:r>
            <w:rPr>
              <w:rStyle w:val="aa"/>
              <w:rFonts w:hint="eastAsia"/>
            </w:rPr>
            <w:t>：</w:t>
          </w:r>
          <w:sdt>
            <w:sdtPr>
              <w:rPr>
                <w:rStyle w:val="aa"/>
                <w:rFonts w:hint="eastAsia"/>
              </w:rPr>
              <w:alias w:val="主管会计工作负责人姓名"/>
              <w:tag w:val="_GBC_29443dd8858043c68f8217b05d1e3346"/>
              <w:id w:val="1392620378"/>
              <w:placeholder>
                <w:docPart w:val="GBC22222222222222222222222222222"/>
              </w:placeholder>
              <w:dataBinding w:prefixMappings="xmlns:clcid-mr='clcid-mr'" w:xpath="/*/clcid-mr:ZhuGuanKuaiJiGongZuoFuZeRenXingMing[not(@periodRef)]" w:storeItemID="{89EBAB94-44A0-46A2-B712-30D997D04A6D}"/>
              <w:text/>
            </w:sdtPr>
            <w:sdtEndPr>
              <w:rPr>
                <w:rStyle w:val="aa"/>
              </w:rPr>
            </w:sdtEndPr>
            <w:sdtContent>
              <w:r>
                <w:rPr>
                  <w:rStyle w:val="aa"/>
                  <w:rFonts w:hint="eastAsia"/>
                </w:rPr>
                <w:t>李代萍</w:t>
              </w:r>
            </w:sdtContent>
          </w:sdt>
          <w:r>
            <w:rPr>
              <w:rStyle w:val="aa"/>
              <w:rFonts w:hint="eastAsia"/>
            </w:rPr>
            <w:t xml:space="preserve"> </w:t>
          </w:r>
          <w:r>
            <w:rPr>
              <w:rStyle w:val="aa"/>
            </w:rPr>
            <w:t>会计机构负责人</w:t>
          </w:r>
          <w:r>
            <w:rPr>
              <w:rStyle w:val="aa"/>
              <w:rFonts w:hint="eastAsia"/>
            </w:rPr>
            <w:t>：</w:t>
          </w:r>
          <w:sdt>
            <w:sdtPr>
              <w:rPr>
                <w:rStyle w:val="aa"/>
                <w:rFonts w:hint="eastAsia"/>
              </w:rPr>
              <w:alias w:val="会计机构负责人姓名"/>
              <w:tag w:val="_GBC_952065710c0f41709539d877935c1903"/>
              <w:id w:val="-511835287"/>
              <w:placeholder>
                <w:docPart w:val="GBC22222222222222222222222222222"/>
              </w:placeholder>
              <w:dataBinding w:prefixMappings="xmlns:clcid-mr='clcid-mr'" w:xpath="/*/clcid-mr:KuaiJiJiGouFuZeRenXingMing[not(@periodRef)]" w:storeItemID="{89EBAB94-44A0-46A2-B712-30D997D04A6D}"/>
              <w:text/>
            </w:sdtPr>
            <w:sdtEndPr>
              <w:rPr>
                <w:rStyle w:val="aa"/>
              </w:rPr>
            </w:sdtEndPr>
            <w:sdtContent>
              <w:r>
                <w:rPr>
                  <w:rStyle w:val="aa"/>
                  <w:rFonts w:hint="eastAsia"/>
                </w:rPr>
                <w:t>杨万华</w:t>
              </w:r>
            </w:sdtContent>
          </w:sdt>
        </w:p>
      </w:sdtContent>
    </w:sdt>
    <w:bookmarkEnd w:id="120"/>
    <w:p w:rsidR="004A3868" w:rsidRDefault="004A3868">
      <w:pPr>
        <w:pStyle w:val="Style842"/>
      </w:pPr>
    </w:p>
    <w:p w:rsidR="004A3868" w:rsidRDefault="004A3868">
      <w:pPr>
        <w:pStyle w:val="Style842"/>
      </w:pPr>
    </w:p>
    <w:p w:rsidR="004A3868" w:rsidRDefault="004A3868">
      <w:pPr>
        <w:pStyle w:val="Style842"/>
      </w:pPr>
    </w:p>
    <w:p w:rsidR="004A3868" w:rsidRDefault="004A3868">
      <w:pPr>
        <w:pStyle w:val="Style842"/>
      </w:pPr>
    </w:p>
    <w:p w:rsidR="004A3868" w:rsidRDefault="004A3868">
      <w:pPr>
        <w:pStyle w:val="Style1228"/>
        <w:ind w:hangingChars="175"/>
        <w:rPr>
          <w:b w:val="0"/>
        </w:rPr>
        <w:sectPr w:rsidR="004A3868">
          <w:pgSz w:w="11906" w:h="16838"/>
          <w:pgMar w:top="1525" w:right="1276" w:bottom="1440" w:left="1797" w:header="856" w:footer="992" w:gutter="0"/>
          <w:cols w:space="425"/>
          <w:docGrid w:linePitch="312"/>
        </w:sectPr>
      </w:pPr>
    </w:p>
    <w:p w:rsidR="004A3868" w:rsidRDefault="004A3868">
      <w:pPr>
        <w:pStyle w:val="Style853"/>
      </w:pPr>
    </w:p>
    <w:p w:rsidR="004A3868" w:rsidRDefault="004A3868">
      <w:pPr>
        <w:pStyle w:val="Style842"/>
      </w:pPr>
    </w:p>
    <w:sdt>
      <w:sdtPr>
        <w:alias w:val="选项模块:需要编制合并报表"/>
        <w:tag w:val="_GBC_3b1dcbfa33024cc0a5c2f3d693817342"/>
        <w:id w:val="584584974"/>
        <w:lock w:val="sdtLocked"/>
      </w:sdtPr>
      <w:sdtEndPr/>
      <w:sdtContent>
        <w:p w:rsidR="004A3868" w:rsidRDefault="004A3868">
          <w:pPr>
            <w:tabs>
              <w:tab w:val="left" w:pos="10080"/>
            </w:tabs>
            <w:snapToGrid w:val="0"/>
            <w:spacing w:line="240" w:lineRule="atLeast"/>
            <w:ind w:rightChars="12" w:right="29"/>
            <w:jc w:val="center"/>
            <w:rPr>
              <w:b/>
              <w:szCs w:val="21"/>
            </w:rPr>
          </w:pPr>
        </w:p>
        <w:sdt>
          <w:sdtPr>
            <w:rPr>
              <w:b/>
              <w:szCs w:val="21"/>
            </w:rPr>
            <w:tag w:val="_GBC_3eeab460b9b64d53b91f5e0ddcd3030f"/>
            <w:id w:val="90437362"/>
            <w:lock w:val="sdtLocked"/>
            <w:placeholder>
              <w:docPart w:val="71CC470498E34EBD92ABA2E6615C8671"/>
            </w:placeholder>
          </w:sdtPr>
          <w:sdtEndPr>
            <w:rPr>
              <w:rFonts w:hint="eastAsia"/>
              <w:b w:val="0"/>
            </w:rPr>
          </w:sdtEndPr>
          <w:sdtContent>
            <w:p w:rsidR="004A3868" w:rsidRDefault="003F1AB5">
              <w:pPr>
                <w:tabs>
                  <w:tab w:val="left" w:pos="10080"/>
                </w:tabs>
                <w:snapToGrid w:val="0"/>
                <w:spacing w:line="240" w:lineRule="atLeast"/>
                <w:ind w:rightChars="12" w:right="29"/>
                <w:jc w:val="center"/>
                <w:outlineLvl w:val="2"/>
                <w:rPr>
                  <w:b/>
                  <w:szCs w:val="21"/>
                </w:rPr>
              </w:pPr>
              <w:r>
                <w:rPr>
                  <w:b/>
                  <w:szCs w:val="21"/>
                </w:rPr>
                <w:t>合并</w:t>
              </w:r>
              <w:r>
                <w:rPr>
                  <w:rFonts w:hint="eastAsia"/>
                  <w:b/>
                  <w:szCs w:val="21"/>
                </w:rPr>
                <w:t>所有者权益变动表</w:t>
              </w:r>
            </w:p>
            <w:p w:rsidR="004A3868" w:rsidRDefault="003F1AB5">
              <w:pPr>
                <w:tabs>
                  <w:tab w:val="left" w:pos="10080"/>
                </w:tabs>
                <w:snapToGrid w:val="0"/>
                <w:spacing w:line="240" w:lineRule="atLeast"/>
                <w:ind w:rightChars="12" w:right="29"/>
                <w:jc w:val="center"/>
                <w:rPr>
                  <w:szCs w:val="21"/>
                </w:rPr>
              </w:pPr>
              <w:r>
                <w:rPr>
                  <w:szCs w:val="21"/>
                </w:rPr>
                <w:t>2023年</w:t>
              </w:r>
              <w:r>
                <w:rPr>
                  <w:rFonts w:hint="eastAsia"/>
                  <w:szCs w:val="21"/>
                </w:rPr>
                <w:t>1—12月</w:t>
              </w:r>
            </w:p>
            <w:p w:rsidR="004A3868" w:rsidRDefault="003F1AB5">
              <w:pPr>
                <w:tabs>
                  <w:tab w:val="left" w:pos="10080"/>
                </w:tabs>
                <w:snapToGrid w:val="0"/>
                <w:spacing w:line="240" w:lineRule="atLeast"/>
                <w:jc w:val="right"/>
                <w:rPr>
                  <w:szCs w:val="21"/>
                </w:rPr>
              </w:pPr>
              <w:r>
                <w:rPr>
                  <w:rStyle w:val="afffc"/>
                </w:rPr>
                <w:t>单位:</w:t>
              </w:r>
              <w:sdt>
                <w:sdtPr>
                  <w:rPr>
                    <w:rStyle w:val="afffc"/>
                  </w:rPr>
                  <w:alias w:val="单位：合并股东权益调节表"/>
                  <w:tag w:val="_GBC_57faea4e453e49ad93821b7dd6ce8bc4"/>
                  <w:id w:val="464782982"/>
                  <w:lock w:val="sdtLocked"/>
                  <w:placeholder>
                    <w:docPart w:val="71CC470498E34EBD92ABA2E6615C8671"/>
                  </w:placeholder>
                  <w:comboBox>
                    <w:listItem w:displayText="元" w:value="1"/>
                    <w:listItem w:displayText="千元" w:value="1000"/>
                    <w:listItem w:displayText="万元" w:value="10000"/>
                    <w:listItem w:displayText="百万元" w:value="1000000"/>
                    <w:listItem w:displayText="亿元" w:value="100000000"/>
                  </w:comboBox>
                </w:sdtPr>
                <w:sdtEndPr>
                  <w:rPr>
                    <w:rStyle w:val="afffc"/>
                  </w:rPr>
                </w:sdtEndPr>
                <w:sdtContent>
                  <w:r>
                    <w:rPr>
                      <w:rStyle w:val="afffc"/>
                    </w:rPr>
                    <w:t>元</w:t>
                  </w:r>
                </w:sdtContent>
              </w:sdt>
              <w:r>
                <w:rPr>
                  <w:rStyle w:val="afffc"/>
                </w:rPr>
                <w:t xml:space="preserve">  币种:</w:t>
              </w:r>
              <w:sdt>
                <w:sdtPr>
                  <w:rPr>
                    <w:rStyle w:val="afffc"/>
                  </w:rPr>
                  <w:alias w:val="币种：合并股东权益调节表"/>
                  <w:tag w:val="_GBC_cef77704267643d794145c73763360e5"/>
                  <w:id w:val="2102222298"/>
                  <w:lock w:val="sdtLocked"/>
                  <w:placeholder>
                    <w:docPart w:val="71CC470498E34EBD92ABA2E6615C867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afffc"/>
                  </w:rPr>
                </w:sdtEndPr>
                <w:sdtContent>
                  <w:r>
                    <w:rPr>
                      <w:rStyle w:val="afffc"/>
                    </w:rPr>
                    <w:t>人民币</w:t>
                  </w:r>
                </w:sdtContent>
              </w:sdt>
            </w:p>
            <w:tbl>
              <w:tblPr>
                <w:tblStyle w:val="Style85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27"/>
                <w:gridCol w:w="360"/>
                <w:gridCol w:w="360"/>
                <w:gridCol w:w="361"/>
                <w:gridCol w:w="1228"/>
                <w:gridCol w:w="1156"/>
                <w:gridCol w:w="361"/>
                <w:gridCol w:w="1156"/>
                <w:gridCol w:w="1228"/>
                <w:gridCol w:w="361"/>
                <w:gridCol w:w="1228"/>
                <w:gridCol w:w="361"/>
                <w:gridCol w:w="1372"/>
                <w:gridCol w:w="1083"/>
                <w:gridCol w:w="1372"/>
              </w:tblGrid>
              <w:tr w:rsidR="004A3868">
                <w:trPr>
                  <w:cantSplit/>
                </w:trPr>
                <w:tc>
                  <w:tcPr>
                    <w:tcW w:w="199" w:type="pct"/>
                    <w:vMerge w:val="restart"/>
                    <w:vAlign w:val="center"/>
                  </w:tcPr>
                  <w:sdt>
                    <w:sdtPr>
                      <w:rPr>
                        <w:rFonts w:hint="eastAsia"/>
                      </w:rPr>
                      <w:tag w:val="_PLD_245a9e71ca1b403fad3a821efeb272de"/>
                      <w:id w:val="-714120860"/>
                      <w:lock w:val="sdtLocked"/>
                    </w:sdtPr>
                    <w:sdtEndPr/>
                    <w:sdtContent>
                      <w:p w:rsidR="004A3868" w:rsidRDefault="003F1AB5">
                        <w:pPr>
                          <w:pStyle w:val="afffb"/>
                        </w:pPr>
                        <w:r>
                          <w:rPr>
                            <w:rFonts w:hint="eastAsia"/>
                          </w:rPr>
                          <w:t>项目</w:t>
                        </w:r>
                      </w:p>
                    </w:sdtContent>
                  </w:sdt>
                </w:tc>
                <w:tc>
                  <w:tcPr>
                    <w:tcW w:w="4801" w:type="pct"/>
                    <w:gridSpan w:val="15"/>
                    <w:vAlign w:val="center"/>
                  </w:tcPr>
                  <w:p w:rsidR="004A3868" w:rsidRDefault="003F1AB5">
                    <w:pPr>
                      <w:pStyle w:val="afffb"/>
                    </w:pPr>
                    <w:r>
                      <w:rPr>
                        <w:rFonts w:hint="eastAsia"/>
                      </w:rPr>
                      <w:t xml:space="preserve"> </w:t>
                    </w:r>
                    <w:sdt>
                      <w:sdtPr>
                        <w:rPr>
                          <w:rFonts w:hint="eastAsia"/>
                        </w:rPr>
                        <w:tag w:val="_PLD_74b2c30f72fb403387c8b0e2a353f994"/>
                        <w:id w:val="-1613742785"/>
                        <w:lock w:val="sdtLocked"/>
                      </w:sdtPr>
                      <w:sdtEndPr/>
                      <w:sdtContent>
                        <w:r>
                          <w:rPr>
                            <w:rFonts w:hint="eastAsia"/>
                          </w:rPr>
                          <w:t>2023年度</w:t>
                        </w:r>
                      </w:sdtContent>
                    </w:sdt>
                  </w:p>
                </w:tc>
              </w:tr>
              <w:tr w:rsidR="004A3868">
                <w:trPr>
                  <w:cantSplit/>
                  <w:trHeight w:val="540"/>
                </w:trPr>
                <w:tc>
                  <w:tcPr>
                    <w:tcW w:w="199" w:type="pct"/>
                    <w:vMerge/>
                    <w:vAlign w:val="center"/>
                  </w:tcPr>
                  <w:p w:rsidR="004A3868" w:rsidRDefault="004A3868">
                    <w:pPr>
                      <w:pStyle w:val="afffb"/>
                    </w:pPr>
                  </w:p>
                </w:tc>
                <w:sdt>
                  <w:sdtPr>
                    <w:tag w:val="_PLD_48b1c4daa55343f0a820ecc94c441958"/>
                    <w:id w:val="-521241842"/>
                    <w:lock w:val="sdtLocked"/>
                  </w:sdtPr>
                  <w:sdtEndPr/>
                  <w:sdtContent>
                    <w:tc>
                      <w:tcPr>
                        <w:tcW w:w="3892" w:type="pct"/>
                        <w:gridSpan w:val="13"/>
                        <w:vAlign w:val="center"/>
                      </w:tcPr>
                      <w:p w:rsidR="004A3868" w:rsidRDefault="003F1AB5">
                        <w:pPr>
                          <w:pStyle w:val="afffb"/>
                        </w:pPr>
                        <w:r>
                          <w:t>归属于母公司所有者权益</w:t>
                        </w:r>
                      </w:p>
                    </w:tc>
                  </w:sdtContent>
                </w:sdt>
                <w:sdt>
                  <w:sdtPr>
                    <w:tag w:val="_PLD_de4010a56d78401ebd4bb48e62167082"/>
                    <w:id w:val="582500568"/>
                    <w:lock w:val="sdtLocked"/>
                  </w:sdtPr>
                  <w:sdtEndPr/>
                  <w:sdtContent>
                    <w:tc>
                      <w:tcPr>
                        <w:tcW w:w="401" w:type="pct"/>
                        <w:vMerge w:val="restart"/>
                        <w:vAlign w:val="center"/>
                      </w:tcPr>
                      <w:p w:rsidR="004A3868" w:rsidRDefault="003F1AB5">
                        <w:pPr>
                          <w:pStyle w:val="afffb"/>
                        </w:pPr>
                        <w:r>
                          <w:t>少数股东权益</w:t>
                        </w:r>
                      </w:p>
                    </w:tc>
                  </w:sdtContent>
                </w:sdt>
                <w:sdt>
                  <w:sdtPr>
                    <w:tag w:val="_PLD_ff9bc6143ed9429e80e1ed144f5ff16d"/>
                    <w:id w:val="-489020378"/>
                    <w:lock w:val="sdtLocked"/>
                  </w:sdtPr>
                  <w:sdtEndPr/>
                  <w:sdtContent>
                    <w:tc>
                      <w:tcPr>
                        <w:tcW w:w="509" w:type="pct"/>
                        <w:vMerge w:val="restart"/>
                        <w:vAlign w:val="center"/>
                      </w:tcPr>
                      <w:p w:rsidR="004A3868" w:rsidRDefault="003F1AB5">
                        <w:pPr>
                          <w:pStyle w:val="afffb"/>
                        </w:pPr>
                        <w:r>
                          <w:t>所有者权益合计</w:t>
                        </w:r>
                      </w:p>
                    </w:tc>
                  </w:sdtContent>
                </w:sdt>
              </w:tr>
              <w:tr w:rsidR="004A3868">
                <w:trPr>
                  <w:cantSplit/>
                  <w:trHeight w:val="352"/>
                </w:trPr>
                <w:tc>
                  <w:tcPr>
                    <w:tcW w:w="199" w:type="pct"/>
                    <w:vMerge/>
                    <w:vAlign w:val="center"/>
                  </w:tcPr>
                  <w:p w:rsidR="004A3868" w:rsidRDefault="004A3868">
                    <w:pPr>
                      <w:snapToGrid w:val="0"/>
                      <w:spacing w:line="240" w:lineRule="atLeast"/>
                      <w:ind w:rightChars="-759" w:right="-1822"/>
                      <w:jc w:val="right"/>
                      <w:rPr>
                        <w:sz w:val="18"/>
                        <w:szCs w:val="18"/>
                      </w:rPr>
                    </w:pPr>
                  </w:p>
                </w:tc>
                <w:sdt>
                  <w:sdtPr>
                    <w:tag w:val="_PLD_2a43f0f223d141f0855f6cbb9e60b12f"/>
                    <w:id w:val="348920687"/>
                    <w:lock w:val="sdtLocked"/>
                  </w:sdtPr>
                  <w:sdtEndPr/>
                  <w:sdtContent>
                    <w:tc>
                      <w:tcPr>
                        <w:tcW w:w="454" w:type="pct"/>
                        <w:vMerge w:val="restart"/>
                        <w:vAlign w:val="center"/>
                      </w:tcPr>
                      <w:p w:rsidR="004A3868" w:rsidRDefault="003F1AB5">
                        <w:pPr>
                          <w:pStyle w:val="afffb"/>
                        </w:pPr>
                        <w:r>
                          <w:rPr>
                            <w:rFonts w:hint="eastAsia"/>
                          </w:rPr>
                          <w:t>实收资本(或股本)</w:t>
                        </w:r>
                      </w:p>
                    </w:tc>
                  </w:sdtContent>
                </w:sdt>
                <w:sdt>
                  <w:sdtPr>
                    <w:tag w:val="_PLD_39cb94703877409e9e50d4bf964d43e4"/>
                    <w:id w:val="-1165156489"/>
                    <w:lock w:val="sdtLocked"/>
                  </w:sdtPr>
                  <w:sdtEndPr/>
                  <w:sdtContent>
                    <w:tc>
                      <w:tcPr>
                        <w:tcW w:w="355" w:type="pct"/>
                        <w:gridSpan w:val="3"/>
                        <w:vAlign w:val="center"/>
                      </w:tcPr>
                      <w:p w:rsidR="004A3868" w:rsidRDefault="003F1AB5">
                        <w:pPr>
                          <w:pStyle w:val="afffb"/>
                        </w:pPr>
                        <w:r>
                          <w:rPr>
                            <w:rFonts w:hint="eastAsia"/>
                          </w:rPr>
                          <w:t>其他权益工具</w:t>
                        </w:r>
                      </w:p>
                    </w:tc>
                  </w:sdtContent>
                </w:sdt>
                <w:sdt>
                  <w:sdtPr>
                    <w:tag w:val="_PLD_0a2a84969d8f4cc5ab2f59451a4cf45c"/>
                    <w:id w:val="1839813441"/>
                    <w:lock w:val="sdtLocked"/>
                  </w:sdtPr>
                  <w:sdtEndPr/>
                  <w:sdtContent>
                    <w:tc>
                      <w:tcPr>
                        <w:tcW w:w="454" w:type="pct"/>
                        <w:vMerge w:val="restart"/>
                        <w:vAlign w:val="center"/>
                      </w:tcPr>
                      <w:p w:rsidR="004A3868" w:rsidRDefault="003F1AB5">
                        <w:pPr>
                          <w:pStyle w:val="afffb"/>
                        </w:pPr>
                        <w:r>
                          <w:rPr>
                            <w:rFonts w:hint="eastAsia"/>
                          </w:rPr>
                          <w:t>资本公积</w:t>
                        </w:r>
                      </w:p>
                    </w:tc>
                  </w:sdtContent>
                </w:sdt>
                <w:sdt>
                  <w:sdtPr>
                    <w:tag w:val="_PLD_3eb4af6d758d4787987e21e90e79351d"/>
                    <w:id w:val="801961032"/>
                    <w:lock w:val="sdtLocked"/>
                  </w:sdtPr>
                  <w:sdtEndPr/>
                  <w:sdtContent>
                    <w:tc>
                      <w:tcPr>
                        <w:tcW w:w="428" w:type="pct"/>
                        <w:vMerge w:val="restart"/>
                        <w:vAlign w:val="center"/>
                      </w:tcPr>
                      <w:p w:rsidR="004A3868" w:rsidRDefault="003F1AB5">
                        <w:pPr>
                          <w:pStyle w:val="afffb"/>
                        </w:pPr>
                        <w:r>
                          <w:rPr>
                            <w:rFonts w:hint="eastAsia"/>
                          </w:rPr>
                          <w:t>减：库存股</w:t>
                        </w:r>
                      </w:p>
                    </w:tc>
                  </w:sdtContent>
                </w:sdt>
                <w:sdt>
                  <w:sdtPr>
                    <w:tag w:val="_PLD_63b36aa6d5e74a289a4f2e40e95da929"/>
                    <w:id w:val="-637571917"/>
                    <w:lock w:val="sdtLocked"/>
                  </w:sdtPr>
                  <w:sdtEndPr/>
                  <w:sdtContent>
                    <w:tc>
                      <w:tcPr>
                        <w:tcW w:w="118" w:type="pct"/>
                        <w:vMerge w:val="restart"/>
                        <w:vAlign w:val="center"/>
                      </w:tcPr>
                      <w:p w:rsidR="004A3868" w:rsidRDefault="003F1AB5">
                        <w:pPr>
                          <w:pStyle w:val="afffb"/>
                        </w:pPr>
                        <w:r>
                          <w:rPr>
                            <w:rFonts w:hint="eastAsia"/>
                          </w:rPr>
                          <w:t>其他综合收益</w:t>
                        </w:r>
                      </w:p>
                    </w:tc>
                  </w:sdtContent>
                </w:sdt>
                <w:sdt>
                  <w:sdtPr>
                    <w:tag w:val="_PLD_1560331b8c2f411cb5a844cb35b3d2b6"/>
                    <w:id w:val="1659111916"/>
                    <w:lock w:val="sdtLocked"/>
                  </w:sdtPr>
                  <w:sdtEndPr/>
                  <w:sdtContent>
                    <w:tc>
                      <w:tcPr>
                        <w:tcW w:w="428" w:type="pct"/>
                        <w:vMerge w:val="restart"/>
                        <w:vAlign w:val="center"/>
                      </w:tcPr>
                      <w:p w:rsidR="004A3868" w:rsidRDefault="003F1AB5">
                        <w:pPr>
                          <w:pStyle w:val="afffb"/>
                        </w:pPr>
                        <w:r>
                          <w:rPr>
                            <w:rFonts w:hint="eastAsia"/>
                          </w:rPr>
                          <w:t>专项储备</w:t>
                        </w:r>
                      </w:p>
                    </w:tc>
                  </w:sdtContent>
                </w:sdt>
                <w:sdt>
                  <w:sdtPr>
                    <w:tag w:val="_PLD_6f43f79cacca48dca49685537156084f"/>
                    <w:id w:val="-532958838"/>
                    <w:lock w:val="sdtLocked"/>
                  </w:sdtPr>
                  <w:sdtEndPr/>
                  <w:sdtContent>
                    <w:tc>
                      <w:tcPr>
                        <w:tcW w:w="454" w:type="pct"/>
                        <w:vMerge w:val="restart"/>
                        <w:vAlign w:val="center"/>
                      </w:tcPr>
                      <w:p w:rsidR="004A3868" w:rsidRDefault="003F1AB5">
                        <w:pPr>
                          <w:pStyle w:val="afffb"/>
                        </w:pPr>
                        <w:r>
                          <w:rPr>
                            <w:rFonts w:hint="eastAsia"/>
                          </w:rPr>
                          <w:t>盈余公积</w:t>
                        </w:r>
                      </w:p>
                    </w:tc>
                  </w:sdtContent>
                </w:sdt>
                <w:sdt>
                  <w:sdtPr>
                    <w:tag w:val="_PLD_56a430dce9564c199812862caead59b2"/>
                    <w:id w:val="1699345816"/>
                    <w:lock w:val="sdtLocked"/>
                  </w:sdtPr>
                  <w:sdtEndPr/>
                  <w:sdtContent>
                    <w:tc>
                      <w:tcPr>
                        <w:tcW w:w="118" w:type="pct"/>
                        <w:vMerge w:val="restart"/>
                        <w:vAlign w:val="center"/>
                      </w:tcPr>
                      <w:p w:rsidR="004A3868" w:rsidRDefault="003F1AB5">
                        <w:pPr>
                          <w:pStyle w:val="afffb"/>
                        </w:pPr>
                        <w:r>
                          <w:rPr>
                            <w:rFonts w:hint="eastAsia"/>
                          </w:rPr>
                          <w:t>一般风险准备</w:t>
                        </w:r>
                      </w:p>
                    </w:tc>
                  </w:sdtContent>
                </w:sdt>
                <w:sdt>
                  <w:sdtPr>
                    <w:tag w:val="_PLD_cbc8cc4f323b4146bc3e0b624cb6a030"/>
                    <w:id w:val="608705575"/>
                    <w:lock w:val="sdtLocked"/>
                  </w:sdtPr>
                  <w:sdtEndPr/>
                  <w:sdtContent>
                    <w:tc>
                      <w:tcPr>
                        <w:tcW w:w="454" w:type="pct"/>
                        <w:vMerge w:val="restart"/>
                        <w:vAlign w:val="center"/>
                      </w:tcPr>
                      <w:p w:rsidR="004A3868" w:rsidRDefault="003F1AB5">
                        <w:pPr>
                          <w:pStyle w:val="afffb"/>
                        </w:pPr>
                        <w:r>
                          <w:rPr>
                            <w:rFonts w:hint="eastAsia"/>
                          </w:rPr>
                          <w:t>未分配利润</w:t>
                        </w:r>
                      </w:p>
                    </w:tc>
                  </w:sdtContent>
                </w:sdt>
                <w:tc>
                  <w:tcPr>
                    <w:tcW w:w="118" w:type="pct"/>
                    <w:vMerge w:val="restart"/>
                    <w:vAlign w:val="center"/>
                  </w:tcPr>
                  <w:sdt>
                    <w:sdtPr>
                      <w:rPr>
                        <w:rFonts w:hint="eastAsia"/>
                      </w:rPr>
                      <w:tag w:val="_PLD_b504a77359e042b99ce9a2513e44008d"/>
                      <w:id w:val="1073246843"/>
                      <w:lock w:val="sdtLocked"/>
                    </w:sdtPr>
                    <w:sdtEndPr/>
                    <w:sdtContent>
                      <w:p w:rsidR="004A3868" w:rsidRDefault="003F1AB5">
                        <w:pPr>
                          <w:pStyle w:val="afffb"/>
                        </w:pPr>
                        <w:r>
                          <w:rPr>
                            <w:rFonts w:hint="eastAsia"/>
                          </w:rPr>
                          <w:t>其他</w:t>
                        </w:r>
                      </w:p>
                    </w:sdtContent>
                  </w:sdt>
                </w:tc>
                <w:tc>
                  <w:tcPr>
                    <w:tcW w:w="509" w:type="pct"/>
                    <w:vMerge w:val="restart"/>
                    <w:vAlign w:val="center"/>
                  </w:tcPr>
                  <w:sdt>
                    <w:sdtPr>
                      <w:rPr>
                        <w:rFonts w:hint="eastAsia"/>
                      </w:rPr>
                      <w:tag w:val="_PLD_30b039ff7c714652865f3029df27082b"/>
                      <w:id w:val="647793250"/>
                      <w:lock w:val="sdtLocked"/>
                    </w:sdtPr>
                    <w:sdtEndPr/>
                    <w:sdtContent>
                      <w:p w:rsidR="004A3868" w:rsidRDefault="003F1AB5">
                        <w:pPr>
                          <w:pStyle w:val="afffb"/>
                        </w:pPr>
                        <w:r>
                          <w:rPr>
                            <w:rFonts w:hint="eastAsia"/>
                          </w:rPr>
                          <w:t>小计</w:t>
                        </w:r>
                      </w:p>
                    </w:sdtContent>
                  </w:sdt>
                </w:tc>
                <w:tc>
                  <w:tcPr>
                    <w:tcW w:w="401" w:type="pct"/>
                    <w:vMerge/>
                    <w:vAlign w:val="center"/>
                  </w:tcPr>
                  <w:p w:rsidR="004A3868" w:rsidRDefault="004A3868">
                    <w:pPr>
                      <w:jc w:val="right"/>
                      <w:rPr>
                        <w:sz w:val="18"/>
                        <w:szCs w:val="18"/>
                      </w:rPr>
                    </w:pPr>
                  </w:p>
                </w:tc>
                <w:tc>
                  <w:tcPr>
                    <w:tcW w:w="509" w:type="pct"/>
                    <w:vMerge/>
                    <w:vAlign w:val="center"/>
                  </w:tcPr>
                  <w:p w:rsidR="004A3868" w:rsidRDefault="004A3868">
                    <w:pPr>
                      <w:jc w:val="right"/>
                      <w:rPr>
                        <w:sz w:val="18"/>
                        <w:szCs w:val="18"/>
                      </w:rPr>
                    </w:pPr>
                  </w:p>
                </w:tc>
              </w:tr>
              <w:tr w:rsidR="004A3868">
                <w:trPr>
                  <w:cantSplit/>
                  <w:trHeight w:val="345"/>
                </w:trPr>
                <w:tc>
                  <w:tcPr>
                    <w:tcW w:w="199" w:type="pct"/>
                    <w:vMerge/>
                    <w:vAlign w:val="center"/>
                  </w:tcPr>
                  <w:p w:rsidR="004A3868" w:rsidRDefault="004A3868">
                    <w:pPr>
                      <w:snapToGrid w:val="0"/>
                      <w:spacing w:line="240" w:lineRule="atLeast"/>
                      <w:ind w:rightChars="-759" w:right="-1822"/>
                      <w:jc w:val="right"/>
                      <w:rPr>
                        <w:sz w:val="18"/>
                        <w:szCs w:val="18"/>
                      </w:rPr>
                    </w:pPr>
                  </w:p>
                </w:tc>
                <w:tc>
                  <w:tcPr>
                    <w:tcW w:w="454" w:type="pct"/>
                    <w:vMerge/>
                    <w:vAlign w:val="center"/>
                  </w:tcPr>
                  <w:p w:rsidR="004A3868" w:rsidRDefault="004A3868">
                    <w:pPr>
                      <w:snapToGrid w:val="0"/>
                      <w:spacing w:line="240" w:lineRule="atLeast"/>
                      <w:jc w:val="right"/>
                      <w:rPr>
                        <w:sz w:val="18"/>
                        <w:szCs w:val="18"/>
                      </w:rPr>
                    </w:pPr>
                  </w:p>
                </w:tc>
                <w:sdt>
                  <w:sdtPr>
                    <w:tag w:val="_PLD_b607c17c743149d295a2a79708dbacd2"/>
                    <w:id w:val="733045755"/>
                    <w:lock w:val="sdtLocked"/>
                  </w:sdtPr>
                  <w:sdtEndPr/>
                  <w:sdtContent>
                    <w:tc>
                      <w:tcPr>
                        <w:tcW w:w="118" w:type="pct"/>
                        <w:vAlign w:val="center"/>
                      </w:tcPr>
                      <w:p w:rsidR="004A3868" w:rsidRDefault="003F1AB5">
                        <w:pPr>
                          <w:pStyle w:val="afffb"/>
                        </w:pPr>
                        <w:r>
                          <w:rPr>
                            <w:rFonts w:hint="eastAsia"/>
                          </w:rPr>
                          <w:t>优先股</w:t>
                        </w:r>
                      </w:p>
                    </w:tc>
                  </w:sdtContent>
                </w:sdt>
                <w:sdt>
                  <w:sdtPr>
                    <w:tag w:val="_PLD_ff95d9a5f43c439aac9ba6d07675d878"/>
                    <w:id w:val="-260920722"/>
                    <w:lock w:val="sdtLocked"/>
                  </w:sdtPr>
                  <w:sdtEndPr/>
                  <w:sdtContent>
                    <w:tc>
                      <w:tcPr>
                        <w:tcW w:w="118" w:type="pct"/>
                        <w:vAlign w:val="center"/>
                      </w:tcPr>
                      <w:p w:rsidR="004A3868" w:rsidRDefault="003F1AB5">
                        <w:pPr>
                          <w:pStyle w:val="afffb"/>
                        </w:pPr>
                        <w:r>
                          <w:rPr>
                            <w:rFonts w:hint="eastAsia"/>
                          </w:rPr>
                          <w:t>永续债</w:t>
                        </w:r>
                      </w:p>
                    </w:tc>
                  </w:sdtContent>
                </w:sdt>
                <w:sdt>
                  <w:sdtPr>
                    <w:tag w:val="_PLD_172b1cd40c094b6fa71aba6fe6a10f81"/>
                    <w:id w:val="-1629148546"/>
                    <w:lock w:val="sdtLocked"/>
                  </w:sdtPr>
                  <w:sdtEndPr/>
                  <w:sdtContent>
                    <w:tc>
                      <w:tcPr>
                        <w:tcW w:w="118" w:type="pct"/>
                        <w:vAlign w:val="center"/>
                      </w:tcPr>
                      <w:p w:rsidR="004A3868" w:rsidRDefault="003F1AB5">
                        <w:pPr>
                          <w:pStyle w:val="afffb"/>
                        </w:pPr>
                        <w:r>
                          <w:rPr>
                            <w:rFonts w:hint="eastAsia"/>
                          </w:rPr>
                          <w:t>其他</w:t>
                        </w:r>
                      </w:p>
                    </w:tc>
                  </w:sdtContent>
                </w:sdt>
                <w:tc>
                  <w:tcPr>
                    <w:tcW w:w="454" w:type="pct"/>
                    <w:vMerge/>
                    <w:vAlign w:val="center"/>
                  </w:tcPr>
                  <w:p w:rsidR="004A3868" w:rsidRDefault="004A3868">
                    <w:pPr>
                      <w:snapToGrid w:val="0"/>
                      <w:spacing w:line="240" w:lineRule="atLeast"/>
                      <w:jc w:val="right"/>
                      <w:rPr>
                        <w:sz w:val="18"/>
                        <w:szCs w:val="18"/>
                      </w:rPr>
                    </w:pPr>
                  </w:p>
                </w:tc>
                <w:tc>
                  <w:tcPr>
                    <w:tcW w:w="428" w:type="pct"/>
                    <w:vMerge/>
                    <w:vAlign w:val="center"/>
                  </w:tcPr>
                  <w:p w:rsidR="004A3868" w:rsidRDefault="004A3868">
                    <w:pPr>
                      <w:snapToGrid w:val="0"/>
                      <w:spacing w:line="240" w:lineRule="atLeast"/>
                      <w:jc w:val="right"/>
                      <w:rPr>
                        <w:sz w:val="18"/>
                        <w:szCs w:val="18"/>
                      </w:rPr>
                    </w:pPr>
                  </w:p>
                </w:tc>
                <w:tc>
                  <w:tcPr>
                    <w:tcW w:w="118" w:type="pct"/>
                    <w:vMerge/>
                    <w:vAlign w:val="center"/>
                  </w:tcPr>
                  <w:p w:rsidR="004A3868" w:rsidRDefault="004A3868">
                    <w:pPr>
                      <w:snapToGrid w:val="0"/>
                      <w:spacing w:line="240" w:lineRule="atLeast"/>
                      <w:jc w:val="right"/>
                      <w:rPr>
                        <w:sz w:val="18"/>
                        <w:szCs w:val="18"/>
                      </w:rPr>
                    </w:pPr>
                  </w:p>
                </w:tc>
                <w:tc>
                  <w:tcPr>
                    <w:tcW w:w="428" w:type="pct"/>
                    <w:vMerge/>
                    <w:vAlign w:val="center"/>
                  </w:tcPr>
                  <w:p w:rsidR="004A3868" w:rsidRDefault="004A3868">
                    <w:pPr>
                      <w:snapToGrid w:val="0"/>
                      <w:spacing w:line="240" w:lineRule="atLeast"/>
                      <w:jc w:val="right"/>
                      <w:rPr>
                        <w:sz w:val="18"/>
                        <w:szCs w:val="18"/>
                      </w:rPr>
                    </w:pPr>
                  </w:p>
                </w:tc>
                <w:tc>
                  <w:tcPr>
                    <w:tcW w:w="454" w:type="pct"/>
                    <w:vMerge/>
                    <w:vAlign w:val="center"/>
                  </w:tcPr>
                  <w:p w:rsidR="004A3868" w:rsidRDefault="004A3868">
                    <w:pPr>
                      <w:snapToGrid w:val="0"/>
                      <w:spacing w:line="240" w:lineRule="atLeast"/>
                      <w:jc w:val="right"/>
                      <w:rPr>
                        <w:sz w:val="18"/>
                        <w:szCs w:val="18"/>
                      </w:rPr>
                    </w:pPr>
                  </w:p>
                </w:tc>
                <w:tc>
                  <w:tcPr>
                    <w:tcW w:w="118" w:type="pct"/>
                    <w:vMerge/>
                    <w:vAlign w:val="center"/>
                  </w:tcPr>
                  <w:p w:rsidR="004A3868" w:rsidRDefault="004A3868">
                    <w:pPr>
                      <w:snapToGrid w:val="0"/>
                      <w:spacing w:line="240" w:lineRule="atLeast"/>
                      <w:jc w:val="right"/>
                      <w:rPr>
                        <w:sz w:val="18"/>
                        <w:szCs w:val="18"/>
                      </w:rPr>
                    </w:pPr>
                  </w:p>
                </w:tc>
                <w:tc>
                  <w:tcPr>
                    <w:tcW w:w="454" w:type="pct"/>
                    <w:vMerge/>
                    <w:vAlign w:val="center"/>
                  </w:tcPr>
                  <w:p w:rsidR="004A3868" w:rsidRDefault="004A3868">
                    <w:pPr>
                      <w:snapToGrid w:val="0"/>
                      <w:spacing w:line="240" w:lineRule="atLeast"/>
                      <w:jc w:val="right"/>
                      <w:rPr>
                        <w:sz w:val="18"/>
                        <w:szCs w:val="18"/>
                      </w:rPr>
                    </w:pPr>
                  </w:p>
                </w:tc>
                <w:tc>
                  <w:tcPr>
                    <w:tcW w:w="118" w:type="pct"/>
                    <w:vMerge/>
                    <w:vAlign w:val="center"/>
                  </w:tcPr>
                  <w:p w:rsidR="004A3868" w:rsidRDefault="004A3868">
                    <w:pPr>
                      <w:jc w:val="right"/>
                      <w:rPr>
                        <w:sz w:val="18"/>
                        <w:szCs w:val="18"/>
                      </w:rPr>
                    </w:pPr>
                  </w:p>
                </w:tc>
                <w:tc>
                  <w:tcPr>
                    <w:tcW w:w="509" w:type="pct"/>
                    <w:vMerge/>
                    <w:vAlign w:val="center"/>
                  </w:tcPr>
                  <w:p w:rsidR="004A3868" w:rsidRDefault="004A3868">
                    <w:pPr>
                      <w:jc w:val="right"/>
                      <w:rPr>
                        <w:sz w:val="18"/>
                        <w:szCs w:val="18"/>
                      </w:rPr>
                    </w:pPr>
                  </w:p>
                </w:tc>
                <w:tc>
                  <w:tcPr>
                    <w:tcW w:w="401" w:type="pct"/>
                    <w:vMerge/>
                    <w:vAlign w:val="center"/>
                  </w:tcPr>
                  <w:p w:rsidR="004A3868" w:rsidRDefault="004A3868">
                    <w:pPr>
                      <w:jc w:val="right"/>
                      <w:rPr>
                        <w:sz w:val="18"/>
                        <w:szCs w:val="18"/>
                      </w:rPr>
                    </w:pPr>
                  </w:p>
                </w:tc>
                <w:tc>
                  <w:tcPr>
                    <w:tcW w:w="509" w:type="pct"/>
                    <w:vMerge/>
                    <w:tcBorders>
                      <w:bottom w:val="nil"/>
                    </w:tcBorders>
                    <w:vAlign w:val="center"/>
                  </w:tcPr>
                  <w:p w:rsidR="004A3868" w:rsidRDefault="004A3868">
                    <w:pPr>
                      <w:jc w:val="right"/>
                      <w:rPr>
                        <w:sz w:val="18"/>
                        <w:szCs w:val="18"/>
                      </w:rPr>
                    </w:pPr>
                  </w:p>
                </w:tc>
              </w:tr>
              <w:tr w:rsidR="004A3868">
                <w:tc>
                  <w:tcPr>
                    <w:tcW w:w="199" w:type="pct"/>
                    <w:vAlign w:val="center"/>
                  </w:tcPr>
                  <w:p w:rsidR="004A3868" w:rsidRDefault="003F1AB5">
                    <w:pPr>
                      <w:pStyle w:val="afff9"/>
                    </w:pPr>
                    <w:r>
                      <w:t>一、上年</w:t>
                    </w:r>
                    <w:r>
                      <w:rPr>
                        <w:rFonts w:hint="eastAsia"/>
                      </w:rPr>
                      <w:t>年</w:t>
                    </w:r>
                    <w:r>
                      <w:t>末余额</w:t>
                    </w:r>
                  </w:p>
                </w:tc>
                <w:tc>
                  <w:tcPr>
                    <w:tcW w:w="454" w:type="pct"/>
                    <w:vAlign w:val="center"/>
                  </w:tcPr>
                  <w:p w:rsidR="004A3868" w:rsidRDefault="003F1AB5">
                    <w:pPr>
                      <w:pStyle w:val="afff7"/>
                    </w:pPr>
                    <w:r>
                      <w:t xml:space="preserve"> 333,167,407.00 </w:t>
                    </w: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982,384,564.80 </w:t>
                    </w: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15,311,928.33 </w:t>
                    </w:r>
                  </w:p>
                </w:tc>
                <w:tc>
                  <w:tcPr>
                    <w:tcW w:w="454" w:type="pct"/>
                    <w:vAlign w:val="center"/>
                  </w:tcPr>
                  <w:p w:rsidR="004A3868" w:rsidRDefault="003F1AB5">
                    <w:pPr>
                      <w:pStyle w:val="afff7"/>
                    </w:pPr>
                    <w:r>
                      <w:t xml:space="preserve"> 94,090,598.13 </w:t>
                    </w: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841,631,315.88 </w:t>
                    </w: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2,266,585,814.14 </w:t>
                    </w:r>
                  </w:p>
                </w:tc>
                <w:tc>
                  <w:tcPr>
                    <w:tcW w:w="401" w:type="pct"/>
                    <w:vAlign w:val="center"/>
                  </w:tcPr>
                  <w:p w:rsidR="004A3868" w:rsidRDefault="003F1AB5">
                    <w:pPr>
                      <w:pStyle w:val="afff7"/>
                    </w:pPr>
                    <w:r>
                      <w:t xml:space="preserve"> 687,677.57 </w:t>
                    </w:r>
                  </w:p>
                </w:tc>
                <w:tc>
                  <w:tcPr>
                    <w:tcW w:w="509" w:type="pct"/>
                    <w:vAlign w:val="center"/>
                  </w:tcPr>
                  <w:p w:rsidR="004A3868" w:rsidRDefault="003F1AB5">
                    <w:pPr>
                      <w:pStyle w:val="afff7"/>
                    </w:pPr>
                    <w:r>
                      <w:t xml:space="preserve"> 2,267,273,491.71 </w:t>
                    </w:r>
                  </w:p>
                </w:tc>
              </w:tr>
              <w:tr w:rsidR="004A3868">
                <w:tc>
                  <w:tcPr>
                    <w:tcW w:w="199" w:type="pct"/>
                    <w:vAlign w:val="center"/>
                  </w:tcPr>
                  <w:p w:rsidR="004A3868" w:rsidRDefault="003F1AB5">
                    <w:pPr>
                      <w:pStyle w:val="afff9"/>
                    </w:pPr>
                    <w:r>
                      <w:rPr>
                        <w:rFonts w:hint="eastAsia"/>
                      </w:rPr>
                      <w:t>加：</w:t>
                    </w:r>
                    <w:r>
                      <w:t>会计政策变更</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前期差错更正</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rPr>
                        <w:rFonts w:hint="eastAsia"/>
                      </w:rPr>
                      <w:t>其他</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二、本年</w:t>
                    </w:r>
                    <w:r>
                      <w:rPr>
                        <w:rFonts w:hint="eastAsia"/>
                      </w:rPr>
                      <w:t>期</w:t>
                    </w:r>
                    <w:r>
                      <w:t>初余额</w:t>
                    </w:r>
                  </w:p>
                </w:tc>
                <w:tc>
                  <w:tcPr>
                    <w:tcW w:w="454" w:type="pct"/>
                    <w:vAlign w:val="center"/>
                  </w:tcPr>
                  <w:p w:rsidR="004A3868" w:rsidRDefault="003F1AB5">
                    <w:pPr>
                      <w:pStyle w:val="afff7"/>
                    </w:pPr>
                    <w:r>
                      <w:t xml:space="preserve"> 333,167,407.00 </w:t>
                    </w: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982,384,564.80 </w:t>
                    </w: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15,311,928.33 </w:t>
                    </w:r>
                  </w:p>
                </w:tc>
                <w:tc>
                  <w:tcPr>
                    <w:tcW w:w="454" w:type="pct"/>
                    <w:vAlign w:val="center"/>
                  </w:tcPr>
                  <w:p w:rsidR="004A3868" w:rsidRDefault="003F1AB5">
                    <w:pPr>
                      <w:pStyle w:val="afff7"/>
                    </w:pPr>
                    <w:r>
                      <w:t xml:space="preserve"> 94,090,598.13 </w:t>
                    </w: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841,631,315.88 </w:t>
                    </w: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2,266,585,814.14 </w:t>
                    </w:r>
                  </w:p>
                </w:tc>
                <w:tc>
                  <w:tcPr>
                    <w:tcW w:w="401" w:type="pct"/>
                    <w:vAlign w:val="center"/>
                  </w:tcPr>
                  <w:p w:rsidR="004A3868" w:rsidRDefault="003F1AB5">
                    <w:pPr>
                      <w:pStyle w:val="afff7"/>
                    </w:pPr>
                    <w:r>
                      <w:t xml:space="preserve"> 687,677.57 </w:t>
                    </w:r>
                  </w:p>
                </w:tc>
                <w:tc>
                  <w:tcPr>
                    <w:tcW w:w="509" w:type="pct"/>
                    <w:vAlign w:val="center"/>
                  </w:tcPr>
                  <w:p w:rsidR="004A3868" w:rsidRDefault="003F1AB5">
                    <w:pPr>
                      <w:pStyle w:val="afff7"/>
                    </w:pPr>
                    <w:r>
                      <w:t xml:space="preserve"> 2,267,273,491.71 </w:t>
                    </w:r>
                  </w:p>
                </w:tc>
              </w:tr>
              <w:tr w:rsidR="004A3868">
                <w:tc>
                  <w:tcPr>
                    <w:tcW w:w="199" w:type="pct"/>
                    <w:vAlign w:val="center"/>
                  </w:tcPr>
                  <w:p w:rsidR="004A3868" w:rsidRDefault="003F1AB5">
                    <w:pPr>
                      <w:pStyle w:val="afff9"/>
                    </w:pPr>
                    <w:r>
                      <w:lastRenderedPageBreak/>
                      <w:t>三、本</w:t>
                    </w:r>
                    <w:r>
                      <w:rPr>
                        <w:rFonts w:hint="eastAsia"/>
                      </w:rPr>
                      <w:t>期</w:t>
                    </w:r>
                    <w:r>
                      <w:t>增减变动金额（减少以</w:t>
                    </w:r>
                    <w:r>
                      <w:t>“</w:t>
                    </w:r>
                    <w:r>
                      <w:t>－</w:t>
                    </w:r>
                    <w:r>
                      <w:t>”</w:t>
                    </w:r>
                    <w:r>
                      <w:t>号填列）</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-6,685,897.85 </w:t>
                    </w:r>
                  </w:p>
                </w:tc>
                <w:tc>
                  <w:tcPr>
                    <w:tcW w:w="428" w:type="pct"/>
                    <w:vAlign w:val="center"/>
                  </w:tcPr>
                  <w:p w:rsidR="004A3868" w:rsidRDefault="003F1AB5">
                    <w:pPr>
                      <w:pStyle w:val="afff7"/>
                    </w:pPr>
                    <w:r>
                      <w:t xml:space="preserve"> 50,299,241.28 </w:t>
                    </w: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6,591,176.37 </w:t>
                    </w:r>
                  </w:p>
                </w:tc>
                <w:tc>
                  <w:tcPr>
                    <w:tcW w:w="454" w:type="pct"/>
                    <w:vAlign w:val="center"/>
                  </w:tcPr>
                  <w:p w:rsidR="004A3868" w:rsidRDefault="003F1AB5">
                    <w:pPr>
                      <w:pStyle w:val="afff7"/>
                    </w:pPr>
                    <w:r>
                      <w:t xml:space="preserve"> 23,998,074.58 </w:t>
                    </w:r>
                  </w:p>
                </w:tc>
                <w:tc>
                  <w:tcPr>
                    <w:tcW w:w="118" w:type="pct"/>
                    <w:vAlign w:val="center"/>
                  </w:tcPr>
                  <w:p w:rsidR="004A3868" w:rsidRDefault="003F1AB5">
                    <w:pPr>
                      <w:pStyle w:val="afff7"/>
                    </w:pPr>
                    <w:r>
                      <w:t xml:space="preserve"> -   </w:t>
                    </w:r>
                  </w:p>
                </w:tc>
                <w:tc>
                  <w:tcPr>
                    <w:tcW w:w="454" w:type="pct"/>
                    <w:vAlign w:val="center"/>
                  </w:tcPr>
                  <w:p w:rsidR="004A3868" w:rsidRDefault="003F1AB5">
                    <w:pPr>
                      <w:pStyle w:val="afff7"/>
                    </w:pPr>
                    <w:r>
                      <w:t xml:space="preserve"> 150,618,530.98 </w:t>
                    </w:r>
                  </w:p>
                </w:tc>
                <w:tc>
                  <w:tcPr>
                    <w:tcW w:w="118" w:type="pct"/>
                    <w:vAlign w:val="center"/>
                  </w:tcPr>
                  <w:p w:rsidR="004A3868" w:rsidRDefault="003F1AB5">
                    <w:pPr>
                      <w:pStyle w:val="afff7"/>
                    </w:pPr>
                    <w:r>
                      <w:t xml:space="preserve"> -   </w:t>
                    </w:r>
                  </w:p>
                </w:tc>
                <w:tc>
                  <w:tcPr>
                    <w:tcW w:w="509" w:type="pct"/>
                    <w:vAlign w:val="center"/>
                  </w:tcPr>
                  <w:p w:rsidR="004A3868" w:rsidRDefault="003F1AB5">
                    <w:pPr>
                      <w:pStyle w:val="afff7"/>
                    </w:pPr>
                    <w:r>
                      <w:t xml:space="preserve"> 124,222,642.80 </w:t>
                    </w:r>
                  </w:p>
                </w:tc>
                <w:tc>
                  <w:tcPr>
                    <w:tcW w:w="401" w:type="pct"/>
                    <w:vAlign w:val="center"/>
                  </w:tcPr>
                  <w:p w:rsidR="004A3868" w:rsidRDefault="003F1AB5">
                    <w:pPr>
                      <w:pStyle w:val="afff7"/>
                    </w:pPr>
                    <w:r>
                      <w:t xml:space="preserve"> -687,677.57 </w:t>
                    </w:r>
                  </w:p>
                </w:tc>
                <w:tc>
                  <w:tcPr>
                    <w:tcW w:w="509" w:type="pct"/>
                    <w:vAlign w:val="center"/>
                  </w:tcPr>
                  <w:p w:rsidR="004A3868" w:rsidRDefault="003F1AB5">
                    <w:pPr>
                      <w:pStyle w:val="afff7"/>
                    </w:pPr>
                    <w:r>
                      <w:t xml:space="preserve"> 123,534,965.23 </w:t>
                    </w:r>
                  </w:p>
                </w:tc>
              </w:tr>
              <w:tr w:rsidR="004A3868">
                <w:tc>
                  <w:tcPr>
                    <w:tcW w:w="199" w:type="pct"/>
                    <w:vAlign w:val="center"/>
                  </w:tcPr>
                  <w:p w:rsidR="004A3868" w:rsidRDefault="003F1AB5">
                    <w:pPr>
                      <w:pStyle w:val="afff9"/>
                    </w:pPr>
                    <w:r>
                      <w:rPr>
                        <w:rFonts w:hint="eastAsia"/>
                      </w:rPr>
                      <w:t>（一）综合收益总额</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234,586,738.82 </w:t>
                    </w: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234,586,738.82 </w:t>
                    </w:r>
                  </w:p>
                </w:tc>
                <w:tc>
                  <w:tcPr>
                    <w:tcW w:w="401" w:type="pct"/>
                    <w:vAlign w:val="center"/>
                  </w:tcPr>
                  <w:p w:rsidR="004A3868" w:rsidRDefault="003F1AB5">
                    <w:pPr>
                      <w:pStyle w:val="afff7"/>
                    </w:pPr>
                    <w:r>
                      <w:t xml:space="preserve"> -2,568,655.42 </w:t>
                    </w:r>
                  </w:p>
                </w:tc>
                <w:tc>
                  <w:tcPr>
                    <w:tcW w:w="509" w:type="pct"/>
                    <w:vAlign w:val="center"/>
                  </w:tcPr>
                  <w:p w:rsidR="004A3868" w:rsidRDefault="003F1AB5">
                    <w:pPr>
                      <w:pStyle w:val="afff7"/>
                    </w:pPr>
                    <w:r>
                      <w:t xml:space="preserve"> 232,018,083.40 </w:t>
                    </w:r>
                  </w:p>
                </w:tc>
              </w:tr>
              <w:tr w:rsidR="004A3868">
                <w:tc>
                  <w:tcPr>
                    <w:tcW w:w="199" w:type="pct"/>
                    <w:vAlign w:val="center"/>
                  </w:tcPr>
                  <w:p w:rsidR="004A3868" w:rsidRDefault="003F1AB5">
                    <w:pPr>
                      <w:pStyle w:val="afff9"/>
                    </w:pPr>
                    <w:r>
                      <w:t>（</w:t>
                    </w:r>
                    <w:r>
                      <w:rPr>
                        <w:rFonts w:hint="eastAsia"/>
                      </w:rPr>
                      <w:t>二</w:t>
                    </w:r>
                    <w:r>
                      <w:t>）所有者投入和减少资本</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-6,685,897.85 </w:t>
                    </w: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   </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-6,685,897.85 </w:t>
                    </w:r>
                  </w:p>
                </w:tc>
                <w:tc>
                  <w:tcPr>
                    <w:tcW w:w="401" w:type="pct"/>
                    <w:vAlign w:val="center"/>
                  </w:tcPr>
                  <w:p w:rsidR="004A3868" w:rsidRDefault="003F1AB5">
                    <w:pPr>
                      <w:pStyle w:val="afff7"/>
                    </w:pPr>
                    <w:r>
                      <w:t xml:space="preserve"> 1,880,977.85 </w:t>
                    </w:r>
                  </w:p>
                </w:tc>
                <w:tc>
                  <w:tcPr>
                    <w:tcW w:w="509" w:type="pct"/>
                    <w:vAlign w:val="center"/>
                  </w:tcPr>
                  <w:p w:rsidR="004A3868" w:rsidRDefault="003F1AB5">
                    <w:pPr>
                      <w:pStyle w:val="afff7"/>
                    </w:pPr>
                    <w:r>
                      <w:t xml:space="preserve"> -4,804,920.00 </w:t>
                    </w:r>
                  </w:p>
                </w:tc>
              </w:tr>
              <w:tr w:rsidR="004A3868">
                <w:tc>
                  <w:tcPr>
                    <w:tcW w:w="199" w:type="pct"/>
                    <w:vAlign w:val="center"/>
                  </w:tcPr>
                  <w:p w:rsidR="004A3868" w:rsidRDefault="003F1AB5">
                    <w:pPr>
                      <w:pStyle w:val="afff9"/>
                    </w:pPr>
                    <w:r>
                      <w:rPr>
                        <w:rFonts w:hint="eastAsia"/>
                      </w:rPr>
                      <w:t>1</w:t>
                    </w:r>
                    <w:r>
                      <w:rPr>
                        <w:rFonts w:hint="eastAsia"/>
                      </w:rPr>
                      <w:t>．所有者投入的普通股</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rPr>
                        <w:rFonts w:hint="eastAsia"/>
                      </w:rPr>
                      <w:t>2</w:t>
                    </w:r>
                    <w:r>
                      <w:rPr>
                        <w:rFonts w:hint="eastAsia"/>
                      </w:rPr>
                      <w:t>．其他权益工具持有者</w:t>
                    </w:r>
                    <w:r>
                      <w:rPr>
                        <w:rFonts w:hint="eastAsia"/>
                      </w:rPr>
                      <w:lastRenderedPageBreak/>
                      <w:t>投入资本</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rPr>
                        <w:rFonts w:hint="eastAsia"/>
                      </w:rPr>
                      <w:t>3</w:t>
                    </w:r>
                    <w:r>
                      <w:t>．股份支付计入所有者权益的金额</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rPr>
                        <w:rFonts w:hint="eastAsia"/>
                      </w:rPr>
                      <w:t>4</w:t>
                    </w:r>
                    <w:r>
                      <w:t>．其他</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-6,685,897.85 </w:t>
                    </w: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-6,685,897.85 </w:t>
                    </w:r>
                  </w:p>
                </w:tc>
                <w:tc>
                  <w:tcPr>
                    <w:tcW w:w="401" w:type="pct"/>
                    <w:vAlign w:val="center"/>
                  </w:tcPr>
                  <w:p w:rsidR="004A3868" w:rsidRDefault="003F1AB5">
                    <w:pPr>
                      <w:pStyle w:val="afff7"/>
                    </w:pPr>
                    <w:r>
                      <w:t xml:space="preserve"> 1,880,977.85 </w:t>
                    </w:r>
                  </w:p>
                </w:tc>
                <w:tc>
                  <w:tcPr>
                    <w:tcW w:w="509" w:type="pct"/>
                    <w:vAlign w:val="center"/>
                  </w:tcPr>
                  <w:p w:rsidR="004A3868" w:rsidRDefault="003F1AB5">
                    <w:pPr>
                      <w:pStyle w:val="afff7"/>
                    </w:pPr>
                    <w:r>
                      <w:t xml:space="preserve"> -4,804,920.00 </w:t>
                    </w:r>
                  </w:p>
                </w:tc>
              </w:tr>
              <w:tr w:rsidR="004A3868">
                <w:tc>
                  <w:tcPr>
                    <w:tcW w:w="199" w:type="pct"/>
                    <w:vAlign w:val="center"/>
                  </w:tcPr>
                  <w:p w:rsidR="004A3868" w:rsidRDefault="003F1AB5">
                    <w:pPr>
                      <w:pStyle w:val="afff9"/>
                    </w:pPr>
                    <w:r>
                      <w:t>（</w:t>
                    </w:r>
                    <w:r>
                      <w:rPr>
                        <w:rFonts w:hint="eastAsia"/>
                      </w:rPr>
                      <w:t>三</w:t>
                    </w:r>
                    <w:r>
                      <w:t>）利润分配</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   </w:t>
                    </w:r>
                  </w:p>
                </w:tc>
                <w:tc>
                  <w:tcPr>
                    <w:tcW w:w="454" w:type="pct"/>
                    <w:vAlign w:val="center"/>
                  </w:tcPr>
                  <w:p w:rsidR="004A3868" w:rsidRDefault="003F1AB5">
                    <w:pPr>
                      <w:pStyle w:val="afff7"/>
                    </w:pPr>
                    <w:r>
                      <w:t xml:space="preserve"> 23,998,074.58 </w:t>
                    </w:r>
                  </w:p>
                </w:tc>
                <w:tc>
                  <w:tcPr>
                    <w:tcW w:w="118" w:type="pct"/>
                    <w:vAlign w:val="center"/>
                  </w:tcPr>
                  <w:p w:rsidR="004A3868" w:rsidRDefault="003F1AB5">
                    <w:pPr>
                      <w:pStyle w:val="afff7"/>
                    </w:pPr>
                    <w:r>
                      <w:t xml:space="preserve"> -   </w:t>
                    </w:r>
                  </w:p>
                </w:tc>
                <w:tc>
                  <w:tcPr>
                    <w:tcW w:w="454" w:type="pct"/>
                    <w:vAlign w:val="center"/>
                  </w:tcPr>
                  <w:p w:rsidR="004A3868" w:rsidRDefault="003F1AB5">
                    <w:pPr>
                      <w:pStyle w:val="afff7"/>
                    </w:pPr>
                    <w:r>
                      <w:t xml:space="preserve"> -83,968,207.84 </w:t>
                    </w: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-59,970,133.26 </w:t>
                    </w:r>
                  </w:p>
                </w:tc>
                <w:tc>
                  <w:tcPr>
                    <w:tcW w:w="401" w:type="pct"/>
                    <w:vAlign w:val="center"/>
                  </w:tcPr>
                  <w:p w:rsidR="004A3868" w:rsidRDefault="003F1AB5">
                    <w:pPr>
                      <w:pStyle w:val="afff7"/>
                    </w:pPr>
                    <w:r>
                      <w:t xml:space="preserve"> -   </w:t>
                    </w:r>
                  </w:p>
                </w:tc>
                <w:tc>
                  <w:tcPr>
                    <w:tcW w:w="509" w:type="pct"/>
                    <w:vAlign w:val="center"/>
                  </w:tcPr>
                  <w:p w:rsidR="004A3868" w:rsidRDefault="003F1AB5">
                    <w:pPr>
                      <w:pStyle w:val="afff7"/>
                    </w:pPr>
                    <w:r>
                      <w:t xml:space="preserve"> -59,970,133.26 </w:t>
                    </w:r>
                  </w:p>
                </w:tc>
              </w:tr>
              <w:tr w:rsidR="004A3868">
                <w:tc>
                  <w:tcPr>
                    <w:tcW w:w="199" w:type="pct"/>
                    <w:vAlign w:val="center"/>
                  </w:tcPr>
                  <w:p w:rsidR="004A3868" w:rsidRDefault="003F1AB5">
                    <w:pPr>
                      <w:pStyle w:val="afff9"/>
                    </w:pPr>
                    <w:r>
                      <w:t>1</w:t>
                    </w:r>
                    <w:r>
                      <w:t>．提取盈余公积</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3F1AB5">
                    <w:pPr>
                      <w:pStyle w:val="afff7"/>
                    </w:pPr>
                    <w:r>
                      <w:t xml:space="preserve"> 23,998,074.58 </w:t>
                    </w: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-23,998,074.58 </w:t>
                    </w: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2</w:t>
                    </w:r>
                    <w:r>
                      <w:t>．提取一般风险准备</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3</w:t>
                    </w:r>
                    <w:r>
                      <w:t>．对所有者（或股东）</w:t>
                    </w:r>
                    <w:r>
                      <w:lastRenderedPageBreak/>
                      <w:t>的分配</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-59,970,133.26 </w:t>
                    </w: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-59,970,133.26 </w:t>
                    </w:r>
                  </w:p>
                </w:tc>
                <w:tc>
                  <w:tcPr>
                    <w:tcW w:w="401" w:type="pct"/>
                    <w:vAlign w:val="center"/>
                  </w:tcPr>
                  <w:p w:rsidR="004A3868" w:rsidRDefault="004A3868">
                    <w:pPr>
                      <w:pStyle w:val="afff7"/>
                    </w:pPr>
                  </w:p>
                </w:tc>
                <w:tc>
                  <w:tcPr>
                    <w:tcW w:w="509" w:type="pct"/>
                    <w:vAlign w:val="center"/>
                  </w:tcPr>
                  <w:p w:rsidR="004A3868" w:rsidRDefault="003F1AB5">
                    <w:pPr>
                      <w:pStyle w:val="afff7"/>
                    </w:pPr>
                    <w:r>
                      <w:t xml:space="preserve"> -59,970,133.26 </w:t>
                    </w:r>
                  </w:p>
                </w:tc>
              </w:tr>
              <w:tr w:rsidR="004A3868">
                <w:tc>
                  <w:tcPr>
                    <w:tcW w:w="199" w:type="pct"/>
                    <w:vAlign w:val="center"/>
                  </w:tcPr>
                  <w:p w:rsidR="004A3868" w:rsidRDefault="003F1AB5">
                    <w:pPr>
                      <w:pStyle w:val="afff9"/>
                    </w:pPr>
                    <w:r>
                      <w:t>4</w:t>
                    </w:r>
                    <w:r>
                      <w:t>．其他</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w:t>
                    </w:r>
                    <w:r>
                      <w:rPr>
                        <w:rFonts w:hint="eastAsia"/>
                      </w:rPr>
                      <w:t>四</w:t>
                    </w:r>
                    <w:r>
                      <w:t>）所有者权益内部结转</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1</w:t>
                    </w:r>
                    <w:r>
                      <w:t>．资本公积转增资本（或股本）</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2</w:t>
                    </w:r>
                    <w:r>
                      <w:t>．盈余公积转增资本（或股本）</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3</w:t>
                    </w:r>
                    <w:r>
                      <w:t>．盈余公积弥补亏损</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4</w:t>
                    </w:r>
                    <w:r>
                      <w:t>．设</w:t>
                    </w:r>
                    <w:r>
                      <w:lastRenderedPageBreak/>
                      <w:t>定受益计划变动额结转留存收益</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5</w:t>
                    </w:r>
                    <w:r>
                      <w:t>．其他综合收益结转留存收益</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t>6</w:t>
                    </w:r>
                    <w:r>
                      <w:t>．其他</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4A3868">
                    <w:pPr>
                      <w:pStyle w:val="afff7"/>
                    </w:pPr>
                  </w:p>
                </w:tc>
                <w:tc>
                  <w:tcPr>
                    <w:tcW w:w="401" w:type="pct"/>
                    <w:vAlign w:val="center"/>
                  </w:tcPr>
                  <w:p w:rsidR="004A3868" w:rsidRDefault="004A3868">
                    <w:pPr>
                      <w:pStyle w:val="afff7"/>
                    </w:pPr>
                  </w:p>
                </w:tc>
                <w:tc>
                  <w:tcPr>
                    <w:tcW w:w="509" w:type="pct"/>
                    <w:vAlign w:val="center"/>
                  </w:tcPr>
                  <w:p w:rsidR="004A3868" w:rsidRDefault="004A3868">
                    <w:pPr>
                      <w:pStyle w:val="afff7"/>
                    </w:pPr>
                  </w:p>
                </w:tc>
              </w:tr>
              <w:tr w:rsidR="004A3868">
                <w:tc>
                  <w:tcPr>
                    <w:tcW w:w="199" w:type="pct"/>
                    <w:vAlign w:val="center"/>
                  </w:tcPr>
                  <w:p w:rsidR="004A3868" w:rsidRDefault="003F1AB5">
                    <w:pPr>
                      <w:pStyle w:val="afff9"/>
                    </w:pPr>
                    <w:r>
                      <w:rPr>
                        <w:rFonts w:hint="eastAsia"/>
                      </w:rPr>
                      <w:t>（五）专项储备</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6,591,176.37 </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6,591,176.37 </w:t>
                    </w:r>
                  </w:p>
                </w:tc>
                <w:tc>
                  <w:tcPr>
                    <w:tcW w:w="401" w:type="pct"/>
                    <w:vAlign w:val="center"/>
                  </w:tcPr>
                  <w:p w:rsidR="004A3868" w:rsidRDefault="004A3868">
                    <w:pPr>
                      <w:pStyle w:val="afff7"/>
                    </w:pPr>
                  </w:p>
                </w:tc>
                <w:tc>
                  <w:tcPr>
                    <w:tcW w:w="509" w:type="pct"/>
                    <w:vAlign w:val="center"/>
                  </w:tcPr>
                  <w:p w:rsidR="004A3868" w:rsidRDefault="003F1AB5">
                    <w:pPr>
                      <w:pStyle w:val="afff7"/>
                    </w:pPr>
                    <w:r>
                      <w:t xml:space="preserve"> 6,591,176.37 </w:t>
                    </w:r>
                  </w:p>
                </w:tc>
              </w:tr>
              <w:tr w:rsidR="004A3868">
                <w:tc>
                  <w:tcPr>
                    <w:tcW w:w="199" w:type="pct"/>
                    <w:vAlign w:val="center"/>
                  </w:tcPr>
                  <w:p w:rsidR="004A3868" w:rsidRDefault="003F1AB5">
                    <w:pPr>
                      <w:pStyle w:val="afff9"/>
                    </w:pPr>
                    <w:r>
                      <w:rPr>
                        <w:rFonts w:hint="eastAsia"/>
                      </w:rPr>
                      <w:t>1</w:t>
                    </w:r>
                    <w:r>
                      <w:rPr>
                        <w:rFonts w:hint="eastAsia"/>
                      </w:rPr>
                      <w:t>．本期提取</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12,006,177.34 </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12,006,177.34 </w:t>
                    </w:r>
                  </w:p>
                </w:tc>
                <w:tc>
                  <w:tcPr>
                    <w:tcW w:w="401" w:type="pct"/>
                    <w:vAlign w:val="center"/>
                  </w:tcPr>
                  <w:p w:rsidR="004A3868" w:rsidRDefault="004A3868">
                    <w:pPr>
                      <w:pStyle w:val="afff7"/>
                    </w:pPr>
                  </w:p>
                </w:tc>
                <w:tc>
                  <w:tcPr>
                    <w:tcW w:w="509" w:type="pct"/>
                    <w:vAlign w:val="center"/>
                  </w:tcPr>
                  <w:p w:rsidR="004A3868" w:rsidRDefault="003F1AB5">
                    <w:pPr>
                      <w:pStyle w:val="afff7"/>
                    </w:pPr>
                    <w:r>
                      <w:t xml:space="preserve"> 12,006,177.34 </w:t>
                    </w:r>
                  </w:p>
                </w:tc>
              </w:tr>
              <w:tr w:rsidR="004A3868">
                <w:tc>
                  <w:tcPr>
                    <w:tcW w:w="199" w:type="pct"/>
                    <w:vAlign w:val="center"/>
                  </w:tcPr>
                  <w:p w:rsidR="004A3868" w:rsidRDefault="003F1AB5">
                    <w:pPr>
                      <w:pStyle w:val="afff9"/>
                    </w:pPr>
                    <w:r>
                      <w:rPr>
                        <w:rFonts w:hint="eastAsia"/>
                      </w:rPr>
                      <w:t>2</w:t>
                    </w:r>
                    <w:r>
                      <w:rPr>
                        <w:rFonts w:hint="eastAsia"/>
                      </w:rPr>
                      <w:t>．本期使用</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4A3868">
                    <w:pPr>
                      <w:pStyle w:val="afff7"/>
                    </w:pP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-5,415,000.97 </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-5,415,000.97 </w:t>
                    </w:r>
                  </w:p>
                </w:tc>
                <w:tc>
                  <w:tcPr>
                    <w:tcW w:w="401" w:type="pct"/>
                    <w:vAlign w:val="center"/>
                  </w:tcPr>
                  <w:p w:rsidR="004A3868" w:rsidRDefault="004A3868">
                    <w:pPr>
                      <w:pStyle w:val="afff7"/>
                    </w:pPr>
                  </w:p>
                </w:tc>
                <w:tc>
                  <w:tcPr>
                    <w:tcW w:w="509" w:type="pct"/>
                    <w:vAlign w:val="center"/>
                  </w:tcPr>
                  <w:p w:rsidR="004A3868" w:rsidRDefault="003F1AB5">
                    <w:pPr>
                      <w:pStyle w:val="afff7"/>
                    </w:pPr>
                    <w:r>
                      <w:t xml:space="preserve"> -5,415,000.97 </w:t>
                    </w:r>
                  </w:p>
                </w:tc>
              </w:tr>
              <w:tr w:rsidR="004A3868">
                <w:tc>
                  <w:tcPr>
                    <w:tcW w:w="199" w:type="pct"/>
                    <w:vAlign w:val="center"/>
                  </w:tcPr>
                  <w:p w:rsidR="004A3868" w:rsidRDefault="003F1AB5">
                    <w:pPr>
                      <w:pStyle w:val="afff9"/>
                    </w:pPr>
                    <w:r>
                      <w:rPr>
                        <w:rFonts w:hint="eastAsia"/>
                      </w:rPr>
                      <w:t>（六）其他</w:t>
                    </w: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428" w:type="pct"/>
                    <w:vAlign w:val="center"/>
                  </w:tcPr>
                  <w:p w:rsidR="004A3868" w:rsidRDefault="003F1AB5">
                    <w:pPr>
                      <w:pStyle w:val="afff7"/>
                    </w:pPr>
                    <w:r>
                      <w:t xml:space="preserve"> 50,299,241.28 </w:t>
                    </w:r>
                  </w:p>
                </w:tc>
                <w:tc>
                  <w:tcPr>
                    <w:tcW w:w="118" w:type="pct"/>
                    <w:vAlign w:val="center"/>
                  </w:tcPr>
                  <w:p w:rsidR="004A3868" w:rsidRDefault="004A3868">
                    <w:pPr>
                      <w:pStyle w:val="afff7"/>
                    </w:pPr>
                  </w:p>
                </w:tc>
                <w:tc>
                  <w:tcPr>
                    <w:tcW w:w="42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4A3868">
                    <w:pPr>
                      <w:pStyle w:val="afff7"/>
                    </w:pP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-50,299,241.28 </w:t>
                    </w:r>
                  </w:p>
                </w:tc>
                <w:tc>
                  <w:tcPr>
                    <w:tcW w:w="401" w:type="pct"/>
                    <w:vAlign w:val="center"/>
                  </w:tcPr>
                  <w:p w:rsidR="004A3868" w:rsidRDefault="004A3868">
                    <w:pPr>
                      <w:pStyle w:val="afff7"/>
                    </w:pPr>
                  </w:p>
                </w:tc>
                <w:tc>
                  <w:tcPr>
                    <w:tcW w:w="509" w:type="pct"/>
                    <w:vAlign w:val="center"/>
                  </w:tcPr>
                  <w:p w:rsidR="004A3868" w:rsidRDefault="003F1AB5">
                    <w:pPr>
                      <w:pStyle w:val="afff7"/>
                    </w:pPr>
                    <w:r>
                      <w:t xml:space="preserve"> -50,299,241.28 </w:t>
                    </w:r>
                  </w:p>
                </w:tc>
              </w:tr>
              <w:tr w:rsidR="004A3868">
                <w:tc>
                  <w:tcPr>
                    <w:tcW w:w="199" w:type="pct"/>
                    <w:vAlign w:val="center"/>
                  </w:tcPr>
                  <w:p w:rsidR="004A3868" w:rsidRDefault="003F1AB5">
                    <w:pPr>
                      <w:pStyle w:val="afff9"/>
                    </w:pPr>
                    <w:r>
                      <w:t>四、本期期末</w:t>
                    </w:r>
                    <w:r>
                      <w:lastRenderedPageBreak/>
                      <w:t>余额</w:t>
                    </w:r>
                  </w:p>
                </w:tc>
                <w:tc>
                  <w:tcPr>
                    <w:tcW w:w="454" w:type="pct"/>
                    <w:vAlign w:val="center"/>
                  </w:tcPr>
                  <w:p w:rsidR="004A3868" w:rsidRDefault="003F1AB5">
                    <w:pPr>
                      <w:pStyle w:val="afff7"/>
                    </w:pPr>
                    <w:r>
                      <w:lastRenderedPageBreak/>
                      <w:t xml:space="preserve"> 333,167,407.00 </w:t>
                    </w: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975,698,666.95 </w:t>
                    </w:r>
                  </w:p>
                </w:tc>
                <w:tc>
                  <w:tcPr>
                    <w:tcW w:w="428" w:type="pct"/>
                    <w:vAlign w:val="center"/>
                  </w:tcPr>
                  <w:p w:rsidR="004A3868" w:rsidRDefault="003F1AB5">
                    <w:pPr>
                      <w:pStyle w:val="afff7"/>
                    </w:pPr>
                    <w:r>
                      <w:t xml:space="preserve"> 50,299,241.28 </w:t>
                    </w:r>
                  </w:p>
                </w:tc>
                <w:tc>
                  <w:tcPr>
                    <w:tcW w:w="118" w:type="pct"/>
                    <w:vAlign w:val="center"/>
                  </w:tcPr>
                  <w:p w:rsidR="004A3868" w:rsidRDefault="004A3868">
                    <w:pPr>
                      <w:pStyle w:val="afff7"/>
                    </w:pPr>
                  </w:p>
                </w:tc>
                <w:tc>
                  <w:tcPr>
                    <w:tcW w:w="428" w:type="pct"/>
                    <w:vAlign w:val="center"/>
                  </w:tcPr>
                  <w:p w:rsidR="004A3868" w:rsidRDefault="003F1AB5">
                    <w:pPr>
                      <w:pStyle w:val="afff7"/>
                    </w:pPr>
                    <w:r>
                      <w:t xml:space="preserve"> 21,903,104.70 </w:t>
                    </w:r>
                  </w:p>
                </w:tc>
                <w:tc>
                  <w:tcPr>
                    <w:tcW w:w="454" w:type="pct"/>
                    <w:vAlign w:val="center"/>
                  </w:tcPr>
                  <w:p w:rsidR="004A3868" w:rsidRDefault="003F1AB5">
                    <w:pPr>
                      <w:pStyle w:val="afff7"/>
                    </w:pPr>
                    <w:r>
                      <w:t xml:space="preserve"> 118,088,672.71 </w:t>
                    </w:r>
                  </w:p>
                </w:tc>
                <w:tc>
                  <w:tcPr>
                    <w:tcW w:w="118" w:type="pct"/>
                    <w:vAlign w:val="center"/>
                  </w:tcPr>
                  <w:p w:rsidR="004A3868" w:rsidRDefault="004A3868">
                    <w:pPr>
                      <w:pStyle w:val="afff7"/>
                    </w:pPr>
                  </w:p>
                </w:tc>
                <w:tc>
                  <w:tcPr>
                    <w:tcW w:w="454" w:type="pct"/>
                    <w:vAlign w:val="center"/>
                  </w:tcPr>
                  <w:p w:rsidR="004A3868" w:rsidRDefault="003F1AB5">
                    <w:pPr>
                      <w:pStyle w:val="afff7"/>
                    </w:pPr>
                    <w:r>
                      <w:t xml:space="preserve"> 992,249,846.86 </w:t>
                    </w:r>
                  </w:p>
                </w:tc>
                <w:tc>
                  <w:tcPr>
                    <w:tcW w:w="118" w:type="pct"/>
                    <w:vAlign w:val="center"/>
                  </w:tcPr>
                  <w:p w:rsidR="004A3868" w:rsidRDefault="004A3868">
                    <w:pPr>
                      <w:pStyle w:val="afff7"/>
                    </w:pPr>
                  </w:p>
                </w:tc>
                <w:tc>
                  <w:tcPr>
                    <w:tcW w:w="509" w:type="pct"/>
                    <w:vAlign w:val="center"/>
                  </w:tcPr>
                  <w:p w:rsidR="004A3868" w:rsidRDefault="003F1AB5">
                    <w:pPr>
                      <w:pStyle w:val="afff7"/>
                    </w:pPr>
                    <w:r>
                      <w:t xml:space="preserve"> 2,390,808,456.94 </w:t>
                    </w:r>
                  </w:p>
                </w:tc>
                <w:tc>
                  <w:tcPr>
                    <w:tcW w:w="401" w:type="pct"/>
                    <w:vAlign w:val="center"/>
                  </w:tcPr>
                  <w:p w:rsidR="004A3868" w:rsidRDefault="004A3868">
                    <w:pPr>
                      <w:pStyle w:val="afff7"/>
                    </w:pPr>
                  </w:p>
                </w:tc>
                <w:tc>
                  <w:tcPr>
                    <w:tcW w:w="509" w:type="pct"/>
                    <w:vAlign w:val="center"/>
                  </w:tcPr>
                  <w:p w:rsidR="004A3868" w:rsidRDefault="003F1AB5">
                    <w:pPr>
                      <w:pStyle w:val="afff7"/>
                    </w:pPr>
                    <w:r>
                      <w:t xml:space="preserve"> 2,394,319,407.82 </w:t>
                    </w:r>
                  </w:p>
                </w:tc>
              </w:tr>
            </w:tbl>
            <w:p w:rsidR="004A3868" w:rsidRDefault="004A3868">
              <w:pPr>
                <w:pStyle w:val="Style842"/>
              </w:pPr>
            </w:p>
            <w:p w:rsidR="004A3868" w:rsidRDefault="004A3868">
              <w:pPr>
                <w:snapToGrid w:val="0"/>
                <w:spacing w:line="240" w:lineRule="atLeast"/>
                <w:ind w:rightChars="-759" w:right="-1822"/>
                <w:rPr>
                  <w:szCs w:val="21"/>
                </w:rPr>
              </w:pPr>
            </w:p>
            <w:tbl>
              <w:tblPr>
                <w:tblStyle w:val="Style85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303"/>
                <w:gridCol w:w="371"/>
                <w:gridCol w:w="371"/>
                <w:gridCol w:w="371"/>
                <w:gridCol w:w="1303"/>
                <w:gridCol w:w="527"/>
                <w:gridCol w:w="371"/>
                <w:gridCol w:w="1226"/>
                <w:gridCol w:w="1226"/>
                <w:gridCol w:w="371"/>
                <w:gridCol w:w="1303"/>
                <w:gridCol w:w="371"/>
                <w:gridCol w:w="1459"/>
                <w:gridCol w:w="1148"/>
                <w:gridCol w:w="1459"/>
              </w:tblGrid>
              <w:tr w:rsidR="004A3868">
                <w:trPr>
                  <w:cantSplit/>
                </w:trPr>
                <w:tc>
                  <w:tcPr>
                    <w:tcW w:w="652" w:type="pct"/>
                    <w:vMerge w:val="restart"/>
                    <w:vAlign w:val="center"/>
                  </w:tcPr>
                  <w:sdt>
                    <w:sdtPr>
                      <w:rPr>
                        <w:rFonts w:hint="eastAsia"/>
                      </w:rPr>
                      <w:tag w:val="_PLD_229212c664af43faa41821d5eec551b8"/>
                      <w:id w:val="1786928112"/>
                      <w:lock w:val="sdtLocked"/>
                    </w:sdtPr>
                    <w:sdtEndPr/>
                    <w:sdtContent>
                      <w:p w:rsidR="004A3868" w:rsidRDefault="003F1AB5">
                        <w:pPr>
                          <w:pStyle w:val="afffb"/>
                        </w:pPr>
                        <w:r>
                          <w:rPr>
                            <w:rFonts w:hint="eastAsia"/>
                          </w:rPr>
                          <w:t>项目</w:t>
                        </w:r>
                      </w:p>
                    </w:sdtContent>
                  </w:sdt>
                </w:tc>
                <w:tc>
                  <w:tcPr>
                    <w:tcW w:w="4348" w:type="pct"/>
                    <w:gridSpan w:val="15"/>
                  </w:tcPr>
                  <w:p w:rsidR="004A3868" w:rsidRDefault="003F1AB5">
                    <w:pPr>
                      <w:pStyle w:val="afffb"/>
                    </w:pPr>
                    <w:r>
                      <w:rPr>
                        <w:rFonts w:hint="eastAsia"/>
                      </w:rPr>
                      <w:t xml:space="preserve"> </w:t>
                    </w:r>
                    <w:sdt>
                      <w:sdtPr>
                        <w:rPr>
                          <w:rFonts w:hint="eastAsia"/>
                        </w:rPr>
                        <w:tag w:val="_PLD_5c8dcea3749f4f92b2d283c717162a73"/>
                        <w:id w:val="1726182199"/>
                        <w:lock w:val="sdtLocked"/>
                      </w:sdtPr>
                      <w:sdtEndPr/>
                      <w:sdtContent>
                        <w:r>
                          <w:rPr>
                            <w:rFonts w:hint="eastAsia"/>
                          </w:rPr>
                          <w:t>2022年度</w:t>
                        </w:r>
                      </w:sdtContent>
                    </w:sdt>
                  </w:p>
                </w:tc>
              </w:tr>
              <w:tr w:rsidR="004A3868">
                <w:trPr>
                  <w:cantSplit/>
                  <w:trHeight w:val="471"/>
                </w:trPr>
                <w:tc>
                  <w:tcPr>
                    <w:tcW w:w="652" w:type="pct"/>
                    <w:vMerge/>
                  </w:tcPr>
                  <w:p w:rsidR="004A3868" w:rsidRDefault="004A3868">
                    <w:pPr>
                      <w:pStyle w:val="afffb"/>
                    </w:pPr>
                  </w:p>
                </w:tc>
                <w:sdt>
                  <w:sdtPr>
                    <w:tag w:val="_PLD_e725a8cacf9d4d1abedbfeae17c394e0"/>
                    <w:id w:val="1524059021"/>
                    <w:lock w:val="sdtLocked"/>
                  </w:sdtPr>
                  <w:sdtEndPr/>
                  <w:sdtContent>
                    <w:tc>
                      <w:tcPr>
                        <w:tcW w:w="3629" w:type="pct"/>
                        <w:gridSpan w:val="13"/>
                        <w:vAlign w:val="center"/>
                      </w:tcPr>
                      <w:p w:rsidR="004A3868" w:rsidRDefault="003F1AB5">
                        <w:pPr>
                          <w:pStyle w:val="afffb"/>
                        </w:pPr>
                        <w:r>
                          <w:t>归属于母公司所有者权益</w:t>
                        </w:r>
                      </w:p>
                    </w:tc>
                  </w:sdtContent>
                </w:sdt>
                <w:sdt>
                  <w:sdtPr>
                    <w:tag w:val="_PLD_fe6c49384f0941088b29ad945caeb72b"/>
                    <w:id w:val="-1172097631"/>
                    <w:lock w:val="sdtLocked"/>
                  </w:sdtPr>
                  <w:sdtEndPr/>
                  <w:sdtContent>
                    <w:tc>
                      <w:tcPr>
                        <w:tcW w:w="344" w:type="pct"/>
                        <w:vMerge w:val="restart"/>
                        <w:vAlign w:val="center"/>
                      </w:tcPr>
                      <w:p w:rsidR="004A3868" w:rsidRDefault="003F1AB5">
                        <w:pPr>
                          <w:pStyle w:val="afffb"/>
                        </w:pPr>
                        <w:r>
                          <w:t>少数股东权益</w:t>
                        </w:r>
                      </w:p>
                    </w:tc>
                  </w:sdtContent>
                </w:sdt>
                <w:sdt>
                  <w:sdtPr>
                    <w:tag w:val="_PLD_bbe71d4307504d648ce52638ee90ccd4"/>
                    <w:id w:val="-1304770364"/>
                    <w:lock w:val="sdtLocked"/>
                  </w:sdtPr>
                  <w:sdtEndPr/>
                  <w:sdtContent>
                    <w:tc>
                      <w:tcPr>
                        <w:tcW w:w="375" w:type="pct"/>
                        <w:vMerge w:val="restart"/>
                        <w:vAlign w:val="center"/>
                      </w:tcPr>
                      <w:p w:rsidR="004A3868" w:rsidRDefault="003F1AB5">
                        <w:pPr>
                          <w:pStyle w:val="afffb"/>
                        </w:pPr>
                        <w:r>
                          <w:t>所有者权益合计</w:t>
                        </w:r>
                      </w:p>
                    </w:tc>
                  </w:sdtContent>
                </w:sdt>
              </w:tr>
              <w:tr w:rsidR="004A3868">
                <w:trPr>
                  <w:cantSplit/>
                  <w:trHeight w:val="383"/>
                </w:trPr>
                <w:tc>
                  <w:tcPr>
                    <w:tcW w:w="652" w:type="pct"/>
                    <w:vMerge/>
                  </w:tcPr>
                  <w:p w:rsidR="004A3868" w:rsidRDefault="004A3868">
                    <w:pPr>
                      <w:snapToGrid w:val="0"/>
                      <w:spacing w:line="240" w:lineRule="atLeast"/>
                      <w:ind w:rightChars="-759" w:right="-1822"/>
                      <w:rPr>
                        <w:sz w:val="18"/>
                        <w:szCs w:val="18"/>
                      </w:rPr>
                    </w:pPr>
                  </w:p>
                </w:tc>
                <w:sdt>
                  <w:sdtPr>
                    <w:tag w:val="_PLD_941585ba85eb48fa931876151974e425"/>
                    <w:id w:val="1776595018"/>
                    <w:lock w:val="sdtLocked"/>
                  </w:sdtPr>
                  <w:sdtEndPr/>
                  <w:sdtContent>
                    <w:tc>
                      <w:tcPr>
                        <w:tcW w:w="273" w:type="pct"/>
                        <w:vMerge w:val="restart"/>
                        <w:vAlign w:val="center"/>
                      </w:tcPr>
                      <w:p w:rsidR="004A3868" w:rsidRDefault="003F1AB5">
                        <w:pPr>
                          <w:pStyle w:val="afffb"/>
                        </w:pPr>
                        <w:r>
                          <w:t>实收资本 (或股本)</w:t>
                        </w:r>
                      </w:p>
                    </w:tc>
                  </w:sdtContent>
                </w:sdt>
                <w:sdt>
                  <w:sdtPr>
                    <w:tag w:val="_PLD_4097b1c4c4f449ef94e9dedb67cf7c3a"/>
                    <w:id w:val="1865785751"/>
                    <w:lock w:val="sdtLocked"/>
                  </w:sdtPr>
                  <w:sdtEndPr/>
                  <w:sdtContent>
                    <w:tc>
                      <w:tcPr>
                        <w:tcW w:w="819" w:type="pct"/>
                        <w:gridSpan w:val="3"/>
                        <w:vAlign w:val="center"/>
                      </w:tcPr>
                      <w:p w:rsidR="004A3868" w:rsidRDefault="003F1AB5">
                        <w:pPr>
                          <w:pStyle w:val="afffb"/>
                        </w:pPr>
                        <w:r>
                          <w:rPr>
                            <w:rFonts w:hint="eastAsia"/>
                          </w:rPr>
                          <w:t>其他权益工具</w:t>
                        </w:r>
                      </w:p>
                    </w:tc>
                  </w:sdtContent>
                </w:sdt>
                <w:sdt>
                  <w:sdtPr>
                    <w:tag w:val="_PLD_f8441471f9a041ac884142e2c9e87055"/>
                    <w:id w:val="-2024922599"/>
                    <w:lock w:val="sdtLocked"/>
                  </w:sdtPr>
                  <w:sdtEndPr/>
                  <w:sdtContent>
                    <w:tc>
                      <w:tcPr>
                        <w:tcW w:w="273" w:type="pct"/>
                        <w:vMerge w:val="restart"/>
                        <w:vAlign w:val="center"/>
                      </w:tcPr>
                      <w:p w:rsidR="004A3868" w:rsidRDefault="003F1AB5">
                        <w:pPr>
                          <w:pStyle w:val="afffb"/>
                        </w:pPr>
                        <w:r>
                          <w:rPr>
                            <w:rFonts w:hint="eastAsia"/>
                          </w:rPr>
                          <w:t>资本公积</w:t>
                        </w:r>
                      </w:p>
                    </w:tc>
                  </w:sdtContent>
                </w:sdt>
                <w:sdt>
                  <w:sdtPr>
                    <w:tag w:val="_PLD_f972a7ccc15d4f409243ecc02ea77629"/>
                    <w:id w:val="1539620509"/>
                    <w:lock w:val="sdtLocked"/>
                  </w:sdtPr>
                  <w:sdtEndPr/>
                  <w:sdtContent>
                    <w:tc>
                      <w:tcPr>
                        <w:tcW w:w="273" w:type="pct"/>
                        <w:vMerge w:val="restart"/>
                        <w:vAlign w:val="center"/>
                      </w:tcPr>
                      <w:p w:rsidR="004A3868" w:rsidRDefault="003F1AB5">
                        <w:pPr>
                          <w:pStyle w:val="afffb"/>
                        </w:pPr>
                        <w:r>
                          <w:rPr>
                            <w:rFonts w:hint="eastAsia"/>
                          </w:rPr>
                          <w:t>减：库存股</w:t>
                        </w:r>
                      </w:p>
                    </w:tc>
                  </w:sdtContent>
                </w:sdt>
                <w:sdt>
                  <w:sdtPr>
                    <w:tag w:val="_PLD_32394603dc124fdb904af0ad8606aa79"/>
                    <w:id w:val="15741381"/>
                    <w:lock w:val="sdtLocked"/>
                  </w:sdtPr>
                  <w:sdtEndPr/>
                  <w:sdtContent>
                    <w:tc>
                      <w:tcPr>
                        <w:tcW w:w="273" w:type="pct"/>
                        <w:vMerge w:val="restart"/>
                        <w:vAlign w:val="center"/>
                      </w:tcPr>
                      <w:p w:rsidR="004A3868" w:rsidRDefault="003F1AB5">
                        <w:pPr>
                          <w:pStyle w:val="afffb"/>
                        </w:pPr>
                        <w:r>
                          <w:rPr>
                            <w:rFonts w:hint="eastAsia"/>
                          </w:rPr>
                          <w:t>其他综合收益</w:t>
                        </w:r>
                      </w:p>
                    </w:tc>
                  </w:sdtContent>
                </w:sdt>
                <w:sdt>
                  <w:sdtPr>
                    <w:tag w:val="_PLD_af29ec23e072452c89c8447237a4831e"/>
                    <w:id w:val="-1646660088"/>
                    <w:lock w:val="sdtLocked"/>
                  </w:sdtPr>
                  <w:sdtEndPr/>
                  <w:sdtContent>
                    <w:tc>
                      <w:tcPr>
                        <w:tcW w:w="273" w:type="pct"/>
                        <w:vMerge w:val="restart"/>
                        <w:vAlign w:val="center"/>
                      </w:tcPr>
                      <w:p w:rsidR="004A3868" w:rsidRDefault="003F1AB5">
                        <w:pPr>
                          <w:pStyle w:val="afffb"/>
                        </w:pPr>
                        <w:r>
                          <w:rPr>
                            <w:rFonts w:hint="eastAsia"/>
                          </w:rPr>
                          <w:t>专项储备</w:t>
                        </w:r>
                      </w:p>
                    </w:tc>
                  </w:sdtContent>
                </w:sdt>
                <w:sdt>
                  <w:sdtPr>
                    <w:tag w:val="_PLD_81a68447a616402b99500dae3d54a22d"/>
                    <w:id w:val="147559287"/>
                    <w:lock w:val="sdtLocked"/>
                  </w:sdtPr>
                  <w:sdtEndPr/>
                  <w:sdtContent>
                    <w:tc>
                      <w:tcPr>
                        <w:tcW w:w="273" w:type="pct"/>
                        <w:vMerge w:val="restart"/>
                        <w:vAlign w:val="center"/>
                      </w:tcPr>
                      <w:p w:rsidR="004A3868" w:rsidRDefault="003F1AB5">
                        <w:pPr>
                          <w:pStyle w:val="afffb"/>
                        </w:pPr>
                        <w:r>
                          <w:rPr>
                            <w:rFonts w:hint="eastAsia"/>
                          </w:rPr>
                          <w:t>盈余公积</w:t>
                        </w:r>
                      </w:p>
                    </w:tc>
                  </w:sdtContent>
                </w:sdt>
                <w:sdt>
                  <w:sdtPr>
                    <w:tag w:val="_PLD_ad0dadbaf28f45779fefb69d05b7215d"/>
                    <w:id w:val="-1697302027"/>
                    <w:lock w:val="sdtLocked"/>
                  </w:sdtPr>
                  <w:sdtEndPr/>
                  <w:sdtContent>
                    <w:tc>
                      <w:tcPr>
                        <w:tcW w:w="273" w:type="pct"/>
                        <w:vMerge w:val="restart"/>
                        <w:vAlign w:val="center"/>
                      </w:tcPr>
                      <w:p w:rsidR="004A3868" w:rsidRDefault="003F1AB5">
                        <w:pPr>
                          <w:pStyle w:val="afffb"/>
                        </w:pPr>
                        <w:r>
                          <w:rPr>
                            <w:rFonts w:hint="eastAsia"/>
                          </w:rPr>
                          <w:t>一般风险准备</w:t>
                        </w:r>
                      </w:p>
                    </w:tc>
                  </w:sdtContent>
                </w:sdt>
                <w:sdt>
                  <w:sdtPr>
                    <w:tag w:val="_PLD_a51f5c6bdac744979b275b09b6a9d1d8"/>
                    <w:id w:val="-1173017898"/>
                    <w:lock w:val="sdtLocked"/>
                  </w:sdtPr>
                  <w:sdtEndPr/>
                  <w:sdtContent>
                    <w:tc>
                      <w:tcPr>
                        <w:tcW w:w="307" w:type="pct"/>
                        <w:vMerge w:val="restart"/>
                        <w:vAlign w:val="center"/>
                      </w:tcPr>
                      <w:p w:rsidR="004A3868" w:rsidRDefault="003F1AB5">
                        <w:pPr>
                          <w:pStyle w:val="afffb"/>
                        </w:pPr>
                        <w:r>
                          <w:rPr>
                            <w:rFonts w:hint="eastAsia"/>
                          </w:rPr>
                          <w:t>未分配利润</w:t>
                        </w:r>
                      </w:p>
                    </w:tc>
                  </w:sdtContent>
                </w:sdt>
                <w:tc>
                  <w:tcPr>
                    <w:tcW w:w="303" w:type="pct"/>
                    <w:vMerge w:val="restart"/>
                    <w:vAlign w:val="center"/>
                  </w:tcPr>
                  <w:sdt>
                    <w:sdtPr>
                      <w:rPr>
                        <w:rFonts w:hint="eastAsia"/>
                      </w:rPr>
                      <w:tag w:val="_PLD_ae449a7a80f64d56b34968f1f21d2198"/>
                      <w:id w:val="1688785931"/>
                      <w:lock w:val="sdtLocked"/>
                    </w:sdtPr>
                    <w:sdtEndPr/>
                    <w:sdtContent>
                      <w:sdt>
                        <w:sdtPr>
                          <w:rPr>
                            <w:rFonts w:hint="eastAsia"/>
                          </w:rPr>
                          <w:tag w:val="_PLD_c4da6a74366840789b623f0d61440178"/>
                          <w:id w:val="-1295519419"/>
                          <w:lock w:val="sdtLocked"/>
                          <w:placeholder>
                            <w:docPart w:val="7463CE1EB9264073B481337247E16444"/>
                          </w:placeholder>
                        </w:sdtPr>
                        <w:sdtEndPr/>
                        <w:sdtContent>
                          <w:p w:rsidR="004A3868" w:rsidRDefault="003F1AB5">
                            <w:pPr>
                              <w:pStyle w:val="afffb"/>
                            </w:pPr>
                            <w:r>
                              <w:rPr>
                                <w:rFonts w:hint="eastAsia"/>
                              </w:rPr>
                              <w:t>其他</w:t>
                            </w:r>
                          </w:p>
                        </w:sdtContent>
                      </w:sdt>
                    </w:sdtContent>
                  </w:sdt>
                </w:tc>
                <w:tc>
                  <w:tcPr>
                    <w:tcW w:w="289" w:type="pct"/>
                    <w:vMerge w:val="restart"/>
                    <w:vAlign w:val="center"/>
                  </w:tcPr>
                  <w:sdt>
                    <w:sdtPr>
                      <w:rPr>
                        <w:rFonts w:hint="eastAsia"/>
                      </w:rPr>
                      <w:tag w:val="_PLD_f2691f33b2164ad8b83415f8cd404dea"/>
                      <w:id w:val="539709793"/>
                      <w:lock w:val="sdtLocked"/>
                    </w:sdtPr>
                    <w:sdtEndPr/>
                    <w:sdtContent>
                      <w:p w:rsidR="004A3868" w:rsidRDefault="003F1AB5">
                        <w:pPr>
                          <w:pStyle w:val="afffb"/>
                        </w:pPr>
                        <w:r>
                          <w:rPr>
                            <w:rFonts w:hint="eastAsia"/>
                          </w:rPr>
                          <w:t>小计</w:t>
                        </w:r>
                      </w:p>
                    </w:sdtContent>
                  </w:sdt>
                </w:tc>
                <w:tc>
                  <w:tcPr>
                    <w:tcW w:w="344" w:type="pct"/>
                    <w:vMerge/>
                  </w:tcPr>
                  <w:p w:rsidR="004A3868" w:rsidRDefault="004A3868">
                    <w:pPr>
                      <w:jc w:val="center"/>
                      <w:rPr>
                        <w:sz w:val="18"/>
                        <w:szCs w:val="18"/>
                      </w:rPr>
                    </w:pPr>
                  </w:p>
                </w:tc>
                <w:tc>
                  <w:tcPr>
                    <w:tcW w:w="375" w:type="pct"/>
                    <w:vMerge/>
                  </w:tcPr>
                  <w:p w:rsidR="004A3868" w:rsidRDefault="004A3868">
                    <w:pPr>
                      <w:jc w:val="center"/>
                      <w:rPr>
                        <w:sz w:val="18"/>
                        <w:szCs w:val="18"/>
                      </w:rPr>
                    </w:pPr>
                  </w:p>
                </w:tc>
              </w:tr>
              <w:tr w:rsidR="004A3868">
                <w:trPr>
                  <w:cantSplit/>
                  <w:trHeight w:val="303"/>
                </w:trPr>
                <w:tc>
                  <w:tcPr>
                    <w:tcW w:w="652" w:type="pct"/>
                    <w:vMerge/>
                  </w:tcPr>
                  <w:p w:rsidR="004A3868" w:rsidRDefault="004A3868">
                    <w:pPr>
                      <w:snapToGrid w:val="0"/>
                      <w:spacing w:line="240" w:lineRule="atLeast"/>
                      <w:ind w:rightChars="-759" w:right="-1822"/>
                      <w:rPr>
                        <w:sz w:val="18"/>
                        <w:szCs w:val="18"/>
                      </w:rPr>
                    </w:pPr>
                  </w:p>
                </w:tc>
                <w:tc>
                  <w:tcPr>
                    <w:tcW w:w="273" w:type="pct"/>
                    <w:vMerge/>
                  </w:tcPr>
                  <w:p w:rsidR="004A3868" w:rsidRDefault="004A3868">
                    <w:pPr>
                      <w:snapToGrid w:val="0"/>
                      <w:spacing w:line="240" w:lineRule="atLeast"/>
                      <w:jc w:val="center"/>
                      <w:rPr>
                        <w:sz w:val="18"/>
                        <w:szCs w:val="18"/>
                      </w:rPr>
                    </w:pPr>
                  </w:p>
                </w:tc>
                <w:sdt>
                  <w:sdtPr>
                    <w:tag w:val="_PLD_c8e4e3f938444f399262729a0267aa59"/>
                    <w:id w:val="1558667722"/>
                    <w:lock w:val="sdtLocked"/>
                  </w:sdtPr>
                  <w:sdtEndPr/>
                  <w:sdtContent>
                    <w:tc>
                      <w:tcPr>
                        <w:tcW w:w="273" w:type="pct"/>
                        <w:vAlign w:val="center"/>
                      </w:tcPr>
                      <w:p w:rsidR="004A3868" w:rsidRDefault="003F1AB5">
                        <w:pPr>
                          <w:pStyle w:val="afffb"/>
                        </w:pPr>
                        <w:r>
                          <w:rPr>
                            <w:rFonts w:hint="eastAsia"/>
                          </w:rPr>
                          <w:t>优先股</w:t>
                        </w:r>
                      </w:p>
                    </w:tc>
                  </w:sdtContent>
                </w:sdt>
                <w:sdt>
                  <w:sdtPr>
                    <w:tag w:val="_PLD_70f3796cf4ab4ecbb92343a346942a09"/>
                    <w:id w:val="-631864359"/>
                    <w:lock w:val="sdtLocked"/>
                  </w:sdtPr>
                  <w:sdtEndPr/>
                  <w:sdtContent>
                    <w:tc>
                      <w:tcPr>
                        <w:tcW w:w="273" w:type="pct"/>
                        <w:vAlign w:val="center"/>
                      </w:tcPr>
                      <w:p w:rsidR="004A3868" w:rsidRDefault="003F1AB5">
                        <w:pPr>
                          <w:pStyle w:val="afffb"/>
                        </w:pPr>
                        <w:r>
                          <w:rPr>
                            <w:rFonts w:hint="eastAsia"/>
                          </w:rPr>
                          <w:t>永续债</w:t>
                        </w:r>
                      </w:p>
                    </w:tc>
                  </w:sdtContent>
                </w:sdt>
                <w:sdt>
                  <w:sdtPr>
                    <w:tag w:val="_PLD_a3d4853d11ed4217a1c5e27cfc45c1c9"/>
                    <w:id w:val="-1981991996"/>
                    <w:lock w:val="sdtLocked"/>
                  </w:sdtPr>
                  <w:sdtEndPr/>
                  <w:sdtContent>
                    <w:tc>
                      <w:tcPr>
                        <w:tcW w:w="273" w:type="pct"/>
                        <w:vAlign w:val="center"/>
                      </w:tcPr>
                      <w:p w:rsidR="004A3868" w:rsidRDefault="003F1AB5">
                        <w:pPr>
                          <w:pStyle w:val="afffb"/>
                        </w:pPr>
                        <w:r>
                          <w:rPr>
                            <w:rFonts w:hint="eastAsia"/>
                          </w:rPr>
                          <w:t>其他</w:t>
                        </w:r>
                      </w:p>
                    </w:tc>
                  </w:sdtContent>
                </w:sdt>
                <w:tc>
                  <w:tcPr>
                    <w:tcW w:w="273" w:type="pct"/>
                    <w:vMerge/>
                  </w:tcPr>
                  <w:p w:rsidR="004A3868" w:rsidRDefault="004A3868">
                    <w:pPr>
                      <w:snapToGrid w:val="0"/>
                      <w:spacing w:line="240" w:lineRule="atLeast"/>
                      <w:jc w:val="center"/>
                      <w:rPr>
                        <w:sz w:val="18"/>
                        <w:szCs w:val="18"/>
                      </w:rPr>
                    </w:pPr>
                  </w:p>
                </w:tc>
                <w:tc>
                  <w:tcPr>
                    <w:tcW w:w="273" w:type="pct"/>
                    <w:vMerge/>
                  </w:tcPr>
                  <w:p w:rsidR="004A3868" w:rsidRDefault="004A3868">
                    <w:pPr>
                      <w:snapToGrid w:val="0"/>
                      <w:spacing w:line="240" w:lineRule="atLeast"/>
                      <w:jc w:val="center"/>
                      <w:rPr>
                        <w:sz w:val="18"/>
                        <w:szCs w:val="18"/>
                      </w:rPr>
                    </w:pPr>
                  </w:p>
                </w:tc>
                <w:tc>
                  <w:tcPr>
                    <w:tcW w:w="273" w:type="pct"/>
                    <w:vMerge/>
                  </w:tcPr>
                  <w:p w:rsidR="004A3868" w:rsidRDefault="004A3868">
                    <w:pPr>
                      <w:snapToGrid w:val="0"/>
                      <w:spacing w:line="240" w:lineRule="atLeast"/>
                      <w:jc w:val="center"/>
                      <w:rPr>
                        <w:sz w:val="18"/>
                        <w:szCs w:val="18"/>
                      </w:rPr>
                    </w:pPr>
                  </w:p>
                </w:tc>
                <w:tc>
                  <w:tcPr>
                    <w:tcW w:w="273" w:type="pct"/>
                    <w:vMerge/>
                  </w:tcPr>
                  <w:p w:rsidR="004A3868" w:rsidRDefault="004A3868">
                    <w:pPr>
                      <w:snapToGrid w:val="0"/>
                      <w:spacing w:line="240" w:lineRule="atLeast"/>
                      <w:jc w:val="center"/>
                      <w:rPr>
                        <w:sz w:val="18"/>
                        <w:szCs w:val="18"/>
                      </w:rPr>
                    </w:pPr>
                  </w:p>
                </w:tc>
                <w:tc>
                  <w:tcPr>
                    <w:tcW w:w="273" w:type="pct"/>
                    <w:vMerge/>
                  </w:tcPr>
                  <w:p w:rsidR="004A3868" w:rsidRDefault="004A3868">
                    <w:pPr>
                      <w:snapToGrid w:val="0"/>
                      <w:spacing w:line="240" w:lineRule="atLeast"/>
                      <w:jc w:val="center"/>
                      <w:rPr>
                        <w:sz w:val="18"/>
                        <w:szCs w:val="18"/>
                      </w:rPr>
                    </w:pPr>
                  </w:p>
                </w:tc>
                <w:tc>
                  <w:tcPr>
                    <w:tcW w:w="273" w:type="pct"/>
                    <w:vMerge/>
                  </w:tcPr>
                  <w:p w:rsidR="004A3868" w:rsidRDefault="004A3868">
                    <w:pPr>
                      <w:snapToGrid w:val="0"/>
                      <w:spacing w:line="240" w:lineRule="atLeast"/>
                      <w:jc w:val="center"/>
                      <w:rPr>
                        <w:sz w:val="18"/>
                        <w:szCs w:val="18"/>
                      </w:rPr>
                    </w:pPr>
                  </w:p>
                </w:tc>
                <w:tc>
                  <w:tcPr>
                    <w:tcW w:w="307" w:type="pct"/>
                    <w:vMerge/>
                  </w:tcPr>
                  <w:p w:rsidR="004A3868" w:rsidRDefault="004A3868">
                    <w:pPr>
                      <w:snapToGrid w:val="0"/>
                      <w:spacing w:line="240" w:lineRule="atLeast"/>
                      <w:jc w:val="center"/>
                      <w:rPr>
                        <w:sz w:val="18"/>
                        <w:szCs w:val="18"/>
                      </w:rPr>
                    </w:pPr>
                  </w:p>
                </w:tc>
                <w:tc>
                  <w:tcPr>
                    <w:tcW w:w="303" w:type="pct"/>
                    <w:vMerge/>
                  </w:tcPr>
                  <w:p w:rsidR="004A3868" w:rsidRDefault="004A3868">
                    <w:pPr>
                      <w:jc w:val="center"/>
                      <w:rPr>
                        <w:sz w:val="18"/>
                        <w:szCs w:val="18"/>
                      </w:rPr>
                    </w:pPr>
                  </w:p>
                </w:tc>
                <w:tc>
                  <w:tcPr>
                    <w:tcW w:w="289" w:type="pct"/>
                    <w:vMerge/>
                  </w:tcPr>
                  <w:p w:rsidR="004A3868" w:rsidRDefault="004A3868">
                    <w:pPr>
                      <w:jc w:val="center"/>
                      <w:rPr>
                        <w:sz w:val="18"/>
                        <w:szCs w:val="18"/>
                      </w:rPr>
                    </w:pPr>
                  </w:p>
                </w:tc>
                <w:tc>
                  <w:tcPr>
                    <w:tcW w:w="344" w:type="pct"/>
                    <w:vMerge/>
                  </w:tcPr>
                  <w:p w:rsidR="004A3868" w:rsidRDefault="004A3868">
                    <w:pPr>
                      <w:jc w:val="center"/>
                      <w:rPr>
                        <w:sz w:val="18"/>
                        <w:szCs w:val="18"/>
                      </w:rPr>
                    </w:pPr>
                  </w:p>
                </w:tc>
                <w:tc>
                  <w:tcPr>
                    <w:tcW w:w="375" w:type="pct"/>
                    <w:vMerge/>
                    <w:tcBorders>
                      <w:bottom w:val="nil"/>
                    </w:tcBorders>
                  </w:tcPr>
                  <w:p w:rsidR="004A3868" w:rsidRDefault="004A3868">
                    <w:pPr>
                      <w:jc w:val="center"/>
                      <w:rPr>
                        <w:sz w:val="18"/>
                        <w:szCs w:val="18"/>
                      </w:rPr>
                    </w:pPr>
                  </w:p>
                </w:tc>
              </w:tr>
              <w:tr w:rsidR="004A3868">
                <w:tc>
                  <w:tcPr>
                    <w:tcW w:w="652" w:type="pct"/>
                  </w:tcPr>
                  <w:p w:rsidR="004A3868" w:rsidRDefault="003F1AB5">
                    <w:pPr>
                      <w:pStyle w:val="afff9"/>
                    </w:pPr>
                    <w:r>
                      <w:t>一、上年</w:t>
                    </w:r>
                    <w:r>
                      <w:rPr>
                        <w:rFonts w:hint="eastAsia"/>
                      </w:rPr>
                      <w:t>年</w:t>
                    </w:r>
                    <w:r>
                      <w:t>末余额</w:t>
                    </w:r>
                  </w:p>
                </w:tc>
                <w:tc>
                  <w:tcPr>
                    <w:tcW w:w="273" w:type="pct"/>
                    <w:vAlign w:val="center"/>
                  </w:tcPr>
                  <w:p w:rsidR="004A3868" w:rsidRDefault="003F1AB5">
                    <w:pPr>
                      <w:pStyle w:val="afff7"/>
                      <w:rPr>
                        <w:sz w:val="18"/>
                        <w:szCs w:val="18"/>
                      </w:rPr>
                    </w:pPr>
                    <w:r>
                      <w:t xml:space="preserve"> 249,875,555.00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211,114,616.80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11,517,268.61 </w:t>
                    </w:r>
                  </w:p>
                </w:tc>
                <w:tc>
                  <w:tcPr>
                    <w:tcW w:w="273" w:type="pct"/>
                    <w:vAlign w:val="center"/>
                  </w:tcPr>
                  <w:p w:rsidR="004A3868" w:rsidRDefault="003F1AB5">
                    <w:pPr>
                      <w:pStyle w:val="afff7"/>
                      <w:rPr>
                        <w:sz w:val="18"/>
                        <w:szCs w:val="18"/>
                      </w:rPr>
                    </w:pPr>
                    <w:r>
                      <w:t xml:space="preserve"> 63,491,650.25 </w:t>
                    </w:r>
                  </w:p>
                </w:tc>
                <w:tc>
                  <w:tcPr>
                    <w:tcW w:w="273" w:type="pct"/>
                    <w:vAlign w:val="center"/>
                  </w:tcPr>
                  <w:p w:rsidR="004A3868" w:rsidRDefault="004A3868">
                    <w:pPr>
                      <w:pStyle w:val="afff7"/>
                    </w:pPr>
                  </w:p>
                </w:tc>
                <w:tc>
                  <w:tcPr>
                    <w:tcW w:w="307" w:type="pct"/>
                    <w:vAlign w:val="center"/>
                  </w:tcPr>
                  <w:p w:rsidR="004A3868" w:rsidRDefault="003F1AB5">
                    <w:pPr>
                      <w:pStyle w:val="afff7"/>
                      <w:rPr>
                        <w:sz w:val="18"/>
                        <w:szCs w:val="18"/>
                      </w:rPr>
                    </w:pPr>
                    <w:r>
                      <w:t xml:space="preserve"> 574,120,090.92 </w:t>
                    </w: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1,110,119,181.58 </w:t>
                    </w:r>
                  </w:p>
                </w:tc>
                <w:tc>
                  <w:tcPr>
                    <w:tcW w:w="344" w:type="pct"/>
                    <w:vAlign w:val="center"/>
                  </w:tcPr>
                  <w:p w:rsidR="004A3868" w:rsidRDefault="003F1AB5">
                    <w:pPr>
                      <w:pStyle w:val="afff7"/>
                      <w:rPr>
                        <w:sz w:val="18"/>
                        <w:szCs w:val="18"/>
                      </w:rPr>
                    </w:pPr>
                    <w:r>
                      <w:t xml:space="preserve"> 5,189,900.86 </w:t>
                    </w:r>
                  </w:p>
                </w:tc>
                <w:tc>
                  <w:tcPr>
                    <w:tcW w:w="375" w:type="pct"/>
                    <w:vAlign w:val="center"/>
                  </w:tcPr>
                  <w:p w:rsidR="004A3868" w:rsidRDefault="003F1AB5">
                    <w:pPr>
                      <w:pStyle w:val="afff7"/>
                      <w:rPr>
                        <w:sz w:val="18"/>
                        <w:szCs w:val="18"/>
                      </w:rPr>
                    </w:pPr>
                    <w:r>
                      <w:t xml:space="preserve"> 1,115,309,082.44 </w:t>
                    </w:r>
                  </w:p>
                </w:tc>
              </w:tr>
              <w:tr w:rsidR="004A3868">
                <w:tc>
                  <w:tcPr>
                    <w:tcW w:w="652" w:type="pct"/>
                  </w:tcPr>
                  <w:p w:rsidR="004A3868" w:rsidRDefault="003F1AB5">
                    <w:pPr>
                      <w:pStyle w:val="afff9"/>
                    </w:pPr>
                    <w:r>
                      <w:rPr>
                        <w:rFonts w:hint="eastAsia"/>
                      </w:rPr>
                      <w:t>加：</w:t>
                    </w:r>
                    <w:r>
                      <w:t>会计政策变更</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前期差错更正</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rPr>
                        <w:rFonts w:hint="eastAsia"/>
                      </w:rPr>
                      <w:t>其他</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二、本年</w:t>
                    </w:r>
                    <w:r>
                      <w:rPr>
                        <w:rFonts w:hint="eastAsia"/>
                      </w:rPr>
                      <w:t>期</w:t>
                    </w:r>
                    <w:r>
                      <w:t>初余额</w:t>
                    </w:r>
                  </w:p>
                </w:tc>
                <w:tc>
                  <w:tcPr>
                    <w:tcW w:w="273" w:type="pct"/>
                    <w:vAlign w:val="center"/>
                  </w:tcPr>
                  <w:p w:rsidR="004A3868" w:rsidRDefault="003F1AB5">
                    <w:pPr>
                      <w:pStyle w:val="afff7"/>
                      <w:rPr>
                        <w:sz w:val="18"/>
                        <w:szCs w:val="18"/>
                      </w:rPr>
                    </w:pPr>
                    <w:r>
                      <w:t xml:space="preserve"> 249,875,555.00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211,114,616.80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11,517,268.61 </w:t>
                    </w:r>
                  </w:p>
                </w:tc>
                <w:tc>
                  <w:tcPr>
                    <w:tcW w:w="273" w:type="pct"/>
                    <w:vAlign w:val="center"/>
                  </w:tcPr>
                  <w:p w:rsidR="004A3868" w:rsidRDefault="003F1AB5">
                    <w:pPr>
                      <w:pStyle w:val="afff7"/>
                      <w:rPr>
                        <w:sz w:val="18"/>
                        <w:szCs w:val="18"/>
                      </w:rPr>
                    </w:pPr>
                    <w:r>
                      <w:t xml:space="preserve"> 63,491,650.25 </w:t>
                    </w:r>
                  </w:p>
                </w:tc>
                <w:tc>
                  <w:tcPr>
                    <w:tcW w:w="273" w:type="pct"/>
                    <w:vAlign w:val="center"/>
                  </w:tcPr>
                  <w:p w:rsidR="004A3868" w:rsidRDefault="004A3868">
                    <w:pPr>
                      <w:pStyle w:val="afff7"/>
                    </w:pPr>
                  </w:p>
                </w:tc>
                <w:tc>
                  <w:tcPr>
                    <w:tcW w:w="307" w:type="pct"/>
                    <w:vAlign w:val="center"/>
                  </w:tcPr>
                  <w:p w:rsidR="004A3868" w:rsidRDefault="003F1AB5">
                    <w:pPr>
                      <w:pStyle w:val="afff7"/>
                      <w:rPr>
                        <w:sz w:val="18"/>
                        <w:szCs w:val="18"/>
                      </w:rPr>
                    </w:pPr>
                    <w:r>
                      <w:t xml:space="preserve"> 574,120,090.92 </w:t>
                    </w: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1,110,119,181.58 </w:t>
                    </w:r>
                  </w:p>
                </w:tc>
                <w:tc>
                  <w:tcPr>
                    <w:tcW w:w="344" w:type="pct"/>
                    <w:vAlign w:val="center"/>
                  </w:tcPr>
                  <w:p w:rsidR="004A3868" w:rsidRDefault="003F1AB5">
                    <w:pPr>
                      <w:pStyle w:val="afff7"/>
                      <w:rPr>
                        <w:sz w:val="18"/>
                        <w:szCs w:val="18"/>
                      </w:rPr>
                    </w:pPr>
                    <w:r>
                      <w:t xml:space="preserve"> 5,189,900.86 </w:t>
                    </w:r>
                  </w:p>
                </w:tc>
                <w:tc>
                  <w:tcPr>
                    <w:tcW w:w="375" w:type="pct"/>
                    <w:vAlign w:val="center"/>
                  </w:tcPr>
                  <w:p w:rsidR="004A3868" w:rsidRDefault="003F1AB5">
                    <w:pPr>
                      <w:pStyle w:val="afff7"/>
                      <w:rPr>
                        <w:sz w:val="18"/>
                        <w:szCs w:val="18"/>
                      </w:rPr>
                    </w:pPr>
                    <w:r>
                      <w:t xml:space="preserve"> 1,115,309,082.44 </w:t>
                    </w:r>
                  </w:p>
                </w:tc>
              </w:tr>
              <w:tr w:rsidR="004A3868">
                <w:tc>
                  <w:tcPr>
                    <w:tcW w:w="652" w:type="pct"/>
                  </w:tcPr>
                  <w:p w:rsidR="004A3868" w:rsidRDefault="003F1AB5">
                    <w:pPr>
                      <w:pStyle w:val="afff9"/>
                    </w:pPr>
                    <w:r>
                      <w:t>三、本</w:t>
                    </w:r>
                    <w:r>
                      <w:rPr>
                        <w:rFonts w:hint="eastAsia"/>
                      </w:rPr>
                      <w:t>期</w:t>
                    </w:r>
                    <w:r>
                      <w:t>增减</w:t>
                    </w:r>
                    <w:r>
                      <w:lastRenderedPageBreak/>
                      <w:t>变动金额（减少以</w:t>
                    </w:r>
                    <w:r>
                      <w:t>“</w:t>
                    </w:r>
                    <w:r>
                      <w:t>－</w:t>
                    </w:r>
                    <w:r>
                      <w:t>”</w:t>
                    </w:r>
                    <w:r>
                      <w:t>号填列）</w:t>
                    </w:r>
                  </w:p>
                </w:tc>
                <w:tc>
                  <w:tcPr>
                    <w:tcW w:w="273" w:type="pct"/>
                    <w:vAlign w:val="center"/>
                  </w:tcPr>
                  <w:p w:rsidR="004A3868" w:rsidRDefault="003F1AB5">
                    <w:pPr>
                      <w:pStyle w:val="afff7"/>
                      <w:rPr>
                        <w:sz w:val="18"/>
                        <w:szCs w:val="18"/>
                      </w:rPr>
                    </w:pPr>
                    <w:r>
                      <w:lastRenderedPageBreak/>
                      <w:t xml:space="preserve"> 83,291,852.00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771,269,948.00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3,794,659.72 </w:t>
                    </w:r>
                  </w:p>
                </w:tc>
                <w:tc>
                  <w:tcPr>
                    <w:tcW w:w="273" w:type="pct"/>
                    <w:vAlign w:val="center"/>
                  </w:tcPr>
                  <w:p w:rsidR="004A3868" w:rsidRDefault="003F1AB5">
                    <w:pPr>
                      <w:pStyle w:val="afff7"/>
                      <w:rPr>
                        <w:sz w:val="18"/>
                        <w:szCs w:val="18"/>
                      </w:rPr>
                    </w:pPr>
                    <w:r>
                      <w:t xml:space="preserve"> 30,598,947.88 </w:t>
                    </w:r>
                  </w:p>
                </w:tc>
                <w:tc>
                  <w:tcPr>
                    <w:tcW w:w="273" w:type="pct"/>
                    <w:vAlign w:val="center"/>
                  </w:tcPr>
                  <w:p w:rsidR="004A3868" w:rsidRDefault="004A3868">
                    <w:pPr>
                      <w:pStyle w:val="afff7"/>
                    </w:pPr>
                  </w:p>
                </w:tc>
                <w:tc>
                  <w:tcPr>
                    <w:tcW w:w="307" w:type="pct"/>
                    <w:vAlign w:val="center"/>
                  </w:tcPr>
                  <w:p w:rsidR="004A3868" w:rsidRDefault="003F1AB5">
                    <w:pPr>
                      <w:pStyle w:val="afff7"/>
                      <w:rPr>
                        <w:sz w:val="18"/>
                        <w:szCs w:val="18"/>
                      </w:rPr>
                    </w:pPr>
                    <w:r>
                      <w:t xml:space="preserve"> 267,511,224.96 </w:t>
                    </w: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1,156,466,632.56 </w:t>
                    </w:r>
                  </w:p>
                </w:tc>
                <w:tc>
                  <w:tcPr>
                    <w:tcW w:w="344" w:type="pct"/>
                    <w:vAlign w:val="center"/>
                  </w:tcPr>
                  <w:p w:rsidR="004A3868" w:rsidRDefault="003F1AB5">
                    <w:pPr>
                      <w:pStyle w:val="afff7"/>
                      <w:rPr>
                        <w:sz w:val="18"/>
                        <w:szCs w:val="18"/>
                      </w:rPr>
                    </w:pPr>
                    <w:r>
                      <w:t xml:space="preserve"> -4,502,223.29 </w:t>
                    </w:r>
                  </w:p>
                </w:tc>
                <w:tc>
                  <w:tcPr>
                    <w:tcW w:w="375" w:type="pct"/>
                    <w:vAlign w:val="center"/>
                  </w:tcPr>
                  <w:p w:rsidR="004A3868" w:rsidRDefault="003F1AB5">
                    <w:pPr>
                      <w:pStyle w:val="afff7"/>
                      <w:rPr>
                        <w:sz w:val="18"/>
                        <w:szCs w:val="18"/>
                      </w:rPr>
                    </w:pPr>
                    <w:r>
                      <w:t xml:space="preserve"> 1,151,964,409.27 </w:t>
                    </w:r>
                  </w:p>
                </w:tc>
              </w:tr>
              <w:tr w:rsidR="004A3868">
                <w:tc>
                  <w:tcPr>
                    <w:tcW w:w="652" w:type="pct"/>
                  </w:tcPr>
                  <w:p w:rsidR="004A3868" w:rsidRDefault="003F1AB5">
                    <w:pPr>
                      <w:pStyle w:val="afff9"/>
                    </w:pPr>
                    <w:r>
                      <w:rPr>
                        <w:rFonts w:hint="eastAsia"/>
                      </w:rPr>
                      <w:t>（一）综合收益总额</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3F1AB5">
                    <w:pPr>
                      <w:pStyle w:val="afff7"/>
                      <w:rPr>
                        <w:sz w:val="18"/>
                        <w:szCs w:val="18"/>
                      </w:rPr>
                    </w:pPr>
                    <w:r>
                      <w:t xml:space="preserve"> 298,110,172.84 </w:t>
                    </w: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298,110,172.84 </w:t>
                    </w:r>
                  </w:p>
                </w:tc>
                <w:tc>
                  <w:tcPr>
                    <w:tcW w:w="344" w:type="pct"/>
                    <w:vAlign w:val="center"/>
                  </w:tcPr>
                  <w:p w:rsidR="004A3868" w:rsidRDefault="003F1AB5">
                    <w:pPr>
                      <w:pStyle w:val="afff7"/>
                      <w:rPr>
                        <w:sz w:val="18"/>
                        <w:szCs w:val="18"/>
                      </w:rPr>
                    </w:pPr>
                    <w:r>
                      <w:t xml:space="preserve"> -4,502,223.29 </w:t>
                    </w:r>
                  </w:p>
                </w:tc>
                <w:tc>
                  <w:tcPr>
                    <w:tcW w:w="375" w:type="pct"/>
                    <w:vAlign w:val="center"/>
                  </w:tcPr>
                  <w:p w:rsidR="004A3868" w:rsidRDefault="003F1AB5">
                    <w:pPr>
                      <w:pStyle w:val="afff7"/>
                      <w:rPr>
                        <w:sz w:val="18"/>
                        <w:szCs w:val="18"/>
                      </w:rPr>
                    </w:pPr>
                    <w:r>
                      <w:t xml:space="preserve"> 293,607,949.55 </w:t>
                    </w:r>
                  </w:p>
                </w:tc>
              </w:tr>
              <w:tr w:rsidR="004A3868">
                <w:tc>
                  <w:tcPr>
                    <w:tcW w:w="652" w:type="pct"/>
                  </w:tcPr>
                  <w:p w:rsidR="004A3868" w:rsidRDefault="003F1AB5">
                    <w:pPr>
                      <w:pStyle w:val="afff9"/>
                    </w:pPr>
                    <w:r>
                      <w:t>（</w:t>
                    </w:r>
                    <w:r>
                      <w:rPr>
                        <w:rFonts w:hint="eastAsia"/>
                      </w:rPr>
                      <w:t>二</w:t>
                    </w:r>
                    <w:r>
                      <w:t>）所有者投入和减少资本</w:t>
                    </w:r>
                  </w:p>
                </w:tc>
                <w:tc>
                  <w:tcPr>
                    <w:tcW w:w="273" w:type="pct"/>
                    <w:vAlign w:val="center"/>
                  </w:tcPr>
                  <w:p w:rsidR="004A3868" w:rsidRDefault="003F1AB5">
                    <w:pPr>
                      <w:pStyle w:val="afff7"/>
                      <w:rPr>
                        <w:sz w:val="18"/>
                        <w:szCs w:val="18"/>
                      </w:rPr>
                    </w:pPr>
                    <w:r>
                      <w:t xml:space="preserve"> 83,291,852.00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771,269,948.00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854,561,800.00 </w:t>
                    </w:r>
                  </w:p>
                </w:tc>
                <w:tc>
                  <w:tcPr>
                    <w:tcW w:w="344" w:type="pct"/>
                    <w:vAlign w:val="center"/>
                  </w:tcPr>
                  <w:p w:rsidR="004A3868" w:rsidRDefault="003F1AB5">
                    <w:pPr>
                      <w:pStyle w:val="afff7"/>
                      <w:rPr>
                        <w:sz w:val="18"/>
                        <w:szCs w:val="18"/>
                      </w:rPr>
                    </w:pPr>
                    <w:r>
                      <w:t xml:space="preserve"> -   </w:t>
                    </w:r>
                  </w:p>
                </w:tc>
                <w:tc>
                  <w:tcPr>
                    <w:tcW w:w="375" w:type="pct"/>
                    <w:vAlign w:val="center"/>
                  </w:tcPr>
                  <w:p w:rsidR="004A3868" w:rsidRDefault="003F1AB5">
                    <w:pPr>
                      <w:pStyle w:val="afff7"/>
                      <w:rPr>
                        <w:sz w:val="18"/>
                        <w:szCs w:val="18"/>
                      </w:rPr>
                    </w:pPr>
                    <w:r>
                      <w:t xml:space="preserve"> 854,561,800.00 </w:t>
                    </w:r>
                  </w:p>
                </w:tc>
              </w:tr>
              <w:tr w:rsidR="004A3868">
                <w:tc>
                  <w:tcPr>
                    <w:tcW w:w="652" w:type="pct"/>
                  </w:tcPr>
                  <w:p w:rsidR="004A3868" w:rsidRDefault="003F1AB5">
                    <w:pPr>
                      <w:pStyle w:val="afff9"/>
                    </w:pPr>
                    <w:r>
                      <w:rPr>
                        <w:rFonts w:hint="eastAsia"/>
                      </w:rPr>
                      <w:t>1</w:t>
                    </w:r>
                    <w:r>
                      <w:rPr>
                        <w:rFonts w:hint="eastAsia"/>
                      </w:rPr>
                      <w:t>．所有者投入的普通股</w:t>
                    </w:r>
                  </w:p>
                </w:tc>
                <w:tc>
                  <w:tcPr>
                    <w:tcW w:w="273" w:type="pct"/>
                    <w:vAlign w:val="center"/>
                  </w:tcPr>
                  <w:p w:rsidR="004A3868" w:rsidRDefault="003F1AB5">
                    <w:pPr>
                      <w:pStyle w:val="afff7"/>
                      <w:rPr>
                        <w:sz w:val="18"/>
                        <w:szCs w:val="18"/>
                      </w:rPr>
                    </w:pPr>
                    <w:r>
                      <w:t xml:space="preserve"> 83,291,852.00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771,269,948.00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854,561,800.00 </w:t>
                    </w:r>
                  </w:p>
                </w:tc>
                <w:tc>
                  <w:tcPr>
                    <w:tcW w:w="344" w:type="pct"/>
                    <w:vAlign w:val="center"/>
                  </w:tcPr>
                  <w:p w:rsidR="004A3868" w:rsidRDefault="003F1AB5">
                    <w:pPr>
                      <w:pStyle w:val="afff7"/>
                      <w:rPr>
                        <w:sz w:val="18"/>
                        <w:szCs w:val="18"/>
                      </w:rPr>
                    </w:pPr>
                    <w:r>
                      <w:t xml:space="preserve"> -   </w:t>
                    </w:r>
                  </w:p>
                </w:tc>
                <w:tc>
                  <w:tcPr>
                    <w:tcW w:w="375" w:type="pct"/>
                    <w:vAlign w:val="center"/>
                  </w:tcPr>
                  <w:p w:rsidR="004A3868" w:rsidRDefault="003F1AB5">
                    <w:pPr>
                      <w:pStyle w:val="afff7"/>
                      <w:rPr>
                        <w:sz w:val="18"/>
                        <w:szCs w:val="18"/>
                      </w:rPr>
                    </w:pPr>
                    <w:r>
                      <w:t xml:space="preserve"> 854,561,800.00 </w:t>
                    </w:r>
                  </w:p>
                </w:tc>
              </w:tr>
              <w:tr w:rsidR="004A3868">
                <w:tc>
                  <w:tcPr>
                    <w:tcW w:w="652" w:type="pct"/>
                  </w:tcPr>
                  <w:p w:rsidR="004A3868" w:rsidRDefault="003F1AB5">
                    <w:pPr>
                      <w:pStyle w:val="afff9"/>
                    </w:pPr>
                    <w:r>
                      <w:rPr>
                        <w:rFonts w:hint="eastAsia"/>
                      </w:rPr>
                      <w:t>2</w:t>
                    </w:r>
                    <w:r>
                      <w:rPr>
                        <w:rFonts w:hint="eastAsia"/>
                      </w:rPr>
                      <w:t>．其他权益工具持有者投入资本</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rPr>
                        <w:rFonts w:hint="eastAsia"/>
                      </w:rPr>
                      <w:t>3</w:t>
                    </w:r>
                    <w:r>
                      <w:t>．股</w:t>
                    </w:r>
                    <w:r>
                      <w:lastRenderedPageBreak/>
                      <w:t>份支付计入所有者权益的金额</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rPr>
                        <w:rFonts w:hint="eastAsia"/>
                      </w:rPr>
                      <w:t>4</w:t>
                    </w:r>
                    <w:r>
                      <w:t>．其他</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w:t>
                    </w:r>
                    <w:r>
                      <w:rPr>
                        <w:rFonts w:hint="eastAsia"/>
                      </w:rPr>
                      <w:t>三</w:t>
                    </w:r>
                    <w:r>
                      <w:t>）利润分配</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30,598,947.88 </w:t>
                    </w:r>
                  </w:p>
                </w:tc>
                <w:tc>
                  <w:tcPr>
                    <w:tcW w:w="273" w:type="pct"/>
                    <w:vAlign w:val="center"/>
                  </w:tcPr>
                  <w:p w:rsidR="004A3868" w:rsidRDefault="004A3868">
                    <w:pPr>
                      <w:pStyle w:val="afff7"/>
                    </w:pPr>
                  </w:p>
                </w:tc>
                <w:tc>
                  <w:tcPr>
                    <w:tcW w:w="307" w:type="pct"/>
                    <w:vAlign w:val="center"/>
                  </w:tcPr>
                  <w:p w:rsidR="004A3868" w:rsidRDefault="003F1AB5">
                    <w:pPr>
                      <w:pStyle w:val="afff7"/>
                      <w:rPr>
                        <w:sz w:val="18"/>
                        <w:szCs w:val="18"/>
                      </w:rPr>
                    </w:pPr>
                    <w:r>
                      <w:t xml:space="preserve"> -30,598,947.88 </w:t>
                    </w: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1</w:t>
                    </w:r>
                    <w:r>
                      <w:t>．提取盈余公积</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30,598,947.88 </w:t>
                    </w:r>
                  </w:p>
                </w:tc>
                <w:tc>
                  <w:tcPr>
                    <w:tcW w:w="273" w:type="pct"/>
                    <w:vAlign w:val="center"/>
                  </w:tcPr>
                  <w:p w:rsidR="004A3868" w:rsidRDefault="004A3868">
                    <w:pPr>
                      <w:pStyle w:val="afff7"/>
                    </w:pPr>
                  </w:p>
                </w:tc>
                <w:tc>
                  <w:tcPr>
                    <w:tcW w:w="307" w:type="pct"/>
                    <w:vAlign w:val="center"/>
                  </w:tcPr>
                  <w:p w:rsidR="004A3868" w:rsidRDefault="003F1AB5">
                    <w:pPr>
                      <w:pStyle w:val="afff7"/>
                      <w:rPr>
                        <w:sz w:val="18"/>
                        <w:szCs w:val="18"/>
                      </w:rPr>
                    </w:pPr>
                    <w:r>
                      <w:t xml:space="preserve"> -30,598,947.88 </w:t>
                    </w: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2</w:t>
                    </w:r>
                    <w:r>
                      <w:t>．提取一般风险准备</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3</w:t>
                    </w:r>
                    <w:r>
                      <w:t>．对所有者（或股东）的分配</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4</w:t>
                    </w:r>
                    <w:r>
                      <w:t>．其他</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lastRenderedPageBreak/>
                      <w:t>（</w:t>
                    </w:r>
                    <w:r>
                      <w:rPr>
                        <w:rFonts w:hint="eastAsia"/>
                      </w:rPr>
                      <w:t>四</w:t>
                    </w:r>
                    <w:r>
                      <w:t>）所有者权益内部结转</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1</w:t>
                    </w:r>
                    <w:r>
                      <w:t>．资本公积转增资本（或股本）</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2</w:t>
                    </w:r>
                    <w:r>
                      <w:t>．盈余公积转增资本（或股本）</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3</w:t>
                    </w:r>
                    <w:r>
                      <w:t>．盈余公积弥补亏损</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4</w:t>
                    </w:r>
                    <w:r>
                      <w:t>．设定受益计划变动额</w:t>
                    </w:r>
                    <w:r>
                      <w:lastRenderedPageBreak/>
                      <w:t>结转留存收益</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5</w:t>
                    </w:r>
                    <w:r>
                      <w:t>．其他综合收益结转留存收益</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6</w:t>
                    </w:r>
                    <w:r>
                      <w:t>．其他</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rPr>
                        <w:rFonts w:hint="eastAsia"/>
                      </w:rPr>
                      <w:t>（五）专项储备</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3,794,659.72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3,794,659.72 </w:t>
                    </w:r>
                  </w:p>
                </w:tc>
                <w:tc>
                  <w:tcPr>
                    <w:tcW w:w="344" w:type="pct"/>
                    <w:vAlign w:val="center"/>
                  </w:tcPr>
                  <w:p w:rsidR="004A3868" w:rsidRDefault="004A3868">
                    <w:pPr>
                      <w:pStyle w:val="afff7"/>
                    </w:pPr>
                  </w:p>
                </w:tc>
                <w:tc>
                  <w:tcPr>
                    <w:tcW w:w="375" w:type="pct"/>
                    <w:vAlign w:val="center"/>
                  </w:tcPr>
                  <w:p w:rsidR="004A3868" w:rsidRDefault="003F1AB5">
                    <w:pPr>
                      <w:pStyle w:val="afff7"/>
                      <w:rPr>
                        <w:sz w:val="18"/>
                        <w:szCs w:val="18"/>
                      </w:rPr>
                    </w:pPr>
                    <w:r>
                      <w:t xml:space="preserve"> 3,794,659.72 </w:t>
                    </w:r>
                  </w:p>
                </w:tc>
              </w:tr>
              <w:tr w:rsidR="004A3868">
                <w:tc>
                  <w:tcPr>
                    <w:tcW w:w="652" w:type="pct"/>
                  </w:tcPr>
                  <w:p w:rsidR="004A3868" w:rsidRDefault="003F1AB5">
                    <w:pPr>
                      <w:pStyle w:val="afff9"/>
                    </w:pPr>
                    <w:r>
                      <w:rPr>
                        <w:rFonts w:hint="eastAsia"/>
                      </w:rPr>
                      <w:t>1</w:t>
                    </w:r>
                    <w:r>
                      <w:rPr>
                        <w:rFonts w:hint="eastAsia"/>
                      </w:rPr>
                      <w:t>．本期提取</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6,582,197.34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6,582,197.34 </w:t>
                    </w:r>
                  </w:p>
                </w:tc>
                <w:tc>
                  <w:tcPr>
                    <w:tcW w:w="344" w:type="pct"/>
                    <w:vAlign w:val="center"/>
                  </w:tcPr>
                  <w:p w:rsidR="004A3868" w:rsidRDefault="004A3868">
                    <w:pPr>
                      <w:pStyle w:val="afff7"/>
                    </w:pPr>
                  </w:p>
                </w:tc>
                <w:tc>
                  <w:tcPr>
                    <w:tcW w:w="375" w:type="pct"/>
                    <w:vAlign w:val="center"/>
                  </w:tcPr>
                  <w:p w:rsidR="004A3868" w:rsidRDefault="003F1AB5">
                    <w:pPr>
                      <w:pStyle w:val="afff7"/>
                      <w:rPr>
                        <w:sz w:val="18"/>
                        <w:szCs w:val="18"/>
                      </w:rPr>
                    </w:pPr>
                    <w:r>
                      <w:t xml:space="preserve"> 6,582,197.34 </w:t>
                    </w:r>
                  </w:p>
                </w:tc>
              </w:tr>
              <w:tr w:rsidR="004A3868">
                <w:tc>
                  <w:tcPr>
                    <w:tcW w:w="652" w:type="pct"/>
                  </w:tcPr>
                  <w:p w:rsidR="004A3868" w:rsidRDefault="003F1AB5">
                    <w:pPr>
                      <w:pStyle w:val="afff9"/>
                    </w:pPr>
                    <w:r>
                      <w:rPr>
                        <w:rFonts w:hint="eastAsia"/>
                      </w:rPr>
                      <w:t>2</w:t>
                    </w:r>
                    <w:r>
                      <w:rPr>
                        <w:rFonts w:hint="eastAsia"/>
                      </w:rPr>
                      <w:t>．本期使用</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-2,787,537.62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-2,787,537.62 </w:t>
                    </w:r>
                  </w:p>
                </w:tc>
                <w:tc>
                  <w:tcPr>
                    <w:tcW w:w="344" w:type="pct"/>
                    <w:vAlign w:val="center"/>
                  </w:tcPr>
                  <w:p w:rsidR="004A3868" w:rsidRDefault="004A3868">
                    <w:pPr>
                      <w:pStyle w:val="afff7"/>
                    </w:pPr>
                  </w:p>
                </w:tc>
                <w:tc>
                  <w:tcPr>
                    <w:tcW w:w="375" w:type="pct"/>
                    <w:vAlign w:val="center"/>
                  </w:tcPr>
                  <w:p w:rsidR="004A3868" w:rsidRDefault="003F1AB5">
                    <w:pPr>
                      <w:pStyle w:val="afff7"/>
                      <w:rPr>
                        <w:sz w:val="18"/>
                        <w:szCs w:val="18"/>
                      </w:rPr>
                    </w:pPr>
                    <w:r>
                      <w:t xml:space="preserve"> -2,787,537.62 </w:t>
                    </w:r>
                  </w:p>
                </w:tc>
              </w:tr>
              <w:tr w:rsidR="004A3868">
                <w:tc>
                  <w:tcPr>
                    <w:tcW w:w="652" w:type="pct"/>
                  </w:tcPr>
                  <w:p w:rsidR="004A3868" w:rsidRDefault="003F1AB5">
                    <w:pPr>
                      <w:pStyle w:val="afff9"/>
                    </w:pPr>
                    <w:r>
                      <w:rPr>
                        <w:rFonts w:hint="eastAsia"/>
                      </w:rPr>
                      <w:t>（六）其他</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307" w:type="pct"/>
                    <w:vAlign w:val="center"/>
                  </w:tcPr>
                  <w:p w:rsidR="004A3868" w:rsidRDefault="004A3868">
                    <w:pPr>
                      <w:pStyle w:val="afff7"/>
                    </w:pPr>
                  </w:p>
                </w:tc>
                <w:tc>
                  <w:tcPr>
                    <w:tcW w:w="303" w:type="pct"/>
                    <w:vAlign w:val="center"/>
                  </w:tcPr>
                  <w:p w:rsidR="004A3868" w:rsidRDefault="004A3868">
                    <w:pPr>
                      <w:pStyle w:val="afff7"/>
                    </w:pPr>
                  </w:p>
                </w:tc>
                <w:tc>
                  <w:tcPr>
                    <w:tcW w:w="289" w:type="pct"/>
                    <w:vAlign w:val="center"/>
                  </w:tcPr>
                  <w:p w:rsidR="004A3868" w:rsidRDefault="004A3868">
                    <w:pPr>
                      <w:pStyle w:val="afff7"/>
                    </w:pPr>
                  </w:p>
                </w:tc>
                <w:tc>
                  <w:tcPr>
                    <w:tcW w:w="344" w:type="pct"/>
                    <w:vAlign w:val="center"/>
                  </w:tcPr>
                  <w:p w:rsidR="004A3868" w:rsidRDefault="004A3868">
                    <w:pPr>
                      <w:pStyle w:val="afff7"/>
                    </w:pPr>
                  </w:p>
                </w:tc>
                <w:tc>
                  <w:tcPr>
                    <w:tcW w:w="375" w:type="pct"/>
                    <w:vAlign w:val="center"/>
                  </w:tcPr>
                  <w:p w:rsidR="004A3868" w:rsidRDefault="004A3868">
                    <w:pPr>
                      <w:pStyle w:val="afff7"/>
                    </w:pPr>
                  </w:p>
                </w:tc>
              </w:tr>
              <w:tr w:rsidR="004A3868">
                <w:tc>
                  <w:tcPr>
                    <w:tcW w:w="652" w:type="pct"/>
                  </w:tcPr>
                  <w:p w:rsidR="004A3868" w:rsidRDefault="003F1AB5">
                    <w:pPr>
                      <w:pStyle w:val="afff9"/>
                    </w:pPr>
                    <w:r>
                      <w:t>四、本期期末余额</w:t>
                    </w:r>
                  </w:p>
                </w:tc>
                <w:tc>
                  <w:tcPr>
                    <w:tcW w:w="273" w:type="pct"/>
                    <w:vAlign w:val="center"/>
                  </w:tcPr>
                  <w:p w:rsidR="004A3868" w:rsidRDefault="003F1AB5">
                    <w:pPr>
                      <w:pStyle w:val="afff7"/>
                      <w:rPr>
                        <w:sz w:val="18"/>
                        <w:szCs w:val="18"/>
                      </w:rPr>
                    </w:pPr>
                    <w:r>
                      <w:t xml:space="preserve"> 333,167,407.00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982,384,564.80 </w:t>
                    </w:r>
                  </w:p>
                </w:tc>
                <w:tc>
                  <w:tcPr>
                    <w:tcW w:w="273" w:type="pct"/>
                    <w:vAlign w:val="center"/>
                  </w:tcPr>
                  <w:p w:rsidR="004A3868" w:rsidRDefault="004A3868">
                    <w:pPr>
                      <w:pStyle w:val="afff7"/>
                    </w:pPr>
                  </w:p>
                </w:tc>
                <w:tc>
                  <w:tcPr>
                    <w:tcW w:w="273" w:type="pct"/>
                    <w:vAlign w:val="center"/>
                  </w:tcPr>
                  <w:p w:rsidR="004A3868" w:rsidRDefault="004A3868">
                    <w:pPr>
                      <w:pStyle w:val="afff7"/>
                    </w:pPr>
                  </w:p>
                </w:tc>
                <w:tc>
                  <w:tcPr>
                    <w:tcW w:w="273" w:type="pct"/>
                    <w:vAlign w:val="center"/>
                  </w:tcPr>
                  <w:p w:rsidR="004A3868" w:rsidRDefault="003F1AB5">
                    <w:pPr>
                      <w:pStyle w:val="afff7"/>
                      <w:rPr>
                        <w:sz w:val="18"/>
                        <w:szCs w:val="18"/>
                      </w:rPr>
                    </w:pPr>
                    <w:r>
                      <w:t xml:space="preserve"> 15,311,928.33 </w:t>
                    </w:r>
                  </w:p>
                </w:tc>
                <w:tc>
                  <w:tcPr>
                    <w:tcW w:w="273" w:type="pct"/>
                    <w:vAlign w:val="center"/>
                  </w:tcPr>
                  <w:p w:rsidR="004A3868" w:rsidRDefault="003F1AB5">
                    <w:pPr>
                      <w:pStyle w:val="afff7"/>
                      <w:rPr>
                        <w:sz w:val="18"/>
                        <w:szCs w:val="18"/>
                      </w:rPr>
                    </w:pPr>
                    <w:r>
                      <w:t xml:space="preserve"> 94,090,598.13 </w:t>
                    </w:r>
                  </w:p>
                </w:tc>
                <w:tc>
                  <w:tcPr>
                    <w:tcW w:w="273" w:type="pct"/>
                    <w:vAlign w:val="center"/>
                  </w:tcPr>
                  <w:p w:rsidR="004A3868" w:rsidRDefault="004A3868">
                    <w:pPr>
                      <w:pStyle w:val="afff7"/>
                    </w:pPr>
                  </w:p>
                </w:tc>
                <w:tc>
                  <w:tcPr>
                    <w:tcW w:w="307" w:type="pct"/>
                    <w:vAlign w:val="center"/>
                  </w:tcPr>
                  <w:p w:rsidR="004A3868" w:rsidRDefault="003F1AB5">
                    <w:pPr>
                      <w:pStyle w:val="afff7"/>
                      <w:rPr>
                        <w:sz w:val="18"/>
                        <w:szCs w:val="18"/>
                      </w:rPr>
                    </w:pPr>
                    <w:r>
                      <w:t xml:space="preserve"> 841,631,315.88 </w:t>
                    </w:r>
                  </w:p>
                </w:tc>
                <w:tc>
                  <w:tcPr>
                    <w:tcW w:w="303" w:type="pct"/>
                    <w:vAlign w:val="center"/>
                  </w:tcPr>
                  <w:p w:rsidR="004A3868" w:rsidRDefault="004A3868">
                    <w:pPr>
                      <w:pStyle w:val="afff7"/>
                    </w:pPr>
                  </w:p>
                </w:tc>
                <w:tc>
                  <w:tcPr>
                    <w:tcW w:w="289" w:type="pct"/>
                    <w:vAlign w:val="center"/>
                  </w:tcPr>
                  <w:p w:rsidR="004A3868" w:rsidRDefault="003F1AB5">
                    <w:pPr>
                      <w:pStyle w:val="afff7"/>
                      <w:rPr>
                        <w:sz w:val="18"/>
                        <w:szCs w:val="18"/>
                      </w:rPr>
                    </w:pPr>
                    <w:r>
                      <w:t xml:space="preserve"> 2,266,585,814.14 </w:t>
                    </w:r>
                  </w:p>
                </w:tc>
                <w:tc>
                  <w:tcPr>
                    <w:tcW w:w="344" w:type="pct"/>
                    <w:vAlign w:val="center"/>
                  </w:tcPr>
                  <w:p w:rsidR="004A3868" w:rsidRDefault="003F1AB5">
                    <w:pPr>
                      <w:pStyle w:val="afff7"/>
                      <w:rPr>
                        <w:sz w:val="18"/>
                        <w:szCs w:val="18"/>
                      </w:rPr>
                    </w:pPr>
                    <w:r>
                      <w:t xml:space="preserve"> 687,677.57 </w:t>
                    </w:r>
                  </w:p>
                </w:tc>
                <w:tc>
                  <w:tcPr>
                    <w:tcW w:w="375" w:type="pct"/>
                    <w:vAlign w:val="center"/>
                  </w:tcPr>
                  <w:p w:rsidR="004A3868" w:rsidRDefault="003F1AB5">
                    <w:pPr>
                      <w:pStyle w:val="afff7"/>
                      <w:rPr>
                        <w:sz w:val="18"/>
                        <w:szCs w:val="18"/>
                      </w:rPr>
                    </w:pPr>
                    <w:r>
                      <w:t xml:space="preserve"> 2,267,273,491.71 </w:t>
                    </w:r>
                  </w:p>
                </w:tc>
              </w:tr>
            </w:tbl>
            <w:p w:rsidR="004A3868" w:rsidRDefault="003F1AB5">
              <w:pPr>
                <w:snapToGrid w:val="0"/>
                <w:spacing w:line="240" w:lineRule="atLeast"/>
                <w:rPr>
                  <w:b/>
                  <w:bCs/>
                  <w:color w:val="FF0000"/>
                  <w:szCs w:val="21"/>
                </w:rPr>
              </w:pPr>
              <w:r>
                <w:rPr>
                  <w:rStyle w:val="aa"/>
                  <w:rFonts w:hint="eastAsia"/>
                </w:rPr>
                <w:t>公司负责</w:t>
              </w:r>
              <w:r>
                <w:rPr>
                  <w:rStyle w:val="aa"/>
                </w:rPr>
                <w:t>人</w:t>
              </w:r>
              <w:r>
                <w:rPr>
                  <w:rStyle w:val="aa"/>
                  <w:rFonts w:hint="eastAsia"/>
                </w:rPr>
                <w:t>：</w:t>
              </w:r>
              <w:sdt>
                <w:sdtPr>
                  <w:rPr>
                    <w:rStyle w:val="aa"/>
                    <w:rFonts w:hint="eastAsia"/>
                  </w:rPr>
                  <w:alias w:val="公司负责人姓名"/>
                  <w:tag w:val="_GBC_076a4a0998a840bab20f0ed83e5bab3d"/>
                  <w:id w:val="949753670"/>
                  <w:lock w:val="sdtLocked"/>
                  <w:dataBinding w:prefixMappings="xmlns:clcid-mr='clcid-mr'" w:xpath="/*/clcid-mr:GongSiFuZeRenXingMing[not(@periodRef)]" w:storeItemID="{89EBAB94-44A0-46A2-B712-30D997D04A6D}"/>
                  <w:text/>
                </w:sdtPr>
                <w:sdtEndPr>
                  <w:rPr>
                    <w:rStyle w:val="aa"/>
                  </w:rPr>
                </w:sdtEndPr>
                <w:sdtContent>
                  <w:r>
                    <w:rPr>
                      <w:rStyle w:val="aa"/>
                      <w:rFonts w:hint="eastAsia"/>
                    </w:rPr>
                    <w:t>杨泽民</w:t>
                  </w:r>
                </w:sdtContent>
              </w:sdt>
              <w:r>
                <w:rPr>
                  <w:rStyle w:val="aa"/>
                  <w:rFonts w:hint="eastAsia"/>
                </w:rPr>
                <w:t xml:space="preserve"> </w:t>
              </w:r>
              <w:r>
                <w:rPr>
                  <w:rStyle w:val="aa"/>
                </w:rPr>
                <w:t>主管会计工作负责人</w:t>
              </w:r>
              <w:r>
                <w:rPr>
                  <w:rStyle w:val="aa"/>
                  <w:rFonts w:hint="eastAsia"/>
                </w:rPr>
                <w:t>：</w:t>
              </w:r>
              <w:sdt>
                <w:sdtPr>
                  <w:rPr>
                    <w:rStyle w:val="aa"/>
                    <w:rFonts w:hint="eastAsia"/>
                  </w:rPr>
                  <w:alias w:val="主管会计工作负责人姓名"/>
                  <w:tag w:val="_GBC_5b21002df9e248fa81a6770579ce76cd"/>
                  <w:id w:val="785323003"/>
                  <w:lock w:val="sdtLocked"/>
                  <w:dataBinding w:prefixMappings="xmlns:clcid-mr='clcid-mr'" w:xpath="/*/clcid-mr:ZhuGuanKuaiJiGongZuoFuZeRenXingMing[not(@periodRef)]" w:storeItemID="{89EBAB94-44A0-46A2-B712-30D997D04A6D}"/>
                  <w:text/>
                </w:sdtPr>
                <w:sdtEndPr>
                  <w:rPr>
                    <w:rStyle w:val="aa"/>
                  </w:rPr>
                </w:sdtEndPr>
                <w:sdtContent>
                  <w:r>
                    <w:rPr>
                      <w:rStyle w:val="aa"/>
                      <w:rFonts w:hint="eastAsia"/>
                    </w:rPr>
                    <w:t>李代萍</w:t>
                  </w:r>
                </w:sdtContent>
              </w:sdt>
              <w:r>
                <w:rPr>
                  <w:rStyle w:val="aa"/>
                  <w:rFonts w:hint="eastAsia"/>
                </w:rPr>
                <w:t xml:space="preserve"> </w:t>
              </w:r>
              <w:r>
                <w:rPr>
                  <w:rStyle w:val="aa"/>
                </w:rPr>
                <w:t>会计机构负责人</w:t>
              </w:r>
              <w:r>
                <w:rPr>
                  <w:rStyle w:val="aa"/>
                  <w:rFonts w:hint="eastAsia"/>
                </w:rPr>
                <w:t>：</w:t>
              </w:r>
              <w:sdt>
                <w:sdtPr>
                  <w:rPr>
                    <w:rStyle w:val="aa"/>
                    <w:rFonts w:hint="eastAsia"/>
                  </w:rPr>
                  <w:alias w:val="会计机构负责人姓名"/>
                  <w:tag w:val="_GBC_6a446d6543174dc48c72d440eefb0b71"/>
                  <w:id w:val="-998344904"/>
                  <w:lock w:val="sdtLocked"/>
                  <w:dataBinding w:prefixMappings="xmlns:clcid-mr='clcid-mr'" w:xpath="/*/clcid-mr:KuaiJiJiGouFuZeRenXingMing[not(@periodRef)]" w:storeItemID="{89EBAB94-44A0-46A2-B712-30D997D04A6D}"/>
                  <w:text/>
                </w:sdtPr>
                <w:sdtEndPr>
                  <w:rPr>
                    <w:rStyle w:val="aa"/>
                  </w:rPr>
                </w:sdtEndPr>
                <w:sdtContent>
                  <w:r>
                    <w:rPr>
                      <w:rStyle w:val="aa"/>
                      <w:rFonts w:hint="eastAsia"/>
                    </w:rPr>
                    <w:t>杨万华</w:t>
                  </w:r>
                </w:sdtContent>
              </w:sdt>
            </w:p>
          </w:sdtContent>
        </w:sdt>
        <w:p w:rsidR="004A3868" w:rsidRDefault="004A3868">
          <w:pPr>
            <w:rPr>
              <w:szCs w:val="21"/>
            </w:rPr>
          </w:pPr>
        </w:p>
        <w:p w:rsidR="004A3868" w:rsidRDefault="004A3868">
          <w:pPr>
            <w:rPr>
              <w:szCs w:val="21"/>
            </w:rPr>
          </w:pPr>
        </w:p>
        <w:sdt>
          <w:sdtPr>
            <w:rPr>
              <w:b/>
              <w:szCs w:val="21"/>
            </w:rPr>
            <w:tag w:val="_GBC_24560eea01804b8b9d3678736eb60ca8"/>
            <w:id w:val="-469445300"/>
            <w:lock w:val="sdtLocked"/>
            <w:placeholder>
              <w:docPart w:val="71CC470498E34EBD92ABA2E6615C8671"/>
            </w:placeholder>
          </w:sdtPr>
          <w:sdtEndPr>
            <w:rPr>
              <w:rFonts w:hint="eastAsia"/>
              <w:b w:val="0"/>
            </w:rPr>
          </w:sdtEndPr>
          <w:sdtContent>
            <w:p w:rsidR="004A3868" w:rsidRDefault="003F1AB5">
              <w:pPr>
                <w:tabs>
                  <w:tab w:val="left" w:pos="10080"/>
                </w:tabs>
                <w:snapToGrid w:val="0"/>
                <w:spacing w:line="240" w:lineRule="atLeast"/>
                <w:ind w:rightChars="12" w:right="29"/>
                <w:jc w:val="center"/>
                <w:outlineLvl w:val="2"/>
                <w:rPr>
                  <w:b/>
                  <w:szCs w:val="21"/>
                </w:rPr>
              </w:pPr>
              <w:r>
                <w:rPr>
                  <w:b/>
                  <w:szCs w:val="21"/>
                </w:rPr>
                <w:t>母公司</w:t>
              </w:r>
              <w:r>
                <w:rPr>
                  <w:rFonts w:hint="eastAsia"/>
                  <w:b/>
                  <w:szCs w:val="21"/>
                </w:rPr>
                <w:t>所有者权益变动表</w:t>
              </w:r>
            </w:p>
            <w:p w:rsidR="004A3868" w:rsidRDefault="003F1AB5">
              <w:pPr>
                <w:tabs>
                  <w:tab w:val="left" w:pos="10080"/>
                </w:tabs>
                <w:snapToGrid w:val="0"/>
                <w:spacing w:line="240" w:lineRule="atLeast"/>
                <w:ind w:rightChars="12" w:right="29"/>
                <w:jc w:val="center"/>
                <w:rPr>
                  <w:b/>
                  <w:bCs/>
                  <w:szCs w:val="21"/>
                </w:rPr>
              </w:pPr>
              <w:r>
                <w:rPr>
                  <w:szCs w:val="21"/>
                </w:rPr>
                <w:t>2023年</w:t>
              </w:r>
              <w:r>
                <w:rPr>
                  <w:rFonts w:hint="eastAsia"/>
                  <w:szCs w:val="21"/>
                </w:rPr>
                <w:t>1—12</w:t>
              </w:r>
              <w:r>
                <w:rPr>
                  <w:szCs w:val="21"/>
                </w:rPr>
                <w:t>月</w:t>
              </w:r>
            </w:p>
            <w:p w:rsidR="004A3868" w:rsidRDefault="003F1AB5">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4354481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股东权益调节表"/>
                  <w:tag w:val="_GBC_5214b7a188334da286fc3038d017d072"/>
                  <w:id w:val="-5115329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Style85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078"/>
                <w:gridCol w:w="1050"/>
                <w:gridCol w:w="1078"/>
                <w:gridCol w:w="1091"/>
                <w:gridCol w:w="1036"/>
                <w:gridCol w:w="1064"/>
                <w:gridCol w:w="1022"/>
                <w:gridCol w:w="1036"/>
                <w:gridCol w:w="1021"/>
                <w:gridCol w:w="1008"/>
                <w:gridCol w:w="1026"/>
              </w:tblGrid>
              <w:tr w:rsidR="004A3868">
                <w:trPr>
                  <w:trHeight w:val="20"/>
                </w:trPr>
                <w:sdt>
                  <w:sdtPr>
                    <w:tag w:val="_PLD_6243181199ca48faaab1b52ea7b6f562"/>
                    <w:id w:val="1550192087"/>
                    <w:lock w:val="sdtLocked"/>
                  </w:sdtPr>
                  <w:sdtEndPr/>
                  <w:sdtContent>
                    <w:tc>
                      <w:tcPr>
                        <w:tcW w:w="2450" w:type="dxa"/>
                        <w:vMerge w:val="restart"/>
                        <w:vAlign w:val="center"/>
                      </w:tcPr>
                      <w:p w:rsidR="004A3868" w:rsidRDefault="003F1AB5">
                        <w:pPr>
                          <w:pStyle w:val="afffb"/>
                        </w:pPr>
                        <w:r>
                          <w:rPr>
                            <w:rFonts w:hint="eastAsia"/>
                          </w:rPr>
                          <w:t>项目</w:t>
                        </w:r>
                      </w:p>
                    </w:tc>
                  </w:sdtContent>
                </w:sdt>
                <w:tc>
                  <w:tcPr>
                    <w:tcW w:w="11510" w:type="dxa"/>
                    <w:gridSpan w:val="11"/>
                    <w:vAlign w:val="center"/>
                  </w:tcPr>
                  <w:p w:rsidR="004A3868" w:rsidRDefault="003F1AB5">
                    <w:pPr>
                      <w:pStyle w:val="afffb"/>
                    </w:pPr>
                    <w:r>
                      <w:rPr>
                        <w:rFonts w:hint="eastAsia"/>
                      </w:rPr>
                      <w:t xml:space="preserve"> </w:t>
                    </w:r>
                    <w:sdt>
                      <w:sdtPr>
                        <w:rPr>
                          <w:rFonts w:hint="eastAsia"/>
                        </w:rPr>
                        <w:tag w:val="_PLD_53ebc36a4faa4485960520df843f0c63"/>
                        <w:id w:val="719779640"/>
                        <w:lock w:val="sdtLocked"/>
                      </w:sdtPr>
                      <w:sdtEndPr/>
                      <w:sdtContent>
                        <w:r>
                          <w:rPr>
                            <w:rFonts w:hint="eastAsia"/>
                          </w:rPr>
                          <w:t>2023年度</w:t>
                        </w:r>
                      </w:sdtContent>
                    </w:sdt>
                  </w:p>
                </w:tc>
              </w:tr>
              <w:tr w:rsidR="004A3868">
                <w:trPr>
                  <w:trHeight w:val="315"/>
                </w:trPr>
                <w:tc>
                  <w:tcPr>
                    <w:tcW w:w="2450" w:type="dxa"/>
                    <w:vMerge/>
                  </w:tcPr>
                  <w:p w:rsidR="004A3868" w:rsidRDefault="004A3868">
                    <w:pPr>
                      <w:pStyle w:val="afffb"/>
                    </w:pPr>
                  </w:p>
                </w:tc>
                <w:sdt>
                  <w:sdtPr>
                    <w:tag w:val="_PLD_d42b0ce5c44e4777bd36491652f20dd8"/>
                    <w:id w:val="-2012054129"/>
                    <w:lock w:val="sdtLocked"/>
                  </w:sdtPr>
                  <w:sdtEndPr/>
                  <w:sdtContent>
                    <w:tc>
                      <w:tcPr>
                        <w:tcW w:w="1078" w:type="dxa"/>
                        <w:vMerge w:val="restart"/>
                        <w:tcBorders>
                          <w:right w:val="single" w:sz="4" w:space="0" w:color="auto"/>
                        </w:tcBorders>
                        <w:vAlign w:val="center"/>
                      </w:tcPr>
                      <w:p w:rsidR="004A3868" w:rsidRDefault="003F1AB5">
                        <w:pPr>
                          <w:pStyle w:val="afffb"/>
                        </w:pPr>
                        <w:r>
                          <w:t>实收资本 (或股本)</w:t>
                        </w:r>
                      </w:p>
                    </w:tc>
                  </w:sdtContent>
                </w:sdt>
                <w:sdt>
                  <w:sdtPr>
                    <w:tag w:val="_PLD_2b96b9233b354a859329aa59fac6fc9e"/>
                    <w:id w:val="1059514300"/>
                    <w:lock w:val="sdtLocked"/>
                  </w:sdtPr>
                  <w:sdtEndPr/>
                  <w:sdtContent>
                    <w:tc>
                      <w:tcPr>
                        <w:tcW w:w="3219" w:type="dxa"/>
                        <w:gridSpan w:val="3"/>
                        <w:tcBorders>
                          <w:left w:val="single" w:sz="4" w:space="0" w:color="auto"/>
                          <w:bottom w:val="single" w:sz="4" w:space="0" w:color="auto"/>
                        </w:tcBorders>
                        <w:vAlign w:val="center"/>
                      </w:tcPr>
                      <w:p w:rsidR="004A3868" w:rsidRDefault="003F1AB5">
                        <w:pPr>
                          <w:pStyle w:val="afffb"/>
                        </w:pPr>
                        <w:r>
                          <w:rPr>
                            <w:rFonts w:hint="eastAsia"/>
                          </w:rPr>
                          <w:t>其他权益工具</w:t>
                        </w:r>
                      </w:p>
                    </w:tc>
                  </w:sdtContent>
                </w:sdt>
                <w:sdt>
                  <w:sdtPr>
                    <w:tag w:val="_PLD_dafb11707213467d9f285bde7429767a"/>
                    <w:id w:val="2127888551"/>
                    <w:lock w:val="sdtLocked"/>
                  </w:sdtPr>
                  <w:sdtEndPr/>
                  <w:sdtContent>
                    <w:tc>
                      <w:tcPr>
                        <w:tcW w:w="1036" w:type="dxa"/>
                        <w:vMerge w:val="restart"/>
                        <w:vAlign w:val="center"/>
                      </w:tcPr>
                      <w:p w:rsidR="004A3868" w:rsidRDefault="003F1AB5">
                        <w:pPr>
                          <w:pStyle w:val="afffb"/>
                        </w:pPr>
                        <w:r>
                          <w:t>资本公积</w:t>
                        </w:r>
                      </w:p>
                    </w:tc>
                  </w:sdtContent>
                </w:sdt>
                <w:sdt>
                  <w:sdtPr>
                    <w:tag w:val="_PLD_2fb702eaa01c41839715d0f477a28608"/>
                    <w:id w:val="1259257566"/>
                    <w:lock w:val="sdtLocked"/>
                  </w:sdtPr>
                  <w:sdtEndPr/>
                  <w:sdtContent>
                    <w:tc>
                      <w:tcPr>
                        <w:tcW w:w="1064" w:type="dxa"/>
                        <w:vMerge w:val="restart"/>
                        <w:vAlign w:val="center"/>
                      </w:tcPr>
                      <w:p w:rsidR="004A3868" w:rsidRDefault="003F1AB5">
                        <w:pPr>
                          <w:pStyle w:val="afffb"/>
                        </w:pPr>
                        <w:r>
                          <w:t>减：库存股</w:t>
                        </w:r>
                      </w:p>
                    </w:tc>
                  </w:sdtContent>
                </w:sdt>
                <w:sdt>
                  <w:sdtPr>
                    <w:tag w:val="_PLD_01fd07c61bdc4289ad848770e21829f0"/>
                    <w:id w:val="-1285029601"/>
                    <w:lock w:val="sdtLocked"/>
                  </w:sdtPr>
                  <w:sdtEndPr/>
                  <w:sdtContent>
                    <w:tc>
                      <w:tcPr>
                        <w:tcW w:w="1022" w:type="dxa"/>
                        <w:vMerge w:val="restart"/>
                        <w:vAlign w:val="center"/>
                      </w:tcPr>
                      <w:p w:rsidR="004A3868" w:rsidRDefault="003F1AB5">
                        <w:pPr>
                          <w:pStyle w:val="afffb"/>
                        </w:pPr>
                        <w:r>
                          <w:rPr>
                            <w:rFonts w:hint="eastAsia"/>
                          </w:rPr>
                          <w:t>其他综合收益</w:t>
                        </w:r>
                      </w:p>
                    </w:tc>
                  </w:sdtContent>
                </w:sdt>
                <w:sdt>
                  <w:sdtPr>
                    <w:tag w:val="_PLD_90a7206226784441ae3a059bd6e2aeb9"/>
                    <w:id w:val="1066760325"/>
                    <w:lock w:val="sdtLocked"/>
                  </w:sdtPr>
                  <w:sdtEndPr/>
                  <w:sdtContent>
                    <w:tc>
                      <w:tcPr>
                        <w:tcW w:w="1036" w:type="dxa"/>
                        <w:vMerge w:val="restart"/>
                        <w:vAlign w:val="center"/>
                      </w:tcPr>
                      <w:p w:rsidR="004A3868" w:rsidRDefault="003F1AB5">
                        <w:pPr>
                          <w:pStyle w:val="afffb"/>
                        </w:pPr>
                        <w:r>
                          <w:rPr>
                            <w:rFonts w:hint="eastAsia"/>
                          </w:rPr>
                          <w:t>专项储备</w:t>
                        </w:r>
                      </w:p>
                    </w:tc>
                  </w:sdtContent>
                </w:sdt>
                <w:sdt>
                  <w:sdtPr>
                    <w:tag w:val="_PLD_e9a70df1813948df997635772bea7de3"/>
                    <w:id w:val="-278955217"/>
                    <w:lock w:val="sdtLocked"/>
                  </w:sdtPr>
                  <w:sdtEndPr/>
                  <w:sdtContent>
                    <w:tc>
                      <w:tcPr>
                        <w:tcW w:w="1021" w:type="dxa"/>
                        <w:vMerge w:val="restart"/>
                        <w:vAlign w:val="center"/>
                      </w:tcPr>
                      <w:p w:rsidR="004A3868" w:rsidRDefault="003F1AB5">
                        <w:pPr>
                          <w:pStyle w:val="afffb"/>
                        </w:pPr>
                        <w:r>
                          <w:t>盈余公积</w:t>
                        </w:r>
                      </w:p>
                    </w:tc>
                  </w:sdtContent>
                </w:sdt>
                <w:sdt>
                  <w:sdtPr>
                    <w:tag w:val="_PLD_9b2be5c2b4a3447c85cf695b1da440fa"/>
                    <w:id w:val="575864120"/>
                    <w:lock w:val="sdtLocked"/>
                  </w:sdtPr>
                  <w:sdtEndPr/>
                  <w:sdtContent>
                    <w:tc>
                      <w:tcPr>
                        <w:tcW w:w="1008" w:type="dxa"/>
                        <w:vMerge w:val="restart"/>
                        <w:vAlign w:val="center"/>
                      </w:tcPr>
                      <w:p w:rsidR="004A3868" w:rsidRDefault="003F1AB5">
                        <w:pPr>
                          <w:pStyle w:val="afffb"/>
                        </w:pPr>
                        <w:r>
                          <w:t>未分配利润</w:t>
                        </w:r>
                      </w:p>
                    </w:tc>
                  </w:sdtContent>
                </w:sdt>
                <w:sdt>
                  <w:sdtPr>
                    <w:tag w:val="_PLD_61dd0378fbe645dfb87cfecfbc846206"/>
                    <w:id w:val="-1424025439"/>
                    <w:lock w:val="sdtLocked"/>
                  </w:sdtPr>
                  <w:sdtEndPr/>
                  <w:sdtContent>
                    <w:tc>
                      <w:tcPr>
                        <w:tcW w:w="1026" w:type="dxa"/>
                        <w:vMerge w:val="restart"/>
                        <w:vAlign w:val="center"/>
                      </w:tcPr>
                      <w:p w:rsidR="004A3868" w:rsidRDefault="003F1AB5">
                        <w:pPr>
                          <w:pStyle w:val="afffb"/>
                        </w:pPr>
                        <w:r>
                          <w:t>所有者权益合计</w:t>
                        </w:r>
                      </w:p>
                    </w:tc>
                  </w:sdtContent>
                </w:sdt>
              </w:tr>
              <w:tr w:rsidR="004A3868">
                <w:trPr>
                  <w:trHeight w:val="294"/>
                </w:trPr>
                <w:tc>
                  <w:tcPr>
                    <w:tcW w:w="2450" w:type="dxa"/>
                    <w:vMerge/>
                  </w:tcPr>
                  <w:p w:rsidR="004A3868" w:rsidRDefault="004A3868">
                    <w:pPr>
                      <w:adjustRightInd w:val="0"/>
                      <w:snapToGrid w:val="0"/>
                      <w:rPr>
                        <w:sz w:val="18"/>
                        <w:szCs w:val="18"/>
                      </w:rPr>
                    </w:pPr>
                  </w:p>
                </w:tc>
                <w:tc>
                  <w:tcPr>
                    <w:tcW w:w="1078" w:type="dxa"/>
                    <w:vMerge/>
                    <w:tcBorders>
                      <w:right w:val="single" w:sz="4" w:space="0" w:color="auto"/>
                    </w:tcBorders>
                    <w:vAlign w:val="center"/>
                  </w:tcPr>
                  <w:p w:rsidR="004A3868" w:rsidRDefault="004A3868">
                    <w:pPr>
                      <w:adjustRightInd w:val="0"/>
                      <w:snapToGrid w:val="0"/>
                      <w:jc w:val="center"/>
                      <w:rPr>
                        <w:sz w:val="18"/>
                        <w:szCs w:val="18"/>
                      </w:rPr>
                    </w:pPr>
                  </w:p>
                </w:tc>
                <w:sdt>
                  <w:sdtPr>
                    <w:tag w:val="_PLD_506dd395f17d4bea92c50a0850471ea4"/>
                    <w:id w:val="521605306"/>
                    <w:lock w:val="sdtLocked"/>
                  </w:sdtPr>
                  <w:sdtEndPr/>
                  <w:sdtContent>
                    <w:tc>
                      <w:tcPr>
                        <w:tcW w:w="1050" w:type="dxa"/>
                        <w:tcBorders>
                          <w:top w:val="single" w:sz="4" w:space="0" w:color="auto"/>
                          <w:left w:val="single" w:sz="4" w:space="0" w:color="auto"/>
                          <w:right w:val="single" w:sz="4" w:space="0" w:color="auto"/>
                        </w:tcBorders>
                        <w:vAlign w:val="center"/>
                      </w:tcPr>
                      <w:p w:rsidR="004A3868" w:rsidRDefault="003F1AB5">
                        <w:pPr>
                          <w:pStyle w:val="afffb"/>
                        </w:pPr>
                        <w:r>
                          <w:rPr>
                            <w:rFonts w:hint="eastAsia"/>
                          </w:rPr>
                          <w:t>优先股</w:t>
                        </w:r>
                      </w:p>
                    </w:tc>
                  </w:sdtContent>
                </w:sdt>
                <w:sdt>
                  <w:sdtPr>
                    <w:tag w:val="_PLD_d66ebd59f659426db31ba0d488ae47d0"/>
                    <w:id w:val="5409691"/>
                    <w:lock w:val="sdtLocked"/>
                  </w:sdtPr>
                  <w:sdtEndPr/>
                  <w:sdtContent>
                    <w:tc>
                      <w:tcPr>
                        <w:tcW w:w="1078" w:type="dxa"/>
                        <w:tcBorders>
                          <w:top w:val="single" w:sz="4" w:space="0" w:color="auto"/>
                          <w:left w:val="single" w:sz="4" w:space="0" w:color="auto"/>
                          <w:right w:val="single" w:sz="4" w:space="0" w:color="auto"/>
                        </w:tcBorders>
                        <w:vAlign w:val="center"/>
                      </w:tcPr>
                      <w:p w:rsidR="004A3868" w:rsidRDefault="003F1AB5">
                        <w:pPr>
                          <w:pStyle w:val="afffb"/>
                        </w:pPr>
                        <w:r>
                          <w:rPr>
                            <w:rFonts w:hint="eastAsia"/>
                          </w:rPr>
                          <w:t>永续债</w:t>
                        </w:r>
                      </w:p>
                    </w:tc>
                  </w:sdtContent>
                </w:sdt>
                <w:sdt>
                  <w:sdtPr>
                    <w:tag w:val="_PLD_997e05d9124249eeb1a10ac094efcb41"/>
                    <w:id w:val="499471166"/>
                    <w:lock w:val="sdtLocked"/>
                  </w:sdtPr>
                  <w:sdtEndPr/>
                  <w:sdtContent>
                    <w:tc>
                      <w:tcPr>
                        <w:tcW w:w="1091" w:type="dxa"/>
                        <w:tcBorders>
                          <w:top w:val="single" w:sz="4" w:space="0" w:color="auto"/>
                          <w:left w:val="single" w:sz="4" w:space="0" w:color="auto"/>
                        </w:tcBorders>
                        <w:vAlign w:val="center"/>
                      </w:tcPr>
                      <w:p w:rsidR="004A3868" w:rsidRDefault="003F1AB5">
                        <w:pPr>
                          <w:pStyle w:val="afffb"/>
                        </w:pPr>
                        <w:r>
                          <w:rPr>
                            <w:rFonts w:hint="eastAsia"/>
                          </w:rPr>
                          <w:t>其他</w:t>
                        </w:r>
                      </w:p>
                    </w:tc>
                  </w:sdtContent>
                </w:sdt>
                <w:tc>
                  <w:tcPr>
                    <w:tcW w:w="1036" w:type="dxa"/>
                    <w:vMerge/>
                  </w:tcPr>
                  <w:p w:rsidR="004A3868" w:rsidRDefault="004A3868">
                    <w:pPr>
                      <w:adjustRightInd w:val="0"/>
                      <w:snapToGrid w:val="0"/>
                      <w:jc w:val="center"/>
                      <w:rPr>
                        <w:sz w:val="18"/>
                        <w:szCs w:val="18"/>
                      </w:rPr>
                    </w:pPr>
                  </w:p>
                </w:tc>
                <w:tc>
                  <w:tcPr>
                    <w:tcW w:w="1064" w:type="dxa"/>
                    <w:vMerge/>
                  </w:tcPr>
                  <w:p w:rsidR="004A3868" w:rsidRDefault="004A3868">
                    <w:pPr>
                      <w:adjustRightInd w:val="0"/>
                      <w:snapToGrid w:val="0"/>
                      <w:jc w:val="center"/>
                      <w:rPr>
                        <w:sz w:val="18"/>
                        <w:szCs w:val="18"/>
                      </w:rPr>
                    </w:pPr>
                  </w:p>
                </w:tc>
                <w:tc>
                  <w:tcPr>
                    <w:tcW w:w="1022" w:type="dxa"/>
                    <w:vMerge/>
                  </w:tcPr>
                  <w:p w:rsidR="004A3868" w:rsidRDefault="004A3868">
                    <w:pPr>
                      <w:jc w:val="center"/>
                      <w:rPr>
                        <w:sz w:val="18"/>
                        <w:szCs w:val="18"/>
                      </w:rPr>
                    </w:pPr>
                  </w:p>
                </w:tc>
                <w:tc>
                  <w:tcPr>
                    <w:tcW w:w="1036" w:type="dxa"/>
                    <w:vMerge/>
                  </w:tcPr>
                  <w:p w:rsidR="004A3868" w:rsidRDefault="004A3868">
                    <w:pPr>
                      <w:adjustRightInd w:val="0"/>
                      <w:snapToGrid w:val="0"/>
                      <w:jc w:val="center"/>
                      <w:rPr>
                        <w:sz w:val="18"/>
                        <w:szCs w:val="18"/>
                      </w:rPr>
                    </w:pPr>
                  </w:p>
                </w:tc>
                <w:tc>
                  <w:tcPr>
                    <w:tcW w:w="1021" w:type="dxa"/>
                    <w:vMerge/>
                  </w:tcPr>
                  <w:p w:rsidR="004A3868" w:rsidRDefault="004A3868">
                    <w:pPr>
                      <w:adjustRightInd w:val="0"/>
                      <w:snapToGrid w:val="0"/>
                      <w:jc w:val="center"/>
                      <w:rPr>
                        <w:sz w:val="18"/>
                        <w:szCs w:val="18"/>
                      </w:rPr>
                    </w:pPr>
                  </w:p>
                </w:tc>
                <w:tc>
                  <w:tcPr>
                    <w:tcW w:w="1008" w:type="dxa"/>
                    <w:vMerge/>
                  </w:tcPr>
                  <w:p w:rsidR="004A3868" w:rsidRDefault="004A3868">
                    <w:pPr>
                      <w:adjustRightInd w:val="0"/>
                      <w:snapToGrid w:val="0"/>
                      <w:jc w:val="center"/>
                      <w:rPr>
                        <w:sz w:val="18"/>
                        <w:szCs w:val="18"/>
                      </w:rPr>
                    </w:pPr>
                  </w:p>
                </w:tc>
                <w:tc>
                  <w:tcPr>
                    <w:tcW w:w="1026" w:type="dxa"/>
                    <w:vMerge/>
                  </w:tcPr>
                  <w:p w:rsidR="004A3868" w:rsidRDefault="004A3868">
                    <w:pPr>
                      <w:adjustRightInd w:val="0"/>
                      <w:snapToGrid w:val="0"/>
                      <w:jc w:val="center"/>
                      <w:rPr>
                        <w:sz w:val="18"/>
                        <w:szCs w:val="18"/>
                      </w:rPr>
                    </w:pPr>
                  </w:p>
                </w:tc>
              </w:tr>
              <w:tr w:rsidR="004A3868">
                <w:trPr>
                  <w:trHeight w:val="20"/>
                </w:trPr>
                <w:tc>
                  <w:tcPr>
                    <w:tcW w:w="2450" w:type="dxa"/>
                    <w:vAlign w:val="center"/>
                  </w:tcPr>
                  <w:p w:rsidR="004A3868" w:rsidRDefault="003F1AB5">
                    <w:pPr>
                      <w:pStyle w:val="afff9"/>
                    </w:pPr>
                    <w:r>
                      <w:t>一、上年</w:t>
                    </w:r>
                    <w:r>
                      <w:rPr>
                        <w:rFonts w:hint="eastAsia"/>
                      </w:rPr>
                      <w:t>年</w:t>
                    </w:r>
                    <w:r>
                      <w:t>末余额</w:t>
                    </w:r>
                  </w:p>
                </w:tc>
                <w:tc>
                  <w:tcPr>
                    <w:tcW w:w="1078" w:type="dxa"/>
                    <w:tcBorders>
                      <w:right w:val="single" w:sz="4" w:space="0" w:color="auto"/>
                    </w:tcBorders>
                    <w:vAlign w:val="center"/>
                  </w:tcPr>
                  <w:p w:rsidR="004A3868" w:rsidRDefault="003F1AB5">
                    <w:pPr>
                      <w:pStyle w:val="afff7"/>
                    </w:pPr>
                    <w:r>
                      <w:rPr>
                        <w:rFonts w:hint="eastAsia"/>
                      </w:rPr>
                      <w:t>333,167,407.00</w:t>
                    </w: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right w:val="single" w:sz="4" w:space="0" w:color="auto"/>
                    </w:tcBorders>
                    <w:vAlign w:val="center"/>
                  </w:tcPr>
                  <w:p w:rsidR="004A3868" w:rsidRDefault="004A3868">
                    <w:pPr>
                      <w:pStyle w:val="afff7"/>
                    </w:pPr>
                  </w:p>
                </w:tc>
                <w:tc>
                  <w:tcPr>
                    <w:tcW w:w="1036" w:type="dxa"/>
                    <w:tcBorders>
                      <w:left w:val="single" w:sz="4" w:space="0" w:color="auto"/>
                    </w:tcBorders>
                    <w:vAlign w:val="center"/>
                  </w:tcPr>
                  <w:p w:rsidR="004A3868" w:rsidRDefault="003F1AB5">
                    <w:pPr>
                      <w:pStyle w:val="afff7"/>
                    </w:pPr>
                    <w:r>
                      <w:rPr>
                        <w:rFonts w:hint="eastAsia"/>
                      </w:rPr>
                      <w:t>984,845,013.70</w:t>
                    </w:r>
                  </w:p>
                </w:tc>
                <w:tc>
                  <w:tcPr>
                    <w:tcW w:w="1064" w:type="dxa"/>
                    <w:vAlign w:val="center"/>
                  </w:tcPr>
                  <w:p w:rsidR="004A3868" w:rsidRDefault="004A3868">
                    <w:pPr>
                      <w:pStyle w:val="afff7"/>
                    </w:pPr>
                  </w:p>
                </w:tc>
                <w:tc>
                  <w:tcPr>
                    <w:tcW w:w="1022" w:type="dxa"/>
                    <w:vAlign w:val="center"/>
                  </w:tcPr>
                  <w:p w:rsidR="004A3868" w:rsidRDefault="004A3868">
                    <w:pPr>
                      <w:pStyle w:val="afff7"/>
                    </w:pPr>
                  </w:p>
                </w:tc>
                <w:tc>
                  <w:tcPr>
                    <w:tcW w:w="1036" w:type="dxa"/>
                    <w:vAlign w:val="center"/>
                  </w:tcPr>
                  <w:p w:rsidR="004A3868" w:rsidRDefault="003F1AB5">
                    <w:pPr>
                      <w:pStyle w:val="afff7"/>
                    </w:pPr>
                    <w:r>
                      <w:rPr>
                        <w:rFonts w:hint="eastAsia"/>
                      </w:rPr>
                      <w:t>15,197,905.64</w:t>
                    </w:r>
                  </w:p>
                </w:tc>
                <w:tc>
                  <w:tcPr>
                    <w:tcW w:w="1021" w:type="dxa"/>
                    <w:vAlign w:val="center"/>
                  </w:tcPr>
                  <w:p w:rsidR="004A3868" w:rsidRDefault="003F1AB5">
                    <w:pPr>
                      <w:pStyle w:val="afff7"/>
                    </w:pPr>
                    <w:r>
                      <w:rPr>
                        <w:rFonts w:hint="eastAsia"/>
                      </w:rPr>
                      <w:t>93,389,482.08</w:t>
                    </w:r>
                  </w:p>
                </w:tc>
                <w:tc>
                  <w:tcPr>
                    <w:tcW w:w="1008" w:type="dxa"/>
                    <w:vAlign w:val="center"/>
                  </w:tcPr>
                  <w:p w:rsidR="004A3868" w:rsidRDefault="003F1AB5">
                    <w:pPr>
                      <w:pStyle w:val="afff7"/>
                    </w:pPr>
                    <w:r>
                      <w:rPr>
                        <w:rFonts w:hint="eastAsia"/>
                      </w:rPr>
                      <w:t>839,830,537.34</w:t>
                    </w:r>
                  </w:p>
                </w:tc>
                <w:tc>
                  <w:tcPr>
                    <w:tcW w:w="1026" w:type="dxa"/>
                    <w:vAlign w:val="center"/>
                  </w:tcPr>
                  <w:p w:rsidR="004A3868" w:rsidRDefault="003F1AB5">
                    <w:pPr>
                      <w:pStyle w:val="afff7"/>
                    </w:pPr>
                    <w:r>
                      <w:rPr>
                        <w:rFonts w:hint="eastAsia"/>
                      </w:rPr>
                      <w:t>2,266,430,345.76</w:t>
                    </w:r>
                  </w:p>
                </w:tc>
              </w:tr>
              <w:tr w:rsidR="004A3868">
                <w:trPr>
                  <w:trHeight w:val="20"/>
                </w:trPr>
                <w:tc>
                  <w:tcPr>
                    <w:tcW w:w="2450" w:type="dxa"/>
                    <w:vAlign w:val="center"/>
                  </w:tcPr>
                  <w:p w:rsidR="004A3868" w:rsidRDefault="003F1AB5">
                    <w:pPr>
                      <w:pStyle w:val="afff9"/>
                    </w:pPr>
                    <w:r>
                      <w:t>加：会计政策变更</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right w:val="single" w:sz="4" w:space="0" w:color="auto"/>
                    </w:tcBorders>
                    <w:vAlign w:val="center"/>
                  </w:tcPr>
                  <w:p w:rsidR="004A3868" w:rsidRDefault="004A3868">
                    <w:pPr>
                      <w:pStyle w:val="afff7"/>
                    </w:pPr>
                  </w:p>
                </w:tc>
                <w:tc>
                  <w:tcPr>
                    <w:tcW w:w="1036" w:type="dxa"/>
                    <w:tcBorders>
                      <w:left w:val="single" w:sz="4" w:space="0" w:color="auto"/>
                    </w:tcBorders>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vAlign w:val="center"/>
                  </w:tcPr>
                  <w:p w:rsidR="004A3868" w:rsidRDefault="004A3868">
                    <w:pPr>
                      <w:pStyle w:val="afff7"/>
                    </w:pPr>
                  </w:p>
                </w:tc>
                <w:tc>
                  <w:tcPr>
                    <w:tcW w:w="1008" w:type="dxa"/>
                    <w:vAlign w:val="center"/>
                  </w:tcPr>
                  <w:p w:rsidR="004A3868" w:rsidRDefault="004A3868">
                    <w:pPr>
                      <w:pStyle w:val="afff7"/>
                    </w:pPr>
                  </w:p>
                </w:tc>
                <w:tc>
                  <w:tcPr>
                    <w:tcW w:w="1026" w:type="dxa"/>
                    <w:vAlign w:val="center"/>
                  </w:tcPr>
                  <w:p w:rsidR="004A3868" w:rsidRDefault="004A3868">
                    <w:pPr>
                      <w:pStyle w:val="afff7"/>
                    </w:pPr>
                  </w:p>
                </w:tc>
              </w:tr>
              <w:tr w:rsidR="004A3868">
                <w:trPr>
                  <w:trHeight w:val="20"/>
                </w:trPr>
                <w:tc>
                  <w:tcPr>
                    <w:tcW w:w="2450" w:type="dxa"/>
                    <w:vAlign w:val="center"/>
                  </w:tcPr>
                  <w:p w:rsidR="004A3868" w:rsidRDefault="003F1AB5">
                    <w:pPr>
                      <w:pStyle w:val="afff9"/>
                    </w:pPr>
                    <w:r>
                      <w:t>前期差错更正</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right w:val="single" w:sz="4" w:space="0" w:color="auto"/>
                    </w:tcBorders>
                    <w:vAlign w:val="center"/>
                  </w:tcPr>
                  <w:p w:rsidR="004A3868" w:rsidRDefault="004A3868">
                    <w:pPr>
                      <w:pStyle w:val="afff7"/>
                    </w:pPr>
                  </w:p>
                </w:tc>
                <w:tc>
                  <w:tcPr>
                    <w:tcW w:w="1036" w:type="dxa"/>
                    <w:tcBorders>
                      <w:left w:val="single" w:sz="4" w:space="0" w:color="auto"/>
                    </w:tcBorders>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vAlign w:val="center"/>
                  </w:tcPr>
                  <w:p w:rsidR="004A3868" w:rsidRDefault="004A3868">
                    <w:pPr>
                      <w:pStyle w:val="afff7"/>
                    </w:pPr>
                  </w:p>
                </w:tc>
                <w:tc>
                  <w:tcPr>
                    <w:tcW w:w="1008" w:type="dxa"/>
                    <w:vAlign w:val="center"/>
                  </w:tcPr>
                  <w:p w:rsidR="004A3868" w:rsidRDefault="004A3868">
                    <w:pPr>
                      <w:pStyle w:val="afff7"/>
                    </w:pPr>
                  </w:p>
                </w:tc>
                <w:tc>
                  <w:tcPr>
                    <w:tcW w:w="1026" w:type="dxa"/>
                    <w:vAlign w:val="center"/>
                  </w:tcPr>
                  <w:p w:rsidR="004A3868" w:rsidRDefault="004A3868">
                    <w:pPr>
                      <w:pStyle w:val="afff7"/>
                    </w:pPr>
                  </w:p>
                </w:tc>
              </w:tr>
              <w:tr w:rsidR="004A3868">
                <w:trPr>
                  <w:trHeight w:val="20"/>
                </w:trPr>
                <w:tc>
                  <w:tcPr>
                    <w:tcW w:w="2450" w:type="dxa"/>
                    <w:vAlign w:val="center"/>
                  </w:tcPr>
                  <w:p w:rsidR="004A3868" w:rsidRDefault="003F1AB5">
                    <w:pPr>
                      <w:pStyle w:val="afff9"/>
                    </w:pPr>
                    <w:r>
                      <w:rPr>
                        <w:rFonts w:hint="eastAsia"/>
                      </w:rPr>
                      <w:t>其他</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right w:val="single" w:sz="4" w:space="0" w:color="auto"/>
                    </w:tcBorders>
                    <w:vAlign w:val="center"/>
                  </w:tcPr>
                  <w:p w:rsidR="004A3868" w:rsidRDefault="004A3868">
                    <w:pPr>
                      <w:pStyle w:val="afff7"/>
                    </w:pPr>
                  </w:p>
                </w:tc>
                <w:tc>
                  <w:tcPr>
                    <w:tcW w:w="1036" w:type="dxa"/>
                    <w:tcBorders>
                      <w:left w:val="single" w:sz="4" w:space="0" w:color="auto"/>
                    </w:tcBorders>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vAlign w:val="center"/>
                  </w:tcPr>
                  <w:p w:rsidR="004A3868" w:rsidRDefault="004A3868">
                    <w:pPr>
                      <w:pStyle w:val="afff7"/>
                    </w:pPr>
                  </w:p>
                </w:tc>
                <w:tc>
                  <w:tcPr>
                    <w:tcW w:w="1008" w:type="dxa"/>
                    <w:vAlign w:val="center"/>
                  </w:tcPr>
                  <w:p w:rsidR="004A3868" w:rsidRDefault="004A3868">
                    <w:pPr>
                      <w:pStyle w:val="afff7"/>
                    </w:pPr>
                  </w:p>
                </w:tc>
                <w:tc>
                  <w:tcPr>
                    <w:tcW w:w="1026" w:type="dxa"/>
                    <w:vAlign w:val="center"/>
                  </w:tcPr>
                  <w:p w:rsidR="004A3868" w:rsidRDefault="004A3868">
                    <w:pPr>
                      <w:pStyle w:val="afff7"/>
                    </w:pPr>
                  </w:p>
                </w:tc>
              </w:tr>
              <w:tr w:rsidR="004A3868">
                <w:trPr>
                  <w:trHeight w:val="20"/>
                </w:trPr>
                <w:tc>
                  <w:tcPr>
                    <w:tcW w:w="2450" w:type="dxa"/>
                    <w:vAlign w:val="center"/>
                  </w:tcPr>
                  <w:p w:rsidR="004A3868" w:rsidRDefault="003F1AB5">
                    <w:pPr>
                      <w:pStyle w:val="afff9"/>
                    </w:pPr>
                    <w:r>
                      <w:t>二、本年</w:t>
                    </w:r>
                    <w:r>
                      <w:rPr>
                        <w:rFonts w:hint="eastAsia"/>
                      </w:rPr>
                      <w:t>期</w:t>
                    </w:r>
                    <w:r>
                      <w:t>初余额</w:t>
                    </w:r>
                  </w:p>
                </w:tc>
                <w:tc>
                  <w:tcPr>
                    <w:tcW w:w="1078" w:type="dxa"/>
                    <w:tcBorders>
                      <w:right w:val="single" w:sz="4" w:space="0" w:color="auto"/>
                    </w:tcBorders>
                    <w:vAlign w:val="center"/>
                  </w:tcPr>
                  <w:p w:rsidR="004A3868" w:rsidRDefault="003F1AB5">
                    <w:pPr>
                      <w:pStyle w:val="afff7"/>
                    </w:pPr>
                    <w:r>
                      <w:rPr>
                        <w:rFonts w:hint="eastAsia"/>
                      </w:rPr>
                      <w:t>333,167,407.00</w:t>
                    </w: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right w:val="single" w:sz="4" w:space="0" w:color="auto"/>
                    </w:tcBorders>
                    <w:vAlign w:val="center"/>
                  </w:tcPr>
                  <w:p w:rsidR="004A3868" w:rsidRDefault="004A3868">
                    <w:pPr>
                      <w:pStyle w:val="afff7"/>
                    </w:pPr>
                  </w:p>
                </w:tc>
                <w:tc>
                  <w:tcPr>
                    <w:tcW w:w="1036" w:type="dxa"/>
                    <w:tcBorders>
                      <w:left w:val="single" w:sz="4" w:space="0" w:color="auto"/>
                    </w:tcBorders>
                    <w:vAlign w:val="center"/>
                  </w:tcPr>
                  <w:p w:rsidR="004A3868" w:rsidRDefault="003F1AB5">
                    <w:pPr>
                      <w:pStyle w:val="afff7"/>
                    </w:pPr>
                    <w:r>
                      <w:rPr>
                        <w:rFonts w:hint="eastAsia"/>
                      </w:rPr>
                      <w:t>984,845,013.70</w:t>
                    </w:r>
                  </w:p>
                </w:tc>
                <w:tc>
                  <w:tcPr>
                    <w:tcW w:w="1064" w:type="dxa"/>
                    <w:vAlign w:val="center"/>
                  </w:tcPr>
                  <w:p w:rsidR="004A3868" w:rsidRDefault="004A3868">
                    <w:pPr>
                      <w:pStyle w:val="afff7"/>
                    </w:pPr>
                  </w:p>
                </w:tc>
                <w:tc>
                  <w:tcPr>
                    <w:tcW w:w="1022" w:type="dxa"/>
                    <w:vAlign w:val="center"/>
                  </w:tcPr>
                  <w:p w:rsidR="004A3868" w:rsidRDefault="004A3868">
                    <w:pPr>
                      <w:pStyle w:val="afff7"/>
                    </w:pPr>
                  </w:p>
                </w:tc>
                <w:tc>
                  <w:tcPr>
                    <w:tcW w:w="1036" w:type="dxa"/>
                    <w:vAlign w:val="center"/>
                  </w:tcPr>
                  <w:p w:rsidR="004A3868" w:rsidRDefault="003F1AB5">
                    <w:pPr>
                      <w:pStyle w:val="afff7"/>
                    </w:pPr>
                    <w:r>
                      <w:rPr>
                        <w:rFonts w:hint="eastAsia"/>
                      </w:rPr>
                      <w:t>15,197,905.64</w:t>
                    </w:r>
                  </w:p>
                </w:tc>
                <w:tc>
                  <w:tcPr>
                    <w:tcW w:w="1021" w:type="dxa"/>
                    <w:vAlign w:val="center"/>
                  </w:tcPr>
                  <w:p w:rsidR="004A3868" w:rsidRDefault="003F1AB5">
                    <w:pPr>
                      <w:pStyle w:val="afff7"/>
                    </w:pPr>
                    <w:r>
                      <w:rPr>
                        <w:rFonts w:hint="eastAsia"/>
                      </w:rPr>
                      <w:t>93,389,482.08</w:t>
                    </w:r>
                  </w:p>
                </w:tc>
                <w:tc>
                  <w:tcPr>
                    <w:tcW w:w="1008" w:type="dxa"/>
                    <w:vAlign w:val="center"/>
                  </w:tcPr>
                  <w:p w:rsidR="004A3868" w:rsidRDefault="003F1AB5">
                    <w:pPr>
                      <w:pStyle w:val="afff7"/>
                    </w:pPr>
                    <w:r>
                      <w:rPr>
                        <w:rFonts w:hint="eastAsia"/>
                      </w:rPr>
                      <w:t>839,830,537.34</w:t>
                    </w:r>
                  </w:p>
                </w:tc>
                <w:tc>
                  <w:tcPr>
                    <w:tcW w:w="1026" w:type="dxa"/>
                    <w:vAlign w:val="center"/>
                  </w:tcPr>
                  <w:p w:rsidR="004A3868" w:rsidRDefault="003F1AB5">
                    <w:pPr>
                      <w:pStyle w:val="afff7"/>
                    </w:pPr>
                    <w:r>
                      <w:rPr>
                        <w:rFonts w:hint="eastAsia"/>
                      </w:rPr>
                      <w:t>2,266,430,345.76</w:t>
                    </w:r>
                  </w:p>
                </w:tc>
              </w:tr>
              <w:tr w:rsidR="004A3868">
                <w:trPr>
                  <w:trHeight w:val="20"/>
                </w:trPr>
                <w:tc>
                  <w:tcPr>
                    <w:tcW w:w="2450" w:type="dxa"/>
                    <w:vAlign w:val="center"/>
                  </w:tcPr>
                  <w:p w:rsidR="004A3868" w:rsidRDefault="003F1AB5">
                    <w:pPr>
                      <w:pStyle w:val="afff9"/>
                    </w:pPr>
                    <w:r>
                      <w:t>三、本</w:t>
                    </w:r>
                    <w:r>
                      <w:rPr>
                        <w:rFonts w:hint="eastAsia"/>
                      </w:rPr>
                      <w:t>期</w:t>
                    </w:r>
                    <w:r>
                      <w:t>增减变动金额（减少以</w:t>
                    </w:r>
                    <w:r>
                      <w:t>“</w:t>
                    </w:r>
                    <w:r>
                      <w:t>－</w:t>
                    </w:r>
                    <w:r>
                      <w:t>”</w:t>
                    </w:r>
                    <w:r>
                      <w:t>号填列）</w:t>
                    </w:r>
                  </w:p>
                </w:tc>
                <w:tc>
                  <w:tcPr>
                    <w:tcW w:w="1078" w:type="dxa"/>
                    <w:tcBorders>
                      <w:right w:val="single" w:sz="4" w:space="0" w:color="auto"/>
                    </w:tcBorders>
                  </w:tcPr>
                  <w:p w:rsidR="004A3868" w:rsidRDefault="004A3868">
                    <w:pPr>
                      <w:pStyle w:val="afff7"/>
                    </w:pPr>
                  </w:p>
                </w:tc>
                <w:tc>
                  <w:tcPr>
                    <w:tcW w:w="1050" w:type="dxa"/>
                    <w:tcBorders>
                      <w:left w:val="single" w:sz="4" w:space="0" w:color="auto"/>
                      <w:right w:val="single" w:sz="4" w:space="0" w:color="auto"/>
                    </w:tcBorders>
                  </w:tcPr>
                  <w:p w:rsidR="004A3868" w:rsidRDefault="004A3868">
                    <w:pPr>
                      <w:pStyle w:val="afff7"/>
                    </w:pPr>
                  </w:p>
                </w:tc>
                <w:tc>
                  <w:tcPr>
                    <w:tcW w:w="1078" w:type="dxa"/>
                    <w:tcBorders>
                      <w:left w:val="single" w:sz="4" w:space="0" w:color="auto"/>
                      <w:right w:val="single" w:sz="4" w:space="0" w:color="auto"/>
                    </w:tcBorders>
                  </w:tcPr>
                  <w:p w:rsidR="004A3868" w:rsidRDefault="004A3868">
                    <w:pPr>
                      <w:pStyle w:val="afff7"/>
                    </w:pPr>
                  </w:p>
                </w:tc>
                <w:tc>
                  <w:tcPr>
                    <w:tcW w:w="1091" w:type="dxa"/>
                    <w:tcBorders>
                      <w:left w:val="single" w:sz="4" w:space="0" w:color="auto"/>
                    </w:tcBorders>
                  </w:tcPr>
                  <w:p w:rsidR="004A3868" w:rsidRDefault="004A3868">
                    <w:pPr>
                      <w:pStyle w:val="afff7"/>
                    </w:pPr>
                  </w:p>
                </w:tc>
                <w:tc>
                  <w:tcPr>
                    <w:tcW w:w="1036" w:type="dxa"/>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3F1AB5">
                    <w:pPr>
                      <w:pStyle w:val="afff7"/>
                    </w:pPr>
                    <w:r>
                      <w:rPr>
                        <w:rFonts w:hint="eastAsia"/>
                      </w:rPr>
                      <w:t>5,288,955.80</w:t>
                    </w:r>
                  </w:p>
                </w:tc>
                <w:tc>
                  <w:tcPr>
                    <w:tcW w:w="1021" w:type="dxa"/>
                  </w:tcPr>
                  <w:p w:rsidR="004A3868" w:rsidRDefault="003F1AB5">
                    <w:pPr>
                      <w:pStyle w:val="afff7"/>
                    </w:pPr>
                    <w:r>
                      <w:t xml:space="preserve"> 23,998,074.58 </w:t>
                    </w:r>
                  </w:p>
                </w:tc>
                <w:tc>
                  <w:tcPr>
                    <w:tcW w:w="1008" w:type="dxa"/>
                  </w:tcPr>
                  <w:p w:rsidR="004A3868" w:rsidRDefault="003F1AB5">
                    <w:pPr>
                      <w:pStyle w:val="afff7"/>
                    </w:pPr>
                    <w:r>
                      <w:t xml:space="preserve"> 156,012,537.95 </w:t>
                    </w:r>
                  </w:p>
                </w:tc>
                <w:tc>
                  <w:tcPr>
                    <w:tcW w:w="1026" w:type="dxa"/>
                  </w:tcPr>
                  <w:p w:rsidR="004A3868" w:rsidRDefault="003F1AB5">
                    <w:pPr>
                      <w:pStyle w:val="afff7"/>
                    </w:pPr>
                    <w:r>
                      <w:t xml:space="preserve"> 135,000,327.05 </w:t>
                    </w:r>
                  </w:p>
                </w:tc>
              </w:tr>
              <w:tr w:rsidR="004A3868">
                <w:trPr>
                  <w:trHeight w:val="20"/>
                </w:trPr>
                <w:tc>
                  <w:tcPr>
                    <w:tcW w:w="2450" w:type="dxa"/>
                    <w:vAlign w:val="center"/>
                  </w:tcPr>
                  <w:p w:rsidR="004A3868" w:rsidRDefault="003F1AB5">
                    <w:pPr>
                      <w:pStyle w:val="afff9"/>
                    </w:pPr>
                    <w:r>
                      <w:rPr>
                        <w:rFonts w:hint="eastAsia"/>
                      </w:rPr>
                      <w:t>（一）综合收益总额</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3F1AB5">
                    <w:pPr>
                      <w:pStyle w:val="afff7"/>
                    </w:pPr>
                    <w:r>
                      <w:t xml:space="preserve"> 239,980,745.79 </w:t>
                    </w:r>
                  </w:p>
                </w:tc>
                <w:tc>
                  <w:tcPr>
                    <w:tcW w:w="1026" w:type="dxa"/>
                  </w:tcPr>
                  <w:p w:rsidR="004A3868" w:rsidRDefault="003F1AB5">
                    <w:pPr>
                      <w:pStyle w:val="afff7"/>
                    </w:pPr>
                    <w:r>
                      <w:t xml:space="preserve"> 239,980,745.79 </w:t>
                    </w:r>
                  </w:p>
                </w:tc>
              </w:tr>
              <w:tr w:rsidR="004A3868">
                <w:trPr>
                  <w:trHeight w:val="20"/>
                </w:trPr>
                <w:tc>
                  <w:tcPr>
                    <w:tcW w:w="2450" w:type="dxa"/>
                    <w:vAlign w:val="center"/>
                  </w:tcPr>
                  <w:p w:rsidR="004A3868" w:rsidRDefault="003F1AB5">
                    <w:pPr>
                      <w:pStyle w:val="afff9"/>
                    </w:pPr>
                    <w:r>
                      <w:t>（</w:t>
                    </w:r>
                    <w:r>
                      <w:rPr>
                        <w:rFonts w:hint="eastAsia"/>
                      </w:rPr>
                      <w:t>二</w:t>
                    </w:r>
                    <w:r>
                      <w:t>）所有者投入和减少资本</w:t>
                    </w:r>
                  </w:p>
                </w:tc>
                <w:tc>
                  <w:tcPr>
                    <w:tcW w:w="1078" w:type="dxa"/>
                    <w:tcBorders>
                      <w:right w:val="single" w:sz="4" w:space="0" w:color="auto"/>
                    </w:tcBorders>
                  </w:tcPr>
                  <w:p w:rsidR="004A3868" w:rsidRDefault="004A3868">
                    <w:pPr>
                      <w:pStyle w:val="afff7"/>
                    </w:pPr>
                  </w:p>
                </w:tc>
                <w:tc>
                  <w:tcPr>
                    <w:tcW w:w="1050" w:type="dxa"/>
                    <w:tcBorders>
                      <w:left w:val="single" w:sz="4" w:space="0" w:color="auto"/>
                      <w:right w:val="single" w:sz="4" w:space="0" w:color="auto"/>
                    </w:tcBorders>
                  </w:tcPr>
                  <w:p w:rsidR="004A3868" w:rsidRDefault="004A3868">
                    <w:pPr>
                      <w:pStyle w:val="afff7"/>
                    </w:pPr>
                  </w:p>
                </w:tc>
                <w:tc>
                  <w:tcPr>
                    <w:tcW w:w="1078" w:type="dxa"/>
                    <w:tcBorders>
                      <w:left w:val="single" w:sz="4" w:space="0" w:color="auto"/>
                      <w:right w:val="single" w:sz="4" w:space="0" w:color="auto"/>
                    </w:tcBorders>
                  </w:tcPr>
                  <w:p w:rsidR="004A3868" w:rsidRDefault="004A3868">
                    <w:pPr>
                      <w:pStyle w:val="afff7"/>
                    </w:pPr>
                  </w:p>
                </w:tc>
                <w:tc>
                  <w:tcPr>
                    <w:tcW w:w="1091" w:type="dxa"/>
                    <w:tcBorders>
                      <w:left w:val="single" w:sz="4" w:space="0" w:color="auto"/>
                    </w:tcBorders>
                  </w:tcPr>
                  <w:p w:rsidR="004A3868" w:rsidRDefault="004A3868">
                    <w:pPr>
                      <w:pStyle w:val="afff7"/>
                    </w:pPr>
                  </w:p>
                </w:tc>
                <w:tc>
                  <w:tcPr>
                    <w:tcW w:w="1036" w:type="dxa"/>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rPr>
                        <w:rFonts w:hint="eastAsia"/>
                      </w:rPr>
                      <w:t>1</w:t>
                    </w:r>
                    <w:r>
                      <w:rPr>
                        <w:rFonts w:hint="eastAsia"/>
                      </w:rPr>
                      <w:t>．所有者投入的普通股</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rPr>
                        <w:rFonts w:hint="eastAsia"/>
                      </w:rPr>
                      <w:t>2</w:t>
                    </w:r>
                    <w:r>
                      <w:rPr>
                        <w:rFonts w:hint="eastAsia"/>
                      </w:rPr>
                      <w:t>．其他权益工具持有者投入资本</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rPr>
                        <w:rFonts w:hint="eastAsia"/>
                      </w:rPr>
                      <w:t>3</w:t>
                    </w:r>
                    <w:r>
                      <w:t>．股份支付计入所有者权益的金额</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rPr>
                        <w:rFonts w:hint="eastAsia"/>
                      </w:rPr>
                      <w:lastRenderedPageBreak/>
                      <w:t>4</w:t>
                    </w:r>
                    <w:r>
                      <w:t>．其他</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t>（</w:t>
                    </w:r>
                    <w:r>
                      <w:rPr>
                        <w:rFonts w:hint="eastAsia"/>
                      </w:rPr>
                      <w:t>三</w:t>
                    </w:r>
                    <w:r>
                      <w:t>）利润分配</w:t>
                    </w:r>
                  </w:p>
                </w:tc>
                <w:tc>
                  <w:tcPr>
                    <w:tcW w:w="1078" w:type="dxa"/>
                    <w:tcBorders>
                      <w:right w:val="single" w:sz="4" w:space="0" w:color="auto"/>
                    </w:tcBorders>
                  </w:tcPr>
                  <w:p w:rsidR="004A3868" w:rsidRDefault="004A3868">
                    <w:pPr>
                      <w:pStyle w:val="afff7"/>
                    </w:pPr>
                  </w:p>
                </w:tc>
                <w:tc>
                  <w:tcPr>
                    <w:tcW w:w="1050" w:type="dxa"/>
                    <w:tcBorders>
                      <w:left w:val="single" w:sz="4" w:space="0" w:color="auto"/>
                      <w:right w:val="single" w:sz="4" w:space="0" w:color="auto"/>
                    </w:tcBorders>
                  </w:tcPr>
                  <w:p w:rsidR="004A3868" w:rsidRDefault="004A3868">
                    <w:pPr>
                      <w:pStyle w:val="afff7"/>
                    </w:pPr>
                  </w:p>
                </w:tc>
                <w:tc>
                  <w:tcPr>
                    <w:tcW w:w="1078" w:type="dxa"/>
                    <w:tcBorders>
                      <w:left w:val="single" w:sz="4" w:space="0" w:color="auto"/>
                      <w:right w:val="single" w:sz="4" w:space="0" w:color="auto"/>
                    </w:tcBorders>
                  </w:tcPr>
                  <w:p w:rsidR="004A3868" w:rsidRDefault="004A3868">
                    <w:pPr>
                      <w:pStyle w:val="afff7"/>
                    </w:pPr>
                  </w:p>
                </w:tc>
                <w:tc>
                  <w:tcPr>
                    <w:tcW w:w="1091" w:type="dxa"/>
                    <w:tcBorders>
                      <w:left w:val="single" w:sz="4" w:space="0" w:color="auto"/>
                    </w:tcBorders>
                  </w:tcPr>
                  <w:p w:rsidR="004A3868" w:rsidRDefault="004A3868">
                    <w:pPr>
                      <w:pStyle w:val="afff7"/>
                    </w:pPr>
                  </w:p>
                </w:tc>
                <w:tc>
                  <w:tcPr>
                    <w:tcW w:w="1036" w:type="dxa"/>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tcPr>
                  <w:p w:rsidR="004A3868" w:rsidRDefault="004A3868">
                    <w:pPr>
                      <w:pStyle w:val="afff7"/>
                    </w:pPr>
                  </w:p>
                </w:tc>
                <w:tc>
                  <w:tcPr>
                    <w:tcW w:w="1021" w:type="dxa"/>
                  </w:tcPr>
                  <w:p w:rsidR="004A3868" w:rsidRDefault="003F1AB5">
                    <w:pPr>
                      <w:pStyle w:val="afff7"/>
                    </w:pPr>
                    <w:r>
                      <w:t xml:space="preserve"> 23,998,074.58 </w:t>
                    </w:r>
                  </w:p>
                </w:tc>
                <w:tc>
                  <w:tcPr>
                    <w:tcW w:w="1008" w:type="dxa"/>
                  </w:tcPr>
                  <w:p w:rsidR="004A3868" w:rsidRDefault="003F1AB5">
                    <w:pPr>
                      <w:pStyle w:val="afff7"/>
                    </w:pPr>
                    <w:r>
                      <w:t xml:space="preserve"> -83,968,207.84 </w:t>
                    </w:r>
                  </w:p>
                </w:tc>
                <w:tc>
                  <w:tcPr>
                    <w:tcW w:w="1026" w:type="dxa"/>
                  </w:tcPr>
                  <w:p w:rsidR="004A3868" w:rsidRDefault="003F1AB5">
                    <w:pPr>
                      <w:pStyle w:val="afff7"/>
                    </w:pPr>
                    <w:r>
                      <w:rPr>
                        <w:rFonts w:hint="eastAsia"/>
                      </w:rPr>
                      <w:t>-59,970,133.26</w:t>
                    </w:r>
                  </w:p>
                </w:tc>
              </w:tr>
              <w:tr w:rsidR="004A3868">
                <w:trPr>
                  <w:trHeight w:val="20"/>
                </w:trPr>
                <w:tc>
                  <w:tcPr>
                    <w:tcW w:w="2450" w:type="dxa"/>
                    <w:vAlign w:val="center"/>
                  </w:tcPr>
                  <w:p w:rsidR="004A3868" w:rsidRDefault="003F1AB5">
                    <w:pPr>
                      <w:pStyle w:val="afff9"/>
                    </w:pPr>
                    <w:r>
                      <w:t>1</w:t>
                    </w:r>
                    <w:r>
                      <w:t>．提取盈余公积</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3F1AB5">
                    <w:pPr>
                      <w:pStyle w:val="afff7"/>
                    </w:pPr>
                    <w:r>
                      <w:t xml:space="preserve"> 23,998,074.58 </w:t>
                    </w:r>
                  </w:p>
                </w:tc>
                <w:tc>
                  <w:tcPr>
                    <w:tcW w:w="1008" w:type="dxa"/>
                  </w:tcPr>
                  <w:p w:rsidR="004A3868" w:rsidRDefault="003F1AB5">
                    <w:pPr>
                      <w:pStyle w:val="afff7"/>
                    </w:pPr>
                    <w:r>
                      <w:t xml:space="preserve"> -23,998,074.58 </w:t>
                    </w: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rPr>
                        <w:rFonts w:hint="eastAsia"/>
                      </w:rPr>
                      <w:t>2</w:t>
                    </w:r>
                    <w:r>
                      <w:t>．对所有者（或股东）的分配</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3F1AB5">
                    <w:pPr>
                      <w:pStyle w:val="afff7"/>
                    </w:pPr>
                    <w:r>
                      <w:rPr>
                        <w:rFonts w:hint="eastAsia"/>
                      </w:rPr>
                      <w:t>-59,970,133.26</w:t>
                    </w:r>
                  </w:p>
                </w:tc>
                <w:tc>
                  <w:tcPr>
                    <w:tcW w:w="1026" w:type="dxa"/>
                  </w:tcPr>
                  <w:p w:rsidR="004A3868" w:rsidRDefault="003F1AB5">
                    <w:pPr>
                      <w:pStyle w:val="afff7"/>
                    </w:pPr>
                    <w:r>
                      <w:rPr>
                        <w:rFonts w:hint="eastAsia"/>
                      </w:rPr>
                      <w:t>-59,970,133.26</w:t>
                    </w:r>
                  </w:p>
                </w:tc>
              </w:tr>
              <w:tr w:rsidR="004A3868">
                <w:trPr>
                  <w:trHeight w:val="20"/>
                </w:trPr>
                <w:tc>
                  <w:tcPr>
                    <w:tcW w:w="2450" w:type="dxa"/>
                    <w:vAlign w:val="center"/>
                  </w:tcPr>
                  <w:p w:rsidR="004A3868" w:rsidRDefault="003F1AB5">
                    <w:pPr>
                      <w:pStyle w:val="afff9"/>
                    </w:pPr>
                    <w:r>
                      <w:rPr>
                        <w:rFonts w:hint="eastAsia"/>
                      </w:rPr>
                      <w:t>3</w:t>
                    </w:r>
                    <w:r>
                      <w:t>．其他</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t>（</w:t>
                    </w:r>
                    <w:r>
                      <w:rPr>
                        <w:rFonts w:hint="eastAsia"/>
                      </w:rPr>
                      <w:t>四</w:t>
                    </w:r>
                    <w:r>
                      <w:t>）所有者权益内部结转</w:t>
                    </w:r>
                  </w:p>
                </w:tc>
                <w:tc>
                  <w:tcPr>
                    <w:tcW w:w="1078" w:type="dxa"/>
                    <w:tcBorders>
                      <w:right w:val="single" w:sz="4" w:space="0" w:color="auto"/>
                    </w:tcBorders>
                  </w:tcPr>
                  <w:p w:rsidR="004A3868" w:rsidRDefault="004A3868">
                    <w:pPr>
                      <w:pStyle w:val="afff7"/>
                    </w:pPr>
                  </w:p>
                </w:tc>
                <w:tc>
                  <w:tcPr>
                    <w:tcW w:w="1050" w:type="dxa"/>
                    <w:tcBorders>
                      <w:left w:val="single" w:sz="4" w:space="0" w:color="auto"/>
                      <w:right w:val="single" w:sz="4" w:space="0" w:color="auto"/>
                    </w:tcBorders>
                  </w:tcPr>
                  <w:p w:rsidR="004A3868" w:rsidRDefault="004A3868">
                    <w:pPr>
                      <w:pStyle w:val="afff7"/>
                    </w:pPr>
                  </w:p>
                </w:tc>
                <w:tc>
                  <w:tcPr>
                    <w:tcW w:w="1078" w:type="dxa"/>
                    <w:tcBorders>
                      <w:left w:val="single" w:sz="4" w:space="0" w:color="auto"/>
                      <w:right w:val="single" w:sz="4" w:space="0" w:color="auto"/>
                    </w:tcBorders>
                  </w:tcPr>
                  <w:p w:rsidR="004A3868" w:rsidRDefault="004A3868">
                    <w:pPr>
                      <w:pStyle w:val="afff7"/>
                    </w:pPr>
                  </w:p>
                </w:tc>
                <w:tc>
                  <w:tcPr>
                    <w:tcW w:w="1091" w:type="dxa"/>
                    <w:tcBorders>
                      <w:left w:val="single" w:sz="4" w:space="0" w:color="auto"/>
                    </w:tcBorders>
                  </w:tcPr>
                  <w:p w:rsidR="004A3868" w:rsidRDefault="004A3868">
                    <w:pPr>
                      <w:pStyle w:val="afff7"/>
                    </w:pPr>
                  </w:p>
                </w:tc>
                <w:tc>
                  <w:tcPr>
                    <w:tcW w:w="1036" w:type="dxa"/>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t>1</w:t>
                    </w:r>
                    <w:r>
                      <w:t>．资本公积转增资本（或股本）</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t>2</w:t>
                    </w:r>
                    <w:r>
                      <w:t>．盈余公积转增资本（或股本）</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t>3</w:t>
                    </w:r>
                    <w:r>
                      <w:t>．盈余公积弥补亏损</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t>4</w:t>
                    </w:r>
                    <w:r>
                      <w:t>．设定受益计划变动额结转留存收益</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t>5</w:t>
                    </w:r>
                    <w:r>
                      <w:t>．其他综合收益结转留存收益</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t>6</w:t>
                    </w:r>
                    <w:r>
                      <w:t>．其他</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4A3868">
                    <w:pPr>
                      <w:pStyle w:val="afff7"/>
                    </w:pPr>
                  </w:p>
                </w:tc>
              </w:tr>
              <w:tr w:rsidR="004A3868">
                <w:trPr>
                  <w:trHeight w:val="20"/>
                </w:trPr>
                <w:tc>
                  <w:tcPr>
                    <w:tcW w:w="2450" w:type="dxa"/>
                    <w:vAlign w:val="center"/>
                  </w:tcPr>
                  <w:p w:rsidR="004A3868" w:rsidRDefault="003F1AB5">
                    <w:pPr>
                      <w:pStyle w:val="afff9"/>
                    </w:pPr>
                    <w:r>
                      <w:rPr>
                        <w:rFonts w:hint="eastAsia"/>
                      </w:rPr>
                      <w:t>（五）专项储备</w:t>
                    </w:r>
                  </w:p>
                </w:tc>
                <w:tc>
                  <w:tcPr>
                    <w:tcW w:w="1078" w:type="dxa"/>
                    <w:tcBorders>
                      <w:right w:val="single" w:sz="4" w:space="0" w:color="auto"/>
                    </w:tcBorders>
                  </w:tcPr>
                  <w:p w:rsidR="004A3868" w:rsidRDefault="004A3868">
                    <w:pPr>
                      <w:pStyle w:val="afff7"/>
                    </w:pPr>
                  </w:p>
                </w:tc>
                <w:tc>
                  <w:tcPr>
                    <w:tcW w:w="1050" w:type="dxa"/>
                    <w:tcBorders>
                      <w:left w:val="single" w:sz="4" w:space="0" w:color="auto"/>
                      <w:right w:val="single" w:sz="4" w:space="0" w:color="auto"/>
                    </w:tcBorders>
                  </w:tcPr>
                  <w:p w:rsidR="004A3868" w:rsidRDefault="004A3868">
                    <w:pPr>
                      <w:pStyle w:val="afff7"/>
                    </w:pPr>
                  </w:p>
                </w:tc>
                <w:tc>
                  <w:tcPr>
                    <w:tcW w:w="1078" w:type="dxa"/>
                    <w:tcBorders>
                      <w:left w:val="single" w:sz="4" w:space="0" w:color="auto"/>
                      <w:right w:val="single" w:sz="4" w:space="0" w:color="auto"/>
                    </w:tcBorders>
                  </w:tcPr>
                  <w:p w:rsidR="004A3868" w:rsidRDefault="004A3868">
                    <w:pPr>
                      <w:pStyle w:val="afff7"/>
                    </w:pPr>
                  </w:p>
                </w:tc>
                <w:tc>
                  <w:tcPr>
                    <w:tcW w:w="1091" w:type="dxa"/>
                    <w:tcBorders>
                      <w:left w:val="single" w:sz="4" w:space="0" w:color="auto"/>
                    </w:tcBorders>
                  </w:tcPr>
                  <w:p w:rsidR="004A3868" w:rsidRDefault="004A3868">
                    <w:pPr>
                      <w:pStyle w:val="afff7"/>
                    </w:pPr>
                  </w:p>
                </w:tc>
                <w:tc>
                  <w:tcPr>
                    <w:tcW w:w="1036" w:type="dxa"/>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3F1AB5">
                    <w:pPr>
                      <w:pStyle w:val="afff7"/>
                    </w:pPr>
                    <w:r>
                      <w:rPr>
                        <w:rFonts w:hint="eastAsia"/>
                      </w:rPr>
                      <w:t>5,288,955.80</w:t>
                    </w: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3F1AB5">
                    <w:pPr>
                      <w:pStyle w:val="afff7"/>
                    </w:pPr>
                    <w:r>
                      <w:rPr>
                        <w:rFonts w:hint="eastAsia"/>
                      </w:rPr>
                      <w:t>5,288,955.80</w:t>
                    </w:r>
                  </w:p>
                </w:tc>
              </w:tr>
              <w:tr w:rsidR="004A3868">
                <w:trPr>
                  <w:trHeight w:val="20"/>
                </w:trPr>
                <w:tc>
                  <w:tcPr>
                    <w:tcW w:w="2450" w:type="dxa"/>
                    <w:vAlign w:val="center"/>
                  </w:tcPr>
                  <w:p w:rsidR="004A3868" w:rsidRDefault="003F1AB5">
                    <w:pPr>
                      <w:pStyle w:val="afff9"/>
                    </w:pPr>
                    <w:r>
                      <w:rPr>
                        <w:rFonts w:hint="eastAsia"/>
                      </w:rPr>
                      <w:t>1</w:t>
                    </w:r>
                    <w:r>
                      <w:rPr>
                        <w:rFonts w:hint="eastAsia"/>
                      </w:rPr>
                      <w:t>．本期提取</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3F1AB5">
                    <w:pPr>
                      <w:pStyle w:val="afff7"/>
                    </w:pPr>
                    <w:r>
                      <w:rPr>
                        <w:rFonts w:hint="eastAsia"/>
                      </w:rPr>
                      <w:t>10,598,133.60</w:t>
                    </w: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3F1AB5">
                    <w:pPr>
                      <w:pStyle w:val="afff7"/>
                    </w:pPr>
                    <w:r>
                      <w:rPr>
                        <w:rFonts w:hint="eastAsia"/>
                      </w:rPr>
                      <w:t>10,598,133.60</w:t>
                    </w:r>
                  </w:p>
                </w:tc>
              </w:tr>
              <w:tr w:rsidR="004A3868">
                <w:trPr>
                  <w:trHeight w:val="20"/>
                </w:trPr>
                <w:tc>
                  <w:tcPr>
                    <w:tcW w:w="2450" w:type="dxa"/>
                    <w:vAlign w:val="center"/>
                  </w:tcPr>
                  <w:p w:rsidR="004A3868" w:rsidRDefault="003F1AB5">
                    <w:pPr>
                      <w:pStyle w:val="afff9"/>
                    </w:pPr>
                    <w:r>
                      <w:rPr>
                        <w:rFonts w:hint="eastAsia"/>
                      </w:rPr>
                      <w:t>2</w:t>
                    </w:r>
                    <w:r>
                      <w:rPr>
                        <w:rFonts w:hint="eastAsia"/>
                      </w:rPr>
                      <w:t>．本期使用</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3F1AB5">
                    <w:pPr>
                      <w:pStyle w:val="afff7"/>
                    </w:pPr>
                    <w:r>
                      <w:rPr>
                        <w:rFonts w:hint="eastAsia"/>
                      </w:rPr>
                      <w:t>-5,309,177.8</w:t>
                    </w: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3F1AB5">
                    <w:pPr>
                      <w:pStyle w:val="afff7"/>
                    </w:pPr>
                    <w:r>
                      <w:rPr>
                        <w:rFonts w:hint="eastAsia"/>
                      </w:rPr>
                      <w:t>-5,309,177.80</w:t>
                    </w:r>
                  </w:p>
                </w:tc>
              </w:tr>
              <w:tr w:rsidR="004A3868">
                <w:trPr>
                  <w:trHeight w:val="20"/>
                </w:trPr>
                <w:tc>
                  <w:tcPr>
                    <w:tcW w:w="2450" w:type="dxa"/>
                    <w:vAlign w:val="center"/>
                  </w:tcPr>
                  <w:p w:rsidR="004A3868" w:rsidRDefault="003F1AB5">
                    <w:pPr>
                      <w:pStyle w:val="afff9"/>
                    </w:pPr>
                    <w:r>
                      <w:rPr>
                        <w:rFonts w:hint="eastAsia"/>
                      </w:rPr>
                      <w:t>（六）其他</w:t>
                    </w:r>
                  </w:p>
                </w:tc>
                <w:tc>
                  <w:tcPr>
                    <w:tcW w:w="1078" w:type="dxa"/>
                    <w:tcBorders>
                      <w:right w:val="single" w:sz="4" w:space="0" w:color="auto"/>
                    </w:tcBorders>
                    <w:vAlign w:val="center"/>
                  </w:tcPr>
                  <w:p w:rsidR="004A3868" w:rsidRDefault="004A3868">
                    <w:pPr>
                      <w:pStyle w:val="afff7"/>
                    </w:pPr>
                  </w:p>
                </w:tc>
                <w:tc>
                  <w:tcPr>
                    <w:tcW w:w="1050" w:type="dxa"/>
                    <w:tcBorders>
                      <w:left w:val="single" w:sz="4" w:space="0" w:color="auto"/>
                      <w:right w:val="single" w:sz="4" w:space="0" w:color="auto"/>
                    </w:tcBorders>
                    <w:vAlign w:val="center"/>
                  </w:tcPr>
                  <w:p w:rsidR="004A3868" w:rsidRDefault="004A3868">
                    <w:pPr>
                      <w:pStyle w:val="afff7"/>
                    </w:pPr>
                  </w:p>
                </w:tc>
                <w:tc>
                  <w:tcPr>
                    <w:tcW w:w="1078" w:type="dxa"/>
                    <w:tcBorders>
                      <w:left w:val="single" w:sz="4" w:space="0" w:color="auto"/>
                      <w:right w:val="single" w:sz="4" w:space="0" w:color="auto"/>
                    </w:tcBorders>
                    <w:vAlign w:val="center"/>
                  </w:tcPr>
                  <w:p w:rsidR="004A3868" w:rsidRDefault="004A3868">
                    <w:pPr>
                      <w:pStyle w:val="afff7"/>
                    </w:pPr>
                  </w:p>
                </w:tc>
                <w:tc>
                  <w:tcPr>
                    <w:tcW w:w="1091" w:type="dxa"/>
                    <w:tcBorders>
                      <w:left w:val="single" w:sz="4" w:space="0" w:color="auto"/>
                    </w:tcBorders>
                    <w:vAlign w:val="center"/>
                  </w:tcPr>
                  <w:p w:rsidR="004A3868" w:rsidRDefault="004A3868">
                    <w:pPr>
                      <w:pStyle w:val="afff7"/>
                    </w:pPr>
                  </w:p>
                </w:tc>
                <w:tc>
                  <w:tcPr>
                    <w:tcW w:w="1036" w:type="dxa"/>
                    <w:vAlign w:val="center"/>
                  </w:tcPr>
                  <w:p w:rsidR="004A3868" w:rsidRDefault="004A3868">
                    <w:pPr>
                      <w:pStyle w:val="afff7"/>
                    </w:pPr>
                  </w:p>
                </w:tc>
                <w:tc>
                  <w:tcPr>
                    <w:tcW w:w="1064" w:type="dxa"/>
                  </w:tcPr>
                  <w:p w:rsidR="004A3868" w:rsidRDefault="004A3868">
                    <w:pPr>
                      <w:pStyle w:val="afff7"/>
                    </w:pPr>
                  </w:p>
                </w:tc>
                <w:tc>
                  <w:tcPr>
                    <w:tcW w:w="1022" w:type="dxa"/>
                  </w:tcPr>
                  <w:p w:rsidR="004A3868" w:rsidRDefault="004A3868">
                    <w:pPr>
                      <w:pStyle w:val="afff7"/>
                    </w:pPr>
                  </w:p>
                </w:tc>
                <w:tc>
                  <w:tcPr>
                    <w:tcW w:w="1036" w:type="dxa"/>
                    <w:vAlign w:val="center"/>
                  </w:tcPr>
                  <w:p w:rsidR="004A3868" w:rsidRDefault="004A3868">
                    <w:pPr>
                      <w:pStyle w:val="afff7"/>
                    </w:pPr>
                  </w:p>
                </w:tc>
                <w:tc>
                  <w:tcPr>
                    <w:tcW w:w="1021" w:type="dxa"/>
                  </w:tcPr>
                  <w:p w:rsidR="004A3868" w:rsidRDefault="004A3868">
                    <w:pPr>
                      <w:pStyle w:val="afff7"/>
                    </w:pPr>
                  </w:p>
                </w:tc>
                <w:tc>
                  <w:tcPr>
                    <w:tcW w:w="1008" w:type="dxa"/>
                  </w:tcPr>
                  <w:p w:rsidR="004A3868" w:rsidRDefault="004A3868">
                    <w:pPr>
                      <w:pStyle w:val="afff7"/>
                    </w:pPr>
                  </w:p>
                </w:tc>
                <w:tc>
                  <w:tcPr>
                    <w:tcW w:w="1026" w:type="dxa"/>
                  </w:tcPr>
                  <w:p w:rsidR="004A3868" w:rsidRDefault="003F1AB5">
                    <w:pPr>
                      <w:pStyle w:val="afff7"/>
                    </w:pPr>
                    <w:r>
                      <w:rPr>
                        <w:rFonts w:hint="eastAsia"/>
                      </w:rPr>
                      <w:t>-</w:t>
                    </w:r>
                    <w:r>
                      <w:rPr>
                        <w:rFonts w:hint="eastAsia"/>
                      </w:rPr>
                      <w:lastRenderedPageBreak/>
                      <w:t>50,299,241.28</w:t>
                    </w:r>
                  </w:p>
                </w:tc>
              </w:tr>
              <w:tr w:rsidR="004A3868">
                <w:trPr>
                  <w:trHeight w:val="20"/>
                </w:trPr>
                <w:tc>
                  <w:tcPr>
                    <w:tcW w:w="2450" w:type="dxa"/>
                    <w:vAlign w:val="center"/>
                  </w:tcPr>
                  <w:p w:rsidR="004A3868" w:rsidRDefault="003F1AB5">
                    <w:pPr>
                      <w:pStyle w:val="afff9"/>
                    </w:pPr>
                    <w:r>
                      <w:lastRenderedPageBreak/>
                      <w:t>四、本期期末余额</w:t>
                    </w:r>
                  </w:p>
                </w:tc>
                <w:tc>
                  <w:tcPr>
                    <w:tcW w:w="1078" w:type="dxa"/>
                    <w:tcBorders>
                      <w:right w:val="single" w:sz="4" w:space="0" w:color="auto"/>
                    </w:tcBorders>
                    <w:vAlign w:val="center"/>
                  </w:tcPr>
                  <w:p w:rsidR="004A3868" w:rsidRDefault="003F1AB5">
                    <w:pPr>
                      <w:pStyle w:val="afff7"/>
                    </w:pPr>
                    <w:r>
                      <w:rPr>
                        <w:rFonts w:hint="eastAsia"/>
                      </w:rPr>
                      <w:t>333,167,407.00</w:t>
                    </w:r>
                  </w:p>
                </w:tc>
                <w:tc>
                  <w:tcPr>
                    <w:tcW w:w="1050" w:type="dxa"/>
                    <w:tcBorders>
                      <w:left w:val="single" w:sz="4" w:space="0" w:color="auto"/>
                      <w:right w:val="single" w:sz="4" w:space="0" w:color="auto"/>
                    </w:tcBorders>
                  </w:tcPr>
                  <w:p w:rsidR="004A3868" w:rsidRDefault="004A3868">
                    <w:pPr>
                      <w:pStyle w:val="afff7"/>
                    </w:pPr>
                  </w:p>
                </w:tc>
                <w:tc>
                  <w:tcPr>
                    <w:tcW w:w="1078" w:type="dxa"/>
                    <w:tcBorders>
                      <w:left w:val="single" w:sz="4" w:space="0" w:color="auto"/>
                      <w:right w:val="single" w:sz="4" w:space="0" w:color="auto"/>
                    </w:tcBorders>
                  </w:tcPr>
                  <w:p w:rsidR="004A3868" w:rsidRDefault="004A3868">
                    <w:pPr>
                      <w:pStyle w:val="afff7"/>
                    </w:pPr>
                  </w:p>
                </w:tc>
                <w:tc>
                  <w:tcPr>
                    <w:tcW w:w="1091" w:type="dxa"/>
                    <w:tcBorders>
                      <w:left w:val="single" w:sz="4" w:space="0" w:color="auto"/>
                    </w:tcBorders>
                  </w:tcPr>
                  <w:p w:rsidR="004A3868" w:rsidRDefault="004A3868">
                    <w:pPr>
                      <w:pStyle w:val="afff7"/>
                    </w:pPr>
                  </w:p>
                </w:tc>
                <w:tc>
                  <w:tcPr>
                    <w:tcW w:w="1036" w:type="dxa"/>
                    <w:vAlign w:val="center"/>
                  </w:tcPr>
                  <w:p w:rsidR="004A3868" w:rsidRDefault="003F1AB5">
                    <w:pPr>
                      <w:pStyle w:val="afff7"/>
                    </w:pPr>
                    <w:r>
                      <w:rPr>
                        <w:rFonts w:hint="eastAsia"/>
                      </w:rPr>
                      <w:t>984,845,013.70</w:t>
                    </w:r>
                  </w:p>
                </w:tc>
                <w:tc>
                  <w:tcPr>
                    <w:tcW w:w="1064" w:type="dxa"/>
                  </w:tcPr>
                  <w:p w:rsidR="004A3868" w:rsidRDefault="003F1AB5">
                    <w:pPr>
                      <w:pStyle w:val="afff7"/>
                    </w:pPr>
                    <w:r>
                      <w:t>50,299,241.28</w:t>
                    </w:r>
                  </w:p>
                </w:tc>
                <w:tc>
                  <w:tcPr>
                    <w:tcW w:w="1022" w:type="dxa"/>
                  </w:tcPr>
                  <w:p w:rsidR="004A3868" w:rsidRDefault="004A3868">
                    <w:pPr>
                      <w:pStyle w:val="afff7"/>
                    </w:pPr>
                  </w:p>
                </w:tc>
                <w:tc>
                  <w:tcPr>
                    <w:tcW w:w="1036" w:type="dxa"/>
                    <w:vAlign w:val="center"/>
                  </w:tcPr>
                  <w:p w:rsidR="004A3868" w:rsidRDefault="003F1AB5">
                    <w:pPr>
                      <w:pStyle w:val="afff7"/>
                    </w:pPr>
                    <w:r>
                      <w:rPr>
                        <w:rFonts w:hint="eastAsia"/>
                      </w:rPr>
                      <w:t>20,486,861.44</w:t>
                    </w:r>
                  </w:p>
                </w:tc>
                <w:tc>
                  <w:tcPr>
                    <w:tcW w:w="1021" w:type="dxa"/>
                  </w:tcPr>
                  <w:p w:rsidR="004A3868" w:rsidRDefault="003F1AB5">
                    <w:pPr>
                      <w:pStyle w:val="afff7"/>
                    </w:pPr>
                    <w:r>
                      <w:t xml:space="preserve"> 117,387,556.66 </w:t>
                    </w:r>
                  </w:p>
                </w:tc>
                <w:tc>
                  <w:tcPr>
                    <w:tcW w:w="1008" w:type="dxa"/>
                  </w:tcPr>
                  <w:p w:rsidR="004A3868" w:rsidRDefault="003F1AB5">
                    <w:pPr>
                      <w:pStyle w:val="afff7"/>
                    </w:pPr>
                    <w:r>
                      <w:t xml:space="preserve"> 995,843,075.29 </w:t>
                    </w:r>
                  </w:p>
                </w:tc>
                <w:tc>
                  <w:tcPr>
                    <w:tcW w:w="1026" w:type="dxa"/>
                  </w:tcPr>
                  <w:p w:rsidR="004A3868" w:rsidRDefault="003F1AB5">
                    <w:pPr>
                      <w:pStyle w:val="afff7"/>
                    </w:pPr>
                    <w:r>
                      <w:t xml:space="preserve"> 2,401,430,672.81 </w:t>
                    </w:r>
                  </w:p>
                </w:tc>
              </w:tr>
            </w:tbl>
            <w:p w:rsidR="004A3868" w:rsidRDefault="004A3868">
              <w:pPr>
                <w:rPr>
                  <w:szCs w:val="21"/>
                </w:rPr>
              </w:pPr>
            </w:p>
            <w:p w:rsidR="004A3868" w:rsidRDefault="004A3868">
              <w:pPr>
                <w:rPr>
                  <w:szCs w:val="21"/>
                </w:rPr>
              </w:pPr>
            </w:p>
            <w:tbl>
              <w:tblPr>
                <w:tblStyle w:val="Style851"/>
                <w:tblW w:w="5000"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28" w:type="dxa"/>
                </w:tblCellMar>
                <w:tblLook w:val="04A0" w:firstRow="1" w:lastRow="0" w:firstColumn="1" w:lastColumn="0" w:noHBand="0" w:noVBand="1"/>
              </w:tblPr>
              <w:tblGrid>
                <w:gridCol w:w="2385"/>
                <w:gridCol w:w="1074"/>
                <w:gridCol w:w="1046"/>
                <w:gridCol w:w="1074"/>
                <w:gridCol w:w="1087"/>
                <w:gridCol w:w="1033"/>
                <w:gridCol w:w="1060"/>
                <w:gridCol w:w="1019"/>
                <w:gridCol w:w="1033"/>
                <w:gridCol w:w="1018"/>
                <w:gridCol w:w="1005"/>
                <w:gridCol w:w="1023"/>
              </w:tblGrid>
              <w:tr w:rsidR="004A3868">
                <w:trPr>
                  <w:trHeight w:val="397"/>
                  <w:jc w:val="center"/>
                </w:trPr>
                <w:tc>
                  <w:tcPr>
                    <w:tcW w:w="2394" w:type="dxa"/>
                    <w:vMerge w:val="restart"/>
                    <w:vAlign w:val="center"/>
                  </w:tcPr>
                  <w:sdt>
                    <w:sdtPr>
                      <w:rPr>
                        <w:rFonts w:hint="eastAsia"/>
                        <w:sz w:val="18"/>
                        <w:szCs w:val="18"/>
                      </w:rPr>
                      <w:tag w:val="_PLD_64a794ab75214f6d9d66748804bee4e8"/>
                      <w:id w:val="-633252347"/>
                      <w:lock w:val="sdtLocked"/>
                    </w:sdtPr>
                    <w:sdtEndPr/>
                    <w:sdtContent>
                      <w:p w:rsidR="004A3868" w:rsidRDefault="003F1AB5">
                        <w:pPr>
                          <w:adjustRightInd w:val="0"/>
                          <w:snapToGrid w:val="0"/>
                          <w:jc w:val="center"/>
                          <w:rPr>
                            <w:sz w:val="18"/>
                            <w:szCs w:val="18"/>
                          </w:rPr>
                        </w:pPr>
                        <w:r>
                          <w:rPr>
                            <w:rFonts w:hint="eastAsia"/>
                            <w:sz w:val="18"/>
                            <w:szCs w:val="18"/>
                          </w:rPr>
                          <w:t>项目</w:t>
                        </w:r>
                      </w:p>
                    </w:sdtContent>
                  </w:sdt>
                </w:tc>
                <w:tc>
                  <w:tcPr>
                    <w:tcW w:w="11510" w:type="dxa"/>
                    <w:gridSpan w:val="11"/>
                    <w:vAlign w:val="center"/>
                  </w:tcPr>
                  <w:p w:rsidR="004A3868" w:rsidRDefault="00B34370">
                    <w:pPr>
                      <w:adjustRightInd w:val="0"/>
                      <w:snapToGrid w:val="0"/>
                      <w:jc w:val="center"/>
                      <w:rPr>
                        <w:sz w:val="18"/>
                      </w:rPr>
                    </w:pPr>
                    <w:sdt>
                      <w:sdtPr>
                        <w:rPr>
                          <w:rFonts w:hint="eastAsia"/>
                          <w:sz w:val="18"/>
                        </w:rPr>
                        <w:tag w:val="_PLD_6226137cffd442dfb505b8cfe7d1f423"/>
                        <w:id w:val="1306819696"/>
                        <w:lock w:val="sdtLocked"/>
                      </w:sdtPr>
                      <w:sdtEndPr/>
                      <w:sdtContent>
                        <w:r w:rsidR="003F1AB5">
                          <w:rPr>
                            <w:rFonts w:hint="eastAsia"/>
                            <w:sz w:val="18"/>
                          </w:rPr>
                          <w:t>2022年度</w:t>
                        </w:r>
                      </w:sdtContent>
                    </w:sdt>
                  </w:p>
                </w:tc>
              </w:tr>
              <w:tr w:rsidR="004A3868">
                <w:trPr>
                  <w:trHeight w:val="397"/>
                  <w:jc w:val="center"/>
                </w:trPr>
                <w:tc>
                  <w:tcPr>
                    <w:tcW w:w="2394" w:type="dxa"/>
                    <w:vMerge/>
                    <w:vAlign w:val="center"/>
                  </w:tcPr>
                  <w:p w:rsidR="004A3868" w:rsidRDefault="004A3868">
                    <w:pPr>
                      <w:adjustRightInd w:val="0"/>
                      <w:snapToGrid w:val="0"/>
                      <w:jc w:val="center"/>
                      <w:rPr>
                        <w:sz w:val="18"/>
                        <w:szCs w:val="18"/>
                      </w:rPr>
                    </w:pPr>
                  </w:p>
                </w:tc>
                <w:sdt>
                  <w:sdtPr>
                    <w:tag w:val="_PLD_e0e316f064db43a38ddec14c349b4dfa"/>
                    <w:id w:val="844059587"/>
                    <w:lock w:val="sdtLocked"/>
                  </w:sdtPr>
                  <w:sdtEndPr/>
                  <w:sdtContent>
                    <w:tc>
                      <w:tcPr>
                        <w:tcW w:w="1078" w:type="dxa"/>
                        <w:vMerge w:val="restart"/>
                        <w:tcBorders>
                          <w:right w:val="single" w:sz="4" w:space="0" w:color="auto"/>
                        </w:tcBorders>
                        <w:vAlign w:val="center"/>
                      </w:tcPr>
                      <w:p w:rsidR="004A3868" w:rsidRDefault="003F1AB5">
                        <w:pPr>
                          <w:adjustRightInd w:val="0"/>
                          <w:snapToGrid w:val="0"/>
                          <w:jc w:val="center"/>
                          <w:rPr>
                            <w:sz w:val="18"/>
                            <w:szCs w:val="18"/>
                          </w:rPr>
                        </w:pPr>
                        <w:r>
                          <w:rPr>
                            <w:sz w:val="18"/>
                            <w:szCs w:val="18"/>
                          </w:rPr>
                          <w:t>实收资本 (或股本)</w:t>
                        </w:r>
                      </w:p>
                    </w:tc>
                  </w:sdtContent>
                </w:sdt>
                <w:sdt>
                  <w:sdtPr>
                    <w:tag w:val="_PLD_2c82747108ee4c518651265b45dbebcd"/>
                    <w:id w:val="-1117753615"/>
                    <w:lock w:val="sdtLocked"/>
                  </w:sdtPr>
                  <w:sdtEndPr/>
                  <w:sdtContent>
                    <w:tc>
                      <w:tcPr>
                        <w:tcW w:w="3219" w:type="dxa"/>
                        <w:gridSpan w:val="3"/>
                        <w:tcBorders>
                          <w:left w:val="single" w:sz="4" w:space="0" w:color="auto"/>
                          <w:bottom w:val="single" w:sz="4" w:space="0" w:color="auto"/>
                        </w:tcBorders>
                        <w:vAlign w:val="center"/>
                      </w:tcPr>
                      <w:p w:rsidR="004A3868" w:rsidRDefault="003F1AB5">
                        <w:pPr>
                          <w:adjustRightInd w:val="0"/>
                          <w:snapToGrid w:val="0"/>
                          <w:jc w:val="center"/>
                          <w:rPr>
                            <w:sz w:val="18"/>
                            <w:szCs w:val="18"/>
                          </w:rPr>
                        </w:pPr>
                        <w:r>
                          <w:rPr>
                            <w:rFonts w:hint="eastAsia"/>
                            <w:sz w:val="18"/>
                            <w:szCs w:val="18"/>
                          </w:rPr>
                          <w:t>其他权益工具</w:t>
                        </w:r>
                      </w:p>
                    </w:tc>
                  </w:sdtContent>
                </w:sdt>
                <w:sdt>
                  <w:sdtPr>
                    <w:tag w:val="_PLD_c459549b516242be83fce2e92cc794e6"/>
                    <w:id w:val="1737661670"/>
                    <w:lock w:val="sdtLocked"/>
                  </w:sdtPr>
                  <w:sdtEndPr/>
                  <w:sdtContent>
                    <w:tc>
                      <w:tcPr>
                        <w:tcW w:w="1036" w:type="dxa"/>
                        <w:vMerge w:val="restart"/>
                        <w:vAlign w:val="center"/>
                      </w:tcPr>
                      <w:p w:rsidR="004A3868" w:rsidRDefault="003F1AB5">
                        <w:pPr>
                          <w:adjustRightInd w:val="0"/>
                          <w:snapToGrid w:val="0"/>
                          <w:jc w:val="center"/>
                          <w:rPr>
                            <w:sz w:val="18"/>
                            <w:szCs w:val="18"/>
                          </w:rPr>
                        </w:pPr>
                        <w:r>
                          <w:rPr>
                            <w:sz w:val="18"/>
                            <w:szCs w:val="18"/>
                          </w:rPr>
                          <w:t>资本公积</w:t>
                        </w:r>
                      </w:p>
                    </w:tc>
                  </w:sdtContent>
                </w:sdt>
                <w:sdt>
                  <w:sdtPr>
                    <w:tag w:val="_PLD_9979085a666a4b7a9ee698268b0bb615"/>
                    <w:id w:val="1905566704"/>
                    <w:lock w:val="sdtLocked"/>
                  </w:sdtPr>
                  <w:sdtEndPr/>
                  <w:sdtContent>
                    <w:tc>
                      <w:tcPr>
                        <w:tcW w:w="1064" w:type="dxa"/>
                        <w:vMerge w:val="restart"/>
                        <w:vAlign w:val="center"/>
                      </w:tcPr>
                      <w:p w:rsidR="004A3868" w:rsidRDefault="003F1AB5">
                        <w:pPr>
                          <w:adjustRightInd w:val="0"/>
                          <w:snapToGrid w:val="0"/>
                          <w:jc w:val="center"/>
                          <w:rPr>
                            <w:sz w:val="18"/>
                            <w:szCs w:val="18"/>
                          </w:rPr>
                        </w:pPr>
                        <w:r>
                          <w:rPr>
                            <w:sz w:val="18"/>
                            <w:szCs w:val="18"/>
                          </w:rPr>
                          <w:t>减：库存股</w:t>
                        </w:r>
                      </w:p>
                    </w:tc>
                  </w:sdtContent>
                </w:sdt>
                <w:sdt>
                  <w:sdtPr>
                    <w:tag w:val="_PLD_3b870c2efbdc421980e0e6ed21bc828a"/>
                    <w:id w:val="-1690374179"/>
                    <w:lock w:val="sdtLocked"/>
                  </w:sdtPr>
                  <w:sdtEndPr/>
                  <w:sdtContent>
                    <w:tc>
                      <w:tcPr>
                        <w:tcW w:w="1022" w:type="dxa"/>
                        <w:vMerge w:val="restart"/>
                        <w:vAlign w:val="center"/>
                      </w:tcPr>
                      <w:p w:rsidR="004A3868" w:rsidRDefault="003F1AB5">
                        <w:pPr>
                          <w:jc w:val="center"/>
                          <w:rPr>
                            <w:sz w:val="18"/>
                            <w:szCs w:val="18"/>
                          </w:rPr>
                        </w:pPr>
                        <w:r>
                          <w:rPr>
                            <w:rFonts w:hint="eastAsia"/>
                            <w:sz w:val="18"/>
                            <w:szCs w:val="18"/>
                          </w:rPr>
                          <w:t>其他综合收益</w:t>
                        </w:r>
                      </w:p>
                    </w:tc>
                  </w:sdtContent>
                </w:sdt>
                <w:sdt>
                  <w:sdtPr>
                    <w:tag w:val="_PLD_68a9918174cf4752ad67388e59bb3c51"/>
                    <w:id w:val="1608783250"/>
                    <w:lock w:val="sdtLocked"/>
                  </w:sdtPr>
                  <w:sdtEndPr/>
                  <w:sdtContent>
                    <w:tc>
                      <w:tcPr>
                        <w:tcW w:w="1036" w:type="dxa"/>
                        <w:vMerge w:val="restart"/>
                        <w:vAlign w:val="center"/>
                      </w:tcPr>
                      <w:p w:rsidR="004A3868" w:rsidRDefault="003F1AB5">
                        <w:pPr>
                          <w:adjustRightInd w:val="0"/>
                          <w:snapToGrid w:val="0"/>
                          <w:jc w:val="center"/>
                          <w:rPr>
                            <w:sz w:val="18"/>
                            <w:szCs w:val="18"/>
                          </w:rPr>
                        </w:pPr>
                        <w:r>
                          <w:rPr>
                            <w:rFonts w:hint="eastAsia"/>
                            <w:sz w:val="18"/>
                            <w:szCs w:val="18"/>
                          </w:rPr>
                          <w:t>专项储备</w:t>
                        </w:r>
                      </w:p>
                    </w:tc>
                  </w:sdtContent>
                </w:sdt>
                <w:sdt>
                  <w:sdtPr>
                    <w:tag w:val="_PLD_eddda9b1710646a5811c9efb65bf8703"/>
                    <w:id w:val="-580917789"/>
                    <w:lock w:val="sdtLocked"/>
                  </w:sdtPr>
                  <w:sdtEndPr/>
                  <w:sdtContent>
                    <w:tc>
                      <w:tcPr>
                        <w:tcW w:w="1021" w:type="dxa"/>
                        <w:vMerge w:val="restart"/>
                        <w:vAlign w:val="center"/>
                      </w:tcPr>
                      <w:p w:rsidR="004A3868" w:rsidRDefault="003F1AB5">
                        <w:pPr>
                          <w:adjustRightInd w:val="0"/>
                          <w:snapToGrid w:val="0"/>
                          <w:jc w:val="center"/>
                          <w:rPr>
                            <w:sz w:val="18"/>
                            <w:szCs w:val="18"/>
                          </w:rPr>
                        </w:pPr>
                        <w:r>
                          <w:rPr>
                            <w:sz w:val="18"/>
                            <w:szCs w:val="18"/>
                          </w:rPr>
                          <w:t>盈余公积</w:t>
                        </w:r>
                      </w:p>
                    </w:tc>
                  </w:sdtContent>
                </w:sdt>
                <w:sdt>
                  <w:sdtPr>
                    <w:tag w:val="_PLD_d210b1f3e63743b7b7ad078da7c00997"/>
                    <w:id w:val="-1452631727"/>
                    <w:lock w:val="sdtLocked"/>
                  </w:sdtPr>
                  <w:sdtEndPr/>
                  <w:sdtContent>
                    <w:tc>
                      <w:tcPr>
                        <w:tcW w:w="1008" w:type="dxa"/>
                        <w:vMerge w:val="restart"/>
                        <w:vAlign w:val="center"/>
                      </w:tcPr>
                      <w:p w:rsidR="004A3868" w:rsidRDefault="003F1AB5">
                        <w:pPr>
                          <w:adjustRightInd w:val="0"/>
                          <w:snapToGrid w:val="0"/>
                          <w:jc w:val="center"/>
                          <w:rPr>
                            <w:sz w:val="18"/>
                            <w:szCs w:val="18"/>
                          </w:rPr>
                        </w:pPr>
                        <w:r>
                          <w:rPr>
                            <w:sz w:val="18"/>
                            <w:szCs w:val="18"/>
                          </w:rPr>
                          <w:t>未分配利润</w:t>
                        </w:r>
                      </w:p>
                    </w:tc>
                  </w:sdtContent>
                </w:sdt>
                <w:sdt>
                  <w:sdtPr>
                    <w:tag w:val="_PLD_d0efa115b304401592a693cab0f3a46a"/>
                    <w:id w:val="1408955775"/>
                    <w:lock w:val="sdtLocked"/>
                  </w:sdtPr>
                  <w:sdtEndPr/>
                  <w:sdtContent>
                    <w:tc>
                      <w:tcPr>
                        <w:tcW w:w="1026" w:type="dxa"/>
                        <w:vMerge w:val="restart"/>
                        <w:vAlign w:val="center"/>
                      </w:tcPr>
                      <w:p w:rsidR="004A3868" w:rsidRDefault="003F1AB5">
                        <w:pPr>
                          <w:adjustRightInd w:val="0"/>
                          <w:snapToGrid w:val="0"/>
                          <w:jc w:val="center"/>
                          <w:rPr>
                            <w:sz w:val="18"/>
                            <w:szCs w:val="18"/>
                          </w:rPr>
                        </w:pPr>
                        <w:r>
                          <w:rPr>
                            <w:sz w:val="18"/>
                            <w:szCs w:val="18"/>
                          </w:rPr>
                          <w:t>所有者权益合计</w:t>
                        </w:r>
                      </w:p>
                    </w:tc>
                  </w:sdtContent>
                </w:sdt>
              </w:tr>
              <w:tr w:rsidR="004A3868">
                <w:trPr>
                  <w:trHeight w:val="397"/>
                  <w:jc w:val="center"/>
                </w:trPr>
                <w:tc>
                  <w:tcPr>
                    <w:tcW w:w="2394" w:type="dxa"/>
                    <w:vMerge/>
                  </w:tcPr>
                  <w:p w:rsidR="004A3868" w:rsidRDefault="004A3868">
                    <w:pPr>
                      <w:adjustRightInd w:val="0"/>
                      <w:snapToGrid w:val="0"/>
                      <w:rPr>
                        <w:sz w:val="18"/>
                        <w:szCs w:val="18"/>
                      </w:rPr>
                    </w:pPr>
                  </w:p>
                </w:tc>
                <w:tc>
                  <w:tcPr>
                    <w:tcW w:w="1078" w:type="dxa"/>
                    <w:vMerge/>
                    <w:tcBorders>
                      <w:right w:val="single" w:sz="4" w:space="0" w:color="auto"/>
                    </w:tcBorders>
                  </w:tcPr>
                  <w:p w:rsidR="004A3868" w:rsidRDefault="004A3868">
                    <w:pPr>
                      <w:adjustRightInd w:val="0"/>
                      <w:snapToGrid w:val="0"/>
                      <w:jc w:val="center"/>
                      <w:rPr>
                        <w:sz w:val="18"/>
                        <w:szCs w:val="18"/>
                      </w:rPr>
                    </w:pPr>
                  </w:p>
                </w:tc>
                <w:sdt>
                  <w:sdtPr>
                    <w:tag w:val="_PLD_f219b4732c3e4bd5a67b8c298432fd3d"/>
                    <w:id w:val="-2100157918"/>
                    <w:lock w:val="sdtLocked"/>
                  </w:sdtPr>
                  <w:sdtEndPr/>
                  <w:sdtContent>
                    <w:tc>
                      <w:tcPr>
                        <w:tcW w:w="1050" w:type="dxa"/>
                        <w:tcBorders>
                          <w:top w:val="single" w:sz="4" w:space="0" w:color="auto"/>
                          <w:left w:val="single" w:sz="4" w:space="0" w:color="auto"/>
                          <w:right w:val="single" w:sz="4" w:space="0" w:color="auto"/>
                        </w:tcBorders>
                        <w:vAlign w:val="center"/>
                      </w:tcPr>
                      <w:p w:rsidR="004A3868" w:rsidRDefault="003F1AB5">
                        <w:pPr>
                          <w:adjustRightInd w:val="0"/>
                          <w:snapToGrid w:val="0"/>
                          <w:jc w:val="center"/>
                          <w:rPr>
                            <w:sz w:val="18"/>
                            <w:szCs w:val="18"/>
                          </w:rPr>
                        </w:pPr>
                        <w:r>
                          <w:rPr>
                            <w:rFonts w:hint="eastAsia"/>
                            <w:sz w:val="18"/>
                            <w:szCs w:val="18"/>
                          </w:rPr>
                          <w:t>优先股</w:t>
                        </w:r>
                      </w:p>
                    </w:tc>
                  </w:sdtContent>
                </w:sdt>
                <w:sdt>
                  <w:sdtPr>
                    <w:tag w:val="_PLD_9c8ca36c728447658d99fee93d742edf"/>
                    <w:id w:val="-1028951524"/>
                    <w:lock w:val="sdtLocked"/>
                  </w:sdtPr>
                  <w:sdtEndPr/>
                  <w:sdtContent>
                    <w:tc>
                      <w:tcPr>
                        <w:tcW w:w="1078" w:type="dxa"/>
                        <w:tcBorders>
                          <w:top w:val="single" w:sz="4" w:space="0" w:color="auto"/>
                          <w:left w:val="single" w:sz="4" w:space="0" w:color="auto"/>
                          <w:right w:val="single" w:sz="4" w:space="0" w:color="auto"/>
                        </w:tcBorders>
                        <w:vAlign w:val="center"/>
                      </w:tcPr>
                      <w:p w:rsidR="004A3868" w:rsidRDefault="003F1AB5">
                        <w:pPr>
                          <w:adjustRightInd w:val="0"/>
                          <w:snapToGrid w:val="0"/>
                          <w:jc w:val="center"/>
                          <w:rPr>
                            <w:sz w:val="18"/>
                            <w:szCs w:val="18"/>
                          </w:rPr>
                        </w:pPr>
                        <w:r>
                          <w:rPr>
                            <w:rFonts w:hint="eastAsia"/>
                            <w:sz w:val="18"/>
                            <w:szCs w:val="18"/>
                          </w:rPr>
                          <w:t>永续债</w:t>
                        </w:r>
                      </w:p>
                    </w:tc>
                  </w:sdtContent>
                </w:sdt>
                <w:sdt>
                  <w:sdtPr>
                    <w:tag w:val="_PLD_d053abd77b574111883b8fafe3a173d2"/>
                    <w:id w:val="67237379"/>
                    <w:lock w:val="sdtLocked"/>
                  </w:sdtPr>
                  <w:sdtEndPr/>
                  <w:sdtContent>
                    <w:tc>
                      <w:tcPr>
                        <w:tcW w:w="1091" w:type="dxa"/>
                        <w:tcBorders>
                          <w:top w:val="single" w:sz="4" w:space="0" w:color="auto"/>
                          <w:left w:val="single" w:sz="4" w:space="0" w:color="auto"/>
                        </w:tcBorders>
                        <w:vAlign w:val="center"/>
                      </w:tcPr>
                      <w:p w:rsidR="004A3868" w:rsidRDefault="003F1AB5">
                        <w:pPr>
                          <w:adjustRightInd w:val="0"/>
                          <w:snapToGrid w:val="0"/>
                          <w:jc w:val="center"/>
                          <w:rPr>
                            <w:sz w:val="18"/>
                            <w:szCs w:val="18"/>
                          </w:rPr>
                        </w:pPr>
                        <w:r>
                          <w:rPr>
                            <w:rFonts w:hint="eastAsia"/>
                            <w:sz w:val="18"/>
                            <w:szCs w:val="18"/>
                          </w:rPr>
                          <w:t>其他</w:t>
                        </w:r>
                      </w:p>
                    </w:tc>
                  </w:sdtContent>
                </w:sdt>
                <w:tc>
                  <w:tcPr>
                    <w:tcW w:w="1036" w:type="dxa"/>
                    <w:vMerge/>
                  </w:tcPr>
                  <w:p w:rsidR="004A3868" w:rsidRDefault="004A3868">
                    <w:pPr>
                      <w:adjustRightInd w:val="0"/>
                      <w:snapToGrid w:val="0"/>
                      <w:jc w:val="center"/>
                      <w:rPr>
                        <w:sz w:val="18"/>
                        <w:szCs w:val="18"/>
                      </w:rPr>
                    </w:pPr>
                  </w:p>
                </w:tc>
                <w:tc>
                  <w:tcPr>
                    <w:tcW w:w="1064" w:type="dxa"/>
                    <w:vMerge/>
                  </w:tcPr>
                  <w:p w:rsidR="004A3868" w:rsidRDefault="004A3868">
                    <w:pPr>
                      <w:adjustRightInd w:val="0"/>
                      <w:snapToGrid w:val="0"/>
                      <w:jc w:val="center"/>
                      <w:rPr>
                        <w:sz w:val="18"/>
                        <w:szCs w:val="18"/>
                      </w:rPr>
                    </w:pPr>
                  </w:p>
                </w:tc>
                <w:tc>
                  <w:tcPr>
                    <w:tcW w:w="1022" w:type="dxa"/>
                    <w:vMerge/>
                  </w:tcPr>
                  <w:p w:rsidR="004A3868" w:rsidRDefault="004A3868">
                    <w:pPr>
                      <w:jc w:val="center"/>
                      <w:rPr>
                        <w:sz w:val="18"/>
                        <w:szCs w:val="18"/>
                      </w:rPr>
                    </w:pPr>
                  </w:p>
                </w:tc>
                <w:tc>
                  <w:tcPr>
                    <w:tcW w:w="1036" w:type="dxa"/>
                    <w:vMerge/>
                  </w:tcPr>
                  <w:p w:rsidR="004A3868" w:rsidRDefault="004A3868">
                    <w:pPr>
                      <w:adjustRightInd w:val="0"/>
                      <w:snapToGrid w:val="0"/>
                      <w:jc w:val="center"/>
                      <w:rPr>
                        <w:sz w:val="18"/>
                        <w:szCs w:val="18"/>
                      </w:rPr>
                    </w:pPr>
                  </w:p>
                </w:tc>
                <w:tc>
                  <w:tcPr>
                    <w:tcW w:w="1021" w:type="dxa"/>
                    <w:vMerge/>
                  </w:tcPr>
                  <w:p w:rsidR="004A3868" w:rsidRDefault="004A3868">
                    <w:pPr>
                      <w:adjustRightInd w:val="0"/>
                      <w:snapToGrid w:val="0"/>
                      <w:jc w:val="center"/>
                      <w:rPr>
                        <w:sz w:val="18"/>
                        <w:szCs w:val="18"/>
                      </w:rPr>
                    </w:pPr>
                  </w:p>
                </w:tc>
                <w:tc>
                  <w:tcPr>
                    <w:tcW w:w="1008" w:type="dxa"/>
                    <w:vMerge/>
                  </w:tcPr>
                  <w:p w:rsidR="004A3868" w:rsidRDefault="004A3868">
                    <w:pPr>
                      <w:adjustRightInd w:val="0"/>
                      <w:snapToGrid w:val="0"/>
                      <w:jc w:val="center"/>
                      <w:rPr>
                        <w:sz w:val="18"/>
                        <w:szCs w:val="18"/>
                      </w:rPr>
                    </w:pPr>
                  </w:p>
                </w:tc>
                <w:tc>
                  <w:tcPr>
                    <w:tcW w:w="1026" w:type="dxa"/>
                    <w:vMerge/>
                  </w:tcPr>
                  <w:p w:rsidR="004A3868" w:rsidRDefault="004A3868">
                    <w:pPr>
                      <w:adjustRightInd w:val="0"/>
                      <w:snapToGrid w:val="0"/>
                      <w:jc w:val="center"/>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一、上年</w:t>
                    </w:r>
                    <w:r>
                      <w:rPr>
                        <w:rFonts w:hint="eastAsia"/>
                        <w:sz w:val="18"/>
                        <w:szCs w:val="18"/>
                      </w:rPr>
                      <w:t>年</w:t>
                    </w:r>
                    <w:r>
                      <w:rPr>
                        <w:sz w:val="18"/>
                        <w:szCs w:val="18"/>
                      </w:rPr>
                      <w:t>末余额</w:t>
                    </w:r>
                  </w:p>
                </w:tc>
                <w:tc>
                  <w:tcPr>
                    <w:tcW w:w="1078" w:type="dxa"/>
                    <w:tcBorders>
                      <w:right w:val="single" w:sz="4" w:space="0" w:color="auto"/>
                    </w:tcBorders>
                    <w:vAlign w:val="center"/>
                  </w:tcPr>
                  <w:p w:rsidR="004A3868" w:rsidRDefault="003F1AB5">
                    <w:pPr>
                      <w:jc w:val="right"/>
                      <w:rPr>
                        <w:sz w:val="18"/>
                        <w:szCs w:val="18"/>
                      </w:rPr>
                    </w:pPr>
                    <w:r>
                      <w:rPr>
                        <w:rFonts w:hint="eastAsia"/>
                        <w:sz w:val="18"/>
                        <w:szCs w:val="18"/>
                      </w:rPr>
                      <w:t>333,167,407.00</w:t>
                    </w: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right w:val="single" w:sz="4" w:space="0" w:color="auto"/>
                    </w:tcBorders>
                    <w:vAlign w:val="center"/>
                  </w:tcPr>
                  <w:p w:rsidR="004A3868" w:rsidRDefault="004A3868">
                    <w:pPr>
                      <w:jc w:val="right"/>
                      <w:rPr>
                        <w:sz w:val="18"/>
                        <w:szCs w:val="18"/>
                      </w:rPr>
                    </w:pPr>
                  </w:p>
                </w:tc>
                <w:tc>
                  <w:tcPr>
                    <w:tcW w:w="1036" w:type="dxa"/>
                    <w:tcBorders>
                      <w:left w:val="single" w:sz="4" w:space="0" w:color="auto"/>
                    </w:tcBorders>
                    <w:vAlign w:val="center"/>
                  </w:tcPr>
                  <w:p w:rsidR="004A3868" w:rsidRDefault="003F1AB5">
                    <w:pPr>
                      <w:jc w:val="right"/>
                      <w:rPr>
                        <w:sz w:val="18"/>
                        <w:szCs w:val="18"/>
                      </w:rPr>
                    </w:pPr>
                    <w:r>
                      <w:rPr>
                        <w:rFonts w:hint="eastAsia"/>
                        <w:sz w:val="18"/>
                        <w:szCs w:val="18"/>
                      </w:rPr>
                      <w:t>984,845,013.70</w:t>
                    </w: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15,197,905.64</w:t>
                    </w:r>
                  </w:p>
                </w:tc>
                <w:tc>
                  <w:tcPr>
                    <w:tcW w:w="1021" w:type="dxa"/>
                    <w:vAlign w:val="center"/>
                  </w:tcPr>
                  <w:p w:rsidR="004A3868" w:rsidRDefault="003F1AB5">
                    <w:pPr>
                      <w:jc w:val="right"/>
                      <w:rPr>
                        <w:sz w:val="18"/>
                        <w:szCs w:val="18"/>
                      </w:rPr>
                    </w:pPr>
                    <w:r>
                      <w:rPr>
                        <w:rFonts w:hint="eastAsia"/>
                        <w:sz w:val="18"/>
                        <w:szCs w:val="18"/>
                      </w:rPr>
                      <w:t>93,389,482.08</w:t>
                    </w:r>
                  </w:p>
                </w:tc>
                <w:tc>
                  <w:tcPr>
                    <w:tcW w:w="1008" w:type="dxa"/>
                    <w:vAlign w:val="center"/>
                  </w:tcPr>
                  <w:p w:rsidR="004A3868" w:rsidRDefault="003F1AB5">
                    <w:pPr>
                      <w:jc w:val="right"/>
                      <w:rPr>
                        <w:sz w:val="18"/>
                        <w:szCs w:val="18"/>
                      </w:rPr>
                    </w:pPr>
                    <w:r>
                      <w:rPr>
                        <w:rFonts w:hint="eastAsia"/>
                        <w:sz w:val="18"/>
                        <w:szCs w:val="18"/>
                      </w:rPr>
                      <w:t>839,830,537.34</w:t>
                    </w:r>
                  </w:p>
                </w:tc>
                <w:tc>
                  <w:tcPr>
                    <w:tcW w:w="1026" w:type="dxa"/>
                    <w:vAlign w:val="center"/>
                  </w:tcPr>
                  <w:p w:rsidR="004A3868" w:rsidRDefault="003F1AB5">
                    <w:pPr>
                      <w:jc w:val="right"/>
                      <w:rPr>
                        <w:sz w:val="18"/>
                        <w:szCs w:val="18"/>
                      </w:rPr>
                    </w:pPr>
                    <w:r>
                      <w:rPr>
                        <w:rFonts w:hint="eastAsia"/>
                        <w:sz w:val="18"/>
                        <w:szCs w:val="18"/>
                      </w:rPr>
                      <w:t>2,266,430,345.76</w:t>
                    </w:r>
                  </w:p>
                </w:tc>
              </w:tr>
              <w:tr w:rsidR="004A3868">
                <w:trPr>
                  <w:trHeight w:val="397"/>
                  <w:jc w:val="center"/>
                </w:trPr>
                <w:tc>
                  <w:tcPr>
                    <w:tcW w:w="2394" w:type="dxa"/>
                    <w:vAlign w:val="center"/>
                  </w:tcPr>
                  <w:p w:rsidR="004A3868" w:rsidRDefault="003F1AB5">
                    <w:pPr>
                      <w:rPr>
                        <w:sz w:val="18"/>
                        <w:szCs w:val="18"/>
                      </w:rPr>
                    </w:pPr>
                    <w:r>
                      <w:rPr>
                        <w:sz w:val="18"/>
                        <w:szCs w:val="18"/>
                      </w:rPr>
                      <w:t>加：会计政策变更</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right w:val="single" w:sz="4" w:space="0" w:color="auto"/>
                    </w:tcBorders>
                    <w:vAlign w:val="center"/>
                  </w:tcPr>
                  <w:p w:rsidR="004A3868" w:rsidRDefault="004A3868">
                    <w:pPr>
                      <w:jc w:val="right"/>
                      <w:rPr>
                        <w:sz w:val="18"/>
                        <w:szCs w:val="18"/>
                      </w:rPr>
                    </w:pPr>
                  </w:p>
                </w:tc>
                <w:tc>
                  <w:tcPr>
                    <w:tcW w:w="1036" w:type="dxa"/>
                    <w:tcBorders>
                      <w:left w:val="single" w:sz="4" w:space="0" w:color="auto"/>
                    </w:tcBorders>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ind w:firstLineChars="200" w:firstLine="360"/>
                      <w:rPr>
                        <w:sz w:val="18"/>
                        <w:szCs w:val="18"/>
                      </w:rPr>
                    </w:pPr>
                    <w:r>
                      <w:rPr>
                        <w:sz w:val="18"/>
                        <w:szCs w:val="18"/>
                      </w:rPr>
                      <w:t>前期差错更正</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right w:val="single" w:sz="4" w:space="0" w:color="auto"/>
                    </w:tcBorders>
                    <w:vAlign w:val="center"/>
                  </w:tcPr>
                  <w:p w:rsidR="004A3868" w:rsidRDefault="004A3868">
                    <w:pPr>
                      <w:jc w:val="right"/>
                      <w:rPr>
                        <w:sz w:val="18"/>
                        <w:szCs w:val="18"/>
                      </w:rPr>
                    </w:pPr>
                  </w:p>
                </w:tc>
                <w:tc>
                  <w:tcPr>
                    <w:tcW w:w="1036" w:type="dxa"/>
                    <w:tcBorders>
                      <w:left w:val="single" w:sz="4" w:space="0" w:color="auto"/>
                    </w:tcBorders>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ind w:firstLineChars="200" w:firstLine="360"/>
                      <w:rPr>
                        <w:sz w:val="18"/>
                        <w:szCs w:val="18"/>
                      </w:rPr>
                    </w:pPr>
                    <w:r>
                      <w:rPr>
                        <w:rFonts w:hint="eastAsia"/>
                        <w:sz w:val="18"/>
                        <w:szCs w:val="18"/>
                      </w:rPr>
                      <w:t>其他</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right w:val="single" w:sz="4" w:space="0" w:color="auto"/>
                    </w:tcBorders>
                    <w:vAlign w:val="center"/>
                  </w:tcPr>
                  <w:p w:rsidR="004A3868" w:rsidRDefault="004A3868">
                    <w:pPr>
                      <w:jc w:val="right"/>
                      <w:rPr>
                        <w:sz w:val="18"/>
                        <w:szCs w:val="18"/>
                      </w:rPr>
                    </w:pPr>
                  </w:p>
                </w:tc>
                <w:tc>
                  <w:tcPr>
                    <w:tcW w:w="1036" w:type="dxa"/>
                    <w:tcBorders>
                      <w:left w:val="single" w:sz="4" w:space="0" w:color="auto"/>
                    </w:tcBorders>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二、本年</w:t>
                    </w:r>
                    <w:r>
                      <w:rPr>
                        <w:rFonts w:hint="eastAsia"/>
                        <w:sz w:val="18"/>
                        <w:szCs w:val="18"/>
                      </w:rPr>
                      <w:t>期</w:t>
                    </w:r>
                    <w:r>
                      <w:rPr>
                        <w:sz w:val="18"/>
                        <w:szCs w:val="18"/>
                      </w:rPr>
                      <w:t>初余额</w:t>
                    </w:r>
                  </w:p>
                </w:tc>
                <w:tc>
                  <w:tcPr>
                    <w:tcW w:w="1078" w:type="dxa"/>
                    <w:tcBorders>
                      <w:right w:val="single" w:sz="4" w:space="0" w:color="auto"/>
                    </w:tcBorders>
                    <w:vAlign w:val="center"/>
                  </w:tcPr>
                  <w:p w:rsidR="004A3868" w:rsidRDefault="003F1AB5">
                    <w:pPr>
                      <w:jc w:val="right"/>
                      <w:rPr>
                        <w:sz w:val="18"/>
                        <w:szCs w:val="18"/>
                      </w:rPr>
                    </w:pPr>
                    <w:r>
                      <w:rPr>
                        <w:rFonts w:hint="eastAsia"/>
                        <w:sz w:val="18"/>
                        <w:szCs w:val="18"/>
                      </w:rPr>
                      <w:t>249,875,555.00</w:t>
                    </w:r>
                  </w:p>
                </w:tc>
                <w:tc>
                  <w:tcPr>
                    <w:tcW w:w="1050" w:type="dxa"/>
                    <w:tcBorders>
                      <w:left w:val="single" w:sz="4" w:space="0" w:color="auto"/>
                      <w:right w:val="single" w:sz="4" w:space="0" w:color="auto"/>
                    </w:tcBorders>
                  </w:tcPr>
                  <w:p w:rsidR="004A3868" w:rsidRDefault="004A3868">
                    <w:pPr>
                      <w:jc w:val="right"/>
                      <w:rPr>
                        <w:sz w:val="18"/>
                        <w:szCs w:val="18"/>
                      </w:rPr>
                    </w:pPr>
                  </w:p>
                </w:tc>
                <w:tc>
                  <w:tcPr>
                    <w:tcW w:w="1078" w:type="dxa"/>
                    <w:tcBorders>
                      <w:left w:val="single" w:sz="4" w:space="0" w:color="auto"/>
                      <w:right w:val="single" w:sz="4" w:space="0" w:color="auto"/>
                    </w:tcBorders>
                  </w:tcPr>
                  <w:p w:rsidR="004A3868" w:rsidRDefault="004A3868">
                    <w:pPr>
                      <w:jc w:val="right"/>
                      <w:rPr>
                        <w:sz w:val="18"/>
                        <w:szCs w:val="18"/>
                      </w:rPr>
                    </w:pPr>
                  </w:p>
                </w:tc>
                <w:tc>
                  <w:tcPr>
                    <w:tcW w:w="1091" w:type="dxa"/>
                    <w:tcBorders>
                      <w:left w:val="single" w:sz="4" w:space="0" w:color="auto"/>
                      <w:right w:val="single" w:sz="4" w:space="0" w:color="auto"/>
                    </w:tcBorders>
                  </w:tcPr>
                  <w:p w:rsidR="004A3868" w:rsidRDefault="004A3868">
                    <w:pPr>
                      <w:jc w:val="right"/>
                      <w:rPr>
                        <w:sz w:val="18"/>
                        <w:szCs w:val="18"/>
                      </w:rPr>
                    </w:pPr>
                  </w:p>
                </w:tc>
                <w:tc>
                  <w:tcPr>
                    <w:tcW w:w="1036" w:type="dxa"/>
                    <w:tcBorders>
                      <w:left w:val="single" w:sz="4" w:space="0" w:color="auto"/>
                    </w:tcBorders>
                    <w:vAlign w:val="center"/>
                  </w:tcPr>
                  <w:p w:rsidR="004A3868" w:rsidRDefault="003F1AB5">
                    <w:pPr>
                      <w:jc w:val="right"/>
                      <w:rPr>
                        <w:sz w:val="18"/>
                        <w:szCs w:val="18"/>
                      </w:rPr>
                    </w:pPr>
                    <w:r>
                      <w:rPr>
                        <w:rFonts w:hint="eastAsia"/>
                        <w:sz w:val="18"/>
                        <w:szCs w:val="18"/>
                      </w:rPr>
                      <w:t>213,575,065.70</w:t>
                    </w:r>
                  </w:p>
                </w:tc>
                <w:tc>
                  <w:tcPr>
                    <w:tcW w:w="1064" w:type="dxa"/>
                  </w:tcPr>
                  <w:p w:rsidR="004A3868" w:rsidRDefault="004A3868">
                    <w:pPr>
                      <w:jc w:val="right"/>
                      <w:rPr>
                        <w:sz w:val="18"/>
                        <w:szCs w:val="18"/>
                      </w:rPr>
                    </w:pPr>
                  </w:p>
                </w:tc>
                <w:tc>
                  <w:tcPr>
                    <w:tcW w:w="1022" w:type="dxa"/>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11,517,268.61</w:t>
                    </w:r>
                  </w:p>
                </w:tc>
                <w:tc>
                  <w:tcPr>
                    <w:tcW w:w="1021" w:type="dxa"/>
                    <w:vAlign w:val="center"/>
                  </w:tcPr>
                  <w:p w:rsidR="004A3868" w:rsidRDefault="003F1AB5">
                    <w:pPr>
                      <w:jc w:val="right"/>
                      <w:rPr>
                        <w:sz w:val="18"/>
                        <w:szCs w:val="18"/>
                      </w:rPr>
                    </w:pPr>
                    <w:r>
                      <w:rPr>
                        <w:rFonts w:hint="eastAsia"/>
                        <w:sz w:val="18"/>
                        <w:szCs w:val="18"/>
                      </w:rPr>
                      <w:t>62,790,534.20</w:t>
                    </w:r>
                  </w:p>
                </w:tc>
                <w:tc>
                  <w:tcPr>
                    <w:tcW w:w="1008" w:type="dxa"/>
                    <w:vAlign w:val="center"/>
                  </w:tcPr>
                  <w:p w:rsidR="004A3868" w:rsidRDefault="003F1AB5">
                    <w:pPr>
                      <w:jc w:val="right"/>
                      <w:rPr>
                        <w:sz w:val="18"/>
                        <w:szCs w:val="18"/>
                      </w:rPr>
                    </w:pPr>
                    <w:r>
                      <w:rPr>
                        <w:rFonts w:hint="eastAsia"/>
                        <w:sz w:val="18"/>
                        <w:szCs w:val="18"/>
                      </w:rPr>
                      <w:t>564,440,006.38</w:t>
                    </w:r>
                  </w:p>
                </w:tc>
                <w:tc>
                  <w:tcPr>
                    <w:tcW w:w="1026" w:type="dxa"/>
                    <w:vAlign w:val="center"/>
                  </w:tcPr>
                  <w:p w:rsidR="004A3868" w:rsidRDefault="003F1AB5">
                    <w:pPr>
                      <w:jc w:val="right"/>
                      <w:rPr>
                        <w:sz w:val="18"/>
                        <w:szCs w:val="18"/>
                      </w:rPr>
                    </w:pPr>
                    <w:r>
                      <w:rPr>
                        <w:rFonts w:hint="eastAsia"/>
                        <w:sz w:val="18"/>
                        <w:szCs w:val="18"/>
                      </w:rPr>
                      <w:t>1,102,198,429.89</w:t>
                    </w:r>
                  </w:p>
                </w:tc>
              </w:tr>
              <w:tr w:rsidR="004A3868">
                <w:trPr>
                  <w:trHeight w:val="397"/>
                  <w:jc w:val="center"/>
                </w:trPr>
                <w:tc>
                  <w:tcPr>
                    <w:tcW w:w="2394" w:type="dxa"/>
                    <w:vAlign w:val="center"/>
                  </w:tcPr>
                  <w:p w:rsidR="004A3868" w:rsidRDefault="003F1AB5">
                    <w:pPr>
                      <w:rPr>
                        <w:sz w:val="18"/>
                        <w:szCs w:val="18"/>
                      </w:rPr>
                    </w:pPr>
                    <w:r>
                      <w:rPr>
                        <w:sz w:val="18"/>
                        <w:szCs w:val="18"/>
                      </w:rPr>
                      <w:t>三、本</w:t>
                    </w:r>
                    <w:r>
                      <w:rPr>
                        <w:rFonts w:hint="eastAsia"/>
                        <w:sz w:val="18"/>
                        <w:szCs w:val="18"/>
                      </w:rPr>
                      <w:t>期</w:t>
                    </w:r>
                    <w:r>
                      <w:rPr>
                        <w:sz w:val="18"/>
                        <w:szCs w:val="18"/>
                      </w:rPr>
                      <w:t>增减变动金额（减少以“－”号填列）</w:t>
                    </w:r>
                  </w:p>
                </w:tc>
                <w:tc>
                  <w:tcPr>
                    <w:tcW w:w="1078" w:type="dxa"/>
                    <w:tcBorders>
                      <w:right w:val="single" w:sz="4" w:space="0" w:color="auto"/>
                    </w:tcBorders>
                    <w:vAlign w:val="center"/>
                  </w:tcPr>
                  <w:p w:rsidR="004A3868" w:rsidRDefault="003F1AB5">
                    <w:pPr>
                      <w:jc w:val="right"/>
                      <w:rPr>
                        <w:sz w:val="18"/>
                        <w:szCs w:val="18"/>
                      </w:rPr>
                    </w:pPr>
                    <w:r>
                      <w:rPr>
                        <w:rFonts w:hint="eastAsia"/>
                        <w:sz w:val="18"/>
                        <w:szCs w:val="18"/>
                      </w:rPr>
                      <w:t>83,291,852.00</w:t>
                    </w:r>
                  </w:p>
                </w:tc>
                <w:tc>
                  <w:tcPr>
                    <w:tcW w:w="1050" w:type="dxa"/>
                    <w:tcBorders>
                      <w:left w:val="single" w:sz="4" w:space="0" w:color="auto"/>
                      <w:right w:val="single" w:sz="4" w:space="0" w:color="auto"/>
                    </w:tcBorders>
                  </w:tcPr>
                  <w:p w:rsidR="004A3868" w:rsidRDefault="004A3868">
                    <w:pPr>
                      <w:jc w:val="right"/>
                      <w:rPr>
                        <w:sz w:val="18"/>
                        <w:szCs w:val="18"/>
                      </w:rPr>
                    </w:pPr>
                  </w:p>
                </w:tc>
                <w:tc>
                  <w:tcPr>
                    <w:tcW w:w="1078" w:type="dxa"/>
                    <w:tcBorders>
                      <w:left w:val="single" w:sz="4" w:space="0" w:color="auto"/>
                      <w:right w:val="single" w:sz="4" w:space="0" w:color="auto"/>
                    </w:tcBorders>
                  </w:tcPr>
                  <w:p w:rsidR="004A3868" w:rsidRDefault="004A3868">
                    <w:pPr>
                      <w:jc w:val="right"/>
                      <w:rPr>
                        <w:sz w:val="18"/>
                        <w:szCs w:val="18"/>
                      </w:rPr>
                    </w:pPr>
                  </w:p>
                </w:tc>
                <w:tc>
                  <w:tcPr>
                    <w:tcW w:w="1091" w:type="dxa"/>
                    <w:tcBorders>
                      <w:left w:val="single" w:sz="4" w:space="0" w:color="auto"/>
                    </w:tcBorders>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771,269,948.00</w:t>
                    </w:r>
                  </w:p>
                </w:tc>
                <w:tc>
                  <w:tcPr>
                    <w:tcW w:w="1064" w:type="dxa"/>
                  </w:tcPr>
                  <w:p w:rsidR="004A3868" w:rsidRDefault="004A3868">
                    <w:pPr>
                      <w:jc w:val="right"/>
                      <w:rPr>
                        <w:sz w:val="18"/>
                        <w:szCs w:val="18"/>
                      </w:rPr>
                    </w:pPr>
                  </w:p>
                </w:tc>
                <w:tc>
                  <w:tcPr>
                    <w:tcW w:w="1022" w:type="dxa"/>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3,680,637.03</w:t>
                    </w:r>
                  </w:p>
                </w:tc>
                <w:tc>
                  <w:tcPr>
                    <w:tcW w:w="1021" w:type="dxa"/>
                    <w:vAlign w:val="center"/>
                  </w:tcPr>
                  <w:p w:rsidR="004A3868" w:rsidRDefault="003F1AB5">
                    <w:pPr>
                      <w:jc w:val="right"/>
                      <w:rPr>
                        <w:sz w:val="18"/>
                        <w:szCs w:val="18"/>
                      </w:rPr>
                    </w:pPr>
                    <w:r>
                      <w:rPr>
                        <w:rFonts w:hint="eastAsia"/>
                        <w:sz w:val="18"/>
                        <w:szCs w:val="18"/>
                      </w:rPr>
                      <w:t>30,598,947.88</w:t>
                    </w:r>
                  </w:p>
                </w:tc>
                <w:tc>
                  <w:tcPr>
                    <w:tcW w:w="1008" w:type="dxa"/>
                    <w:vAlign w:val="center"/>
                  </w:tcPr>
                  <w:p w:rsidR="004A3868" w:rsidRDefault="003F1AB5">
                    <w:pPr>
                      <w:jc w:val="right"/>
                      <w:rPr>
                        <w:sz w:val="18"/>
                        <w:szCs w:val="18"/>
                      </w:rPr>
                    </w:pPr>
                    <w:r>
                      <w:rPr>
                        <w:rFonts w:hint="eastAsia"/>
                        <w:sz w:val="18"/>
                        <w:szCs w:val="18"/>
                      </w:rPr>
                      <w:t>275,390,530.96</w:t>
                    </w:r>
                  </w:p>
                </w:tc>
                <w:tc>
                  <w:tcPr>
                    <w:tcW w:w="1026" w:type="dxa"/>
                    <w:vAlign w:val="center"/>
                  </w:tcPr>
                  <w:p w:rsidR="004A3868" w:rsidRDefault="003F1AB5">
                    <w:pPr>
                      <w:jc w:val="right"/>
                      <w:rPr>
                        <w:sz w:val="18"/>
                        <w:szCs w:val="18"/>
                      </w:rPr>
                    </w:pPr>
                    <w:r>
                      <w:rPr>
                        <w:rFonts w:hint="eastAsia"/>
                        <w:sz w:val="18"/>
                        <w:szCs w:val="18"/>
                      </w:rPr>
                      <w:t>1,164,231,915.87</w:t>
                    </w:r>
                  </w:p>
                </w:tc>
              </w:tr>
              <w:tr w:rsidR="004A3868">
                <w:trPr>
                  <w:trHeight w:val="397"/>
                  <w:jc w:val="center"/>
                </w:trPr>
                <w:tc>
                  <w:tcPr>
                    <w:tcW w:w="2394" w:type="dxa"/>
                    <w:vAlign w:val="center"/>
                  </w:tcPr>
                  <w:p w:rsidR="004A3868" w:rsidRDefault="003F1AB5">
                    <w:pPr>
                      <w:rPr>
                        <w:sz w:val="18"/>
                        <w:szCs w:val="18"/>
                      </w:rPr>
                    </w:pPr>
                    <w:r>
                      <w:rPr>
                        <w:rFonts w:hint="eastAsia"/>
                        <w:sz w:val="18"/>
                        <w:szCs w:val="18"/>
                      </w:rPr>
                      <w:t>（一）综合收益总额</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3F1AB5">
                    <w:pPr>
                      <w:jc w:val="right"/>
                      <w:rPr>
                        <w:sz w:val="18"/>
                        <w:szCs w:val="18"/>
                      </w:rPr>
                    </w:pPr>
                    <w:r>
                      <w:rPr>
                        <w:rFonts w:hint="eastAsia"/>
                        <w:sz w:val="18"/>
                        <w:szCs w:val="18"/>
                      </w:rPr>
                      <w:t>305,989,478.84</w:t>
                    </w:r>
                  </w:p>
                </w:tc>
                <w:tc>
                  <w:tcPr>
                    <w:tcW w:w="1026" w:type="dxa"/>
                    <w:vAlign w:val="center"/>
                  </w:tcPr>
                  <w:p w:rsidR="004A3868" w:rsidRDefault="003F1AB5">
                    <w:pPr>
                      <w:jc w:val="right"/>
                      <w:rPr>
                        <w:sz w:val="18"/>
                        <w:szCs w:val="18"/>
                      </w:rPr>
                    </w:pPr>
                    <w:r>
                      <w:rPr>
                        <w:rFonts w:hint="eastAsia"/>
                        <w:sz w:val="18"/>
                        <w:szCs w:val="18"/>
                      </w:rPr>
                      <w:t>305,989,478.84</w:t>
                    </w:r>
                  </w:p>
                </w:tc>
              </w:tr>
              <w:tr w:rsidR="004A3868">
                <w:trPr>
                  <w:trHeight w:val="397"/>
                  <w:jc w:val="center"/>
                </w:trPr>
                <w:tc>
                  <w:tcPr>
                    <w:tcW w:w="2394" w:type="dxa"/>
                    <w:vAlign w:val="center"/>
                  </w:tcPr>
                  <w:p w:rsidR="004A3868" w:rsidRDefault="003F1AB5">
                    <w:pPr>
                      <w:rPr>
                        <w:sz w:val="18"/>
                        <w:szCs w:val="18"/>
                      </w:rPr>
                    </w:pPr>
                    <w:r>
                      <w:rPr>
                        <w:sz w:val="18"/>
                        <w:szCs w:val="18"/>
                      </w:rPr>
                      <w:t>（</w:t>
                    </w:r>
                    <w:r>
                      <w:rPr>
                        <w:rFonts w:hint="eastAsia"/>
                        <w:sz w:val="18"/>
                        <w:szCs w:val="18"/>
                      </w:rPr>
                      <w:t>二</w:t>
                    </w:r>
                    <w:r>
                      <w:rPr>
                        <w:sz w:val="18"/>
                        <w:szCs w:val="18"/>
                      </w:rPr>
                      <w:t>）所有者投入和减少资本</w:t>
                    </w:r>
                  </w:p>
                </w:tc>
                <w:tc>
                  <w:tcPr>
                    <w:tcW w:w="1078" w:type="dxa"/>
                    <w:tcBorders>
                      <w:right w:val="single" w:sz="4" w:space="0" w:color="auto"/>
                    </w:tcBorders>
                    <w:vAlign w:val="center"/>
                  </w:tcPr>
                  <w:p w:rsidR="004A3868" w:rsidRDefault="003F1AB5">
                    <w:pPr>
                      <w:jc w:val="right"/>
                      <w:rPr>
                        <w:sz w:val="18"/>
                        <w:szCs w:val="18"/>
                      </w:rPr>
                    </w:pPr>
                    <w:r>
                      <w:rPr>
                        <w:rFonts w:hint="eastAsia"/>
                        <w:sz w:val="18"/>
                        <w:szCs w:val="18"/>
                      </w:rPr>
                      <w:t>83,291,852.00</w:t>
                    </w:r>
                  </w:p>
                </w:tc>
                <w:tc>
                  <w:tcPr>
                    <w:tcW w:w="1050" w:type="dxa"/>
                    <w:tcBorders>
                      <w:left w:val="single" w:sz="4" w:space="0" w:color="auto"/>
                      <w:right w:val="single" w:sz="4" w:space="0" w:color="auto"/>
                    </w:tcBorders>
                  </w:tcPr>
                  <w:p w:rsidR="004A3868" w:rsidRDefault="004A3868">
                    <w:pPr>
                      <w:jc w:val="right"/>
                      <w:rPr>
                        <w:sz w:val="18"/>
                        <w:szCs w:val="18"/>
                      </w:rPr>
                    </w:pPr>
                  </w:p>
                </w:tc>
                <w:tc>
                  <w:tcPr>
                    <w:tcW w:w="1078" w:type="dxa"/>
                    <w:tcBorders>
                      <w:left w:val="single" w:sz="4" w:space="0" w:color="auto"/>
                      <w:right w:val="single" w:sz="4" w:space="0" w:color="auto"/>
                    </w:tcBorders>
                  </w:tcPr>
                  <w:p w:rsidR="004A3868" w:rsidRDefault="004A3868">
                    <w:pPr>
                      <w:jc w:val="right"/>
                      <w:rPr>
                        <w:sz w:val="18"/>
                        <w:szCs w:val="18"/>
                      </w:rPr>
                    </w:pPr>
                  </w:p>
                </w:tc>
                <w:tc>
                  <w:tcPr>
                    <w:tcW w:w="1091" w:type="dxa"/>
                    <w:tcBorders>
                      <w:left w:val="single" w:sz="4" w:space="0" w:color="auto"/>
                    </w:tcBorders>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771,269,948.00</w:t>
                    </w:r>
                  </w:p>
                </w:tc>
                <w:tc>
                  <w:tcPr>
                    <w:tcW w:w="1064" w:type="dxa"/>
                  </w:tcPr>
                  <w:p w:rsidR="004A3868" w:rsidRDefault="004A3868">
                    <w:pPr>
                      <w:jc w:val="right"/>
                      <w:rPr>
                        <w:sz w:val="18"/>
                        <w:szCs w:val="18"/>
                      </w:rPr>
                    </w:pPr>
                  </w:p>
                </w:tc>
                <w:tc>
                  <w:tcPr>
                    <w:tcW w:w="1022" w:type="dxa"/>
                  </w:tcPr>
                  <w:p w:rsidR="004A3868" w:rsidRDefault="004A3868">
                    <w:pPr>
                      <w:jc w:val="right"/>
                      <w:rPr>
                        <w:sz w:val="18"/>
                        <w:szCs w:val="18"/>
                      </w:rPr>
                    </w:pPr>
                  </w:p>
                </w:tc>
                <w:tc>
                  <w:tcPr>
                    <w:tcW w:w="1036" w:type="dxa"/>
                  </w:tcPr>
                  <w:p w:rsidR="004A3868" w:rsidRDefault="004A3868">
                    <w:pPr>
                      <w:jc w:val="right"/>
                      <w:rPr>
                        <w:sz w:val="18"/>
                        <w:szCs w:val="18"/>
                      </w:rPr>
                    </w:pPr>
                  </w:p>
                </w:tc>
                <w:tc>
                  <w:tcPr>
                    <w:tcW w:w="1021" w:type="dxa"/>
                  </w:tcPr>
                  <w:p w:rsidR="004A3868" w:rsidRDefault="004A3868">
                    <w:pPr>
                      <w:jc w:val="right"/>
                      <w:rPr>
                        <w:sz w:val="18"/>
                        <w:szCs w:val="18"/>
                      </w:rPr>
                    </w:pPr>
                  </w:p>
                </w:tc>
                <w:tc>
                  <w:tcPr>
                    <w:tcW w:w="1008" w:type="dxa"/>
                  </w:tcPr>
                  <w:p w:rsidR="004A3868" w:rsidRDefault="004A3868">
                    <w:pPr>
                      <w:jc w:val="right"/>
                      <w:rPr>
                        <w:sz w:val="18"/>
                        <w:szCs w:val="18"/>
                      </w:rPr>
                    </w:pPr>
                  </w:p>
                </w:tc>
                <w:tc>
                  <w:tcPr>
                    <w:tcW w:w="1026" w:type="dxa"/>
                    <w:vAlign w:val="center"/>
                  </w:tcPr>
                  <w:p w:rsidR="004A3868" w:rsidRDefault="003F1AB5">
                    <w:pPr>
                      <w:jc w:val="right"/>
                      <w:rPr>
                        <w:sz w:val="18"/>
                        <w:szCs w:val="18"/>
                      </w:rPr>
                    </w:pPr>
                    <w:r>
                      <w:rPr>
                        <w:rFonts w:hint="eastAsia"/>
                        <w:sz w:val="18"/>
                        <w:szCs w:val="18"/>
                      </w:rPr>
                      <w:t>854,561,800.00</w:t>
                    </w:r>
                  </w:p>
                </w:tc>
              </w:tr>
              <w:tr w:rsidR="004A3868">
                <w:trPr>
                  <w:trHeight w:val="397"/>
                  <w:jc w:val="center"/>
                </w:trPr>
                <w:tc>
                  <w:tcPr>
                    <w:tcW w:w="2394" w:type="dxa"/>
                    <w:vAlign w:val="center"/>
                  </w:tcPr>
                  <w:p w:rsidR="004A3868" w:rsidRDefault="003F1AB5">
                    <w:pPr>
                      <w:rPr>
                        <w:sz w:val="18"/>
                        <w:szCs w:val="18"/>
                      </w:rPr>
                    </w:pPr>
                    <w:r>
                      <w:rPr>
                        <w:rFonts w:hint="eastAsia"/>
                        <w:sz w:val="18"/>
                        <w:szCs w:val="18"/>
                      </w:rPr>
                      <w:t>1．所有者投入的普通股</w:t>
                    </w:r>
                  </w:p>
                </w:tc>
                <w:tc>
                  <w:tcPr>
                    <w:tcW w:w="1078" w:type="dxa"/>
                    <w:tcBorders>
                      <w:right w:val="single" w:sz="4" w:space="0" w:color="auto"/>
                    </w:tcBorders>
                    <w:vAlign w:val="center"/>
                  </w:tcPr>
                  <w:p w:rsidR="004A3868" w:rsidRDefault="003F1AB5">
                    <w:pPr>
                      <w:jc w:val="right"/>
                      <w:rPr>
                        <w:sz w:val="18"/>
                        <w:szCs w:val="18"/>
                      </w:rPr>
                    </w:pPr>
                    <w:r>
                      <w:rPr>
                        <w:rFonts w:hint="eastAsia"/>
                        <w:sz w:val="18"/>
                        <w:szCs w:val="18"/>
                      </w:rPr>
                      <w:t>83,291,852.00</w:t>
                    </w: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771,269,948.00</w:t>
                    </w: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3F1AB5">
                    <w:pPr>
                      <w:jc w:val="right"/>
                      <w:rPr>
                        <w:sz w:val="18"/>
                        <w:szCs w:val="18"/>
                      </w:rPr>
                    </w:pPr>
                    <w:r>
                      <w:rPr>
                        <w:rFonts w:hint="eastAsia"/>
                        <w:sz w:val="18"/>
                        <w:szCs w:val="18"/>
                      </w:rPr>
                      <w:t>854,561,800.00</w:t>
                    </w:r>
                  </w:p>
                </w:tc>
              </w:tr>
              <w:tr w:rsidR="004A3868">
                <w:trPr>
                  <w:trHeight w:val="397"/>
                  <w:jc w:val="center"/>
                </w:trPr>
                <w:tc>
                  <w:tcPr>
                    <w:tcW w:w="2394" w:type="dxa"/>
                    <w:vAlign w:val="center"/>
                  </w:tcPr>
                  <w:p w:rsidR="004A3868" w:rsidRDefault="003F1AB5">
                    <w:pPr>
                      <w:rPr>
                        <w:sz w:val="18"/>
                        <w:szCs w:val="18"/>
                      </w:rPr>
                    </w:pPr>
                    <w:r>
                      <w:rPr>
                        <w:rFonts w:hint="eastAsia"/>
                        <w:sz w:val="18"/>
                        <w:szCs w:val="18"/>
                      </w:rPr>
                      <w:lastRenderedPageBreak/>
                      <w:t>2．其他权益工具持有者投入资本</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rFonts w:hint="eastAsia"/>
                        <w:sz w:val="18"/>
                        <w:szCs w:val="18"/>
                      </w:rPr>
                      <w:t>3</w:t>
                    </w:r>
                    <w:r>
                      <w:rPr>
                        <w:sz w:val="18"/>
                        <w:szCs w:val="18"/>
                      </w:rPr>
                      <w:t>．股份支付计入所有者权益的金额</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rFonts w:hint="eastAsia"/>
                        <w:sz w:val="18"/>
                        <w:szCs w:val="18"/>
                      </w:rPr>
                      <w:t>4</w:t>
                    </w:r>
                    <w:r>
                      <w:rPr>
                        <w:sz w:val="18"/>
                        <w:szCs w:val="18"/>
                      </w:rPr>
                      <w:t>．其他</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w:t>
                    </w:r>
                    <w:r>
                      <w:rPr>
                        <w:rFonts w:hint="eastAsia"/>
                        <w:sz w:val="18"/>
                        <w:szCs w:val="18"/>
                      </w:rPr>
                      <w:t>三</w:t>
                    </w:r>
                    <w:r>
                      <w:rPr>
                        <w:sz w:val="18"/>
                        <w:szCs w:val="18"/>
                      </w:rPr>
                      <w:t>）利润分配</w:t>
                    </w:r>
                  </w:p>
                </w:tc>
                <w:tc>
                  <w:tcPr>
                    <w:tcW w:w="1078" w:type="dxa"/>
                    <w:tcBorders>
                      <w:right w:val="single" w:sz="4" w:space="0" w:color="auto"/>
                    </w:tcBorders>
                  </w:tcPr>
                  <w:p w:rsidR="004A3868" w:rsidRDefault="004A3868">
                    <w:pPr>
                      <w:jc w:val="right"/>
                      <w:rPr>
                        <w:sz w:val="18"/>
                        <w:szCs w:val="18"/>
                      </w:rPr>
                    </w:pPr>
                  </w:p>
                </w:tc>
                <w:tc>
                  <w:tcPr>
                    <w:tcW w:w="1050" w:type="dxa"/>
                    <w:tcBorders>
                      <w:left w:val="single" w:sz="4" w:space="0" w:color="auto"/>
                      <w:right w:val="single" w:sz="4" w:space="0" w:color="auto"/>
                    </w:tcBorders>
                  </w:tcPr>
                  <w:p w:rsidR="004A3868" w:rsidRDefault="004A3868">
                    <w:pPr>
                      <w:jc w:val="right"/>
                      <w:rPr>
                        <w:sz w:val="18"/>
                        <w:szCs w:val="18"/>
                      </w:rPr>
                    </w:pPr>
                  </w:p>
                </w:tc>
                <w:tc>
                  <w:tcPr>
                    <w:tcW w:w="1078" w:type="dxa"/>
                    <w:tcBorders>
                      <w:left w:val="single" w:sz="4" w:space="0" w:color="auto"/>
                      <w:right w:val="single" w:sz="4" w:space="0" w:color="auto"/>
                    </w:tcBorders>
                  </w:tcPr>
                  <w:p w:rsidR="004A3868" w:rsidRDefault="004A3868">
                    <w:pPr>
                      <w:jc w:val="right"/>
                      <w:rPr>
                        <w:sz w:val="18"/>
                        <w:szCs w:val="18"/>
                      </w:rPr>
                    </w:pPr>
                  </w:p>
                </w:tc>
                <w:tc>
                  <w:tcPr>
                    <w:tcW w:w="1091" w:type="dxa"/>
                    <w:tcBorders>
                      <w:left w:val="single" w:sz="4" w:space="0" w:color="auto"/>
                    </w:tcBorders>
                  </w:tcPr>
                  <w:p w:rsidR="004A3868" w:rsidRDefault="004A3868">
                    <w:pPr>
                      <w:jc w:val="right"/>
                      <w:rPr>
                        <w:sz w:val="18"/>
                        <w:szCs w:val="18"/>
                      </w:rPr>
                    </w:pPr>
                  </w:p>
                </w:tc>
                <w:tc>
                  <w:tcPr>
                    <w:tcW w:w="1036" w:type="dxa"/>
                  </w:tcPr>
                  <w:p w:rsidR="004A3868" w:rsidRDefault="004A3868">
                    <w:pPr>
                      <w:jc w:val="right"/>
                      <w:rPr>
                        <w:sz w:val="18"/>
                        <w:szCs w:val="18"/>
                      </w:rPr>
                    </w:pPr>
                  </w:p>
                </w:tc>
                <w:tc>
                  <w:tcPr>
                    <w:tcW w:w="1064" w:type="dxa"/>
                  </w:tcPr>
                  <w:p w:rsidR="004A3868" w:rsidRDefault="004A3868">
                    <w:pPr>
                      <w:jc w:val="right"/>
                      <w:rPr>
                        <w:sz w:val="18"/>
                        <w:szCs w:val="18"/>
                      </w:rPr>
                    </w:pPr>
                  </w:p>
                </w:tc>
                <w:tc>
                  <w:tcPr>
                    <w:tcW w:w="1022" w:type="dxa"/>
                  </w:tcPr>
                  <w:p w:rsidR="004A3868" w:rsidRDefault="004A3868">
                    <w:pPr>
                      <w:jc w:val="right"/>
                      <w:rPr>
                        <w:sz w:val="18"/>
                        <w:szCs w:val="18"/>
                      </w:rPr>
                    </w:pPr>
                  </w:p>
                </w:tc>
                <w:tc>
                  <w:tcPr>
                    <w:tcW w:w="1036" w:type="dxa"/>
                  </w:tcPr>
                  <w:p w:rsidR="004A3868" w:rsidRDefault="004A3868">
                    <w:pPr>
                      <w:jc w:val="right"/>
                      <w:rPr>
                        <w:sz w:val="18"/>
                        <w:szCs w:val="18"/>
                      </w:rPr>
                    </w:pPr>
                  </w:p>
                </w:tc>
                <w:tc>
                  <w:tcPr>
                    <w:tcW w:w="1021" w:type="dxa"/>
                    <w:vAlign w:val="center"/>
                  </w:tcPr>
                  <w:p w:rsidR="004A3868" w:rsidRDefault="003F1AB5">
                    <w:pPr>
                      <w:jc w:val="right"/>
                      <w:rPr>
                        <w:sz w:val="18"/>
                        <w:szCs w:val="18"/>
                      </w:rPr>
                    </w:pPr>
                    <w:r>
                      <w:rPr>
                        <w:rFonts w:hint="eastAsia"/>
                        <w:sz w:val="18"/>
                        <w:szCs w:val="18"/>
                      </w:rPr>
                      <w:t>30,598,947.88</w:t>
                    </w:r>
                  </w:p>
                </w:tc>
                <w:tc>
                  <w:tcPr>
                    <w:tcW w:w="1008" w:type="dxa"/>
                    <w:vAlign w:val="center"/>
                  </w:tcPr>
                  <w:p w:rsidR="004A3868" w:rsidRDefault="003F1AB5">
                    <w:pPr>
                      <w:jc w:val="right"/>
                      <w:rPr>
                        <w:sz w:val="18"/>
                        <w:szCs w:val="18"/>
                      </w:rPr>
                    </w:pPr>
                    <w:r>
                      <w:rPr>
                        <w:rFonts w:hint="eastAsia"/>
                        <w:sz w:val="18"/>
                        <w:szCs w:val="18"/>
                      </w:rPr>
                      <w:t>-30,598,947.88</w:t>
                    </w:r>
                  </w:p>
                </w:tc>
                <w:tc>
                  <w:tcPr>
                    <w:tcW w:w="1026" w:type="dxa"/>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1．提取盈余公积</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3F1AB5">
                    <w:pPr>
                      <w:jc w:val="right"/>
                      <w:rPr>
                        <w:sz w:val="18"/>
                        <w:szCs w:val="18"/>
                      </w:rPr>
                    </w:pPr>
                    <w:r>
                      <w:rPr>
                        <w:rFonts w:hint="eastAsia"/>
                        <w:sz w:val="18"/>
                        <w:szCs w:val="18"/>
                      </w:rPr>
                      <w:t>30,598,947.88</w:t>
                    </w:r>
                  </w:p>
                </w:tc>
                <w:tc>
                  <w:tcPr>
                    <w:tcW w:w="1008" w:type="dxa"/>
                    <w:vAlign w:val="center"/>
                  </w:tcPr>
                  <w:p w:rsidR="004A3868" w:rsidRDefault="003F1AB5">
                    <w:pPr>
                      <w:jc w:val="right"/>
                      <w:rPr>
                        <w:sz w:val="18"/>
                        <w:szCs w:val="18"/>
                      </w:rPr>
                    </w:pPr>
                    <w:r>
                      <w:rPr>
                        <w:rFonts w:hint="eastAsia"/>
                        <w:sz w:val="18"/>
                        <w:szCs w:val="18"/>
                      </w:rPr>
                      <w:t>-30,598,947.88</w:t>
                    </w: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rFonts w:hint="eastAsia"/>
                        <w:sz w:val="18"/>
                        <w:szCs w:val="18"/>
                      </w:rPr>
                      <w:t>2</w:t>
                    </w:r>
                    <w:r>
                      <w:rPr>
                        <w:sz w:val="18"/>
                        <w:szCs w:val="18"/>
                      </w:rPr>
                      <w:t>．对所有者（或股东）的分配</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rFonts w:hint="eastAsia"/>
                        <w:sz w:val="18"/>
                        <w:szCs w:val="18"/>
                      </w:rPr>
                      <w:t>3</w:t>
                    </w:r>
                    <w:r>
                      <w:rPr>
                        <w:sz w:val="18"/>
                        <w:szCs w:val="18"/>
                      </w:rPr>
                      <w:t>．其他</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w:t>
                    </w:r>
                    <w:r>
                      <w:rPr>
                        <w:rFonts w:hint="eastAsia"/>
                        <w:sz w:val="18"/>
                        <w:szCs w:val="18"/>
                      </w:rPr>
                      <w:t>四</w:t>
                    </w:r>
                    <w:r>
                      <w:rPr>
                        <w:sz w:val="18"/>
                        <w:szCs w:val="18"/>
                      </w:rPr>
                      <w:t>）所有者权益内部结转</w:t>
                    </w:r>
                  </w:p>
                </w:tc>
                <w:tc>
                  <w:tcPr>
                    <w:tcW w:w="1078" w:type="dxa"/>
                    <w:tcBorders>
                      <w:right w:val="single" w:sz="4" w:space="0" w:color="auto"/>
                    </w:tcBorders>
                  </w:tcPr>
                  <w:p w:rsidR="004A3868" w:rsidRDefault="004A3868">
                    <w:pPr>
                      <w:jc w:val="right"/>
                      <w:rPr>
                        <w:sz w:val="18"/>
                        <w:szCs w:val="18"/>
                      </w:rPr>
                    </w:pPr>
                  </w:p>
                </w:tc>
                <w:tc>
                  <w:tcPr>
                    <w:tcW w:w="1050" w:type="dxa"/>
                    <w:tcBorders>
                      <w:left w:val="single" w:sz="4" w:space="0" w:color="auto"/>
                      <w:right w:val="single" w:sz="4" w:space="0" w:color="auto"/>
                    </w:tcBorders>
                  </w:tcPr>
                  <w:p w:rsidR="004A3868" w:rsidRDefault="004A3868">
                    <w:pPr>
                      <w:jc w:val="right"/>
                      <w:rPr>
                        <w:sz w:val="18"/>
                        <w:szCs w:val="18"/>
                      </w:rPr>
                    </w:pPr>
                  </w:p>
                </w:tc>
                <w:tc>
                  <w:tcPr>
                    <w:tcW w:w="1078" w:type="dxa"/>
                    <w:tcBorders>
                      <w:left w:val="single" w:sz="4" w:space="0" w:color="auto"/>
                      <w:right w:val="single" w:sz="4" w:space="0" w:color="auto"/>
                    </w:tcBorders>
                  </w:tcPr>
                  <w:p w:rsidR="004A3868" w:rsidRDefault="004A3868">
                    <w:pPr>
                      <w:jc w:val="right"/>
                      <w:rPr>
                        <w:sz w:val="18"/>
                        <w:szCs w:val="18"/>
                      </w:rPr>
                    </w:pPr>
                  </w:p>
                </w:tc>
                <w:tc>
                  <w:tcPr>
                    <w:tcW w:w="1091" w:type="dxa"/>
                    <w:tcBorders>
                      <w:left w:val="single" w:sz="4" w:space="0" w:color="auto"/>
                    </w:tcBorders>
                  </w:tcPr>
                  <w:p w:rsidR="004A3868" w:rsidRDefault="004A3868">
                    <w:pPr>
                      <w:jc w:val="right"/>
                      <w:rPr>
                        <w:sz w:val="18"/>
                        <w:szCs w:val="18"/>
                      </w:rPr>
                    </w:pPr>
                  </w:p>
                </w:tc>
                <w:tc>
                  <w:tcPr>
                    <w:tcW w:w="1036" w:type="dxa"/>
                  </w:tcPr>
                  <w:p w:rsidR="004A3868" w:rsidRDefault="004A3868">
                    <w:pPr>
                      <w:jc w:val="right"/>
                      <w:rPr>
                        <w:sz w:val="18"/>
                        <w:szCs w:val="18"/>
                      </w:rPr>
                    </w:pPr>
                  </w:p>
                </w:tc>
                <w:tc>
                  <w:tcPr>
                    <w:tcW w:w="1064" w:type="dxa"/>
                  </w:tcPr>
                  <w:p w:rsidR="004A3868" w:rsidRDefault="004A3868">
                    <w:pPr>
                      <w:jc w:val="right"/>
                      <w:rPr>
                        <w:sz w:val="18"/>
                        <w:szCs w:val="18"/>
                      </w:rPr>
                    </w:pPr>
                  </w:p>
                </w:tc>
                <w:tc>
                  <w:tcPr>
                    <w:tcW w:w="1022" w:type="dxa"/>
                  </w:tcPr>
                  <w:p w:rsidR="004A3868" w:rsidRDefault="004A3868">
                    <w:pPr>
                      <w:jc w:val="right"/>
                      <w:rPr>
                        <w:sz w:val="18"/>
                        <w:szCs w:val="18"/>
                      </w:rPr>
                    </w:pPr>
                  </w:p>
                </w:tc>
                <w:tc>
                  <w:tcPr>
                    <w:tcW w:w="1036" w:type="dxa"/>
                  </w:tcPr>
                  <w:p w:rsidR="004A3868" w:rsidRDefault="004A3868">
                    <w:pPr>
                      <w:jc w:val="right"/>
                      <w:rPr>
                        <w:sz w:val="18"/>
                        <w:szCs w:val="18"/>
                      </w:rPr>
                    </w:pPr>
                  </w:p>
                </w:tc>
                <w:tc>
                  <w:tcPr>
                    <w:tcW w:w="1021" w:type="dxa"/>
                  </w:tcPr>
                  <w:p w:rsidR="004A3868" w:rsidRDefault="004A3868">
                    <w:pPr>
                      <w:jc w:val="right"/>
                      <w:rPr>
                        <w:sz w:val="18"/>
                        <w:szCs w:val="18"/>
                      </w:rPr>
                    </w:pPr>
                  </w:p>
                </w:tc>
                <w:tc>
                  <w:tcPr>
                    <w:tcW w:w="1008" w:type="dxa"/>
                  </w:tcPr>
                  <w:p w:rsidR="004A3868" w:rsidRDefault="004A3868">
                    <w:pPr>
                      <w:jc w:val="right"/>
                      <w:rPr>
                        <w:sz w:val="18"/>
                        <w:szCs w:val="18"/>
                      </w:rPr>
                    </w:pPr>
                  </w:p>
                </w:tc>
                <w:tc>
                  <w:tcPr>
                    <w:tcW w:w="1026" w:type="dxa"/>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1．资本公积转增资本（或股本）</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2．盈余公积转增资本（或股本）</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3．盈余公积弥补亏损</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pStyle w:val="Style842"/>
                    </w:pPr>
                    <w:r>
                      <w:rPr>
                        <w:sz w:val="18"/>
                        <w:szCs w:val="18"/>
                      </w:rPr>
                      <w:t>4．设定受益计划变动额结转留存收益</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5．其他综合收益结转留存收益</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pStyle w:val="Style842"/>
                    </w:pPr>
                    <w:r>
                      <w:rPr>
                        <w:sz w:val="18"/>
                        <w:szCs w:val="18"/>
                      </w:rPr>
                      <w:t>6．其他</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rFonts w:hint="eastAsia"/>
                        <w:sz w:val="18"/>
                        <w:szCs w:val="18"/>
                      </w:rPr>
                      <w:t>（五）专项储备</w:t>
                    </w:r>
                  </w:p>
                </w:tc>
                <w:tc>
                  <w:tcPr>
                    <w:tcW w:w="1078" w:type="dxa"/>
                    <w:tcBorders>
                      <w:right w:val="single" w:sz="4" w:space="0" w:color="auto"/>
                    </w:tcBorders>
                  </w:tcPr>
                  <w:p w:rsidR="004A3868" w:rsidRDefault="004A3868">
                    <w:pPr>
                      <w:jc w:val="right"/>
                      <w:rPr>
                        <w:sz w:val="18"/>
                        <w:szCs w:val="18"/>
                      </w:rPr>
                    </w:pPr>
                  </w:p>
                </w:tc>
                <w:tc>
                  <w:tcPr>
                    <w:tcW w:w="1050" w:type="dxa"/>
                    <w:tcBorders>
                      <w:left w:val="single" w:sz="4" w:space="0" w:color="auto"/>
                      <w:right w:val="single" w:sz="4" w:space="0" w:color="auto"/>
                    </w:tcBorders>
                  </w:tcPr>
                  <w:p w:rsidR="004A3868" w:rsidRDefault="004A3868">
                    <w:pPr>
                      <w:jc w:val="right"/>
                      <w:rPr>
                        <w:sz w:val="18"/>
                        <w:szCs w:val="18"/>
                      </w:rPr>
                    </w:pPr>
                  </w:p>
                </w:tc>
                <w:tc>
                  <w:tcPr>
                    <w:tcW w:w="1078" w:type="dxa"/>
                    <w:tcBorders>
                      <w:left w:val="single" w:sz="4" w:space="0" w:color="auto"/>
                      <w:right w:val="single" w:sz="4" w:space="0" w:color="auto"/>
                    </w:tcBorders>
                  </w:tcPr>
                  <w:p w:rsidR="004A3868" w:rsidRDefault="004A3868">
                    <w:pPr>
                      <w:jc w:val="right"/>
                      <w:rPr>
                        <w:sz w:val="18"/>
                        <w:szCs w:val="18"/>
                      </w:rPr>
                    </w:pPr>
                  </w:p>
                </w:tc>
                <w:tc>
                  <w:tcPr>
                    <w:tcW w:w="1091" w:type="dxa"/>
                    <w:tcBorders>
                      <w:left w:val="single" w:sz="4" w:space="0" w:color="auto"/>
                    </w:tcBorders>
                  </w:tcPr>
                  <w:p w:rsidR="004A3868" w:rsidRDefault="004A3868">
                    <w:pPr>
                      <w:jc w:val="right"/>
                      <w:rPr>
                        <w:sz w:val="18"/>
                        <w:szCs w:val="18"/>
                      </w:rPr>
                    </w:pPr>
                  </w:p>
                </w:tc>
                <w:tc>
                  <w:tcPr>
                    <w:tcW w:w="1036" w:type="dxa"/>
                  </w:tcPr>
                  <w:p w:rsidR="004A3868" w:rsidRDefault="004A3868">
                    <w:pPr>
                      <w:jc w:val="right"/>
                      <w:rPr>
                        <w:sz w:val="18"/>
                        <w:szCs w:val="18"/>
                      </w:rPr>
                    </w:pPr>
                  </w:p>
                </w:tc>
                <w:tc>
                  <w:tcPr>
                    <w:tcW w:w="1064" w:type="dxa"/>
                  </w:tcPr>
                  <w:p w:rsidR="004A3868" w:rsidRDefault="004A3868">
                    <w:pPr>
                      <w:jc w:val="right"/>
                      <w:rPr>
                        <w:sz w:val="18"/>
                        <w:szCs w:val="18"/>
                      </w:rPr>
                    </w:pPr>
                  </w:p>
                </w:tc>
                <w:tc>
                  <w:tcPr>
                    <w:tcW w:w="1022" w:type="dxa"/>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3,680,637.03</w:t>
                    </w:r>
                  </w:p>
                </w:tc>
                <w:tc>
                  <w:tcPr>
                    <w:tcW w:w="1021" w:type="dxa"/>
                  </w:tcPr>
                  <w:p w:rsidR="004A3868" w:rsidRDefault="004A3868">
                    <w:pPr>
                      <w:jc w:val="right"/>
                      <w:rPr>
                        <w:sz w:val="18"/>
                        <w:szCs w:val="18"/>
                      </w:rPr>
                    </w:pPr>
                  </w:p>
                </w:tc>
                <w:tc>
                  <w:tcPr>
                    <w:tcW w:w="1008" w:type="dxa"/>
                  </w:tcPr>
                  <w:p w:rsidR="004A3868" w:rsidRDefault="004A3868">
                    <w:pPr>
                      <w:jc w:val="right"/>
                      <w:rPr>
                        <w:sz w:val="18"/>
                        <w:szCs w:val="18"/>
                      </w:rPr>
                    </w:pPr>
                  </w:p>
                </w:tc>
                <w:tc>
                  <w:tcPr>
                    <w:tcW w:w="1026" w:type="dxa"/>
                    <w:vAlign w:val="center"/>
                  </w:tcPr>
                  <w:p w:rsidR="004A3868" w:rsidRDefault="003F1AB5">
                    <w:pPr>
                      <w:jc w:val="right"/>
                      <w:rPr>
                        <w:sz w:val="18"/>
                        <w:szCs w:val="18"/>
                      </w:rPr>
                    </w:pPr>
                    <w:r>
                      <w:rPr>
                        <w:rFonts w:hint="eastAsia"/>
                        <w:sz w:val="18"/>
                        <w:szCs w:val="18"/>
                      </w:rPr>
                      <w:t>3,680,637.03</w:t>
                    </w:r>
                  </w:p>
                </w:tc>
              </w:tr>
              <w:tr w:rsidR="004A3868">
                <w:trPr>
                  <w:trHeight w:val="397"/>
                  <w:jc w:val="center"/>
                </w:trPr>
                <w:tc>
                  <w:tcPr>
                    <w:tcW w:w="2394" w:type="dxa"/>
                    <w:vAlign w:val="center"/>
                  </w:tcPr>
                  <w:p w:rsidR="004A3868" w:rsidRDefault="003F1AB5">
                    <w:pPr>
                      <w:rPr>
                        <w:sz w:val="18"/>
                        <w:szCs w:val="18"/>
                      </w:rPr>
                    </w:pPr>
                    <w:r>
                      <w:rPr>
                        <w:rFonts w:hint="eastAsia"/>
                        <w:sz w:val="18"/>
                        <w:szCs w:val="18"/>
                      </w:rPr>
                      <w:t>1．本期提取</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6,468,174.65</w:t>
                    </w: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3F1AB5">
                    <w:pPr>
                      <w:jc w:val="right"/>
                      <w:rPr>
                        <w:sz w:val="18"/>
                        <w:szCs w:val="18"/>
                      </w:rPr>
                    </w:pPr>
                    <w:r>
                      <w:rPr>
                        <w:rFonts w:hint="eastAsia"/>
                        <w:sz w:val="18"/>
                        <w:szCs w:val="18"/>
                      </w:rPr>
                      <w:t>6,468,174.65</w:t>
                    </w:r>
                  </w:p>
                </w:tc>
              </w:tr>
              <w:tr w:rsidR="004A3868">
                <w:trPr>
                  <w:trHeight w:val="397"/>
                  <w:jc w:val="center"/>
                </w:trPr>
                <w:tc>
                  <w:tcPr>
                    <w:tcW w:w="2394" w:type="dxa"/>
                    <w:vAlign w:val="center"/>
                  </w:tcPr>
                  <w:p w:rsidR="004A3868" w:rsidRDefault="003F1AB5">
                    <w:pPr>
                      <w:rPr>
                        <w:sz w:val="18"/>
                        <w:szCs w:val="18"/>
                      </w:rPr>
                    </w:pPr>
                    <w:r>
                      <w:rPr>
                        <w:rFonts w:hint="eastAsia"/>
                        <w:sz w:val="18"/>
                        <w:szCs w:val="18"/>
                      </w:rPr>
                      <w:lastRenderedPageBreak/>
                      <w:t>2．本期使用</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-2,787,537.62</w:t>
                    </w: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3F1AB5">
                    <w:pPr>
                      <w:jc w:val="right"/>
                      <w:rPr>
                        <w:sz w:val="18"/>
                        <w:szCs w:val="18"/>
                      </w:rPr>
                    </w:pPr>
                    <w:r>
                      <w:rPr>
                        <w:rFonts w:hint="eastAsia"/>
                        <w:sz w:val="18"/>
                        <w:szCs w:val="18"/>
                      </w:rPr>
                      <w:t>-2,787,537.62</w:t>
                    </w:r>
                  </w:p>
                </w:tc>
              </w:tr>
              <w:tr w:rsidR="004A3868">
                <w:trPr>
                  <w:trHeight w:val="397"/>
                  <w:jc w:val="center"/>
                </w:trPr>
                <w:tc>
                  <w:tcPr>
                    <w:tcW w:w="2394" w:type="dxa"/>
                    <w:vAlign w:val="center"/>
                  </w:tcPr>
                  <w:p w:rsidR="004A3868" w:rsidRDefault="003F1AB5">
                    <w:pPr>
                      <w:rPr>
                        <w:sz w:val="18"/>
                        <w:szCs w:val="18"/>
                      </w:rPr>
                    </w:pPr>
                    <w:r>
                      <w:rPr>
                        <w:rFonts w:hint="eastAsia"/>
                        <w:sz w:val="18"/>
                        <w:szCs w:val="18"/>
                      </w:rPr>
                      <w:t>（六）其他</w:t>
                    </w:r>
                  </w:p>
                </w:tc>
                <w:tc>
                  <w:tcPr>
                    <w:tcW w:w="1078" w:type="dxa"/>
                    <w:tcBorders>
                      <w:right w:val="single" w:sz="4" w:space="0" w:color="auto"/>
                    </w:tcBorders>
                    <w:vAlign w:val="center"/>
                  </w:tcPr>
                  <w:p w:rsidR="004A3868" w:rsidRDefault="004A3868">
                    <w:pPr>
                      <w:jc w:val="right"/>
                      <w:rPr>
                        <w:sz w:val="18"/>
                        <w:szCs w:val="18"/>
                      </w:rPr>
                    </w:pPr>
                  </w:p>
                </w:tc>
                <w:tc>
                  <w:tcPr>
                    <w:tcW w:w="1050" w:type="dxa"/>
                    <w:tcBorders>
                      <w:left w:val="single" w:sz="4" w:space="0" w:color="auto"/>
                      <w:right w:val="single" w:sz="4" w:space="0" w:color="auto"/>
                    </w:tcBorders>
                    <w:vAlign w:val="center"/>
                  </w:tcPr>
                  <w:p w:rsidR="004A3868" w:rsidRDefault="004A3868">
                    <w:pPr>
                      <w:jc w:val="right"/>
                      <w:rPr>
                        <w:sz w:val="18"/>
                        <w:szCs w:val="18"/>
                      </w:rPr>
                    </w:pPr>
                  </w:p>
                </w:tc>
                <w:tc>
                  <w:tcPr>
                    <w:tcW w:w="1078" w:type="dxa"/>
                    <w:tcBorders>
                      <w:left w:val="single" w:sz="4" w:space="0" w:color="auto"/>
                      <w:right w:val="single" w:sz="4" w:space="0" w:color="auto"/>
                    </w:tcBorders>
                    <w:vAlign w:val="center"/>
                  </w:tcPr>
                  <w:p w:rsidR="004A3868" w:rsidRDefault="004A3868">
                    <w:pPr>
                      <w:jc w:val="right"/>
                      <w:rPr>
                        <w:sz w:val="18"/>
                        <w:szCs w:val="18"/>
                      </w:rPr>
                    </w:pPr>
                  </w:p>
                </w:tc>
                <w:tc>
                  <w:tcPr>
                    <w:tcW w:w="1091" w:type="dxa"/>
                    <w:tcBorders>
                      <w:left w:val="single" w:sz="4" w:space="0" w:color="auto"/>
                    </w:tcBorders>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64" w:type="dxa"/>
                    <w:vAlign w:val="center"/>
                  </w:tcPr>
                  <w:p w:rsidR="004A3868" w:rsidRDefault="004A3868">
                    <w:pPr>
                      <w:jc w:val="right"/>
                      <w:rPr>
                        <w:sz w:val="18"/>
                        <w:szCs w:val="18"/>
                      </w:rPr>
                    </w:pPr>
                  </w:p>
                </w:tc>
                <w:tc>
                  <w:tcPr>
                    <w:tcW w:w="1022" w:type="dxa"/>
                    <w:vAlign w:val="center"/>
                  </w:tcPr>
                  <w:p w:rsidR="004A3868" w:rsidRDefault="004A3868">
                    <w:pPr>
                      <w:jc w:val="right"/>
                      <w:rPr>
                        <w:sz w:val="18"/>
                        <w:szCs w:val="18"/>
                      </w:rPr>
                    </w:pPr>
                  </w:p>
                </w:tc>
                <w:tc>
                  <w:tcPr>
                    <w:tcW w:w="1036" w:type="dxa"/>
                    <w:vAlign w:val="center"/>
                  </w:tcPr>
                  <w:p w:rsidR="004A3868" w:rsidRDefault="004A3868">
                    <w:pPr>
                      <w:jc w:val="right"/>
                      <w:rPr>
                        <w:sz w:val="18"/>
                        <w:szCs w:val="18"/>
                      </w:rPr>
                    </w:pPr>
                  </w:p>
                </w:tc>
                <w:tc>
                  <w:tcPr>
                    <w:tcW w:w="1021" w:type="dxa"/>
                    <w:vAlign w:val="center"/>
                  </w:tcPr>
                  <w:p w:rsidR="004A3868" w:rsidRDefault="004A3868">
                    <w:pPr>
                      <w:jc w:val="right"/>
                      <w:rPr>
                        <w:sz w:val="18"/>
                        <w:szCs w:val="18"/>
                      </w:rPr>
                    </w:pPr>
                  </w:p>
                </w:tc>
                <w:tc>
                  <w:tcPr>
                    <w:tcW w:w="1008" w:type="dxa"/>
                    <w:vAlign w:val="center"/>
                  </w:tcPr>
                  <w:p w:rsidR="004A3868" w:rsidRDefault="004A3868">
                    <w:pPr>
                      <w:jc w:val="right"/>
                      <w:rPr>
                        <w:sz w:val="18"/>
                        <w:szCs w:val="18"/>
                      </w:rPr>
                    </w:pPr>
                  </w:p>
                </w:tc>
                <w:tc>
                  <w:tcPr>
                    <w:tcW w:w="1026" w:type="dxa"/>
                    <w:vAlign w:val="center"/>
                  </w:tcPr>
                  <w:p w:rsidR="004A3868" w:rsidRDefault="004A3868">
                    <w:pPr>
                      <w:jc w:val="right"/>
                      <w:rPr>
                        <w:sz w:val="18"/>
                        <w:szCs w:val="18"/>
                      </w:rPr>
                    </w:pPr>
                  </w:p>
                </w:tc>
              </w:tr>
              <w:tr w:rsidR="004A3868">
                <w:trPr>
                  <w:trHeight w:val="397"/>
                  <w:jc w:val="center"/>
                </w:trPr>
                <w:tc>
                  <w:tcPr>
                    <w:tcW w:w="2394" w:type="dxa"/>
                    <w:vAlign w:val="center"/>
                  </w:tcPr>
                  <w:p w:rsidR="004A3868" w:rsidRDefault="003F1AB5">
                    <w:pPr>
                      <w:rPr>
                        <w:sz w:val="18"/>
                        <w:szCs w:val="18"/>
                      </w:rPr>
                    </w:pPr>
                    <w:r>
                      <w:rPr>
                        <w:sz w:val="18"/>
                        <w:szCs w:val="18"/>
                      </w:rPr>
                      <w:t>四、本期期末余额</w:t>
                    </w:r>
                  </w:p>
                </w:tc>
                <w:tc>
                  <w:tcPr>
                    <w:tcW w:w="1078" w:type="dxa"/>
                    <w:tcBorders>
                      <w:right w:val="single" w:sz="4" w:space="0" w:color="auto"/>
                    </w:tcBorders>
                    <w:vAlign w:val="center"/>
                  </w:tcPr>
                  <w:p w:rsidR="004A3868" w:rsidRDefault="003F1AB5">
                    <w:pPr>
                      <w:jc w:val="right"/>
                      <w:rPr>
                        <w:sz w:val="18"/>
                        <w:szCs w:val="18"/>
                      </w:rPr>
                    </w:pPr>
                    <w:r>
                      <w:rPr>
                        <w:rFonts w:hint="eastAsia"/>
                        <w:sz w:val="18"/>
                        <w:szCs w:val="18"/>
                      </w:rPr>
                      <w:t>333,167,407.00</w:t>
                    </w:r>
                  </w:p>
                </w:tc>
                <w:tc>
                  <w:tcPr>
                    <w:tcW w:w="1050" w:type="dxa"/>
                    <w:tcBorders>
                      <w:left w:val="single" w:sz="4" w:space="0" w:color="auto"/>
                      <w:right w:val="single" w:sz="4" w:space="0" w:color="auto"/>
                    </w:tcBorders>
                  </w:tcPr>
                  <w:p w:rsidR="004A3868" w:rsidRDefault="004A3868">
                    <w:pPr>
                      <w:jc w:val="right"/>
                      <w:rPr>
                        <w:sz w:val="18"/>
                        <w:szCs w:val="18"/>
                      </w:rPr>
                    </w:pPr>
                  </w:p>
                </w:tc>
                <w:tc>
                  <w:tcPr>
                    <w:tcW w:w="1078" w:type="dxa"/>
                    <w:tcBorders>
                      <w:left w:val="single" w:sz="4" w:space="0" w:color="auto"/>
                      <w:right w:val="single" w:sz="4" w:space="0" w:color="auto"/>
                    </w:tcBorders>
                  </w:tcPr>
                  <w:p w:rsidR="004A3868" w:rsidRDefault="004A3868">
                    <w:pPr>
                      <w:jc w:val="right"/>
                      <w:rPr>
                        <w:sz w:val="18"/>
                        <w:szCs w:val="18"/>
                      </w:rPr>
                    </w:pPr>
                  </w:p>
                </w:tc>
                <w:tc>
                  <w:tcPr>
                    <w:tcW w:w="1091" w:type="dxa"/>
                    <w:tcBorders>
                      <w:left w:val="single" w:sz="4" w:space="0" w:color="auto"/>
                    </w:tcBorders>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984,845,013.70</w:t>
                    </w:r>
                  </w:p>
                </w:tc>
                <w:tc>
                  <w:tcPr>
                    <w:tcW w:w="1064" w:type="dxa"/>
                  </w:tcPr>
                  <w:p w:rsidR="004A3868" w:rsidRDefault="004A3868">
                    <w:pPr>
                      <w:jc w:val="right"/>
                      <w:rPr>
                        <w:sz w:val="18"/>
                        <w:szCs w:val="18"/>
                      </w:rPr>
                    </w:pPr>
                  </w:p>
                </w:tc>
                <w:tc>
                  <w:tcPr>
                    <w:tcW w:w="1022" w:type="dxa"/>
                  </w:tcPr>
                  <w:p w:rsidR="004A3868" w:rsidRDefault="004A3868">
                    <w:pPr>
                      <w:jc w:val="right"/>
                      <w:rPr>
                        <w:sz w:val="18"/>
                        <w:szCs w:val="18"/>
                      </w:rPr>
                    </w:pPr>
                  </w:p>
                </w:tc>
                <w:tc>
                  <w:tcPr>
                    <w:tcW w:w="1036" w:type="dxa"/>
                    <w:vAlign w:val="center"/>
                  </w:tcPr>
                  <w:p w:rsidR="004A3868" w:rsidRDefault="003F1AB5">
                    <w:pPr>
                      <w:jc w:val="right"/>
                      <w:rPr>
                        <w:sz w:val="18"/>
                        <w:szCs w:val="18"/>
                      </w:rPr>
                    </w:pPr>
                    <w:r>
                      <w:rPr>
                        <w:rFonts w:hint="eastAsia"/>
                        <w:sz w:val="18"/>
                        <w:szCs w:val="18"/>
                      </w:rPr>
                      <w:t>15,197,905.64</w:t>
                    </w:r>
                  </w:p>
                </w:tc>
                <w:tc>
                  <w:tcPr>
                    <w:tcW w:w="1021" w:type="dxa"/>
                    <w:vAlign w:val="center"/>
                  </w:tcPr>
                  <w:p w:rsidR="004A3868" w:rsidRDefault="003F1AB5">
                    <w:pPr>
                      <w:jc w:val="right"/>
                      <w:rPr>
                        <w:sz w:val="18"/>
                        <w:szCs w:val="18"/>
                      </w:rPr>
                    </w:pPr>
                    <w:r>
                      <w:rPr>
                        <w:rFonts w:hint="eastAsia"/>
                        <w:sz w:val="18"/>
                        <w:szCs w:val="18"/>
                      </w:rPr>
                      <w:t>93,389,482.08</w:t>
                    </w:r>
                  </w:p>
                </w:tc>
                <w:tc>
                  <w:tcPr>
                    <w:tcW w:w="1008" w:type="dxa"/>
                    <w:vAlign w:val="center"/>
                  </w:tcPr>
                  <w:p w:rsidR="004A3868" w:rsidRDefault="003F1AB5">
                    <w:pPr>
                      <w:jc w:val="right"/>
                      <w:rPr>
                        <w:sz w:val="18"/>
                        <w:szCs w:val="18"/>
                      </w:rPr>
                    </w:pPr>
                    <w:r>
                      <w:rPr>
                        <w:rFonts w:hint="eastAsia"/>
                        <w:sz w:val="18"/>
                        <w:szCs w:val="18"/>
                      </w:rPr>
                      <w:t>839,830,537.34</w:t>
                    </w:r>
                  </w:p>
                </w:tc>
                <w:tc>
                  <w:tcPr>
                    <w:tcW w:w="1026" w:type="dxa"/>
                    <w:vAlign w:val="center"/>
                  </w:tcPr>
                  <w:p w:rsidR="004A3868" w:rsidRDefault="003F1AB5">
                    <w:pPr>
                      <w:jc w:val="right"/>
                      <w:rPr>
                        <w:sz w:val="18"/>
                        <w:szCs w:val="18"/>
                      </w:rPr>
                    </w:pPr>
                    <w:r>
                      <w:rPr>
                        <w:rFonts w:hint="eastAsia"/>
                        <w:sz w:val="18"/>
                        <w:szCs w:val="18"/>
                      </w:rPr>
                      <w:t>2,266,430,345.76</w:t>
                    </w:r>
                  </w:p>
                </w:tc>
              </w:tr>
            </w:tbl>
            <w:p w:rsidR="004A3868" w:rsidRDefault="003F1AB5">
              <w:pPr>
                <w:snapToGrid w:val="0"/>
                <w:spacing w:line="240" w:lineRule="atLeast"/>
                <w:rPr>
                  <w:b/>
                  <w:bCs/>
                  <w:color w:val="FF0000"/>
                  <w:szCs w:val="21"/>
                </w:rPr>
              </w:pPr>
              <w:r>
                <w:rPr>
                  <w:rStyle w:val="aa"/>
                  <w:rFonts w:hint="eastAsia"/>
                </w:rPr>
                <w:t>公司负责</w:t>
              </w:r>
              <w:r>
                <w:rPr>
                  <w:rStyle w:val="aa"/>
                </w:rPr>
                <w:t>人</w:t>
              </w:r>
              <w:r>
                <w:rPr>
                  <w:rStyle w:val="aa"/>
                  <w:rFonts w:hint="eastAsia"/>
                </w:rPr>
                <w:t>：</w:t>
              </w:r>
              <w:sdt>
                <w:sdtPr>
                  <w:rPr>
                    <w:rStyle w:val="aa"/>
                    <w:rFonts w:hint="eastAsia"/>
                  </w:rPr>
                  <w:alias w:val="公司负责人姓名"/>
                  <w:tag w:val="_GBC_6042a2c12168484781348969a4da3e4c"/>
                  <w:id w:val="854380717"/>
                  <w:lock w:val="sdtLocked"/>
                  <w:dataBinding w:prefixMappings="xmlns:clcid-mr='clcid-mr'" w:xpath="/*/clcid-mr:GongSiFuZeRenXingMing[not(@periodRef)]" w:storeItemID="{89EBAB94-44A0-46A2-B712-30D997D04A6D}"/>
                  <w:text/>
                </w:sdtPr>
                <w:sdtEndPr>
                  <w:rPr>
                    <w:rStyle w:val="aa"/>
                  </w:rPr>
                </w:sdtEndPr>
                <w:sdtContent>
                  <w:r>
                    <w:rPr>
                      <w:rStyle w:val="aa"/>
                      <w:rFonts w:hint="eastAsia"/>
                    </w:rPr>
                    <w:t>杨泽民</w:t>
                  </w:r>
                </w:sdtContent>
              </w:sdt>
              <w:r>
                <w:rPr>
                  <w:rStyle w:val="aa"/>
                  <w:rFonts w:hint="eastAsia"/>
                </w:rPr>
                <w:t xml:space="preserve"> </w:t>
              </w:r>
              <w:r>
                <w:rPr>
                  <w:rStyle w:val="aa"/>
                </w:rPr>
                <w:t>主管会计工作负责人</w:t>
              </w:r>
              <w:r>
                <w:rPr>
                  <w:rStyle w:val="aa"/>
                  <w:rFonts w:hint="eastAsia"/>
                </w:rPr>
                <w:t>：</w:t>
              </w:r>
              <w:sdt>
                <w:sdtPr>
                  <w:rPr>
                    <w:rStyle w:val="aa"/>
                    <w:rFonts w:hint="eastAsia"/>
                  </w:rPr>
                  <w:alias w:val="主管会计工作负责人姓名"/>
                  <w:tag w:val="_GBC_3008dab61aca43f0a6d82ef192943e79"/>
                  <w:id w:val="-140272131"/>
                  <w:lock w:val="sdtLocked"/>
                  <w:dataBinding w:prefixMappings="xmlns:clcid-mr='clcid-mr'" w:xpath="/*/clcid-mr:ZhuGuanKuaiJiGongZuoFuZeRenXingMing[not(@periodRef)]" w:storeItemID="{89EBAB94-44A0-46A2-B712-30D997D04A6D}"/>
                  <w:text/>
                </w:sdtPr>
                <w:sdtEndPr>
                  <w:rPr>
                    <w:rStyle w:val="aa"/>
                  </w:rPr>
                </w:sdtEndPr>
                <w:sdtContent>
                  <w:r>
                    <w:rPr>
                      <w:rStyle w:val="aa"/>
                      <w:rFonts w:hint="eastAsia"/>
                    </w:rPr>
                    <w:t>李代萍</w:t>
                  </w:r>
                </w:sdtContent>
              </w:sdt>
              <w:r>
                <w:rPr>
                  <w:rStyle w:val="aa"/>
                  <w:rFonts w:hint="eastAsia"/>
                </w:rPr>
                <w:t xml:space="preserve"> </w:t>
              </w:r>
              <w:r>
                <w:rPr>
                  <w:rStyle w:val="aa"/>
                </w:rPr>
                <w:t>会计机构负责人</w:t>
              </w:r>
              <w:r>
                <w:rPr>
                  <w:rStyle w:val="aa"/>
                  <w:rFonts w:hint="eastAsia"/>
                </w:rPr>
                <w:t>：</w:t>
              </w:r>
              <w:sdt>
                <w:sdtPr>
                  <w:rPr>
                    <w:rStyle w:val="aa"/>
                    <w:rFonts w:hint="eastAsia"/>
                  </w:rPr>
                  <w:alias w:val="会计机构负责人姓名"/>
                  <w:tag w:val="_GBC_e6c21b270080402ca8dbdc0cab514bde"/>
                  <w:id w:val="1144623786"/>
                  <w:lock w:val="sdtLocked"/>
                  <w:dataBinding w:prefixMappings="xmlns:clcid-mr='clcid-mr'" w:xpath="/*/clcid-mr:KuaiJiJiGouFuZeRenXingMing[not(@periodRef)]" w:storeItemID="{89EBAB94-44A0-46A2-B712-30D997D04A6D}"/>
                  <w:text/>
                </w:sdtPr>
                <w:sdtEndPr>
                  <w:rPr>
                    <w:rStyle w:val="aa"/>
                  </w:rPr>
                </w:sdtEndPr>
                <w:sdtContent>
                  <w:r>
                    <w:rPr>
                      <w:rStyle w:val="aa"/>
                      <w:rFonts w:hint="eastAsia"/>
                    </w:rPr>
                    <w:t>杨万华</w:t>
                  </w:r>
                </w:sdtContent>
              </w:sdt>
            </w:p>
          </w:sdtContent>
        </w:sdt>
        <w:p w:rsidR="004A3868" w:rsidRDefault="004A3868">
          <w:pPr>
            <w:rPr>
              <w:color w:val="FF0000"/>
            </w:rPr>
          </w:pPr>
        </w:p>
        <w:p w:rsidR="004A3868" w:rsidRDefault="00B34370">
          <w:pPr>
            <w:sectPr w:rsidR="004A3868">
              <w:pgSz w:w="16838" w:h="11906" w:orient="landscape"/>
              <w:pgMar w:top="1276" w:right="1440" w:bottom="1797" w:left="1525" w:header="856" w:footer="992" w:gutter="0"/>
              <w:cols w:space="425"/>
              <w:docGrid w:linePitch="312"/>
            </w:sectPr>
          </w:pPr>
        </w:p>
      </w:sdtContent>
    </w:sdt>
    <w:p w:rsidR="004A3868" w:rsidRDefault="003F1AB5">
      <w:pPr>
        <w:pStyle w:val="Style954"/>
      </w:pPr>
      <w:r>
        <w:lastRenderedPageBreak/>
        <w:t>公司基本情况</w:t>
      </w:r>
    </w:p>
    <w:p w:rsidR="004A3868" w:rsidRDefault="003F1AB5">
      <w:pPr>
        <w:pStyle w:val="afff1"/>
        <w:spacing w:before="156"/>
        <w:ind w:firstLine="420"/>
      </w:pPr>
      <w:r>
        <w:rPr>
          <w:rFonts w:hint="eastAsia"/>
        </w:rPr>
        <w:t>公司概况</w:t>
      </w:r>
    </w:p>
    <w:sdt>
      <w:sdtPr>
        <w:rPr>
          <w:rFonts w:hint="eastAsia"/>
        </w:rPr>
        <w:alias w:val="是否适用：公司概况[双击切换]"/>
        <w:tag w:val="_GBC_7b613deb8c7f4027b73602e5cd1d4a2e"/>
        <w:id w:val="-465425885"/>
        <w:placeholder>
          <w:docPart w:val="GBC22222222222222222222222222222"/>
        </w:placeholder>
      </w:sdtPr>
      <w:sdtEndPr/>
      <w:sdtContent>
        <w:p w:rsidR="004A3868" w:rsidRDefault="003F1AB5">
          <w:pPr>
            <w:pStyle w:val="afff1"/>
            <w:spacing w:before="156"/>
            <w:ind w:firstLine="420"/>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公司概况"/>
        <w:tag w:val="_GBC_dfec127af3a7441dade8cb0f67119e66"/>
        <w:id w:val="-653523020"/>
        <w:placeholder>
          <w:docPart w:val="GBC22222222222222222222222222222"/>
        </w:placeholder>
      </w:sdtPr>
      <w:sdtEndPr/>
      <w:sdtContent>
        <w:p w:rsidR="004A3868" w:rsidRDefault="003F1AB5">
          <w:pPr>
            <w:pStyle w:val="afff1"/>
            <w:spacing w:before="156"/>
            <w:ind w:firstLine="420"/>
          </w:pPr>
          <w:r>
            <w:t>(一)公司注册地、组织形式和总部地址</w:t>
          </w:r>
        </w:p>
        <w:p w:rsidR="004A3868" w:rsidRDefault="003F1AB5">
          <w:pPr>
            <w:pStyle w:val="afff1"/>
            <w:spacing w:before="156"/>
            <w:ind w:firstLine="420"/>
          </w:pPr>
          <w:r>
            <w:rPr>
              <w:rFonts w:hint="eastAsia"/>
            </w:rPr>
            <w:t>重庆望变电气（集团）股份有限公司（以下简称“公司”或“本公司”）前身系长寿金凤电器制造厂，于</w:t>
          </w:r>
          <w:r>
            <w:t>1994年8月，由长寿少数民族联谊会及秦惠兰、杨泽民等9名自然人合计出资20.00万元，经长寿县人民政府民族宗教侨务办公室出具长民宗侨【1994】12号《长寿县民宗侨办公室关于同意开办“长寿金凤电器制造厂”的批复》，同意长寿金凤电器制造厂开办设立。</w:t>
          </w:r>
        </w:p>
        <w:p w:rsidR="004A3868" w:rsidRDefault="003F1AB5">
          <w:pPr>
            <w:pStyle w:val="afff1"/>
            <w:spacing w:before="156"/>
            <w:ind w:firstLine="420"/>
          </w:pPr>
          <w:r>
            <w:t>1995年11月29日，长寿县工商行政管理局出具《企业名称预先核准书》（企业设立）名称预核【95】第596号，同意预先核准重庆望江变压器厂名称。1995年12月13日，长寿县工商行政管理局核准了上述名称变更申请，并颁发了变更后营业执照。</w:t>
          </w:r>
        </w:p>
        <w:p w:rsidR="004A3868" w:rsidRDefault="003F1AB5">
          <w:pPr>
            <w:pStyle w:val="afff1"/>
            <w:spacing w:before="156"/>
            <w:ind w:firstLine="420"/>
          </w:pPr>
          <w:r>
            <w:t>2009年12月3日，重庆市工商行政管理局出具《企业（字号）名称预先核准通知书》（渝名称预核准字（2009）渝直第100641号），同意预先核准重庆望江变压器厂有限公司（以下简称“望变有限”）。2009年12月18日，重庆市工商行政管理局长寿区分局核准了上述名称变更申请，并颁发了变更后营业执照</w:t>
          </w:r>
        </w:p>
        <w:p w:rsidR="004A3868" w:rsidRDefault="003F1AB5">
          <w:pPr>
            <w:pStyle w:val="afff1"/>
            <w:spacing w:before="156"/>
            <w:ind w:firstLine="420"/>
          </w:pPr>
          <w:r>
            <w:t>2014年11月30日，望变有限召开股东会，同意了整体变更设立为股份有限公司的决议。望变有限整体变更为重庆望变电气（集团）股份有限公司，注册资本为人民币18,000万元人民币，各发起人以其拥有的截至2014年9月30日止的净资产共225,503,531.15元折股投入，共折合股本为18,000万股，每股面值1元，变更前后各股东出资比例不变。本公司于2014年12月18日办理了工商登记手续，并领取了变更后企业法人营业执照。</w:t>
          </w:r>
        </w:p>
        <w:p w:rsidR="004A3868" w:rsidRDefault="003F1AB5">
          <w:pPr>
            <w:pStyle w:val="afff1"/>
            <w:spacing w:before="156"/>
            <w:ind w:firstLine="420"/>
          </w:pPr>
          <w:r>
            <w:t>2022年3月，经中国证券监督管理委员会《关于核准重庆望变电气（集团）股份有限公司首次公开发行股票的批复》（证监许可[2022]490号）核准，并经上海证券交易所同意，公司向社会公众公开发行人民币普通股（A股）83,291,852股，2022年4月28日，公司股票在上海证券交易所上市交易；截止2023年12月31日，本公司股本为33,316.7407万元，统一社会信用代码：91500115203395479N，注册地址：重庆市长寿区晏家街道齐心东路10号，法定代表人：杨泽民，实际控制人为杨泽民、秦惠兰、杨耀</w:t>
          </w:r>
          <w:r>
            <w:rPr>
              <w:rFonts w:hint="eastAsia"/>
            </w:rPr>
            <w:t>、杨秦。</w:t>
          </w:r>
        </w:p>
        <w:p w:rsidR="004A3868" w:rsidRDefault="003F1AB5">
          <w:pPr>
            <w:pStyle w:val="afff1"/>
            <w:spacing w:before="156"/>
            <w:ind w:firstLine="420"/>
          </w:pPr>
          <w:r>
            <w:lastRenderedPageBreak/>
            <w:t>(二)公司业务性质和主要经营活动</w:t>
          </w:r>
        </w:p>
        <w:p w:rsidR="004A3868" w:rsidRDefault="003F1AB5">
          <w:pPr>
            <w:pStyle w:val="afff1"/>
            <w:spacing w:before="156"/>
            <w:ind w:firstLine="420"/>
          </w:pPr>
          <w:r>
            <w:rPr>
              <w:rFonts w:hint="eastAsia"/>
            </w:rPr>
            <w:t>经营范围：</w:t>
          </w:r>
          <w:r>
            <w:t xml:space="preserve"> 普通货运，货物专用运输(罐式)，水力发电，劳务派遣服务(依法须经批准的</w:t>
          </w:r>
          <w:r>
            <w:rPr>
              <w:rFonts w:hint="eastAsia"/>
            </w:rPr>
            <w:t>项目，经相关部门批准后方可开展经营活动，具体经营项目以相关部门批准文件或许可证件为准</w:t>
          </w:r>
          <w:r>
            <w:t>)</w:t>
          </w:r>
        </w:p>
        <w:p w:rsidR="004A3868" w:rsidRDefault="003F1AB5">
          <w:pPr>
            <w:pStyle w:val="afff1"/>
            <w:spacing w:before="156"/>
            <w:ind w:firstLine="420"/>
          </w:pPr>
          <w:r>
            <w:rPr>
              <w:rFonts w:hint="eastAsia"/>
            </w:rPr>
            <w:t>一般项目</w:t>
          </w:r>
          <w:r>
            <w:t>:变压器、电抗器、互感器、电线电缆及其他电气机械器材的制造、销售、检修</w:t>
          </w:r>
          <w:r>
            <w:rPr>
              <w:rFonts w:hint="eastAsia"/>
            </w:rPr>
            <w:t>安装，新材料的研发</w:t>
          </w:r>
          <w:r>
            <w:t>;电工钢、非晶材料生产、销售，输配电及控制设备制造、安装、修</w:t>
          </w:r>
          <w:r>
            <w:rPr>
              <w:rFonts w:hint="eastAsia"/>
            </w:rPr>
            <w:t>试，高低压开关柜设备制造</w:t>
          </w:r>
          <w:r>
            <w:t>;机械加工，水利电力工程安装及相关技术、产品的开发与销</w:t>
          </w:r>
          <w:r>
            <w:rPr>
              <w:rFonts w:hint="eastAsia"/>
            </w:rPr>
            <w:t>售，技术咨询，智能电网系统解决方案，输变电设备的出口业务和原辅材料、电工钢、非晶材料、机械设备、仪器、仪表及零配件进出口业务</w:t>
          </w:r>
          <w:r>
            <w:t>;利用自有资金从事投资业务(不得从事吸</w:t>
          </w:r>
          <w:r>
            <w:rPr>
              <w:rFonts w:hint="eastAsia"/>
            </w:rPr>
            <w:t>收公众存款或变相吸收公众存款、发放贷款以及证券、期货等金融业务</w:t>
          </w:r>
          <w:r>
            <w:t>)，储能技术服务</w:t>
          </w:r>
          <w:r>
            <w:rPr>
              <w:rFonts w:hint="eastAsia"/>
            </w:rPr>
            <w:t>先进电力电子装置销售，新兴能源技术研发，光伏发电设备租赁，光伏设备及元器件制造，光伏设备及元器件销售，配电开关控制设备制造，配电开关控制设备销售，配电开关控制设备研发，电子专用材料销售，电子专用材料研发，电子专用材料制造，有色金属合金销售有色金属铸造，有色金属合金制造，电子元器件与机电组件设备制造，电子元器件与机电组件设备销售，电力电子元器件制造，电力电子元器件销售，软件开发，网络与信息安全软件开发，人工智能行业应用系统集成服务，物联网设备制造，物联网设备销售，物联网应用服务，物联网技术服务，智能物料搬运装备销售，智能仓储装备销售，工业自动控制系统装置制造，工业自动控制系统装置销售，技术服务、技术开发、技术咨询、技术交流、技术转让、技术推广，租赁服务</w:t>
          </w:r>
          <w:r>
            <w:t>(不含许可类租赁服务)，货物进出口，技术进出口( 除依法须经</w:t>
          </w:r>
          <w:r>
            <w:rPr>
              <w:rFonts w:hint="eastAsia"/>
            </w:rPr>
            <w:t>批准的项目外，凭营业营业执照。</w:t>
          </w:r>
        </w:p>
        <w:p w:rsidR="004A3868" w:rsidRDefault="003F1AB5">
          <w:pPr>
            <w:pStyle w:val="afff1"/>
            <w:spacing w:before="156"/>
            <w:ind w:firstLine="420"/>
          </w:pPr>
          <w:r>
            <w:rPr>
              <w:rFonts w:hint="eastAsia"/>
            </w:rPr>
            <w:t>本公司主要产品和服务为取向硅钢和输配电及控制设备。</w:t>
          </w:r>
        </w:p>
      </w:sdtContent>
    </w:sdt>
    <w:p w:rsidR="004A3868" w:rsidRDefault="004A3868">
      <w:pPr>
        <w:pStyle w:val="Style842"/>
      </w:pPr>
    </w:p>
    <w:p w:rsidR="004A3868" w:rsidRDefault="003F1AB5">
      <w:pPr>
        <w:pStyle w:val="Style954"/>
        <w:rPr>
          <w:rStyle w:val="Char0"/>
        </w:rPr>
      </w:pPr>
      <w:r>
        <w:rPr>
          <w:rStyle w:val="Char0"/>
          <w:rFonts w:hint="eastAsia"/>
        </w:rPr>
        <w:t>财务报表的编制基础</w:t>
      </w:r>
    </w:p>
    <w:p w:rsidR="004A3868" w:rsidRDefault="003F1AB5">
      <w:pPr>
        <w:pStyle w:val="Style955"/>
        <w:numPr>
          <w:ilvl w:val="0"/>
          <w:numId w:val="58"/>
        </w:numPr>
        <w:rPr>
          <w:rStyle w:val="Char0"/>
        </w:rPr>
      </w:pPr>
      <w:r>
        <w:rPr>
          <w:rStyle w:val="Char0"/>
        </w:rPr>
        <w:t>编制基础</w:t>
      </w:r>
    </w:p>
    <w:sdt>
      <w:sdtPr>
        <w:rPr>
          <w:rFonts w:hint="eastAsia"/>
        </w:rPr>
        <w:alias w:val="财务报表的编制基础"/>
        <w:tag w:val="_GBC_1dc2375ed7ab49628f5badf2d5006405"/>
        <w:id w:val="-1064257800"/>
        <w:placeholder>
          <w:docPart w:val="GBC22222222222222222222222222222"/>
        </w:placeholder>
      </w:sdtPr>
      <w:sdtEndPr>
        <w:rPr>
          <w:rStyle w:val="afff2"/>
          <w:sz w:val="21"/>
        </w:rPr>
      </w:sdtEndPr>
      <w:sdtContent>
        <w:p w:rsidR="004A3868" w:rsidRDefault="003F1AB5">
          <w:pPr>
            <w:rPr>
              <w:rStyle w:val="afff2"/>
            </w:rPr>
          </w:pPr>
          <w:r>
            <w:rPr>
              <w:rStyle w:val="afff2"/>
              <w:rFonts w:hint="eastAsia"/>
            </w:rPr>
            <w:t>本公司根据实际发生的交易和事项，按照财政部颁布的《企业会计准则——基本准则》和具体企业会计准则、企业会计准则应用指南、企业会计准则解释及其他相关规定（以下合称“企业会计准则”）进行确认和计量，在此基础上，结合中国证券监督管理委员会《公开发行证券的公司信息披露编报规则第</w:t>
          </w:r>
          <w:r>
            <w:rPr>
              <w:rStyle w:val="afff2"/>
            </w:rPr>
            <w:t>15号——财务报告的一般规定》（2023年修订）的规定，编制财务报表。</w:t>
          </w:r>
        </w:p>
      </w:sdtContent>
    </w:sdt>
    <w:p w:rsidR="004A3868" w:rsidRDefault="003F1AB5">
      <w:pPr>
        <w:pStyle w:val="Style955"/>
        <w:numPr>
          <w:ilvl w:val="0"/>
          <w:numId w:val="58"/>
        </w:numPr>
        <w:rPr>
          <w:rStyle w:val="Char0"/>
        </w:rPr>
      </w:pPr>
      <w:r>
        <w:rPr>
          <w:rStyle w:val="Char0"/>
          <w:rFonts w:hint="eastAsia"/>
        </w:rPr>
        <w:t>持续经营</w:t>
      </w:r>
    </w:p>
    <w:sdt>
      <w:sdtPr>
        <w:rPr>
          <w:rFonts w:hint="eastAsia"/>
        </w:rPr>
        <w:alias w:val="是否适用：持续经营[双击切换]"/>
        <w:tag w:val="_GBC_fa7177dc4f164e56b4df7bebc60acf50"/>
        <w:id w:val="-1518532333"/>
        <w:placeholder>
          <w:docPart w:val="GBC22222222222222222222222222222"/>
        </w:placeholder>
      </w:sdtPr>
      <w:sdtEndPr>
        <w:rPr>
          <w:rStyle w:val="aa"/>
          <w:rFonts w:ascii="Times New Roman" w:hAnsi="Times New Roman"/>
          <w:kern w:val="2"/>
          <w:sz w:val="21"/>
          <w:szCs w:val="21"/>
        </w:rPr>
      </w:sdtEndPr>
      <w:sdtContent>
        <w:p w:rsidR="004A3868" w:rsidRDefault="003F1AB5">
          <w:pPr>
            <w:pStyle w:val="Style842"/>
            <w:rPr>
              <w:rStyle w:val="aa"/>
            </w:rPr>
          </w:pPr>
          <w:r>
            <w:rPr>
              <w:rStyle w:val="aa"/>
            </w:rPr>
            <w:fldChar w:fldCharType="begin"/>
          </w:r>
          <w:r>
            <w:rPr>
              <w:rStyle w:val="aa"/>
            </w:rPr>
            <w:instrText xml:space="preserve"> </w:instrText>
          </w:r>
          <w:r>
            <w:rPr>
              <w:rStyle w:val="aa"/>
              <w:rFonts w:hint="eastAsia"/>
            </w:rPr>
            <w:instrText xml:space="preserve">MACROBUTTON  SnrToggleCheckbox </w:instrText>
          </w:r>
          <w:r>
            <w:rPr>
              <w:rStyle w:val="aa"/>
              <w:rFonts w:hint="eastAsia"/>
            </w:rPr>
            <w:instrText>√适用</w:instrText>
          </w:r>
          <w:r>
            <w:rPr>
              <w:rStyle w:val="aa"/>
              <w:rFonts w:hint="eastAsia"/>
            </w:rPr>
            <w:instrText xml:space="preserve"> </w:instrText>
          </w:r>
          <w:r>
            <w:rPr>
              <w:rStyle w:val="aa"/>
            </w:rPr>
            <w:instrText xml:space="preserve"> </w:instrText>
          </w:r>
          <w:r>
            <w:rPr>
              <w:rStyle w:val="aa"/>
            </w:rPr>
            <w:fldChar w:fldCharType="end"/>
          </w:r>
          <w:r>
            <w:rPr>
              <w:rStyle w:val="aa"/>
            </w:rPr>
            <w:fldChar w:fldCharType="begin"/>
          </w:r>
          <w:r>
            <w:rPr>
              <w:rStyle w:val="aa"/>
            </w:rPr>
            <w:instrText xml:space="preserve"> MACROBUTTON  SnrToggleCheckbox □</w:instrText>
          </w:r>
          <w:r>
            <w:rPr>
              <w:rStyle w:val="aa"/>
            </w:rPr>
            <w:instrText>不适用</w:instrText>
          </w:r>
          <w:r>
            <w:rPr>
              <w:rStyle w:val="aa"/>
            </w:rPr>
            <w:instrText xml:space="preserve"> </w:instrText>
          </w:r>
          <w:r>
            <w:rPr>
              <w:rStyle w:val="aa"/>
            </w:rPr>
            <w:fldChar w:fldCharType="end"/>
          </w:r>
        </w:p>
      </w:sdtContent>
    </w:sdt>
    <w:sdt>
      <w:sdtPr>
        <w:alias w:val="持续经营"/>
        <w:tag w:val="_GBC_dc876c24006b428987a041949eb554f3"/>
        <w:id w:val="1540618929"/>
        <w:placeholder>
          <w:docPart w:val="GBC22222222222222222222222222222"/>
        </w:placeholder>
      </w:sdtPr>
      <w:sdtEndPr>
        <w:rPr>
          <w:rStyle w:val="afff2"/>
          <w:sz w:val="21"/>
        </w:rPr>
      </w:sdtEndPr>
      <w:sdtContent>
        <w:p w:rsidR="004A3868" w:rsidRDefault="003F1AB5">
          <w:pPr>
            <w:ind w:firstLineChars="200" w:firstLine="480"/>
            <w:rPr>
              <w:rStyle w:val="afff2"/>
            </w:rPr>
          </w:pPr>
          <w:r>
            <w:rPr>
              <w:rStyle w:val="afff2"/>
              <w:rFonts w:hint="eastAsia"/>
            </w:rPr>
            <w:t>本公司对报告期末起</w:t>
          </w:r>
          <w:r>
            <w:rPr>
              <w:rStyle w:val="afff2"/>
            </w:rPr>
            <w:t>12个月的持续经营能力进行了评价，未发现对持续经营能力产生重大怀疑的事项或情况。因此，本财务报表系在持续经营假设的基础上编制。</w:t>
          </w:r>
        </w:p>
      </w:sdtContent>
    </w:sdt>
    <w:p w:rsidR="004A3868" w:rsidRDefault="003F1AB5">
      <w:pPr>
        <w:pStyle w:val="Style954"/>
      </w:pPr>
      <w:r>
        <w:rPr>
          <w:rFonts w:hint="eastAsia"/>
        </w:rPr>
        <w:t>重</w:t>
      </w:r>
      <w:r>
        <w:t>要会计政策</w:t>
      </w:r>
      <w:r>
        <w:rPr>
          <w:rFonts w:hint="eastAsia"/>
        </w:rPr>
        <w:t>及</w:t>
      </w:r>
      <w:r>
        <w:t>会计估计</w:t>
      </w:r>
    </w:p>
    <w:p w:rsidR="004A3868" w:rsidRDefault="003F1AB5">
      <w:pPr>
        <w:pStyle w:val="Style853"/>
      </w:pPr>
      <w:r>
        <w:rPr>
          <w:rStyle w:val="afff2"/>
          <w:rFonts w:hint="eastAsia"/>
        </w:rPr>
        <w:t>具体会计政策和会计估计提示</w:t>
      </w:r>
      <w:r>
        <w:rPr>
          <w:rFonts w:hint="eastAsia"/>
        </w:rPr>
        <w:t>：</w:t>
      </w:r>
    </w:p>
    <w:sdt>
      <w:sdtPr>
        <w:alias w:val="是否适用：具体会计政策和会计估计提示[双击切换]"/>
        <w:tag w:val="_GBC_86fd142a599649f8a3574e6ddaba5f71"/>
        <w:id w:val="-779021353"/>
        <w:lock w:val="sdtLocked"/>
        <w:placeholder>
          <w:docPart w:val="GBC22222222222222222222222222222"/>
        </w:placeholder>
      </w:sdtPr>
      <w:sdtEndPr>
        <w:rPr>
          <w:rStyle w:val="afff2"/>
          <w:sz w:val="21"/>
        </w:rPr>
      </w:sdtEndPr>
      <w:sdtContent>
        <w:p w:rsidR="004A3868" w:rsidRDefault="003F1AB5">
          <w:pPr>
            <w:pStyle w:val="Style853"/>
            <w:rPr>
              <w:rStyle w:val="afff2"/>
            </w:rPr>
          </w:pPr>
          <w:r>
            <w:rPr>
              <w:rStyle w:val="afff2"/>
            </w:rPr>
            <w:fldChar w:fldCharType="begin"/>
          </w:r>
          <w:r>
            <w:rPr>
              <w:rStyle w:val="afff2"/>
            </w:rPr>
            <w:instrText xml:space="preserve">MACROBUTTON  SnrToggleCheckbox √适用 </w:instrText>
          </w:r>
          <w:r>
            <w:rPr>
              <w:rStyle w:val="afff2"/>
            </w:rPr>
            <w:fldChar w:fldCharType="end"/>
          </w:r>
          <w:r>
            <w:rPr>
              <w:rStyle w:val="afff2"/>
            </w:rPr>
            <w:fldChar w:fldCharType="begin"/>
          </w:r>
          <w:r>
            <w:rPr>
              <w:rStyle w:val="afff2"/>
            </w:rPr>
            <w:instrText xml:space="preserve"> MACROBUTTON  SnrToggleCheckbox □不适用 </w:instrText>
          </w:r>
          <w:r>
            <w:rPr>
              <w:rStyle w:val="afff2"/>
            </w:rPr>
            <w:fldChar w:fldCharType="end"/>
          </w:r>
        </w:p>
      </w:sdtContent>
    </w:sdt>
    <w:sdt>
      <w:sdtPr>
        <w:alias w:val="具体会计政策和会计估计提示"/>
        <w:tag w:val="_GBC_caddaeaf0d1a454ab0bede37f0db7782"/>
        <w:id w:val="1770965603"/>
        <w:lock w:val="sdtLocked"/>
        <w:placeholder>
          <w:docPart w:val="E3DC397765C0466D8D51BEC2AA814E2E"/>
        </w:placeholder>
      </w:sdtPr>
      <w:sdtEndPr>
        <w:rPr>
          <w:rStyle w:val="afff2"/>
          <w:sz w:val="21"/>
          <w:highlight w:val="yellow"/>
        </w:rPr>
      </w:sdtEndPr>
      <w:sdtContent>
        <w:p w:rsidR="004A3868" w:rsidRDefault="003F1AB5">
          <w:pPr>
            <w:ind w:firstLineChars="200" w:firstLine="480"/>
            <w:rPr>
              <w:rStyle w:val="afff2"/>
            </w:rPr>
          </w:pPr>
          <w:r>
            <w:rPr>
              <w:rStyle w:val="afff2"/>
            </w:rPr>
            <w:t>本公司根据生产经营特点确定具体会计政策和</w:t>
          </w:r>
          <w:r>
            <w:rPr>
              <w:rStyle w:val="afff2"/>
              <w:rFonts w:hint="eastAsia"/>
            </w:rPr>
            <w:t>会计估计，</w:t>
          </w:r>
          <w:r>
            <w:rPr>
              <w:rStyle w:val="afff2"/>
            </w:rPr>
            <w:t>主要体现在应收款项预期信用损失计提的方法</w:t>
          </w:r>
          <w:r>
            <w:rPr>
              <w:rStyle w:val="afff2"/>
              <w:rFonts w:hint="eastAsia"/>
            </w:rPr>
            <w:t>（第十节.五.</w:t>
          </w:r>
          <w:r>
            <w:rPr>
              <w:rStyle w:val="afff2"/>
            </w:rPr>
            <w:t>13</w:t>
          </w:r>
          <w:r>
            <w:rPr>
              <w:rStyle w:val="afff2"/>
              <w:rFonts w:hint="eastAsia"/>
            </w:rPr>
            <w:t>）</w:t>
          </w:r>
          <w:r>
            <w:rPr>
              <w:rStyle w:val="afff2"/>
            </w:rPr>
            <w:t>、收入的确认时点</w:t>
          </w:r>
          <w:r>
            <w:rPr>
              <w:rStyle w:val="afff2"/>
              <w:rFonts w:hint="eastAsia"/>
            </w:rPr>
            <w:t>（第十节.五.</w:t>
          </w:r>
          <w:r>
            <w:rPr>
              <w:rStyle w:val="afff2"/>
            </w:rPr>
            <w:t>34</w:t>
          </w:r>
          <w:r>
            <w:rPr>
              <w:rStyle w:val="afff2"/>
              <w:rFonts w:hint="eastAsia"/>
            </w:rPr>
            <w:t>）</w:t>
          </w:r>
          <w:r>
            <w:rPr>
              <w:rStyle w:val="afff2"/>
            </w:rPr>
            <w:t>等，</w:t>
          </w:r>
          <w:r>
            <w:rPr>
              <w:rStyle w:val="afff2"/>
              <w:rFonts w:hint="eastAsia"/>
            </w:rPr>
            <w:t>具体如下内容所述。</w:t>
          </w:r>
        </w:p>
      </w:sdtContent>
    </w:sdt>
    <w:p w:rsidR="004A3868" w:rsidRDefault="004A3868">
      <w:pPr>
        <w:pStyle w:val="Style853"/>
      </w:pPr>
    </w:p>
    <w:sdt>
      <w:sdtPr>
        <w:rPr>
          <w:rFonts w:asciiTheme="minorHAnsi" w:hAnsiTheme="minorHAnsi" w:cs="宋体"/>
          <w:b w:val="0"/>
          <w:bCs w:val="0"/>
          <w:kern w:val="0"/>
          <w:sz w:val="24"/>
          <w:szCs w:val="24"/>
        </w:rPr>
        <w:alias w:val="模块:遵循企业会计准则的声明"/>
        <w:tag w:val="_GBC_a0afbb5b3a444bce84ee78a2a282cb28"/>
        <w:id w:val="-1024700425"/>
        <w:lock w:val="sdtLocked"/>
      </w:sdtPr>
      <w:sdtEndPr>
        <w:rPr>
          <w:rFonts w:ascii="宋体" w:hAnsi="宋体" w:cs="Times New Roman" w:hint="eastAsia"/>
          <w:kern w:val="2"/>
        </w:rPr>
      </w:sdtEndPr>
      <w:sdtContent>
        <w:p w:rsidR="004A3868" w:rsidRDefault="003F1AB5">
          <w:pPr>
            <w:pStyle w:val="Style12711"/>
            <w:numPr>
              <w:ilvl w:val="1"/>
              <w:numId w:val="59"/>
            </w:numPr>
          </w:pPr>
          <w:r>
            <w:t>遵循企业会计准则的声明</w:t>
          </w:r>
        </w:p>
        <w:sdt>
          <w:sdtPr>
            <w:rPr>
              <w:rFonts w:hint="eastAsia"/>
              <w:sz w:val="21"/>
              <w:szCs w:val="21"/>
            </w:rPr>
            <w:alias w:val="会计准则和会计制度"/>
            <w:tag w:val="_GBC_a350b889163a4ef3bb500c021e6a6b47"/>
            <w:id w:val="-1495948169"/>
            <w:lock w:val="sdtLocked"/>
          </w:sdtPr>
          <w:sdtEndPr/>
          <w:sdtContent>
            <w:p w:rsidR="004A3868" w:rsidRDefault="003F1AB5">
              <w:pPr>
                <w:ind w:firstLineChars="200" w:firstLine="420"/>
                <w:rPr>
                  <w:sz w:val="21"/>
                  <w:szCs w:val="21"/>
                </w:rPr>
              </w:pPr>
              <w:r>
                <w:rPr>
                  <w:rStyle w:val="afff2"/>
                </w:rPr>
                <w:t>本公司所编制的财务报表符合企业会计准则的要求，真实、完整地反映了公司的财务状况、经营成果、股东权益变动和现金流量等有关信息。</w:t>
              </w:r>
            </w:p>
          </w:sdtContent>
        </w:sdt>
      </w:sdtContent>
    </w:sdt>
    <w:sdt>
      <w:sdtPr>
        <w:rPr>
          <w:rFonts w:ascii="宋体" w:hAnsi="宋体" w:cs="宋体"/>
          <w:b w:val="0"/>
          <w:bCs w:val="0"/>
          <w:kern w:val="0"/>
          <w:sz w:val="24"/>
          <w:szCs w:val="24"/>
        </w:rPr>
        <w:alias w:val="模块:会计期间"/>
        <w:tag w:val="_GBC_2d7f332501c8461ea731797db5588ee5"/>
        <w:id w:val="-890192562"/>
        <w:lock w:val="sdtLocked"/>
      </w:sdtPr>
      <w:sdtEndPr>
        <w:rPr>
          <w:rFonts w:hint="eastAsia"/>
        </w:rPr>
      </w:sdtEndPr>
      <w:sdtContent>
        <w:p w:rsidR="004A3868" w:rsidRDefault="003F1AB5">
          <w:pPr>
            <w:pStyle w:val="Style12711"/>
          </w:pPr>
          <w:r>
            <w:t>会计期间</w:t>
          </w:r>
        </w:p>
        <w:sdt>
          <w:sdtPr>
            <w:rPr>
              <w:rFonts w:hint="eastAsia"/>
              <w:sz w:val="21"/>
              <w:szCs w:val="21"/>
            </w:rPr>
            <w:alias w:val="会计年度"/>
            <w:tag w:val="_GBC_fc896fba50b143f8a06984831f5d5600"/>
            <w:id w:val="-27346180"/>
            <w:lock w:val="sdtLocked"/>
          </w:sdtPr>
          <w:sdtEndPr/>
          <w:sdtContent>
            <w:p w:rsidR="004A3868" w:rsidRDefault="003F1AB5">
              <w:pPr>
                <w:rPr>
                  <w:rFonts w:ascii="Times New Roman" w:hAnsi="Times New Roman" w:cs="Times New Roman"/>
                  <w:sz w:val="21"/>
                  <w:szCs w:val="21"/>
                </w:rPr>
              </w:pPr>
              <w:r>
                <w:rPr>
                  <w:sz w:val="21"/>
                  <w:szCs w:val="21"/>
                </w:rPr>
                <w:t>自公历1月1日至12月31日止为一个会计年度</w:t>
              </w:r>
            </w:p>
          </w:sdtContent>
        </w:sdt>
      </w:sdtContent>
    </w:sdt>
    <w:p w:rsidR="004A3868" w:rsidRDefault="003F1AB5">
      <w:pPr>
        <w:pStyle w:val="Style12711"/>
      </w:pPr>
      <w:r>
        <w:rPr>
          <w:rFonts w:hint="eastAsia"/>
        </w:rPr>
        <w:t>营业周期</w:t>
      </w:r>
    </w:p>
    <w:sdt>
      <w:sdtPr>
        <w:rPr>
          <w:rFonts w:hint="eastAsia"/>
          <w:sz w:val="21"/>
          <w:szCs w:val="21"/>
        </w:rPr>
        <w:alias w:val="是否适用：营业周期[双击切换]"/>
        <w:tag w:val="_GBC_41bd09d0a4bd429996597e58a613259e"/>
        <w:id w:val="-1193917973"/>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营业周期"/>
        <w:tag w:val="_GBC_e145e43187d9463889884f48e9e0b234"/>
        <w:id w:val="558211305"/>
        <w:placeholder>
          <w:docPart w:val="GBC22222222222222222222222222222"/>
        </w:placeholder>
      </w:sdtPr>
      <w:sdtEndPr/>
      <w:sdtContent>
        <w:p w:rsidR="004A3868" w:rsidRDefault="003F1AB5">
          <w:pPr>
            <w:ind w:firstLineChars="200" w:firstLine="420"/>
            <w:rPr>
              <w:rFonts w:cs="Times New Roman"/>
              <w:kern w:val="2"/>
              <w:sz w:val="21"/>
              <w:szCs w:val="21"/>
            </w:rPr>
          </w:pPr>
          <w:r>
            <w:rPr>
              <w:rStyle w:val="afff2"/>
              <w:rFonts w:hint="eastAsia"/>
              <w:szCs w:val="21"/>
            </w:rPr>
            <w:t>营业周期是指企业从购买用于加工的资产起至实现现金或现金等价物的期间。本公司以</w:t>
          </w:r>
          <w:r>
            <w:rPr>
              <w:rStyle w:val="afff2"/>
              <w:szCs w:val="21"/>
            </w:rPr>
            <w:t>12个月作为一个营业周期，并以其作为资产和负债的流动性划分标准</w:t>
          </w:r>
          <w:r>
            <w:rPr>
              <w:sz w:val="21"/>
              <w:szCs w:val="21"/>
            </w:rPr>
            <w:t>。</w:t>
          </w:r>
        </w:p>
      </w:sdtContent>
    </w:sdt>
    <w:p w:rsidR="004A3868" w:rsidRDefault="003F1AB5">
      <w:pPr>
        <w:pStyle w:val="Style12711"/>
      </w:pPr>
      <w:r>
        <w:t>记账本位币</w:t>
      </w:r>
    </w:p>
    <w:sdt>
      <w:sdtPr>
        <w:rPr>
          <w:rFonts w:hint="eastAsia"/>
          <w:sz w:val="21"/>
          <w:szCs w:val="21"/>
        </w:rPr>
        <w:alias w:val="记账本位币"/>
        <w:tag w:val="_GBC_3749a2357eba44e8b968cb41cda75ff1"/>
        <w:id w:val="1597134923"/>
        <w:placeholder>
          <w:docPart w:val="GBC22222222222222222222222222222"/>
        </w:placeholder>
      </w:sdtPr>
      <w:sdtEndPr/>
      <w:sdtContent>
        <w:p w:rsidR="004A3868" w:rsidRDefault="003F1AB5">
          <w:pPr>
            <w:rPr>
              <w:sz w:val="21"/>
              <w:szCs w:val="21"/>
            </w:rPr>
          </w:pPr>
          <w:r>
            <w:rPr>
              <w:sz w:val="21"/>
              <w:szCs w:val="21"/>
            </w:rPr>
            <w:t>本公司的记账本位币为人民币。</w:t>
          </w:r>
        </w:p>
      </w:sdtContent>
    </w:sdt>
    <w:p w:rsidR="004A3868" w:rsidRDefault="003F1AB5">
      <w:pPr>
        <w:pStyle w:val="Style12711"/>
      </w:pPr>
      <w:r>
        <w:rPr>
          <w:rFonts w:hint="eastAsia"/>
        </w:rPr>
        <w:t>重要性标准确定方法和选择依据</w:t>
      </w:r>
    </w:p>
    <w:sdt>
      <w:sdtPr>
        <w:rPr>
          <w:sz w:val="21"/>
          <w:szCs w:val="21"/>
        </w:rPr>
        <w:alias w:val="是否适用：重要性标准确定方法和选择依据[双击切换]"/>
        <w:tag w:val="_GBC_66b24b4e2070411c88bbdeaf4b0ac338"/>
        <w:id w:val="-2103791683"/>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tbl>
      <w:tblPr>
        <w:tblStyle w:val="g12"/>
        <w:tblW w:w="5000" w:type="pct"/>
        <w:jc w:val="center"/>
        <w:tblInd w:w="0" w:type="dxa"/>
        <w:tblLayout w:type="fixed"/>
        <w:tblCellMar>
          <w:right w:w="28" w:type="dxa"/>
        </w:tblCellMar>
        <w:tblLook w:val="04A0" w:firstRow="1" w:lastRow="0" w:firstColumn="1" w:lastColumn="0" w:noHBand="0" w:noVBand="1"/>
      </w:tblPr>
      <w:tblGrid>
        <w:gridCol w:w="4411"/>
        <w:gridCol w:w="4412"/>
      </w:tblGrid>
      <w:tr w:rsidR="004A3868">
        <w:trPr>
          <w:trHeight w:val="397"/>
          <w:jc w:val="center"/>
        </w:trPr>
        <w:sdt>
          <w:sdtPr>
            <w:rPr>
              <w:rFonts w:ascii="Times New Roman" w:hAnsi="Times New Roman" w:hint="eastAsia"/>
            </w:rPr>
            <w:tag w:val="_PLD_9f124ba78a1f4011868edb08cb914673"/>
            <w:id w:val="1051278215"/>
            <w:lock w:val="sdtLocked"/>
          </w:sdtPr>
          <w:sdtEndPr/>
          <w:sdtContent>
            <w:tc>
              <w:tcPr>
                <w:tcW w:w="4411" w:type="dxa"/>
                <w:vAlign w:val="center"/>
              </w:tcPr>
              <w:p w:rsidR="004A3868" w:rsidRDefault="003F1AB5">
                <w:pPr>
                  <w:pStyle w:val="afffb"/>
                </w:pPr>
                <w:r>
                  <w:rPr>
                    <w:rFonts w:hint="eastAsia"/>
                  </w:rPr>
                  <w:t>项目</w:t>
                </w:r>
              </w:p>
            </w:tc>
          </w:sdtContent>
        </w:sdt>
        <w:sdt>
          <w:sdtPr>
            <w:rPr>
              <w:rFonts w:ascii="Times New Roman" w:hAnsi="Times New Roman"/>
            </w:rPr>
            <w:tag w:val="_PLD_c9e9f6dfae4c43e0b08da57b23829dd8"/>
            <w:id w:val="239454414"/>
            <w:lock w:val="sdtLocked"/>
          </w:sdtPr>
          <w:sdtEndPr/>
          <w:sdtContent>
            <w:tc>
              <w:tcPr>
                <w:tcW w:w="4412" w:type="dxa"/>
                <w:vAlign w:val="center"/>
              </w:tcPr>
              <w:p w:rsidR="004A3868" w:rsidRDefault="003F1AB5">
                <w:pPr>
                  <w:pStyle w:val="afffb"/>
                </w:pPr>
                <w:r>
                  <w:t>重要性标准</w:t>
                </w:r>
              </w:p>
            </w:tc>
          </w:sdtContent>
        </w:sdt>
      </w:tr>
      <w:tr w:rsidR="004A3868">
        <w:trPr>
          <w:trHeight w:val="397"/>
          <w:jc w:val="center"/>
        </w:trPr>
        <w:tc>
          <w:tcPr>
            <w:tcW w:w="4411" w:type="dxa"/>
            <w:vAlign w:val="center"/>
          </w:tcPr>
          <w:p w:rsidR="004A3868" w:rsidRDefault="003F1AB5">
            <w:pPr>
              <w:pStyle w:val="afff9"/>
            </w:pPr>
            <w:r>
              <w:rPr>
                <w:rFonts w:hint="eastAsia"/>
              </w:rPr>
              <w:t>重要的单项计提坏账准备的应收款项</w:t>
            </w:r>
          </w:p>
        </w:tc>
        <w:tc>
          <w:tcPr>
            <w:tcW w:w="4412" w:type="dxa"/>
            <w:vAlign w:val="center"/>
          </w:tcPr>
          <w:p w:rsidR="004A3868" w:rsidRDefault="003F1AB5">
            <w:pPr>
              <w:pStyle w:val="afff9"/>
            </w:pPr>
            <w:r>
              <w:rPr>
                <w:rFonts w:hint="eastAsia"/>
              </w:rPr>
              <w:t>单项计提金额占各类应收款项坏账准备总额的</w:t>
            </w:r>
            <w:r>
              <w:t>10%</w:t>
            </w:r>
            <w:r>
              <w:t>以上且金额大于</w:t>
            </w:r>
            <w:r>
              <w:t>100</w:t>
            </w:r>
            <w:r>
              <w:t>万元</w:t>
            </w:r>
          </w:p>
        </w:tc>
      </w:tr>
      <w:tr w:rsidR="004A3868">
        <w:trPr>
          <w:trHeight w:val="397"/>
          <w:jc w:val="center"/>
        </w:trPr>
        <w:tc>
          <w:tcPr>
            <w:tcW w:w="4411" w:type="dxa"/>
            <w:vAlign w:val="center"/>
          </w:tcPr>
          <w:p w:rsidR="004A3868" w:rsidRDefault="003F1AB5">
            <w:pPr>
              <w:pStyle w:val="afff9"/>
            </w:pPr>
            <w:r>
              <w:rPr>
                <w:rFonts w:hint="eastAsia"/>
              </w:rPr>
              <w:t>重要的预付款项</w:t>
            </w:r>
          </w:p>
        </w:tc>
        <w:tc>
          <w:tcPr>
            <w:tcW w:w="4412" w:type="dxa"/>
            <w:vAlign w:val="center"/>
          </w:tcPr>
          <w:p w:rsidR="004A3868" w:rsidRDefault="003F1AB5">
            <w:pPr>
              <w:pStyle w:val="afff9"/>
            </w:pPr>
            <w:r>
              <w:rPr>
                <w:rFonts w:hint="eastAsia"/>
              </w:rPr>
              <w:t>期末余额账龄</w:t>
            </w:r>
            <w:r>
              <w:t>1</w:t>
            </w:r>
            <w:r>
              <w:t>年以上且金额大于</w:t>
            </w:r>
            <w:r>
              <w:t>500</w:t>
            </w:r>
            <w:r>
              <w:t>万元</w:t>
            </w:r>
          </w:p>
        </w:tc>
      </w:tr>
      <w:tr w:rsidR="004A3868">
        <w:trPr>
          <w:trHeight w:val="397"/>
          <w:jc w:val="center"/>
        </w:trPr>
        <w:tc>
          <w:tcPr>
            <w:tcW w:w="4411" w:type="dxa"/>
            <w:vAlign w:val="center"/>
          </w:tcPr>
          <w:p w:rsidR="004A3868" w:rsidRDefault="003F1AB5">
            <w:pPr>
              <w:pStyle w:val="afff9"/>
            </w:pPr>
            <w:r>
              <w:rPr>
                <w:rFonts w:hint="eastAsia"/>
              </w:rPr>
              <w:t>重要的应付款项</w:t>
            </w:r>
          </w:p>
        </w:tc>
        <w:tc>
          <w:tcPr>
            <w:tcW w:w="4412" w:type="dxa"/>
            <w:vAlign w:val="center"/>
          </w:tcPr>
          <w:p w:rsidR="004A3868" w:rsidRDefault="003F1AB5">
            <w:pPr>
              <w:pStyle w:val="afff9"/>
            </w:pPr>
            <w:r>
              <w:rPr>
                <w:rFonts w:hint="eastAsia"/>
              </w:rPr>
              <w:t>期末余额账龄</w:t>
            </w:r>
            <w:r>
              <w:t>1</w:t>
            </w:r>
            <w:r>
              <w:t>年以上且金额大于</w:t>
            </w:r>
            <w:r>
              <w:t>500</w:t>
            </w:r>
            <w:r>
              <w:t>万元</w:t>
            </w:r>
          </w:p>
        </w:tc>
      </w:tr>
      <w:tr w:rsidR="004A3868">
        <w:trPr>
          <w:trHeight w:val="397"/>
          <w:jc w:val="center"/>
        </w:trPr>
        <w:tc>
          <w:tcPr>
            <w:tcW w:w="4411" w:type="dxa"/>
            <w:vAlign w:val="center"/>
          </w:tcPr>
          <w:p w:rsidR="004A3868" w:rsidRDefault="003F1AB5">
            <w:pPr>
              <w:pStyle w:val="afff9"/>
            </w:pPr>
            <w:r>
              <w:rPr>
                <w:rFonts w:hint="eastAsia"/>
              </w:rPr>
              <w:t>重要的在建工程</w:t>
            </w:r>
          </w:p>
        </w:tc>
        <w:tc>
          <w:tcPr>
            <w:tcW w:w="4412" w:type="dxa"/>
            <w:vAlign w:val="center"/>
          </w:tcPr>
          <w:p w:rsidR="004A3868" w:rsidRDefault="003F1AB5">
            <w:pPr>
              <w:pStyle w:val="afff9"/>
            </w:pPr>
            <w:r>
              <w:rPr>
                <w:rFonts w:hint="eastAsia"/>
              </w:rPr>
              <w:t>单项目金额占在建工程期余末额的</w:t>
            </w:r>
            <w:r>
              <w:t>10%</w:t>
            </w:r>
            <w:r>
              <w:t>以上且金额大于</w:t>
            </w:r>
            <w:r>
              <w:t>1000</w:t>
            </w:r>
            <w:r>
              <w:t>万元</w:t>
            </w:r>
          </w:p>
        </w:tc>
      </w:tr>
      <w:tr w:rsidR="004A3868">
        <w:trPr>
          <w:trHeight w:val="397"/>
          <w:jc w:val="center"/>
        </w:trPr>
        <w:tc>
          <w:tcPr>
            <w:tcW w:w="4411" w:type="dxa"/>
            <w:vAlign w:val="center"/>
          </w:tcPr>
          <w:p w:rsidR="004A3868" w:rsidRDefault="003F1AB5">
            <w:pPr>
              <w:pStyle w:val="afff9"/>
            </w:pPr>
            <w:r>
              <w:rPr>
                <w:rFonts w:hint="eastAsia"/>
              </w:rPr>
              <w:t>重要的投资活动</w:t>
            </w:r>
          </w:p>
        </w:tc>
        <w:tc>
          <w:tcPr>
            <w:tcW w:w="4412" w:type="dxa"/>
            <w:vAlign w:val="center"/>
          </w:tcPr>
          <w:p w:rsidR="004A3868" w:rsidRDefault="003F1AB5">
            <w:pPr>
              <w:pStyle w:val="afff9"/>
            </w:pPr>
            <w:r>
              <w:rPr>
                <w:rFonts w:hint="eastAsia"/>
              </w:rPr>
              <w:t>单项投资活动占资产总额</w:t>
            </w:r>
            <w:r>
              <w:t>10%</w:t>
            </w:r>
            <w:r>
              <w:t>以上且金额大于</w:t>
            </w:r>
            <w:r>
              <w:t>1000</w:t>
            </w:r>
            <w:r>
              <w:t>万元</w:t>
            </w:r>
          </w:p>
        </w:tc>
      </w:tr>
    </w:tbl>
    <w:p w:rsidR="004A3868" w:rsidRDefault="004A3868">
      <w:pPr>
        <w:rPr>
          <w:sz w:val="21"/>
          <w:szCs w:val="21"/>
        </w:rPr>
      </w:pPr>
    </w:p>
    <w:p w:rsidR="004A3868" w:rsidRDefault="003F1AB5">
      <w:pPr>
        <w:pStyle w:val="Style12711"/>
      </w:pPr>
      <w:r>
        <w:t>同一控制下和非同一控制下企业合并的会计处理方法</w:t>
      </w:r>
    </w:p>
    <w:sdt>
      <w:sdtPr>
        <w:rPr>
          <w:rFonts w:hint="eastAsia"/>
          <w:sz w:val="21"/>
          <w:szCs w:val="21"/>
        </w:rPr>
        <w:alias w:val="是否适用：同一控制下和非同一控制下企业合并的会计处理方法[双击切换]"/>
        <w:tag w:val="_GBC_46d00db18b44411d8dd79543c30557e3"/>
        <w:id w:val="-172886707"/>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同一控制下和非同一控制下企业合并的会计处理方法"/>
        <w:tag w:val="_GBC_ef4b9a8d4ac34f45a0f61a23267bcbb8"/>
        <w:id w:val="54287963"/>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（1）</w:t>
          </w:r>
          <w:r>
            <w:rPr>
              <w:szCs w:val="21"/>
            </w:rPr>
            <w:t>分步实现企业合并过程中的各项交易的条款、条件以及经济影响符合以下一种或多种情况，将多次交易事项作为一揽子交易进行会计处理</w:t>
          </w:r>
        </w:p>
        <w:p w:rsidR="004A3868" w:rsidRDefault="003F1AB5">
          <w:pPr>
            <w:pStyle w:val="afff1"/>
            <w:spacing w:before="156"/>
            <w:ind w:firstLine="420"/>
            <w:rPr>
              <w:szCs w:val="21"/>
            </w:rPr>
          </w:pPr>
          <w:r>
            <w:rPr>
              <w:szCs w:val="21"/>
            </w:rPr>
            <w:lastRenderedPageBreak/>
            <w:t>1</w:t>
          </w:r>
          <w:r>
            <w:rPr>
              <w:rFonts w:hint="eastAsia"/>
              <w:szCs w:val="21"/>
            </w:rPr>
            <w:t>）</w:t>
          </w:r>
          <w:r>
            <w:rPr>
              <w:szCs w:val="21"/>
            </w:rPr>
            <w:t>这些交易是同时或者在考虑了彼此影响的情况下订立的；</w:t>
          </w:r>
        </w:p>
        <w:p w:rsidR="004A3868" w:rsidRDefault="003F1AB5">
          <w:pPr>
            <w:pStyle w:val="afff1"/>
            <w:spacing w:before="156"/>
            <w:ind w:firstLine="420"/>
            <w:rPr>
              <w:szCs w:val="21"/>
            </w:rPr>
          </w:pPr>
          <w:r>
            <w:rPr>
              <w:szCs w:val="21"/>
            </w:rPr>
            <w:t>2）这些交易整体才能达成一项完整的商业结果；</w:t>
          </w:r>
        </w:p>
        <w:p w:rsidR="004A3868" w:rsidRDefault="003F1AB5">
          <w:pPr>
            <w:pStyle w:val="afff1"/>
            <w:spacing w:before="156"/>
            <w:ind w:firstLine="420"/>
            <w:rPr>
              <w:szCs w:val="21"/>
            </w:rPr>
          </w:pPr>
          <w:r>
            <w:rPr>
              <w:szCs w:val="21"/>
            </w:rPr>
            <w:t>3）一项交易的发生取决于其他至少一项交易的发生；</w:t>
          </w:r>
        </w:p>
        <w:p w:rsidR="004A3868" w:rsidRDefault="003F1AB5">
          <w:pPr>
            <w:pStyle w:val="afff1"/>
            <w:spacing w:before="156"/>
            <w:ind w:firstLine="420"/>
            <w:rPr>
              <w:szCs w:val="21"/>
            </w:rPr>
          </w:pPr>
          <w:r>
            <w:rPr>
              <w:szCs w:val="21"/>
            </w:rPr>
            <w:t>4）一项交易单独看是不经济的，但是和其他交易一并考虑时是经济的。</w:t>
          </w:r>
        </w:p>
        <w:p w:rsidR="004A3868" w:rsidRDefault="003F1AB5">
          <w:pPr>
            <w:pStyle w:val="afff1"/>
            <w:spacing w:before="156"/>
            <w:ind w:firstLine="420"/>
            <w:rPr>
              <w:szCs w:val="21"/>
            </w:rPr>
          </w:pPr>
          <w:r>
            <w:rPr>
              <w:rFonts w:hint="eastAsia"/>
              <w:szCs w:val="21"/>
            </w:rPr>
            <w:t>（</w:t>
          </w:r>
          <w:r>
            <w:rPr>
              <w:szCs w:val="21"/>
            </w:rPr>
            <w:t>2</w:t>
          </w:r>
          <w:r>
            <w:rPr>
              <w:rFonts w:hint="eastAsia"/>
              <w:szCs w:val="21"/>
            </w:rPr>
            <w:t>）</w:t>
          </w:r>
          <w:r>
            <w:rPr>
              <w:szCs w:val="21"/>
            </w:rPr>
            <w:t>同一控制下的企业合并</w:t>
          </w:r>
        </w:p>
        <w:p w:rsidR="004A3868" w:rsidRDefault="003F1AB5">
          <w:pPr>
            <w:pStyle w:val="afff1"/>
            <w:spacing w:before="156"/>
            <w:ind w:firstLine="420"/>
            <w:rPr>
              <w:szCs w:val="21"/>
            </w:rPr>
          </w:pPr>
          <w:r>
            <w:rPr>
              <w:rFonts w:hint="eastAsia"/>
              <w:szCs w:val="21"/>
            </w:rPr>
            <w:t>参与合并的企业在合并前后均受同一方或相同的多方最终控制，且该控制并非暂时性的，为同一控制下的企业合并。</w:t>
          </w:r>
        </w:p>
        <w:p w:rsidR="004A3868" w:rsidRDefault="003F1AB5">
          <w:pPr>
            <w:pStyle w:val="afff1"/>
            <w:spacing w:before="156"/>
            <w:ind w:firstLine="420"/>
            <w:rPr>
              <w:szCs w:val="21"/>
            </w:rPr>
          </w:pPr>
          <w:r>
            <w:rPr>
              <w:rFonts w:hint="eastAsia"/>
              <w:szCs w:val="21"/>
            </w:rPr>
            <w:t>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4A3868" w:rsidRDefault="003F1AB5">
          <w:pPr>
            <w:pStyle w:val="afff1"/>
            <w:spacing w:before="156"/>
            <w:ind w:firstLine="420"/>
            <w:rPr>
              <w:szCs w:val="21"/>
            </w:rPr>
          </w:pPr>
          <w:r>
            <w:rPr>
              <w:rFonts w:hint="eastAsia"/>
              <w:szCs w:val="21"/>
            </w:rPr>
            <w:t>如果存在或有对价并需要确认预计负债或资产，该预计负债或资产金额与后续或有对价结算金额的差额，调整资本公积（资本溢价或股本溢价），资本公积不足的，调整留存收益。</w:t>
          </w:r>
        </w:p>
        <w:p w:rsidR="004A3868" w:rsidRDefault="003F1AB5">
          <w:pPr>
            <w:pStyle w:val="afff1"/>
            <w:spacing w:before="156"/>
            <w:ind w:firstLine="420"/>
            <w:rPr>
              <w:szCs w:val="21"/>
            </w:rPr>
          </w:pPr>
          <w:r>
            <w:rPr>
              <w:rFonts w:hint="eastAsia"/>
              <w:szCs w:val="21"/>
            </w:rPr>
            <w:t>对于通过多次交易最终实现企业合并的，属于一揽子交易的，将各项交易作为一项取得控制权的交易进行会计处理；不属于一揽子交易的，在取得控制权日，长期股权投资初始投资成本，与达到合并前的长期股权投资账面价值加上合并日进一步取得股份新支付对价的账面价值之和的差额，调整资本公积；资本公积不足冲减的，调整留存收益。对于合并日之前持有的股权投资，因采用权益法核算或金融工具确认和计量准则核算而确认的其他综合收益，暂不进行会计处理，直至处置该项投资时采用与被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p>
        <w:p w:rsidR="004A3868" w:rsidRDefault="003F1AB5">
          <w:pPr>
            <w:pStyle w:val="afff1"/>
            <w:spacing w:before="156"/>
            <w:ind w:firstLine="420"/>
            <w:rPr>
              <w:szCs w:val="21"/>
            </w:rPr>
          </w:pPr>
          <w:r>
            <w:rPr>
              <w:rFonts w:hint="eastAsia"/>
              <w:szCs w:val="21"/>
            </w:rPr>
            <w:t>（</w:t>
          </w:r>
          <w:r>
            <w:rPr>
              <w:szCs w:val="21"/>
            </w:rPr>
            <w:t>3</w:t>
          </w:r>
          <w:r>
            <w:rPr>
              <w:rFonts w:hint="eastAsia"/>
              <w:szCs w:val="21"/>
            </w:rPr>
            <w:t>）</w:t>
          </w:r>
          <w:r>
            <w:rPr>
              <w:szCs w:val="21"/>
            </w:rPr>
            <w:t>非同一控制下的企业合并</w:t>
          </w:r>
        </w:p>
        <w:p w:rsidR="004A3868" w:rsidRDefault="003F1AB5">
          <w:pPr>
            <w:pStyle w:val="afff1"/>
            <w:spacing w:before="156"/>
            <w:ind w:firstLine="420"/>
            <w:rPr>
              <w:szCs w:val="21"/>
            </w:rPr>
          </w:pPr>
          <w:r>
            <w:rPr>
              <w:rFonts w:hint="eastAsia"/>
              <w:szCs w:val="21"/>
            </w:rPr>
            <w:t>参与合并的企业在合并前后不受同一方或相同的多方最终控制，为非同一控制下的企业合并。</w:t>
          </w:r>
        </w:p>
        <w:p w:rsidR="004A3868" w:rsidRDefault="003F1AB5">
          <w:pPr>
            <w:pStyle w:val="afff1"/>
            <w:spacing w:before="156"/>
            <w:ind w:firstLine="420"/>
            <w:rPr>
              <w:szCs w:val="21"/>
            </w:rPr>
          </w:pPr>
          <w:r>
            <w:rPr>
              <w:rFonts w:hint="eastAsia"/>
              <w:szCs w:val="21"/>
            </w:rPr>
            <w:t>本公司在购买日对作为企业合并对价付出的资产、发生或承担的负债按照公允价值计量，公允价值与其账面价值的差额，计入当期损益。</w:t>
          </w:r>
        </w:p>
        <w:p w:rsidR="004A3868" w:rsidRDefault="003F1AB5">
          <w:pPr>
            <w:pStyle w:val="afff1"/>
            <w:spacing w:before="156"/>
            <w:ind w:firstLine="420"/>
            <w:rPr>
              <w:szCs w:val="21"/>
            </w:rPr>
          </w:pPr>
          <w:r>
            <w:rPr>
              <w:rFonts w:hint="eastAsia"/>
              <w:szCs w:val="21"/>
            </w:rPr>
            <w:lastRenderedPageBreak/>
            <w:t>本公司对合并成本大于合并中取得的被购买方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计入当期损益。</w:t>
          </w:r>
        </w:p>
        <w:p w:rsidR="004A3868" w:rsidRDefault="003F1AB5">
          <w:pPr>
            <w:pStyle w:val="afff1"/>
            <w:spacing w:before="156"/>
            <w:ind w:firstLine="420"/>
            <w:rPr>
              <w:szCs w:val="21"/>
            </w:rPr>
          </w:pPr>
          <w:r>
            <w:rPr>
              <w:rFonts w:hint="eastAsia"/>
              <w:szCs w:val="21"/>
            </w:rPr>
            <w:t>通过多次交换交易分步实现的非同一控制下企业合并，属于一揽子交易的，将各项交易作为一项取得控制权的交易进行会计处理；不属于一揽子交易的，合并日之前持有的股权投资采用权益法核算的，以购买日之前所持被购买方的股权投资的账面价值与购买日新增投资成本之和，作为该项投资的初始投资成本；购买日之前持有的股权投资因采用权益法核算而确认的其他综合收益，在处置该项投资时采用与被投资单位直接处置相关资产或负债相同的基础进行会计处理。合并日之前持有的股权投资采用金融工具确认和计量准则核算的，以该股权投资在合并日的公允价值加上新增投资成本之和，作为合并日的初始投资成本。原持有股权的公允价值与账面价值之间的差额以及原计入其他综合收益的累计公允价值变动应全部转入合并日当期的投资收益。</w:t>
          </w:r>
        </w:p>
        <w:p w:rsidR="004A3868" w:rsidRDefault="003F1AB5">
          <w:pPr>
            <w:pStyle w:val="afff1"/>
            <w:spacing w:before="156"/>
            <w:ind w:firstLine="420"/>
            <w:rPr>
              <w:szCs w:val="21"/>
            </w:rPr>
          </w:pPr>
          <w:r>
            <w:rPr>
              <w:rFonts w:hint="eastAsia"/>
              <w:szCs w:val="21"/>
            </w:rPr>
            <w:t>（</w:t>
          </w:r>
          <w:r>
            <w:rPr>
              <w:szCs w:val="21"/>
            </w:rPr>
            <w:t>4</w:t>
          </w:r>
          <w:r>
            <w:rPr>
              <w:rFonts w:hint="eastAsia"/>
              <w:szCs w:val="21"/>
            </w:rPr>
            <w:t>）</w:t>
          </w:r>
          <w:r>
            <w:rPr>
              <w:szCs w:val="21"/>
            </w:rPr>
            <w:t>为合并发生的相关费用</w:t>
          </w:r>
        </w:p>
        <w:p w:rsidR="004A3868" w:rsidRDefault="003F1AB5">
          <w:pPr>
            <w:pStyle w:val="afff1"/>
            <w:spacing w:before="156"/>
            <w:ind w:firstLine="420"/>
            <w:rPr>
              <w:szCs w:val="21"/>
            </w:rPr>
          </w:pPr>
          <w:r>
            <w:rPr>
              <w:rFonts w:hint="eastAsia"/>
              <w:szCs w:val="21"/>
            </w:rPr>
            <w:t>为企业合并发生的审计、法律服务、评估咨询等中介费用以及其他直接相关费用，于发生时计入当期损益；为企业合并而发行权益性证券的交易费用，可直接归属于权益性交易的从权益中扣减。</w:t>
          </w:r>
        </w:p>
      </w:sdtContent>
    </w:sdt>
    <w:p w:rsidR="004A3868" w:rsidRDefault="003F1AB5">
      <w:pPr>
        <w:pStyle w:val="Style12711"/>
      </w:pPr>
      <w:r>
        <w:rPr>
          <w:rFonts w:ascii="宋体" w:hAnsi="宋体" w:cs="宋体" w:hint="eastAsia"/>
          <w:kern w:val="0"/>
        </w:rPr>
        <w:t>控制的判断标准和</w:t>
      </w:r>
      <w:r>
        <w:t>合并财务报表的编制方法</w:t>
      </w:r>
    </w:p>
    <w:sdt>
      <w:sdtPr>
        <w:rPr>
          <w:rFonts w:hint="eastAsia"/>
          <w:sz w:val="21"/>
          <w:szCs w:val="21"/>
        </w:rPr>
        <w:alias w:val="是否适用：控制的判断标准和合并财务报表的编制方法[双击切换]"/>
        <w:tag w:val="_GBC_d8312ea572e647a59b796bf708b54713"/>
        <w:id w:val="737683095"/>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控制的判断标准和合并财务报表的编制方法"/>
        <w:tag w:val="_GBC_5201beca0c0944939b4a0d8d100d6fcf"/>
        <w:id w:val="-947696087"/>
        <w:placeholder>
          <w:docPart w:val="GBC22222222222222222222222222222"/>
        </w:placeholder>
      </w:sdtPr>
      <w:sdtEndPr/>
      <w:sdtContent>
        <w:p w:rsidR="004A3868" w:rsidRDefault="003F1AB5">
          <w:pPr>
            <w:pStyle w:val="afff1"/>
            <w:spacing w:before="156"/>
            <w:ind w:firstLine="420"/>
            <w:rPr>
              <w:szCs w:val="21"/>
            </w:rPr>
          </w:pPr>
          <w:r>
            <w:rPr>
              <w:szCs w:val="21"/>
            </w:rPr>
            <w:t>(1)控制的判断标准</w:t>
          </w:r>
        </w:p>
        <w:p w:rsidR="004A3868" w:rsidRDefault="003F1AB5">
          <w:pPr>
            <w:pStyle w:val="afff1"/>
            <w:spacing w:before="156"/>
            <w:ind w:firstLine="420"/>
            <w:rPr>
              <w:szCs w:val="21"/>
            </w:rPr>
          </w:pPr>
          <w:r>
            <w:rPr>
              <w:rFonts w:hint="eastAsia"/>
              <w:szCs w:val="21"/>
            </w:rPr>
            <w:t>控制，是指投资方拥有对被投资方的权力</w:t>
          </w:r>
          <w:r>
            <w:rPr>
              <w:szCs w:val="21"/>
            </w:rPr>
            <w:t>,通过参与被投资方的相关活动而享有可变回报，并且有能力运用对被投资方的权力影响其回报金额。</w:t>
          </w:r>
        </w:p>
        <w:p w:rsidR="004A3868" w:rsidRDefault="003F1AB5">
          <w:pPr>
            <w:pStyle w:val="afff1"/>
            <w:spacing w:before="156"/>
            <w:ind w:firstLine="420"/>
            <w:rPr>
              <w:szCs w:val="21"/>
            </w:rPr>
          </w:pPr>
          <w:r>
            <w:rPr>
              <w:rFonts w:hint="eastAsia"/>
              <w:szCs w:val="21"/>
            </w:rPr>
            <w:t>本公司在综合考虑所有相关事实和情况的基础上对是否控制被投资方进行判断。一旦相关事实和情况的变化导致对控制定义所涉及的相关要素发生变化的，本公司会进行重新评估。相关事实和情况主要包括：</w:t>
          </w:r>
        </w:p>
        <w:p w:rsidR="004A3868" w:rsidRDefault="003F1AB5">
          <w:pPr>
            <w:pStyle w:val="afff1"/>
            <w:spacing w:before="156"/>
            <w:ind w:firstLine="420"/>
            <w:rPr>
              <w:szCs w:val="21"/>
            </w:rPr>
          </w:pPr>
          <w:r>
            <w:rPr>
              <w:szCs w:val="21"/>
            </w:rPr>
            <w:t>1）被投资方的设立目的。</w:t>
          </w:r>
        </w:p>
        <w:p w:rsidR="004A3868" w:rsidRDefault="003F1AB5">
          <w:pPr>
            <w:pStyle w:val="afff1"/>
            <w:spacing w:before="156"/>
            <w:ind w:firstLine="420"/>
            <w:rPr>
              <w:szCs w:val="21"/>
            </w:rPr>
          </w:pPr>
          <w:r>
            <w:rPr>
              <w:szCs w:val="21"/>
            </w:rPr>
            <w:t>2）被投资方的相关活动以及如何对相关活动作出决策。</w:t>
          </w:r>
        </w:p>
        <w:p w:rsidR="004A3868" w:rsidRDefault="003F1AB5">
          <w:pPr>
            <w:pStyle w:val="afff1"/>
            <w:spacing w:before="156"/>
            <w:ind w:firstLine="420"/>
            <w:rPr>
              <w:szCs w:val="21"/>
            </w:rPr>
          </w:pPr>
          <w:r>
            <w:rPr>
              <w:szCs w:val="21"/>
            </w:rPr>
            <w:lastRenderedPageBreak/>
            <w:t>3）投资方享有的权利是否使其目前有能力主导被投资方的相关活动。</w:t>
          </w:r>
        </w:p>
        <w:p w:rsidR="004A3868" w:rsidRDefault="003F1AB5">
          <w:pPr>
            <w:pStyle w:val="afff1"/>
            <w:spacing w:before="156"/>
            <w:ind w:firstLine="420"/>
            <w:rPr>
              <w:szCs w:val="21"/>
            </w:rPr>
          </w:pPr>
          <w:r>
            <w:rPr>
              <w:szCs w:val="21"/>
            </w:rPr>
            <w:t>4）投资方是否通过参与被投资方的相关活动而享有可变回报。</w:t>
          </w:r>
        </w:p>
        <w:p w:rsidR="004A3868" w:rsidRDefault="003F1AB5">
          <w:pPr>
            <w:pStyle w:val="afff1"/>
            <w:spacing w:before="156"/>
            <w:ind w:firstLine="420"/>
            <w:rPr>
              <w:szCs w:val="21"/>
            </w:rPr>
          </w:pPr>
          <w:r>
            <w:rPr>
              <w:szCs w:val="21"/>
            </w:rPr>
            <w:t>5）投资方是否有能力运用对被投资方的权力影响其回报金额。</w:t>
          </w:r>
        </w:p>
        <w:p w:rsidR="004A3868" w:rsidRDefault="003F1AB5">
          <w:pPr>
            <w:pStyle w:val="afff1"/>
            <w:spacing w:before="156"/>
            <w:ind w:firstLine="420"/>
            <w:rPr>
              <w:szCs w:val="21"/>
            </w:rPr>
          </w:pPr>
          <w:r>
            <w:rPr>
              <w:szCs w:val="21"/>
            </w:rPr>
            <w:t>6）投资方与其他方的关系。</w:t>
          </w:r>
        </w:p>
        <w:p w:rsidR="004A3868" w:rsidRDefault="003F1AB5">
          <w:pPr>
            <w:pStyle w:val="afff1"/>
            <w:spacing w:before="156"/>
            <w:ind w:firstLine="420"/>
            <w:rPr>
              <w:szCs w:val="21"/>
            </w:rPr>
          </w:pPr>
          <w:r>
            <w:rPr>
              <w:szCs w:val="21"/>
            </w:rPr>
            <w:t>(2</w:t>
          </w:r>
          <w:r>
            <w:rPr>
              <w:rFonts w:hint="eastAsia"/>
              <w:szCs w:val="21"/>
            </w:rPr>
            <w:t>)</w:t>
          </w:r>
          <w:r>
            <w:rPr>
              <w:szCs w:val="21"/>
            </w:rPr>
            <w:t>合并范围</w:t>
          </w:r>
        </w:p>
        <w:p w:rsidR="004A3868" w:rsidRDefault="003F1AB5">
          <w:pPr>
            <w:pStyle w:val="afff1"/>
            <w:spacing w:before="156"/>
            <w:ind w:firstLine="420"/>
            <w:rPr>
              <w:szCs w:val="21"/>
            </w:rPr>
          </w:pPr>
          <w:r>
            <w:rPr>
              <w:rFonts w:hint="eastAsia"/>
              <w:szCs w:val="21"/>
            </w:rPr>
            <w:t>本公司合并财务报表的合并范围以控制为基础确定，所有子公司（包括本公司所控制的单独主体）均纳入合并财务报表。</w:t>
          </w:r>
        </w:p>
        <w:p w:rsidR="004A3868" w:rsidRDefault="003F1AB5">
          <w:pPr>
            <w:pStyle w:val="afff1"/>
            <w:spacing w:before="156"/>
            <w:ind w:firstLine="420"/>
            <w:rPr>
              <w:szCs w:val="21"/>
            </w:rPr>
          </w:pPr>
          <w:r>
            <w:rPr>
              <w:szCs w:val="21"/>
            </w:rPr>
            <w:t>(3</w:t>
          </w:r>
          <w:r>
            <w:rPr>
              <w:rFonts w:hint="eastAsia"/>
              <w:szCs w:val="21"/>
            </w:rPr>
            <w:t>)</w:t>
          </w:r>
          <w:r>
            <w:rPr>
              <w:szCs w:val="21"/>
            </w:rPr>
            <w:t>合并程序</w:t>
          </w:r>
        </w:p>
        <w:p w:rsidR="004A3868" w:rsidRDefault="003F1AB5">
          <w:pPr>
            <w:pStyle w:val="afff1"/>
            <w:spacing w:before="156"/>
            <w:ind w:firstLine="420"/>
            <w:rPr>
              <w:szCs w:val="21"/>
            </w:rPr>
          </w:pPr>
          <w:r>
            <w:rPr>
              <w:rFonts w:hint="eastAsia"/>
              <w:szCs w:val="21"/>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4A3868" w:rsidRDefault="003F1AB5">
          <w:pPr>
            <w:pStyle w:val="afff1"/>
            <w:spacing w:before="156"/>
            <w:ind w:firstLine="420"/>
            <w:rPr>
              <w:szCs w:val="21"/>
            </w:rPr>
          </w:pPr>
          <w:r>
            <w:rPr>
              <w:rFonts w:hint="eastAsia"/>
              <w:szCs w:val="21"/>
            </w:rPr>
            <w:t>所有纳入合并财务报表合并范围的子公司所采用的会计政策、会计期间与本公司一致，如子公司采用的会计政策、会计期间与本公司不一致的，在编制合并财务报表时，按本公司的会计政策、会计期间进行必要的调整。</w:t>
          </w:r>
        </w:p>
        <w:p w:rsidR="004A3868" w:rsidRDefault="003F1AB5">
          <w:pPr>
            <w:pStyle w:val="afff1"/>
            <w:spacing w:before="156"/>
            <w:ind w:firstLine="420"/>
            <w:rPr>
              <w:szCs w:val="21"/>
            </w:rPr>
          </w:pPr>
          <w:r>
            <w:rPr>
              <w:rFonts w:hint="eastAsia"/>
              <w:szCs w:val="21"/>
            </w:rPr>
            <w:t>合并财务报表时抵销本公司与各子公司、各子公司相互之间发生的内部交易对合并资产负债表、合并利润表、合并现金流量表、合并股东权益变动表的影响。如果站在企业集团合并财务报表角度与以本公司或子公司为会计主体对同一交易的认定不同时，从企业集团的角度对该交易予以调整。</w:t>
          </w:r>
        </w:p>
        <w:p w:rsidR="004A3868" w:rsidRDefault="003F1AB5">
          <w:pPr>
            <w:pStyle w:val="afff1"/>
            <w:spacing w:before="156"/>
            <w:ind w:firstLine="420"/>
            <w:rPr>
              <w:szCs w:val="21"/>
            </w:rPr>
          </w:pPr>
          <w:r>
            <w:rPr>
              <w:rFonts w:hint="eastAsia"/>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rsidR="004A3868" w:rsidRDefault="003F1AB5">
          <w:pPr>
            <w:pStyle w:val="afff1"/>
            <w:spacing w:before="156"/>
            <w:ind w:firstLine="420"/>
            <w:rPr>
              <w:szCs w:val="21"/>
            </w:rPr>
          </w:pPr>
          <w:r>
            <w:rPr>
              <w:rFonts w:hint="eastAsia"/>
              <w:szCs w:val="21"/>
            </w:rPr>
            <w:t>对于同一控制下企业合并取得的子公司，以其资产、负债（包括最终控制方收购该子公司而形成的商誉）在最终控制方财务报表中的账面价值为基础对其财务报表进行调整。</w:t>
          </w:r>
        </w:p>
        <w:p w:rsidR="004A3868" w:rsidRDefault="003F1AB5">
          <w:pPr>
            <w:pStyle w:val="afff1"/>
            <w:spacing w:before="156"/>
            <w:ind w:firstLine="420"/>
            <w:rPr>
              <w:szCs w:val="21"/>
            </w:rPr>
          </w:pPr>
          <w:r>
            <w:rPr>
              <w:rFonts w:hint="eastAsia"/>
              <w:szCs w:val="21"/>
            </w:rPr>
            <w:t>对于非同一控制下企业合并取得的子公司，以购买日可辨认净资产公允价值为基础对其财务</w:t>
          </w:r>
          <w:r>
            <w:rPr>
              <w:rFonts w:hint="eastAsia"/>
              <w:szCs w:val="21"/>
            </w:rPr>
            <w:lastRenderedPageBreak/>
            <w:t>报表进行调整</w:t>
          </w:r>
        </w:p>
        <w:p w:rsidR="004A3868" w:rsidRDefault="003F1AB5">
          <w:pPr>
            <w:pStyle w:val="afff1"/>
            <w:spacing w:before="156"/>
            <w:ind w:firstLine="420"/>
            <w:rPr>
              <w:szCs w:val="21"/>
            </w:rPr>
          </w:pPr>
          <w:r>
            <w:rPr>
              <w:szCs w:val="21"/>
            </w:rPr>
            <w:t>1）增加子公司或业务</w:t>
          </w:r>
        </w:p>
        <w:p w:rsidR="004A3868" w:rsidRDefault="003F1AB5">
          <w:pPr>
            <w:pStyle w:val="afff1"/>
            <w:spacing w:before="156"/>
            <w:ind w:firstLine="420"/>
            <w:rPr>
              <w:szCs w:val="21"/>
            </w:rPr>
          </w:pPr>
          <w:r>
            <w:rPr>
              <w:rFonts w:hint="eastAsia"/>
              <w:szCs w:val="21"/>
            </w:rPr>
            <w:t>在报告期内，若因同一控制下企业合并增加子公司或业务的，则调整合并资产负债表的期初数；将子公司或业务合并当期期初至报告期末的收入、费用、利润纳入合并利润表；将子公司或业务合并当期期初至报告期末的现金流量纳入合并现金流量表，同时对比较报表的相关项目进行调整，视同合并后的报告主体自最终控制方开始控制时点起一直存在。</w:t>
          </w:r>
        </w:p>
        <w:p w:rsidR="004A3868" w:rsidRDefault="003F1AB5">
          <w:pPr>
            <w:pStyle w:val="afff1"/>
            <w:spacing w:before="156"/>
            <w:ind w:firstLine="420"/>
            <w:rPr>
              <w:szCs w:val="21"/>
            </w:rPr>
          </w:pPr>
          <w:r>
            <w:rPr>
              <w:rFonts w:hint="eastAsia"/>
              <w:szCs w:val="21"/>
            </w:rPr>
            <w:t>因追加投资等原因能够对同一控制下的被投资方实施控制的，视同参与合并的各方在最终控制方开始控制时即以目前的状态存在进行调整。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rsidR="004A3868" w:rsidRDefault="003F1AB5">
          <w:pPr>
            <w:pStyle w:val="afff1"/>
            <w:spacing w:before="156"/>
            <w:ind w:firstLine="420"/>
            <w:rPr>
              <w:szCs w:val="21"/>
            </w:rPr>
          </w:pPr>
          <w:r>
            <w:rPr>
              <w:rFonts w:hint="eastAsia"/>
              <w:szCs w:val="21"/>
            </w:rPr>
            <w:t>在报告期内，若因非同一控制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4A3868" w:rsidRDefault="003F1AB5">
          <w:pPr>
            <w:pStyle w:val="afff1"/>
            <w:spacing w:before="156"/>
            <w:ind w:firstLine="420"/>
            <w:rPr>
              <w:szCs w:val="21"/>
            </w:rPr>
          </w:pPr>
          <w:r>
            <w:rPr>
              <w:rFonts w:hint="eastAsia"/>
              <w:szCs w:val="21"/>
            </w:rPr>
            <w:t>因追加投资等原因能够对非同一控制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4A3868" w:rsidRDefault="003F1AB5">
          <w:pPr>
            <w:pStyle w:val="afff1"/>
            <w:spacing w:before="156"/>
            <w:ind w:firstLine="420"/>
            <w:rPr>
              <w:szCs w:val="21"/>
            </w:rPr>
          </w:pPr>
          <w:r>
            <w:rPr>
              <w:szCs w:val="21"/>
            </w:rPr>
            <w:t>2）处置子公司或业务</w:t>
          </w:r>
        </w:p>
        <w:p w:rsidR="004A3868" w:rsidRDefault="003F1AB5">
          <w:pPr>
            <w:pStyle w:val="afff1"/>
            <w:spacing w:before="156"/>
            <w:ind w:firstLine="420"/>
            <w:rPr>
              <w:szCs w:val="21"/>
            </w:rPr>
          </w:pPr>
          <w:r>
            <w:rPr>
              <w:rFonts w:hint="eastAsia"/>
              <w:szCs w:val="21"/>
            </w:rPr>
            <w:t>①</w:t>
          </w:r>
          <w:r>
            <w:rPr>
              <w:szCs w:val="21"/>
            </w:rPr>
            <w:t>一般处理方法</w:t>
          </w:r>
        </w:p>
        <w:p w:rsidR="004A3868" w:rsidRDefault="003F1AB5">
          <w:pPr>
            <w:pStyle w:val="afff1"/>
            <w:spacing w:before="156"/>
            <w:ind w:firstLine="420"/>
            <w:rPr>
              <w:szCs w:val="21"/>
            </w:rPr>
          </w:pPr>
          <w:r>
            <w:rPr>
              <w:rFonts w:hint="eastAsia"/>
              <w:szCs w:val="21"/>
            </w:rPr>
            <w:t>在报告期内，本公司处置子公司或业务，则该子公司或业务期初至处置日的收入、费用、利润纳入合并利润表；该子公司或业务期初至处置日的现金流量纳入合并现金流量表。</w:t>
          </w:r>
        </w:p>
        <w:p w:rsidR="004A3868" w:rsidRDefault="003F1AB5">
          <w:pPr>
            <w:pStyle w:val="afff1"/>
            <w:spacing w:before="156"/>
            <w:ind w:firstLine="420"/>
            <w:rPr>
              <w:szCs w:val="21"/>
            </w:rPr>
          </w:pPr>
          <w:r>
            <w:rPr>
              <w:rFonts w:hint="eastAsia"/>
              <w:szCs w:val="21"/>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合并日开始持续计算的净资产的份</w:t>
          </w:r>
          <w:r>
            <w:rPr>
              <w:rFonts w:hint="eastAsia"/>
              <w:szCs w:val="21"/>
            </w:rPr>
            <w:lastRenderedPageBreak/>
            <w:t>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rsidR="004A3868" w:rsidRDefault="003F1AB5">
          <w:pPr>
            <w:pStyle w:val="afff1"/>
            <w:spacing w:before="156"/>
            <w:ind w:firstLine="420"/>
            <w:rPr>
              <w:szCs w:val="21"/>
            </w:rPr>
          </w:pPr>
          <w:r>
            <w:rPr>
              <w:rFonts w:hint="eastAsia"/>
              <w:szCs w:val="21"/>
            </w:rPr>
            <w:t>②</w:t>
          </w:r>
          <w:r>
            <w:rPr>
              <w:szCs w:val="21"/>
            </w:rPr>
            <w:t>分步处置子公司</w:t>
          </w:r>
        </w:p>
        <w:p w:rsidR="004A3868" w:rsidRDefault="003F1AB5">
          <w:pPr>
            <w:pStyle w:val="afff1"/>
            <w:spacing w:before="156"/>
            <w:ind w:firstLine="420"/>
            <w:rPr>
              <w:szCs w:val="21"/>
            </w:rPr>
          </w:pPr>
          <w:r>
            <w:rPr>
              <w:rFonts w:hint="eastAsia"/>
              <w:szCs w:val="21"/>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4A3868" w:rsidRDefault="003F1AB5">
          <w:pPr>
            <w:pStyle w:val="afff1"/>
            <w:spacing w:before="156"/>
            <w:ind w:firstLine="420"/>
            <w:rPr>
              <w:szCs w:val="21"/>
            </w:rPr>
          </w:pPr>
          <w:r>
            <w:rPr>
              <w:szCs w:val="21"/>
            </w:rPr>
            <w:t>A.这些交易是同时或者在考虑了彼此影响的情况下订立的；</w:t>
          </w:r>
        </w:p>
        <w:p w:rsidR="004A3868" w:rsidRDefault="003F1AB5">
          <w:pPr>
            <w:pStyle w:val="afff1"/>
            <w:spacing w:before="156"/>
            <w:ind w:firstLine="420"/>
            <w:rPr>
              <w:szCs w:val="21"/>
            </w:rPr>
          </w:pPr>
          <w:r>
            <w:rPr>
              <w:szCs w:val="21"/>
            </w:rPr>
            <w:t>B.这些交易整体才能达成一项完整的商业结果；</w:t>
          </w:r>
        </w:p>
        <w:p w:rsidR="004A3868" w:rsidRDefault="003F1AB5">
          <w:pPr>
            <w:pStyle w:val="afff1"/>
            <w:spacing w:before="156"/>
            <w:ind w:firstLine="420"/>
            <w:rPr>
              <w:szCs w:val="21"/>
            </w:rPr>
          </w:pPr>
          <w:r>
            <w:rPr>
              <w:szCs w:val="21"/>
            </w:rPr>
            <w:t>C.一项交易的发生取决于其他至少一项交易的发生；</w:t>
          </w:r>
        </w:p>
        <w:p w:rsidR="004A3868" w:rsidRDefault="003F1AB5">
          <w:pPr>
            <w:pStyle w:val="afff1"/>
            <w:spacing w:before="156"/>
            <w:ind w:firstLine="420"/>
            <w:rPr>
              <w:szCs w:val="21"/>
            </w:rPr>
          </w:pPr>
          <w:r>
            <w:rPr>
              <w:szCs w:val="21"/>
            </w:rPr>
            <w:t>D.一项交易单独看是不经济的，但是和其他交易一并考虑时是经济的。</w:t>
          </w:r>
        </w:p>
        <w:p w:rsidR="004A3868" w:rsidRDefault="003F1AB5">
          <w:pPr>
            <w:pStyle w:val="afff1"/>
            <w:spacing w:before="156"/>
            <w:ind w:firstLine="420"/>
            <w:rPr>
              <w:szCs w:val="21"/>
            </w:rPr>
          </w:pPr>
          <w:r>
            <w:rPr>
              <w:rFonts w:hint="eastAsia"/>
              <w:szCs w:val="21"/>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4A3868" w:rsidRDefault="003F1AB5">
          <w:pPr>
            <w:pStyle w:val="afff1"/>
            <w:spacing w:before="156"/>
            <w:ind w:firstLine="420"/>
            <w:rPr>
              <w:szCs w:val="21"/>
            </w:rPr>
          </w:pPr>
          <w:r>
            <w:rPr>
              <w:rFonts w:hint="eastAsia"/>
              <w:szCs w:val="21"/>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4A3868" w:rsidRDefault="003F1AB5">
          <w:pPr>
            <w:pStyle w:val="afff1"/>
            <w:spacing w:before="156"/>
            <w:ind w:firstLine="420"/>
            <w:rPr>
              <w:szCs w:val="21"/>
            </w:rPr>
          </w:pPr>
          <w:r>
            <w:rPr>
              <w:szCs w:val="21"/>
            </w:rPr>
            <w:t>3）购买子公司少数股权</w:t>
          </w:r>
        </w:p>
        <w:p w:rsidR="004A3868" w:rsidRDefault="003F1AB5">
          <w:pPr>
            <w:pStyle w:val="afff1"/>
            <w:spacing w:before="156"/>
            <w:ind w:firstLine="420"/>
            <w:rPr>
              <w:szCs w:val="21"/>
            </w:rPr>
          </w:pPr>
          <w:r>
            <w:rPr>
              <w:rFonts w:hint="eastAsia"/>
              <w:szCs w:val="21"/>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4A3868" w:rsidRDefault="003F1AB5">
          <w:pPr>
            <w:pStyle w:val="afff1"/>
            <w:spacing w:before="156"/>
            <w:ind w:firstLine="420"/>
            <w:rPr>
              <w:szCs w:val="21"/>
            </w:rPr>
          </w:pPr>
          <w:r>
            <w:rPr>
              <w:szCs w:val="21"/>
            </w:rPr>
            <w:t>4）不丧失控制权的情况下部分处置对子公司的股权投资</w:t>
          </w:r>
        </w:p>
        <w:p w:rsidR="004A3868" w:rsidRDefault="003F1AB5">
          <w:pPr>
            <w:pStyle w:val="afff1"/>
            <w:spacing w:before="156"/>
            <w:ind w:firstLine="420"/>
            <w:rPr>
              <w:szCs w:val="21"/>
            </w:rPr>
          </w:pPr>
          <w:r>
            <w:rPr>
              <w:rFonts w:hint="eastAsia"/>
              <w:szCs w:val="21"/>
            </w:rPr>
            <w:t>在不丧失控制权的情况下因部分处置对子公司的长期股权投资而取得的处置价款与处置长期</w:t>
          </w:r>
          <w:r>
            <w:rPr>
              <w:rFonts w:hint="eastAsia"/>
              <w:szCs w:val="21"/>
            </w:rPr>
            <w:lastRenderedPageBreak/>
            <w:t>股权投资相对应享有子公司自购买日或合并日开始持续计算的净资产份额之间的差额，调整合并资产负债表中的资本公积中的股本溢价，资本公积中的股本溢价不足冲减的，调整留存收益。</w:t>
          </w:r>
        </w:p>
      </w:sdtContent>
    </w:sdt>
    <w:p w:rsidR="004A3868" w:rsidRDefault="003F1AB5">
      <w:pPr>
        <w:pStyle w:val="Style12711"/>
      </w:pPr>
      <w:r>
        <w:rPr>
          <w:rFonts w:hint="eastAsia"/>
        </w:rPr>
        <w:t>合营安排分类及共同经营会计处理方法</w:t>
      </w:r>
    </w:p>
    <w:sdt>
      <w:sdtPr>
        <w:rPr>
          <w:rFonts w:hint="eastAsia"/>
        </w:rPr>
        <w:alias w:val="是否适用：合营安排分类及共同经营会计处理方法[双击切换]"/>
        <w:tag w:val="_GBC_e5a2f4bbc77f437e880fdd380b417236"/>
        <w:id w:val="-68806855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合营安排分类及共同经营会计处理方法"/>
        <w:tag w:val="_GBC_cf67ede4230c4056b34792c6a0db55e2"/>
        <w:id w:val="-1791884704"/>
        <w:lock w:val="sdtLocked"/>
      </w:sdtPr>
      <w:sdtEndPr/>
      <w:sdtContent>
        <w:p w:rsidR="004A3868" w:rsidRDefault="003F1AB5">
          <w:pPr>
            <w:pStyle w:val="afff1"/>
            <w:spacing w:before="156"/>
            <w:ind w:firstLine="420"/>
            <w:rPr>
              <w:szCs w:val="21"/>
            </w:rPr>
          </w:pPr>
          <w:r>
            <w:rPr>
              <w:szCs w:val="21"/>
            </w:rPr>
            <w:t>(1</w:t>
          </w:r>
          <w:r>
            <w:rPr>
              <w:rFonts w:hint="eastAsia"/>
              <w:szCs w:val="21"/>
            </w:rPr>
            <w:t>)</w:t>
          </w:r>
          <w:r>
            <w:rPr>
              <w:szCs w:val="21"/>
            </w:rPr>
            <w:t>合营安排的分类</w:t>
          </w:r>
        </w:p>
        <w:p w:rsidR="004A3868" w:rsidRDefault="003F1AB5">
          <w:pPr>
            <w:pStyle w:val="afff1"/>
            <w:spacing w:before="156"/>
            <w:ind w:firstLine="420"/>
            <w:rPr>
              <w:szCs w:val="21"/>
            </w:rPr>
          </w:pPr>
          <w:r>
            <w:rPr>
              <w:rFonts w:hint="eastAsia"/>
              <w:szCs w:val="21"/>
            </w:rPr>
            <w:t>本公司根据合营安排的结构、法律形式以及合营安排中约定的条款、其他相关事实和情况等因素，将合营安排分为共同经营和合营企业。共同经营，是指合营方享有该安排相关资产且承担该安排相关负债的合营安排。合营企业是指合营方仅对该安排的净资产享有权利的合营安排。</w:t>
          </w:r>
        </w:p>
        <w:p w:rsidR="004A3868" w:rsidRDefault="003F1AB5">
          <w:pPr>
            <w:pStyle w:val="afff1"/>
            <w:spacing w:before="156"/>
            <w:ind w:firstLine="420"/>
            <w:rPr>
              <w:szCs w:val="21"/>
            </w:rPr>
          </w:pPr>
          <w:r>
            <w:rPr>
              <w:szCs w:val="21"/>
            </w:rPr>
            <w:t>(2</w:t>
          </w:r>
          <w:r>
            <w:rPr>
              <w:rFonts w:hint="eastAsia"/>
              <w:szCs w:val="21"/>
            </w:rPr>
            <w:t>)</w:t>
          </w:r>
          <w:r>
            <w:rPr>
              <w:szCs w:val="21"/>
            </w:rPr>
            <w:t>共同经营会计处理方法</w:t>
          </w:r>
        </w:p>
        <w:p w:rsidR="004A3868" w:rsidRDefault="003F1AB5">
          <w:pPr>
            <w:pStyle w:val="afff1"/>
            <w:spacing w:before="156"/>
            <w:ind w:firstLine="420"/>
            <w:rPr>
              <w:szCs w:val="21"/>
            </w:rPr>
          </w:pPr>
          <w:r>
            <w:rPr>
              <w:rFonts w:hint="eastAsia"/>
              <w:szCs w:val="21"/>
            </w:rPr>
            <w:t>本公司确认共同经营中利益份额中与本公司相关的下列项目，并按照相关企业会计准则的规定进行会计处理：</w:t>
          </w:r>
        </w:p>
        <w:p w:rsidR="004A3868" w:rsidRDefault="003F1AB5">
          <w:pPr>
            <w:pStyle w:val="afff1"/>
            <w:spacing w:before="156"/>
            <w:ind w:firstLine="420"/>
            <w:rPr>
              <w:szCs w:val="21"/>
            </w:rPr>
          </w:pPr>
          <w:r>
            <w:rPr>
              <w:szCs w:val="21"/>
            </w:rPr>
            <w:t>1）确认单独所持有的资产，以及按其份额确认共同持有的资产；</w:t>
          </w:r>
        </w:p>
        <w:p w:rsidR="004A3868" w:rsidRDefault="003F1AB5">
          <w:pPr>
            <w:pStyle w:val="afff1"/>
            <w:spacing w:before="156"/>
            <w:ind w:firstLine="420"/>
            <w:rPr>
              <w:szCs w:val="21"/>
            </w:rPr>
          </w:pPr>
          <w:r>
            <w:rPr>
              <w:szCs w:val="21"/>
            </w:rPr>
            <w:t>2）确认单独所承担的负债，以及按其份额确认共同承担的负债；</w:t>
          </w:r>
        </w:p>
        <w:p w:rsidR="004A3868" w:rsidRDefault="003F1AB5">
          <w:pPr>
            <w:pStyle w:val="afff1"/>
            <w:spacing w:before="156"/>
            <w:ind w:firstLine="420"/>
            <w:rPr>
              <w:szCs w:val="21"/>
            </w:rPr>
          </w:pPr>
          <w:r>
            <w:rPr>
              <w:szCs w:val="21"/>
            </w:rPr>
            <w:t>3）确认出售其享有的共同经营产出份额所产生的收入；</w:t>
          </w:r>
        </w:p>
        <w:p w:rsidR="004A3868" w:rsidRDefault="003F1AB5">
          <w:pPr>
            <w:pStyle w:val="afff1"/>
            <w:spacing w:before="156"/>
            <w:ind w:firstLine="420"/>
            <w:rPr>
              <w:szCs w:val="21"/>
            </w:rPr>
          </w:pPr>
          <w:r>
            <w:rPr>
              <w:szCs w:val="21"/>
            </w:rPr>
            <w:t>4）按其份额确认共同经营因出售产出所产生的收入；</w:t>
          </w:r>
        </w:p>
        <w:p w:rsidR="004A3868" w:rsidRDefault="003F1AB5">
          <w:pPr>
            <w:pStyle w:val="afff1"/>
            <w:spacing w:before="156"/>
            <w:ind w:firstLine="420"/>
            <w:rPr>
              <w:szCs w:val="21"/>
            </w:rPr>
          </w:pPr>
          <w:r>
            <w:rPr>
              <w:szCs w:val="21"/>
            </w:rPr>
            <w:t>5）确认单独所发生的费用，以及按其份额确认共同经营发生的费用。</w:t>
          </w:r>
        </w:p>
        <w:p w:rsidR="004A3868" w:rsidRDefault="003F1AB5">
          <w:pPr>
            <w:pStyle w:val="afff1"/>
            <w:spacing w:before="156"/>
            <w:ind w:firstLine="420"/>
            <w:rPr>
              <w:szCs w:val="21"/>
            </w:rPr>
          </w:pPr>
          <w:r>
            <w:rPr>
              <w:rFonts w:hint="eastAsia"/>
              <w:szCs w:val="21"/>
            </w:rPr>
            <w:t>本公司向共同经营投出或出售资产等（该资产构成业务的除外），在该资产等由共同经营出售给第三方之前，仅确认因该交易产生的损益中归属于共同经营其他参与方的部分。投出或出售的资产发生资产减值损失的，本公司全额确认该损失。</w:t>
          </w:r>
        </w:p>
        <w:p w:rsidR="004A3868" w:rsidRDefault="003F1AB5">
          <w:pPr>
            <w:pStyle w:val="afff1"/>
            <w:spacing w:before="156"/>
            <w:ind w:firstLine="420"/>
            <w:rPr>
              <w:szCs w:val="21"/>
            </w:rPr>
          </w:pPr>
          <w:r>
            <w:rPr>
              <w:rFonts w:hint="eastAsia"/>
              <w:szCs w:val="21"/>
            </w:rPr>
            <w:t>本公司自共同经营购买资产等（该资产构成业务的除外），在将该资产等出售给第三方之前，仅确认因该交易产生的损益中归属于共同经营其他参与方的部分。购入的资产发生资产减值损失的，本公司按承担的份额确认该部分损失。</w:t>
          </w:r>
        </w:p>
      </w:sdtContent>
    </w:sdt>
    <w:p w:rsidR="004A3868" w:rsidRDefault="003F1AB5">
      <w:pPr>
        <w:pStyle w:val="Style12711"/>
      </w:pPr>
      <w:r>
        <w:t>现金及现金等价物的确定标准</w:t>
      </w:r>
    </w:p>
    <w:sdt>
      <w:sdtPr>
        <w:rPr>
          <w:rFonts w:hint="eastAsia"/>
          <w:sz w:val="21"/>
          <w:szCs w:val="21"/>
        </w:rPr>
        <w:alias w:val="现金及现金等价物的确定标准"/>
        <w:tag w:val="_GBC_54f6bc3e44e840bc85cb3872600823b5"/>
        <w:id w:val="2022891191"/>
        <w:placeholder>
          <w:docPart w:val="GBC22222222222222222222222222222"/>
        </w:placeholder>
      </w:sdtPr>
      <w:sdtEndPr>
        <w:rPr>
          <w:rStyle w:val="afff2"/>
        </w:rPr>
      </w:sdtEndPr>
      <w:sdtContent>
        <w:p w:rsidR="004A3868" w:rsidRDefault="003F1AB5">
          <w:pPr>
            <w:rPr>
              <w:rStyle w:val="afff2"/>
              <w:szCs w:val="21"/>
            </w:rPr>
          </w:pPr>
          <w:r>
            <w:rPr>
              <w:rStyle w:val="afff2"/>
              <w:rFonts w:hint="eastAsia"/>
              <w:szCs w:val="21"/>
            </w:rPr>
            <w:t>在编制现金流量表时，本公司将库存现金以及可以随时用于支付的存款确认为现金，将同时具备期限短（一般从购买日起三个月内到期）、流动性强、易于转换为已知金额的现金、价值变动风险很小四个条件的投资，确定为现金等价物。</w:t>
          </w:r>
        </w:p>
      </w:sdtContent>
    </w:sdt>
    <w:p w:rsidR="004A3868" w:rsidRDefault="003F1AB5">
      <w:pPr>
        <w:pStyle w:val="Style12711"/>
      </w:pPr>
      <w:r>
        <w:lastRenderedPageBreak/>
        <w:t>外币业务和外币报表折算</w:t>
      </w:r>
    </w:p>
    <w:sdt>
      <w:sdtPr>
        <w:rPr>
          <w:rFonts w:hint="eastAsia"/>
          <w:sz w:val="21"/>
          <w:szCs w:val="21"/>
        </w:rPr>
        <w:alias w:val="是否适用：外币业务和外币报表折算[双击切换]"/>
        <w:tag w:val="_GBC_9c9def5a1d2241b5a3ee696d03433778"/>
        <w:id w:val="-1882622280"/>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外币业务核算方法"/>
        <w:tag w:val="_GBC_1703fe5fc56b42a8972c0906a4ac6d6b"/>
        <w:id w:val="-1051911155"/>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外币业务交易在初始确认时，采用交易发生日的即期汇率作为折算汇率折合成人民币记账。</w:t>
          </w:r>
        </w:p>
        <w:p w:rsidR="004A3868" w:rsidRDefault="003F1AB5">
          <w:pPr>
            <w:pStyle w:val="afff1"/>
            <w:spacing w:before="156"/>
            <w:ind w:firstLine="420"/>
            <w:rPr>
              <w:szCs w:val="21"/>
            </w:rPr>
          </w:pPr>
          <w:r>
            <w:rPr>
              <w:rFonts w:hint="eastAsia"/>
              <w:szCs w:val="21"/>
            </w:rPr>
            <w:t>资产负债表日，外币货币性项目按资产负债表日即期汇率折算，由此产生的汇兑差额，除属于与购建符合资本化条件的资产相关的外币专门借款产生的汇兑差额按照借款费用资本化的原则处理外，均计入当期损益。以历史成本计量的外币非货币性项目，仍采用交易发生日的即期汇率折算，不改变其记账本位币金额。</w:t>
          </w:r>
        </w:p>
        <w:p w:rsidR="004A3868" w:rsidRDefault="003F1AB5">
          <w:pPr>
            <w:pStyle w:val="afff1"/>
            <w:spacing w:before="156"/>
            <w:ind w:firstLine="420"/>
            <w:rPr>
              <w:szCs w:val="21"/>
            </w:rPr>
          </w:pPr>
          <w:r>
            <w:rPr>
              <w:rFonts w:hint="eastAsia"/>
              <w:szCs w:val="21"/>
            </w:rPr>
            <w:t>以公允价值计量的外币非货币性项目，采用公允价值确定日的即期汇率折算，折算后的记账本位币金额与原记账本位币金额的差额，作为公允价值变动</w:t>
          </w:r>
          <w:r>
            <w:rPr>
              <w:szCs w:val="21"/>
            </w:rPr>
            <w:t>(含汇率变动)处理，计入当期损益或确认为其他综合收益。</w:t>
          </w:r>
        </w:p>
      </w:sdtContent>
    </w:sdt>
    <w:p w:rsidR="004A3868" w:rsidRDefault="003F1AB5">
      <w:pPr>
        <w:pStyle w:val="Style12711"/>
      </w:pPr>
      <w:r>
        <w:t>金融工具</w:t>
      </w:r>
    </w:p>
    <w:sdt>
      <w:sdtPr>
        <w:rPr>
          <w:rFonts w:hint="eastAsia"/>
          <w:sz w:val="21"/>
          <w:szCs w:val="21"/>
        </w:rPr>
        <w:alias w:val="是否适用：金融工具_重要会计政策和估计[双击切换]"/>
        <w:tag w:val="_GBC_1537cea503f244c2af870a2a0d5fd7a9"/>
        <w:id w:val="164962921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金融资产和金融负债的核算方法"/>
        <w:tag w:val="_GBC_b358067bbe2a49bf880c383a5db50d8a"/>
        <w:id w:val="1526827650"/>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本公司在成为金融工具合同的一方时确认一项金融资产或金融负债。</w:t>
          </w:r>
        </w:p>
        <w:p w:rsidR="004A3868" w:rsidRDefault="003F1AB5">
          <w:pPr>
            <w:pStyle w:val="afff1"/>
            <w:spacing w:before="156"/>
            <w:ind w:firstLine="420"/>
            <w:rPr>
              <w:szCs w:val="21"/>
            </w:rPr>
          </w:pPr>
          <w:r>
            <w:rPr>
              <w:rFonts w:hint="eastAsia"/>
              <w:szCs w:val="21"/>
            </w:rPr>
            <w:t>实际利率法是指计算金融资产或金融负债的摊余成本以及将利息收入或利息费用分摊计入各会计期间的方法。</w:t>
          </w:r>
        </w:p>
        <w:p w:rsidR="004A3868" w:rsidRDefault="003F1AB5">
          <w:pPr>
            <w:pStyle w:val="afff1"/>
            <w:spacing w:before="156"/>
            <w:ind w:firstLine="420"/>
            <w:rPr>
              <w:szCs w:val="21"/>
            </w:rPr>
          </w:pPr>
          <w:r>
            <w:rPr>
              <w:rFonts w:hint="eastAsia"/>
              <w:szCs w:val="21"/>
            </w:rPr>
            <w:t>实际利率，是指将金融资产或金融负债在预计存续期的估计未来现金流量，折现为该金融资产账面余额或该金融负债摊余成本所使用的利率。在确定实际利率时，在考虑金融资产或金融负债所有合同条款</w:t>
          </w:r>
          <w:r>
            <w:rPr>
              <w:szCs w:val="21"/>
            </w:rPr>
            <w:t>(如提前还款、展期、看涨期权或其他类似期权等)的基础上估计预期现金流量，但不考虑预期信用损失。</w:t>
          </w:r>
        </w:p>
        <w:p w:rsidR="004A3868" w:rsidRDefault="003F1AB5">
          <w:pPr>
            <w:pStyle w:val="afff1"/>
            <w:spacing w:before="156"/>
            <w:ind w:firstLine="420"/>
            <w:rPr>
              <w:szCs w:val="21"/>
            </w:rPr>
          </w:pPr>
          <w:r>
            <w:rPr>
              <w:rFonts w:hint="eastAsia"/>
              <w:szCs w:val="21"/>
            </w:rPr>
            <w:t>金融资产或金融负债的摊余成本是以该金融资产或金融负债的初始确认金额扣除已偿还的本金，加上或减去采用实际利率法将该初始确认金额与到期日金额之间的差额进行摊销形成的累计摊销额，再扣除累计计提的损失准备</w:t>
          </w:r>
          <w:r>
            <w:rPr>
              <w:szCs w:val="21"/>
            </w:rPr>
            <w:t>(仅适用于金融资产)。</w:t>
          </w:r>
        </w:p>
        <w:p w:rsidR="004A3868" w:rsidRDefault="003F1AB5">
          <w:pPr>
            <w:pStyle w:val="afff1"/>
            <w:spacing w:before="156"/>
            <w:ind w:firstLine="420"/>
            <w:rPr>
              <w:szCs w:val="21"/>
            </w:rPr>
          </w:pPr>
          <w:r>
            <w:rPr>
              <w:szCs w:val="21"/>
            </w:rPr>
            <w:t>(1)金融资产的分类、确认和计量</w:t>
          </w:r>
        </w:p>
        <w:p w:rsidR="004A3868" w:rsidRDefault="003F1AB5">
          <w:pPr>
            <w:pStyle w:val="afff1"/>
            <w:spacing w:before="156"/>
            <w:ind w:firstLine="420"/>
            <w:rPr>
              <w:szCs w:val="21"/>
            </w:rPr>
          </w:pPr>
          <w:r>
            <w:rPr>
              <w:rFonts w:hint="eastAsia"/>
              <w:szCs w:val="21"/>
            </w:rPr>
            <w:t>本公司根据所管理金融资产的业务模式和金融资产的合同现金流量特征，将金融资产划分为以下三类：</w:t>
          </w:r>
        </w:p>
        <w:p w:rsidR="004A3868" w:rsidRDefault="003F1AB5">
          <w:pPr>
            <w:pStyle w:val="afff1"/>
            <w:spacing w:before="156"/>
            <w:ind w:firstLine="420"/>
            <w:rPr>
              <w:szCs w:val="21"/>
            </w:rPr>
          </w:pPr>
          <w:r>
            <w:rPr>
              <w:szCs w:val="21"/>
            </w:rPr>
            <w:t>1）以摊余成本计量的金融资产。</w:t>
          </w:r>
        </w:p>
        <w:p w:rsidR="004A3868" w:rsidRDefault="003F1AB5">
          <w:pPr>
            <w:pStyle w:val="afff1"/>
            <w:spacing w:before="156"/>
            <w:ind w:firstLine="420"/>
            <w:rPr>
              <w:szCs w:val="21"/>
            </w:rPr>
          </w:pPr>
          <w:r>
            <w:rPr>
              <w:szCs w:val="21"/>
            </w:rPr>
            <w:lastRenderedPageBreak/>
            <w:t>2）以公允价值计量且其变动计入其他综合收益的金融资产。</w:t>
          </w:r>
        </w:p>
        <w:p w:rsidR="004A3868" w:rsidRDefault="003F1AB5">
          <w:pPr>
            <w:pStyle w:val="afff1"/>
            <w:spacing w:before="156"/>
            <w:ind w:firstLine="420"/>
            <w:rPr>
              <w:szCs w:val="21"/>
            </w:rPr>
          </w:pPr>
          <w:r>
            <w:rPr>
              <w:szCs w:val="21"/>
            </w:rPr>
            <w:t>3）以公允价值计量且其变动计入当期损益的金融资产。</w:t>
          </w:r>
        </w:p>
        <w:p w:rsidR="004A3868" w:rsidRDefault="003F1AB5">
          <w:pPr>
            <w:pStyle w:val="afff1"/>
            <w:spacing w:before="156"/>
            <w:ind w:firstLine="420"/>
            <w:rPr>
              <w:szCs w:val="21"/>
            </w:rPr>
          </w:pPr>
          <w:r>
            <w:rPr>
              <w:rFonts w:hint="eastAsia"/>
              <w:szCs w:val="21"/>
            </w:rPr>
            <w:t>金融资产在初始确认时以公允价值计量，但是因销售商品或提供服务等产生的应收账款或应收票据未包含重大融资成分或不考虑不超过一年的融资成分的，按照交易价格进行初始计量。</w:t>
          </w:r>
        </w:p>
        <w:p w:rsidR="004A3868" w:rsidRDefault="003F1AB5">
          <w:pPr>
            <w:pStyle w:val="afff1"/>
            <w:spacing w:before="156"/>
            <w:ind w:firstLine="420"/>
            <w:rPr>
              <w:szCs w:val="21"/>
            </w:rPr>
          </w:pPr>
          <w:r>
            <w:rPr>
              <w:rFonts w:hint="eastAsia"/>
              <w:szCs w:val="21"/>
            </w:rPr>
            <w:t>对于以公允价值计量且其变动计入当期损益的金融资产，相关交易费用直接计入当期损益，其他类别的金融资产相关交易费用计入其初始确认金额。</w:t>
          </w:r>
        </w:p>
        <w:p w:rsidR="004A3868" w:rsidRDefault="003F1AB5">
          <w:pPr>
            <w:pStyle w:val="afff1"/>
            <w:spacing w:before="156"/>
            <w:ind w:firstLine="420"/>
            <w:rPr>
              <w:szCs w:val="21"/>
            </w:rPr>
          </w:pPr>
          <w:r>
            <w:rPr>
              <w:rFonts w:hint="eastAsia"/>
              <w:szCs w:val="21"/>
            </w:rPr>
            <w:t>金融资产的后续计量取决于其分类，当且仅当本公司改变管理金融资产的业务模式时，才对所有受影响的相关金融资产进行重分类。</w:t>
          </w:r>
        </w:p>
        <w:p w:rsidR="004A3868" w:rsidRDefault="003F1AB5">
          <w:pPr>
            <w:pStyle w:val="afff1"/>
            <w:spacing w:before="156"/>
            <w:ind w:firstLine="420"/>
            <w:rPr>
              <w:szCs w:val="21"/>
            </w:rPr>
          </w:pPr>
          <w:r>
            <w:rPr>
              <w:szCs w:val="21"/>
            </w:rPr>
            <w:t>1）分类为以摊余成本计量的金融资产</w:t>
          </w:r>
        </w:p>
        <w:p w:rsidR="004A3868" w:rsidRDefault="003F1AB5">
          <w:pPr>
            <w:pStyle w:val="afff1"/>
            <w:spacing w:before="156"/>
            <w:ind w:firstLine="420"/>
            <w:rPr>
              <w:szCs w:val="21"/>
            </w:rPr>
          </w:pPr>
          <w:r>
            <w:rPr>
              <w:rFonts w:hint="eastAsia"/>
              <w:szCs w:val="21"/>
            </w:rPr>
            <w:t>金融资产的合同条款规定在特定日期产生的现金流量仅为对本金和以未偿付本金金额为基础的利息的支付，且管理该金融资产的业务模式是以收取合同现金流量为目标，则本公司将该金融资产分类为以摊余成本计量的金融资产。本公司分类为以摊余成本计量的金融资产包括货币资金、应收款项融资、应收票据、应收账款、其他应收款、债权投资、长期应收款等。</w:t>
          </w:r>
        </w:p>
        <w:p w:rsidR="004A3868" w:rsidRDefault="003F1AB5">
          <w:pPr>
            <w:pStyle w:val="afff1"/>
            <w:spacing w:before="156"/>
            <w:ind w:firstLine="420"/>
            <w:rPr>
              <w:szCs w:val="21"/>
            </w:rPr>
          </w:pPr>
          <w:r>
            <w:rPr>
              <w:rFonts w:hint="eastAsia"/>
              <w:szCs w:val="21"/>
            </w:rPr>
            <w:t>本公司对此类金融资产采用实际利率法确认利息收入，按摊余成本进行后续计量，其发生减值时或终止确认、修改产生的利得或损失，计入当期损益。除下列情况外，本公司根据金融资产账面余额乘以实际利率计算确定利息收入：</w:t>
          </w:r>
        </w:p>
        <w:p w:rsidR="004A3868" w:rsidRDefault="003F1AB5">
          <w:pPr>
            <w:pStyle w:val="afff1"/>
            <w:spacing w:before="156"/>
            <w:ind w:firstLine="420"/>
            <w:rPr>
              <w:szCs w:val="21"/>
            </w:rPr>
          </w:pPr>
          <w:r>
            <w:rPr>
              <w:rFonts w:hint="eastAsia"/>
              <w:szCs w:val="21"/>
            </w:rPr>
            <w:t>①</w:t>
          </w:r>
          <w:r>
            <w:rPr>
              <w:szCs w:val="21"/>
            </w:rPr>
            <w:t>对于购入或源生的已发生信用减值的金融资产，本公司自初始确认起，按照该金融资产的摊余成本和经信用调整的实际利率计算确定其利息收入。</w:t>
          </w:r>
        </w:p>
        <w:p w:rsidR="004A3868" w:rsidRDefault="003F1AB5">
          <w:pPr>
            <w:pStyle w:val="afff1"/>
            <w:spacing w:before="156"/>
            <w:ind w:firstLine="420"/>
            <w:rPr>
              <w:szCs w:val="21"/>
            </w:rPr>
          </w:pPr>
          <w:r>
            <w:rPr>
              <w:rFonts w:hint="eastAsia"/>
              <w:szCs w:val="21"/>
            </w:rPr>
            <w:t>②</w:t>
          </w:r>
          <w:r>
            <w:rPr>
              <w:szCs w:val="21"/>
            </w:rPr>
            <w:t>对于购入或源生的未发生信用减值、但在后续期间成为已发生信用减值的金融资产，本公司在后续期间，按照该金融资产的摊余成本和实际利率计算确定其利息收入。若该金融工具在后续期间因其信用风险有所改善而不再存在信用减值，本公司转按实际利率乘以该金融资产账面余额来计算确定利息收入。</w:t>
          </w:r>
        </w:p>
        <w:p w:rsidR="004A3868" w:rsidRDefault="003F1AB5">
          <w:pPr>
            <w:pStyle w:val="afff1"/>
            <w:spacing w:before="156"/>
            <w:ind w:firstLine="420"/>
            <w:rPr>
              <w:szCs w:val="21"/>
            </w:rPr>
          </w:pPr>
          <w:r>
            <w:rPr>
              <w:szCs w:val="21"/>
            </w:rPr>
            <w:t>2）分类为以公允价值计量且其变动计入其他综合收益的金融资产</w:t>
          </w:r>
        </w:p>
        <w:p w:rsidR="004A3868" w:rsidRDefault="003F1AB5">
          <w:pPr>
            <w:pStyle w:val="afff1"/>
            <w:spacing w:before="156"/>
            <w:ind w:firstLine="420"/>
            <w:rPr>
              <w:szCs w:val="21"/>
            </w:rPr>
          </w:pPr>
          <w:r>
            <w:rPr>
              <w:rFonts w:hint="eastAsia"/>
              <w:szCs w:val="21"/>
            </w:rPr>
            <w:t>金融资产的合同条款规定在特定日期产生的现金流量仅为对本金和以未偿付本金金额为基础的利息的支付，且管理该金融资产的业务模式既以收取合同现金流量为目标又以出售该金融资产为目标，则本公司将该金融资产分类为以公允价值计量且其变动计入其他综合收益的金融资产。</w:t>
          </w:r>
        </w:p>
        <w:p w:rsidR="004A3868" w:rsidRDefault="003F1AB5">
          <w:pPr>
            <w:pStyle w:val="afff1"/>
            <w:spacing w:before="156"/>
            <w:ind w:firstLine="420"/>
            <w:rPr>
              <w:szCs w:val="21"/>
            </w:rPr>
          </w:pPr>
          <w:r>
            <w:rPr>
              <w:rFonts w:hint="eastAsia"/>
              <w:szCs w:val="21"/>
            </w:rPr>
            <w:lastRenderedPageBreak/>
            <w:t>本公司对此类金融资产采用实际利率法确认利息收入。除利息收入、减值损失及汇兑差额确认为当期损益外，其余公允价值变动计入其他综合收益。当该金融资产终止确认时，之前计入其他综合收益的累计利得或损失从其他综合收益中转出，计入当期损益。</w:t>
          </w:r>
        </w:p>
        <w:p w:rsidR="004A3868" w:rsidRDefault="003F1AB5">
          <w:pPr>
            <w:pStyle w:val="afff1"/>
            <w:spacing w:before="156"/>
            <w:ind w:firstLine="420"/>
            <w:rPr>
              <w:szCs w:val="21"/>
            </w:rPr>
          </w:pPr>
          <w:r>
            <w:rPr>
              <w:rFonts w:hint="eastAsia"/>
              <w:szCs w:val="21"/>
            </w:rPr>
            <w:t>以公允价值计量且变动计入其他综合收益的应收票据及应收账款列报为应收款项融资，其他此类金融资产列报为其他债权投资，其中：自资产负债表日起一年内到期的其他债权投资列报为一年内到期的非流动资产，原到期日在一年以内的其他债权投资列报为其他流动资产。</w:t>
          </w:r>
        </w:p>
        <w:p w:rsidR="004A3868" w:rsidRDefault="003F1AB5">
          <w:pPr>
            <w:pStyle w:val="afff1"/>
            <w:spacing w:before="156"/>
            <w:ind w:firstLine="420"/>
            <w:rPr>
              <w:szCs w:val="21"/>
            </w:rPr>
          </w:pPr>
          <w:r>
            <w:rPr>
              <w:szCs w:val="21"/>
            </w:rPr>
            <w:t>3）指定为以公允价值计量且其变动计入其他综合收益的金融资产</w:t>
          </w:r>
        </w:p>
        <w:p w:rsidR="004A3868" w:rsidRDefault="003F1AB5">
          <w:pPr>
            <w:pStyle w:val="afff1"/>
            <w:spacing w:before="156"/>
            <w:ind w:firstLine="420"/>
            <w:rPr>
              <w:szCs w:val="21"/>
            </w:rPr>
          </w:pPr>
          <w:r>
            <w:rPr>
              <w:rFonts w:hint="eastAsia"/>
              <w:szCs w:val="21"/>
            </w:rPr>
            <w:t>在初始确认时，本公司可以单项金融资产为基础不可撤销地将非交易性权益工具投资指定为以公允价值计量且其变动计入其他综合收益的金融资产。</w:t>
          </w:r>
        </w:p>
        <w:p w:rsidR="004A3868" w:rsidRDefault="003F1AB5">
          <w:pPr>
            <w:pStyle w:val="afff1"/>
            <w:spacing w:before="156"/>
            <w:ind w:firstLine="420"/>
            <w:rPr>
              <w:szCs w:val="21"/>
            </w:rPr>
          </w:pPr>
          <w:r>
            <w:rPr>
              <w:rFonts w:hint="eastAsia"/>
              <w:szCs w:val="21"/>
            </w:rPr>
            <w:t>此类金融资产的公允价值变动计入其他综合收益，不需计提减值准备。该金融资产终止确认时，之前计入其他综合收益的累计利得或损失从其他综合收益中转出，计入留存收益。本公司持有该权益工具投资期间，在本公司收取股利的权利已经确立，与股利相关的经济利益很可能流入本公司，且股利的金额能够可靠计量时，确认股利收入并计入当期损益。本公司对此类金融资产在其他权益工具投资项目下列报。</w:t>
          </w:r>
        </w:p>
        <w:p w:rsidR="004A3868" w:rsidRDefault="003F1AB5">
          <w:pPr>
            <w:pStyle w:val="afff1"/>
            <w:spacing w:before="156"/>
            <w:ind w:firstLine="420"/>
            <w:rPr>
              <w:szCs w:val="21"/>
            </w:rPr>
          </w:pPr>
          <w:r>
            <w:rPr>
              <w:rFonts w:hint="eastAsia"/>
              <w:szCs w:val="21"/>
            </w:rPr>
            <w:t>权益工具投资满足下列条件之一的，属于以公允价值计量且其变动计入当期损益的金融资产：取得该金融资产的目的主要是为了近期出售；初始确认时属于集中管理的可辨认金融资产工具组合的一部分，且有客观证据表明近期实际存在短期获利模式；属于衍生工具（符合财务担保合同定义的以及被指定为有效套期工具的衍生工具除外）。</w:t>
          </w:r>
        </w:p>
        <w:p w:rsidR="004A3868" w:rsidRDefault="003F1AB5">
          <w:pPr>
            <w:pStyle w:val="afff1"/>
            <w:spacing w:before="156"/>
            <w:ind w:firstLine="420"/>
            <w:rPr>
              <w:szCs w:val="21"/>
            </w:rPr>
          </w:pPr>
          <w:r>
            <w:rPr>
              <w:szCs w:val="21"/>
            </w:rPr>
            <w:t>4）分类为以公允价值计量且其变动计入当期损益的金融资产</w:t>
          </w:r>
        </w:p>
        <w:p w:rsidR="004A3868" w:rsidRDefault="003F1AB5">
          <w:pPr>
            <w:pStyle w:val="afff1"/>
            <w:spacing w:before="156"/>
            <w:ind w:firstLine="420"/>
            <w:rPr>
              <w:szCs w:val="21"/>
            </w:rPr>
          </w:pPr>
          <w:r>
            <w:rPr>
              <w:rFonts w:hint="eastAsia"/>
              <w:szCs w:val="21"/>
            </w:rPr>
            <w:t>不符合分类为以摊余成本计量或以公允价值计量且其变动计入其他综合收益的金融资产条件、亦不指定为以公允价值计量且其变动计入其他综合收益的金融资产均分类为以公允价值计量且其变动计入当期损益的金融资产。</w:t>
          </w:r>
        </w:p>
        <w:p w:rsidR="004A3868" w:rsidRDefault="003F1AB5">
          <w:pPr>
            <w:pStyle w:val="afff1"/>
            <w:spacing w:before="156"/>
            <w:ind w:firstLine="420"/>
            <w:rPr>
              <w:szCs w:val="21"/>
            </w:rPr>
          </w:pPr>
          <w:r>
            <w:rPr>
              <w:rFonts w:hint="eastAsia"/>
              <w:szCs w:val="21"/>
            </w:rPr>
            <w:t>本公司对此类金融资产采用公允价值进行后续计量，将公允价值变动形成的利得或损失以及与此类金融资产相关的股利和利息收入计入当期损益。</w:t>
          </w:r>
        </w:p>
        <w:p w:rsidR="004A3868" w:rsidRDefault="003F1AB5">
          <w:pPr>
            <w:pStyle w:val="afff1"/>
            <w:spacing w:before="156"/>
            <w:ind w:firstLine="420"/>
            <w:rPr>
              <w:szCs w:val="21"/>
            </w:rPr>
          </w:pPr>
          <w:r>
            <w:rPr>
              <w:rFonts w:hint="eastAsia"/>
              <w:szCs w:val="21"/>
            </w:rPr>
            <w:t>本公司对此类金融资产根据其流动性在交易性金融资产、其他非流动金融资产项目列报。</w:t>
          </w:r>
        </w:p>
        <w:p w:rsidR="004A3868" w:rsidRDefault="003F1AB5">
          <w:pPr>
            <w:pStyle w:val="afff1"/>
            <w:spacing w:before="156"/>
            <w:ind w:firstLine="420"/>
            <w:rPr>
              <w:szCs w:val="21"/>
            </w:rPr>
          </w:pPr>
          <w:r>
            <w:rPr>
              <w:szCs w:val="21"/>
            </w:rPr>
            <w:t>5）指定为以公允价值计量且其变动计入当期损益的金融资产</w:t>
          </w:r>
        </w:p>
        <w:p w:rsidR="004A3868" w:rsidRDefault="003F1AB5">
          <w:pPr>
            <w:pStyle w:val="afff1"/>
            <w:spacing w:before="156"/>
            <w:ind w:firstLine="420"/>
            <w:rPr>
              <w:szCs w:val="21"/>
            </w:rPr>
          </w:pPr>
          <w:r>
            <w:rPr>
              <w:rFonts w:hint="eastAsia"/>
              <w:szCs w:val="21"/>
            </w:rPr>
            <w:lastRenderedPageBreak/>
            <w:t>在初始确认时，本公司为了消除或显著减少会计错配，可以单项金融资产为基础不可撤销地将金融资产指定为以公允价值计量且其变动计入当期损益的金融资产。</w:t>
          </w:r>
        </w:p>
        <w:p w:rsidR="004A3868" w:rsidRDefault="003F1AB5">
          <w:pPr>
            <w:pStyle w:val="afff1"/>
            <w:spacing w:before="156"/>
            <w:ind w:firstLine="420"/>
            <w:rPr>
              <w:szCs w:val="21"/>
            </w:rPr>
          </w:pPr>
          <w:r>
            <w:rPr>
              <w:rFonts w:hint="eastAsia"/>
              <w:szCs w:val="21"/>
            </w:rPr>
            <w:t>混合合同包含一项或多项嵌入衍生工具，且其主合同不属于以上金融资产的，本公司可以将其整体指定为以公允价值计量且其变动计入当期损益的金融工具。但下列情况除外：</w:t>
          </w:r>
        </w:p>
        <w:p w:rsidR="004A3868" w:rsidRDefault="003F1AB5">
          <w:pPr>
            <w:pStyle w:val="afff1"/>
            <w:spacing w:before="156"/>
            <w:ind w:firstLine="420"/>
            <w:rPr>
              <w:szCs w:val="21"/>
            </w:rPr>
          </w:pPr>
          <w:r>
            <w:rPr>
              <w:rFonts w:hint="eastAsia"/>
              <w:szCs w:val="21"/>
            </w:rPr>
            <w:t>①</w:t>
          </w:r>
          <w:r>
            <w:rPr>
              <w:szCs w:val="21"/>
            </w:rPr>
            <w:t>嵌入衍生工具不会对混合合同的现金流量产生重大改变。</w:t>
          </w:r>
        </w:p>
        <w:p w:rsidR="004A3868" w:rsidRDefault="003F1AB5">
          <w:pPr>
            <w:pStyle w:val="afff1"/>
            <w:spacing w:before="156"/>
            <w:ind w:firstLine="420"/>
            <w:rPr>
              <w:szCs w:val="21"/>
            </w:rPr>
          </w:pPr>
          <w:r>
            <w:rPr>
              <w:rFonts w:hint="eastAsia"/>
              <w:szCs w:val="21"/>
            </w:rPr>
            <w:t>②</w:t>
          </w:r>
          <w:r>
            <w:rPr>
              <w:szCs w:val="21"/>
            </w:rPr>
            <w:t>在初次确定类似的混合合同是否需要分拆时，几乎不需分析就能明确其包含的嵌入衍生工具不应分拆。如嵌入贷款的提前还款权，允许持有人以接近摊余成本的金额提前偿还贷款，该提前还款权不需要分拆。</w:t>
          </w:r>
        </w:p>
        <w:p w:rsidR="004A3868" w:rsidRDefault="003F1AB5">
          <w:pPr>
            <w:pStyle w:val="afff1"/>
            <w:spacing w:before="156"/>
            <w:ind w:firstLine="420"/>
            <w:rPr>
              <w:szCs w:val="21"/>
            </w:rPr>
          </w:pPr>
          <w:r>
            <w:rPr>
              <w:rFonts w:hint="eastAsia"/>
              <w:szCs w:val="21"/>
            </w:rPr>
            <w:t>本公司对此类金融资产采用公允价值进行后续计量，将公允价值变动形成的利得或损失以及与此类金融资产相关的股利和利息收入计入当期损益。</w:t>
          </w:r>
        </w:p>
        <w:p w:rsidR="004A3868" w:rsidRDefault="003F1AB5">
          <w:pPr>
            <w:pStyle w:val="afff1"/>
            <w:spacing w:before="156"/>
            <w:ind w:firstLine="420"/>
            <w:rPr>
              <w:szCs w:val="21"/>
            </w:rPr>
          </w:pPr>
          <w:r>
            <w:rPr>
              <w:rFonts w:hint="eastAsia"/>
              <w:szCs w:val="21"/>
            </w:rPr>
            <w:t>本公司对此类金融资产根据其流动性在交易性金融资产、其他非流动金融资产项目列报。</w:t>
          </w:r>
        </w:p>
        <w:p w:rsidR="004A3868" w:rsidRDefault="003F1AB5">
          <w:pPr>
            <w:pStyle w:val="afff1"/>
            <w:spacing w:before="156"/>
            <w:ind w:firstLine="420"/>
            <w:rPr>
              <w:szCs w:val="21"/>
            </w:rPr>
          </w:pPr>
          <w:r>
            <w:rPr>
              <w:szCs w:val="21"/>
            </w:rPr>
            <w:t>(2)金融负债的分类、确认和计量</w:t>
          </w:r>
        </w:p>
        <w:p w:rsidR="004A3868" w:rsidRDefault="003F1AB5">
          <w:pPr>
            <w:pStyle w:val="afff1"/>
            <w:spacing w:before="156"/>
            <w:ind w:firstLine="420"/>
            <w:rPr>
              <w:szCs w:val="21"/>
            </w:rPr>
          </w:pPr>
          <w:r>
            <w:rPr>
              <w:rFonts w:hint="eastAsia"/>
              <w:szCs w:val="21"/>
            </w:rPr>
            <w:t>本公司根据所发行金融工具的合同条款及其所反映的经济实质而非仅以法律形式，结合金融负债和权益工具的定义，在初始确认时将该金融工具或其组成部分分类为金融负债或权益工具。金融负债在初始确认时分类为：以公允价值计量且其变动计入当期损益的金融负债、其他金融负债、被指定为有效套期工具的衍生工具。</w:t>
          </w:r>
        </w:p>
        <w:p w:rsidR="004A3868" w:rsidRDefault="003F1AB5">
          <w:pPr>
            <w:pStyle w:val="afff1"/>
            <w:spacing w:before="156"/>
            <w:ind w:firstLine="420"/>
            <w:rPr>
              <w:szCs w:val="21"/>
            </w:rPr>
          </w:pPr>
          <w:r>
            <w:rPr>
              <w:rFonts w:hint="eastAsia"/>
              <w:szCs w:val="21"/>
            </w:rPr>
            <w:t>金融负债在初始确认时以公允价值计量。对于以公允价值计量且其变动计入当期损益的金融负债，相关的交易费用直接计入当期损益；对于其他类别的金融负债，相关交易费用计入初始确认金额。</w:t>
          </w:r>
        </w:p>
        <w:p w:rsidR="004A3868" w:rsidRDefault="003F1AB5">
          <w:pPr>
            <w:pStyle w:val="afff1"/>
            <w:spacing w:before="156"/>
            <w:ind w:firstLine="420"/>
            <w:rPr>
              <w:szCs w:val="21"/>
            </w:rPr>
          </w:pPr>
          <w:r>
            <w:rPr>
              <w:rFonts w:hint="eastAsia"/>
              <w:szCs w:val="21"/>
            </w:rPr>
            <w:t>金融负债的后续计量取决于其分类：</w:t>
          </w:r>
        </w:p>
        <w:p w:rsidR="004A3868" w:rsidRDefault="003F1AB5">
          <w:pPr>
            <w:pStyle w:val="afff1"/>
            <w:spacing w:before="156"/>
            <w:ind w:firstLine="420"/>
            <w:rPr>
              <w:szCs w:val="21"/>
            </w:rPr>
          </w:pPr>
          <w:r>
            <w:rPr>
              <w:szCs w:val="21"/>
            </w:rPr>
            <w:t>1）以公允价值计量且其变动计入当期损益的金融负债</w:t>
          </w:r>
        </w:p>
        <w:p w:rsidR="004A3868" w:rsidRDefault="003F1AB5">
          <w:pPr>
            <w:pStyle w:val="afff1"/>
            <w:spacing w:before="156"/>
            <w:ind w:firstLine="420"/>
            <w:rPr>
              <w:szCs w:val="21"/>
            </w:rPr>
          </w:pPr>
          <w:r>
            <w:rPr>
              <w:rFonts w:hint="eastAsia"/>
              <w:szCs w:val="21"/>
            </w:rPr>
            <w:t>此类金融负债包括交易性金融负债（含属于金融负债的衍生工具）和初始确认时指定为以公允价值计量且其变动计入当期损益的金融负债。</w:t>
          </w:r>
        </w:p>
        <w:p w:rsidR="004A3868" w:rsidRDefault="003F1AB5">
          <w:pPr>
            <w:pStyle w:val="afff1"/>
            <w:spacing w:before="156"/>
            <w:ind w:firstLine="420"/>
            <w:rPr>
              <w:szCs w:val="21"/>
            </w:rPr>
          </w:pPr>
          <w:r>
            <w:rPr>
              <w:rFonts w:hint="eastAsia"/>
              <w:szCs w:val="21"/>
            </w:rPr>
            <w:t>满足下列条件之一的，属于交易性金融负债：承担相关金融负债的目的主要是为了在近期内出售或回购；属于集中管理的可辨认金融工具组合的一部分，且有客观证据表明企业近期采用短</w:t>
          </w:r>
          <w:r>
            <w:rPr>
              <w:rFonts w:hint="eastAsia"/>
              <w:szCs w:val="21"/>
            </w:rPr>
            <w:lastRenderedPageBreak/>
            <w:t>期获利方式模式；属于衍生工具，但是，被指定且为有效套期工具的衍生工具、符合财务担保合同的衍生工具除外。交易性金融负债（含属于金融负债的衍生工具），按照公允价值进行后续计量，除与套期会计有关外，所有公允价值变动均计入当期损益。</w:t>
          </w:r>
        </w:p>
        <w:p w:rsidR="004A3868" w:rsidRDefault="003F1AB5">
          <w:pPr>
            <w:pStyle w:val="afff1"/>
            <w:spacing w:before="156"/>
            <w:ind w:firstLine="420"/>
            <w:rPr>
              <w:szCs w:val="21"/>
            </w:rPr>
          </w:pPr>
          <w:r>
            <w:rPr>
              <w:rFonts w:hint="eastAsia"/>
              <w:szCs w:val="21"/>
            </w:rPr>
            <w:t>在初始确认时，为了提供更相关的会计信息，本公司将满足下列条件之一的金融负债不可撤销地指定为以公允价值计量且其变动计入当期损益的金融负债：</w:t>
          </w:r>
        </w:p>
        <w:p w:rsidR="004A3868" w:rsidRDefault="003F1AB5">
          <w:pPr>
            <w:pStyle w:val="afff1"/>
            <w:spacing w:before="156"/>
            <w:ind w:firstLine="420"/>
            <w:rPr>
              <w:szCs w:val="21"/>
            </w:rPr>
          </w:pPr>
          <w:r>
            <w:rPr>
              <w:rFonts w:hint="eastAsia"/>
              <w:szCs w:val="21"/>
            </w:rPr>
            <w:t>①</w:t>
          </w:r>
          <w:r>
            <w:rPr>
              <w:szCs w:val="21"/>
            </w:rPr>
            <w:t>能够消除或显著减少会计错配。</w:t>
          </w:r>
        </w:p>
        <w:p w:rsidR="004A3868" w:rsidRDefault="003F1AB5">
          <w:pPr>
            <w:pStyle w:val="afff1"/>
            <w:spacing w:before="156"/>
            <w:ind w:firstLine="420"/>
            <w:rPr>
              <w:szCs w:val="21"/>
            </w:rPr>
          </w:pPr>
          <w:r>
            <w:rPr>
              <w:rFonts w:hint="eastAsia"/>
              <w:szCs w:val="21"/>
            </w:rPr>
            <w:t>②</w:t>
          </w:r>
          <w:r>
            <w:rPr>
              <w:szCs w:val="21"/>
            </w:rPr>
            <w:t>根据正式书面文件载明的企业风险管理或投资策略，以公允价值为基础对金融负债组合或金融资产和金融负债组合进行管理和业绩评价，并在企业内部以此为基础向关键管理人员报告。</w:t>
          </w:r>
        </w:p>
        <w:p w:rsidR="004A3868" w:rsidRDefault="003F1AB5">
          <w:pPr>
            <w:pStyle w:val="afff1"/>
            <w:spacing w:before="156"/>
            <w:ind w:firstLine="420"/>
            <w:rPr>
              <w:szCs w:val="21"/>
            </w:rPr>
          </w:pPr>
          <w:r>
            <w:rPr>
              <w:rFonts w:hint="eastAsia"/>
              <w:szCs w:val="21"/>
            </w:rPr>
            <w:t>本公司对此类金融负债采用公允价值进行后续计量，除由本公司自身信用风险变动引起的公允价值变动计入其他综合收益之外，其他公允价值变动计入当期损益。除非由本公司自身信用风险变动引起的公允价值变动计入其他综合收益会造成或扩大损益中的会计错配，本公司将所有公允价值变动（包括自身信用风险变动的影响金额）计入当期损益。</w:t>
          </w:r>
        </w:p>
        <w:p w:rsidR="004A3868" w:rsidRDefault="003F1AB5">
          <w:pPr>
            <w:pStyle w:val="afff1"/>
            <w:spacing w:before="156"/>
            <w:ind w:firstLine="420"/>
            <w:rPr>
              <w:szCs w:val="21"/>
            </w:rPr>
          </w:pPr>
          <w:r>
            <w:rPr>
              <w:szCs w:val="21"/>
            </w:rPr>
            <w:t>2）其他金融负债</w:t>
          </w:r>
        </w:p>
        <w:p w:rsidR="004A3868" w:rsidRDefault="003F1AB5">
          <w:pPr>
            <w:pStyle w:val="afff1"/>
            <w:spacing w:before="156"/>
            <w:ind w:firstLine="420"/>
            <w:rPr>
              <w:szCs w:val="21"/>
            </w:rPr>
          </w:pPr>
          <w:r>
            <w:rPr>
              <w:rFonts w:hint="eastAsia"/>
              <w:szCs w:val="21"/>
            </w:rPr>
            <w:t>除下列各项外，公司将金融负债分类为以摊余成本计量的金融负债，对此类金融负债采用实际利率法，按照摊余成本进行后续计量，终止确认或摊销产生的利得或损失计入当期损益：</w:t>
          </w:r>
        </w:p>
        <w:p w:rsidR="004A3868" w:rsidRDefault="003F1AB5">
          <w:pPr>
            <w:pStyle w:val="afff1"/>
            <w:spacing w:before="156"/>
            <w:ind w:firstLine="420"/>
            <w:rPr>
              <w:szCs w:val="21"/>
            </w:rPr>
          </w:pPr>
          <w:r>
            <w:rPr>
              <w:rFonts w:hint="eastAsia"/>
              <w:szCs w:val="21"/>
            </w:rPr>
            <w:t>①</w:t>
          </w:r>
          <w:r>
            <w:rPr>
              <w:szCs w:val="21"/>
            </w:rPr>
            <w:t>以公允价值计量且其变动计入当期损益的金融负债。</w:t>
          </w:r>
        </w:p>
        <w:p w:rsidR="004A3868" w:rsidRDefault="003F1AB5">
          <w:pPr>
            <w:pStyle w:val="afff1"/>
            <w:spacing w:before="156"/>
            <w:ind w:firstLine="420"/>
            <w:rPr>
              <w:szCs w:val="21"/>
            </w:rPr>
          </w:pPr>
          <w:r>
            <w:rPr>
              <w:rFonts w:hint="eastAsia"/>
              <w:szCs w:val="21"/>
            </w:rPr>
            <w:t>②</w:t>
          </w:r>
          <w:r>
            <w:rPr>
              <w:szCs w:val="21"/>
            </w:rPr>
            <w:t>金融资产转移不符合终止确认条件或继续涉入被转移金融资产所形成的金融负债。</w:t>
          </w:r>
        </w:p>
        <w:p w:rsidR="004A3868" w:rsidRDefault="003F1AB5">
          <w:pPr>
            <w:pStyle w:val="afff1"/>
            <w:spacing w:before="156"/>
            <w:ind w:firstLine="420"/>
            <w:rPr>
              <w:szCs w:val="21"/>
            </w:rPr>
          </w:pPr>
          <w:r>
            <w:rPr>
              <w:rFonts w:hint="eastAsia"/>
              <w:szCs w:val="21"/>
            </w:rPr>
            <w:t>③</w:t>
          </w:r>
          <w:r>
            <w:rPr>
              <w:szCs w:val="21"/>
            </w:rPr>
            <w:t>不属于本条前两类情形的财务担保合同，以及不属于本条第1）类情形的以低于市场利率贷款的贷款承诺。</w:t>
          </w:r>
        </w:p>
        <w:p w:rsidR="004A3868" w:rsidRDefault="003F1AB5">
          <w:pPr>
            <w:pStyle w:val="afff1"/>
            <w:spacing w:before="156"/>
            <w:ind w:firstLine="420"/>
            <w:rPr>
              <w:szCs w:val="21"/>
            </w:rPr>
          </w:pPr>
          <w:r>
            <w:rPr>
              <w:rFonts w:hint="eastAsia"/>
              <w:szCs w:val="21"/>
            </w:rPr>
            <w:t>财务担保合同是指当特定债务人到期不能按照最初或修改后的债务工具条款偿付债务时，要求发行方向蒙受损失的合同持有人赔付特定金额的合同。不属于指定为以公允价值计量且其变动计入当期损益的金融负债的财务担保合同，在初始确认后按照损失准备金额以及初始确认金额扣除担保期内的累计摊销额后的余额孰高进行计量。</w:t>
          </w:r>
        </w:p>
        <w:p w:rsidR="004A3868" w:rsidRDefault="003F1AB5">
          <w:pPr>
            <w:pStyle w:val="afff1"/>
            <w:spacing w:before="156"/>
            <w:ind w:firstLine="420"/>
            <w:rPr>
              <w:szCs w:val="21"/>
            </w:rPr>
          </w:pPr>
          <w:r>
            <w:rPr>
              <w:szCs w:val="21"/>
            </w:rPr>
            <w:t>(3</w:t>
          </w:r>
          <w:r>
            <w:rPr>
              <w:rFonts w:hint="eastAsia"/>
              <w:szCs w:val="21"/>
            </w:rPr>
            <w:t>)</w:t>
          </w:r>
          <w:r>
            <w:rPr>
              <w:szCs w:val="21"/>
            </w:rPr>
            <w:t>金融资产和金融负债的终止确认</w:t>
          </w:r>
        </w:p>
        <w:p w:rsidR="004A3868" w:rsidRDefault="003F1AB5">
          <w:pPr>
            <w:pStyle w:val="afff1"/>
            <w:spacing w:before="156"/>
            <w:ind w:firstLine="420"/>
            <w:rPr>
              <w:szCs w:val="21"/>
            </w:rPr>
          </w:pPr>
          <w:r>
            <w:rPr>
              <w:szCs w:val="21"/>
            </w:rPr>
            <w:t>1）金融资产满足下列条件之一的，终止确认金融资产，即从其账户和资产负债表内予以转销：</w:t>
          </w:r>
        </w:p>
        <w:p w:rsidR="004A3868" w:rsidRDefault="003F1AB5">
          <w:pPr>
            <w:pStyle w:val="afff1"/>
            <w:spacing w:before="156"/>
            <w:ind w:firstLine="420"/>
            <w:rPr>
              <w:szCs w:val="21"/>
            </w:rPr>
          </w:pPr>
          <w:r>
            <w:rPr>
              <w:rFonts w:hint="eastAsia"/>
              <w:szCs w:val="21"/>
            </w:rPr>
            <w:lastRenderedPageBreak/>
            <w:t>①</w:t>
          </w:r>
          <w:r>
            <w:rPr>
              <w:szCs w:val="21"/>
            </w:rPr>
            <w:t>收取该金融资产现金流量的合同权利终止。</w:t>
          </w:r>
        </w:p>
        <w:p w:rsidR="004A3868" w:rsidRDefault="003F1AB5">
          <w:pPr>
            <w:pStyle w:val="afff1"/>
            <w:spacing w:before="156"/>
            <w:ind w:firstLine="420"/>
            <w:rPr>
              <w:szCs w:val="21"/>
            </w:rPr>
          </w:pPr>
          <w:r>
            <w:rPr>
              <w:rFonts w:hint="eastAsia"/>
              <w:szCs w:val="21"/>
            </w:rPr>
            <w:t>②</w:t>
          </w:r>
          <w:r>
            <w:rPr>
              <w:szCs w:val="21"/>
            </w:rPr>
            <w:t>该金融资产已转移，且该转移满足金融资产终止确认的规定。</w:t>
          </w:r>
        </w:p>
        <w:p w:rsidR="004A3868" w:rsidRDefault="003F1AB5">
          <w:pPr>
            <w:pStyle w:val="afff1"/>
            <w:spacing w:before="156"/>
            <w:ind w:firstLine="420"/>
            <w:rPr>
              <w:szCs w:val="21"/>
            </w:rPr>
          </w:pPr>
          <w:r>
            <w:rPr>
              <w:szCs w:val="21"/>
            </w:rPr>
            <w:t>2）金融负债终止确认条件</w:t>
          </w:r>
        </w:p>
        <w:p w:rsidR="004A3868" w:rsidRDefault="003F1AB5">
          <w:pPr>
            <w:pStyle w:val="afff1"/>
            <w:spacing w:before="156"/>
            <w:ind w:firstLine="420"/>
            <w:rPr>
              <w:szCs w:val="21"/>
            </w:rPr>
          </w:pPr>
          <w:r>
            <w:rPr>
              <w:rFonts w:hint="eastAsia"/>
              <w:szCs w:val="21"/>
            </w:rPr>
            <w:t>金融负债（或其一部分）的现时义务已经解除的，则终止确认该金融负债（或该部分金融负债）。</w:t>
          </w:r>
        </w:p>
        <w:p w:rsidR="004A3868" w:rsidRDefault="003F1AB5">
          <w:pPr>
            <w:pStyle w:val="afff1"/>
            <w:spacing w:before="156"/>
            <w:ind w:firstLine="420"/>
            <w:rPr>
              <w:szCs w:val="21"/>
            </w:rPr>
          </w:pPr>
          <w:r>
            <w:rPr>
              <w:rFonts w:hint="eastAsia"/>
              <w:szCs w:val="21"/>
            </w:rPr>
            <w:t>本公司与借出方之间签订协议，以承担新金融负债方式替换原金融负债，且新金融负债与原金融负债的合同条款实质上不同的，或对原金融负债（或其一部分）的合同条款做出实质性修改的，则终止确认原金融负债，同时确认一项新金融负债，账面价值与支付的对价（包括转出的非现金资产或承担的负债）之间的差额，计入当期损益。</w:t>
          </w:r>
        </w:p>
        <w:p w:rsidR="004A3868" w:rsidRDefault="003F1AB5">
          <w:pPr>
            <w:pStyle w:val="afff1"/>
            <w:spacing w:before="156"/>
            <w:ind w:firstLine="420"/>
            <w:rPr>
              <w:szCs w:val="21"/>
            </w:rPr>
          </w:pPr>
          <w:r>
            <w:rPr>
              <w:rFonts w:hint="eastAsia"/>
              <w:szCs w:val="21"/>
            </w:rPr>
            <w:t>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应当计入当期损益。</w:t>
          </w:r>
        </w:p>
        <w:p w:rsidR="004A3868" w:rsidRDefault="003F1AB5">
          <w:pPr>
            <w:pStyle w:val="afff1"/>
            <w:spacing w:before="156"/>
            <w:ind w:firstLine="420"/>
            <w:rPr>
              <w:szCs w:val="21"/>
            </w:rPr>
          </w:pPr>
          <w:r>
            <w:rPr>
              <w:szCs w:val="21"/>
            </w:rPr>
            <w:t>(4</w:t>
          </w:r>
          <w:r>
            <w:rPr>
              <w:rFonts w:hint="eastAsia"/>
              <w:szCs w:val="21"/>
            </w:rPr>
            <w:t>)</w:t>
          </w:r>
          <w:r>
            <w:rPr>
              <w:szCs w:val="21"/>
            </w:rPr>
            <w:t>金融资产转移的确认依据和计量方法</w:t>
          </w:r>
        </w:p>
        <w:p w:rsidR="004A3868" w:rsidRDefault="003F1AB5">
          <w:pPr>
            <w:pStyle w:val="afff1"/>
            <w:spacing w:before="156"/>
            <w:ind w:firstLine="420"/>
            <w:rPr>
              <w:szCs w:val="21"/>
            </w:rPr>
          </w:pPr>
          <w:r>
            <w:rPr>
              <w:rFonts w:hint="eastAsia"/>
              <w:szCs w:val="21"/>
            </w:rPr>
            <w:t>本公司在发生金融资产转移时，评估其保留金融资产所有权上的风险和报酬的程度，并分别下列情形处理：</w:t>
          </w:r>
        </w:p>
        <w:p w:rsidR="004A3868" w:rsidRDefault="003F1AB5">
          <w:pPr>
            <w:pStyle w:val="afff1"/>
            <w:spacing w:before="156"/>
            <w:ind w:firstLine="420"/>
            <w:rPr>
              <w:szCs w:val="21"/>
            </w:rPr>
          </w:pPr>
          <w:r>
            <w:rPr>
              <w:szCs w:val="21"/>
            </w:rPr>
            <w:t>1）转移了金融资产所有权上几乎所有风险和报酬的，则终止确认该金融资产，并将转移中产生或保留的权利和义务单独确认为资产或负债。</w:t>
          </w:r>
        </w:p>
        <w:p w:rsidR="004A3868" w:rsidRDefault="003F1AB5">
          <w:pPr>
            <w:pStyle w:val="afff1"/>
            <w:spacing w:before="156"/>
            <w:ind w:firstLine="420"/>
            <w:rPr>
              <w:szCs w:val="21"/>
            </w:rPr>
          </w:pPr>
          <w:r>
            <w:rPr>
              <w:szCs w:val="21"/>
            </w:rPr>
            <w:t>2）保留了金融资产所有权上几乎所有风险和报酬的，则继续确认该金融资产。</w:t>
          </w:r>
        </w:p>
        <w:p w:rsidR="004A3868" w:rsidRDefault="003F1AB5">
          <w:pPr>
            <w:pStyle w:val="afff1"/>
            <w:spacing w:before="156"/>
            <w:ind w:firstLine="420"/>
            <w:rPr>
              <w:szCs w:val="21"/>
            </w:rPr>
          </w:pPr>
          <w:r>
            <w:rPr>
              <w:szCs w:val="21"/>
            </w:rPr>
            <w:t>3）既没有转移也没有保留金融资产所有权上几乎所有风险和报酬的（即除本条1）、2）之外的其他情形），则根据其是否保留了对金融资产的控制，分别下列情形处理：</w:t>
          </w:r>
        </w:p>
        <w:p w:rsidR="004A3868" w:rsidRDefault="003F1AB5">
          <w:pPr>
            <w:pStyle w:val="afff1"/>
            <w:spacing w:before="156"/>
            <w:ind w:firstLine="420"/>
            <w:rPr>
              <w:szCs w:val="21"/>
            </w:rPr>
          </w:pPr>
          <w:r>
            <w:rPr>
              <w:rFonts w:hint="eastAsia"/>
              <w:szCs w:val="21"/>
            </w:rPr>
            <w:t>①</w:t>
          </w:r>
          <w:r>
            <w:rPr>
              <w:szCs w:val="21"/>
            </w:rPr>
            <w:t>未保留对该金融资产控制的，则终止确认该金融资产，并将转移中产生或保留的权利和义务单独确认为资产或负债。</w:t>
          </w:r>
        </w:p>
        <w:p w:rsidR="004A3868" w:rsidRDefault="003F1AB5">
          <w:pPr>
            <w:pStyle w:val="afff1"/>
            <w:spacing w:before="156"/>
            <w:ind w:firstLine="420"/>
            <w:rPr>
              <w:szCs w:val="21"/>
            </w:rPr>
          </w:pPr>
          <w:r>
            <w:rPr>
              <w:rFonts w:hint="eastAsia"/>
              <w:szCs w:val="21"/>
            </w:rPr>
            <w:t>②</w:t>
          </w:r>
          <w:r>
            <w:rPr>
              <w:szCs w:val="21"/>
            </w:rPr>
            <w:t>保留了对该金融资产控制的，则按照其继续涉入被转移金融资产的程度继续确认有关金融资产，并相应确认相关负债。继续涉入被转移金融资产的程度，是指本公司承担的被转移金融资产价值变动风险或报酬的程度。</w:t>
          </w:r>
        </w:p>
        <w:p w:rsidR="004A3868" w:rsidRDefault="003F1AB5">
          <w:pPr>
            <w:pStyle w:val="afff1"/>
            <w:spacing w:before="156"/>
            <w:ind w:firstLine="420"/>
            <w:rPr>
              <w:szCs w:val="21"/>
            </w:rPr>
          </w:pPr>
          <w:r>
            <w:rPr>
              <w:rFonts w:hint="eastAsia"/>
              <w:szCs w:val="21"/>
            </w:rPr>
            <w:lastRenderedPageBreak/>
            <w:t>在判断金融资产转移是否满足上述金融资产终止确认条件时，采用实质重于形式的原则。公司将金融资产转移区分为金融资产整体转移和部分转移。</w:t>
          </w:r>
        </w:p>
        <w:p w:rsidR="004A3868" w:rsidRDefault="003F1AB5">
          <w:pPr>
            <w:pStyle w:val="afff1"/>
            <w:spacing w:before="156"/>
            <w:ind w:firstLine="420"/>
            <w:rPr>
              <w:szCs w:val="21"/>
            </w:rPr>
          </w:pPr>
          <w:r>
            <w:rPr>
              <w:szCs w:val="21"/>
            </w:rPr>
            <w:t>1）金融资产整体转移满足终止确认条件的，将下列两项金额的差额计入当期损益：</w:t>
          </w:r>
        </w:p>
        <w:p w:rsidR="004A3868" w:rsidRDefault="003F1AB5">
          <w:pPr>
            <w:pStyle w:val="afff1"/>
            <w:spacing w:before="156"/>
            <w:ind w:firstLine="420"/>
            <w:rPr>
              <w:szCs w:val="21"/>
            </w:rPr>
          </w:pPr>
          <w:r>
            <w:rPr>
              <w:rFonts w:hint="eastAsia"/>
              <w:szCs w:val="21"/>
            </w:rPr>
            <w:t>①</w:t>
          </w:r>
          <w:r>
            <w:rPr>
              <w:szCs w:val="21"/>
            </w:rPr>
            <w:t>被转移金融资产在终止确认日的账面价值。</w:t>
          </w:r>
        </w:p>
        <w:p w:rsidR="004A3868" w:rsidRDefault="003F1AB5">
          <w:pPr>
            <w:pStyle w:val="afff1"/>
            <w:spacing w:before="156"/>
            <w:ind w:firstLine="420"/>
            <w:rPr>
              <w:szCs w:val="21"/>
            </w:rPr>
          </w:pPr>
          <w:r>
            <w:rPr>
              <w:rFonts w:hint="eastAsia"/>
              <w:szCs w:val="21"/>
            </w:rPr>
            <w:t>②</w:t>
          </w:r>
          <w:r>
            <w:rPr>
              <w:szCs w:val="21"/>
            </w:rPr>
            <w:t>因转移金融资产而收到的对价，与原直接计入其他综合收益的公允价值变动累计额中对应终止确认部分的金额（涉及转移的金融资产为以公允价值计量且其变动计入其他综合收益的金融资产）之和。</w:t>
          </w:r>
        </w:p>
        <w:p w:rsidR="004A3868" w:rsidRDefault="003F1AB5">
          <w:pPr>
            <w:pStyle w:val="afff1"/>
            <w:spacing w:before="156"/>
            <w:ind w:firstLine="420"/>
            <w:rPr>
              <w:szCs w:val="21"/>
            </w:rPr>
          </w:pPr>
          <w:r>
            <w:rPr>
              <w:szCs w:val="21"/>
            </w:rPr>
            <w:t>2）金融资产部分转移且该被转移部分整体满足终止确认条件的，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w:t>
          </w:r>
        </w:p>
        <w:p w:rsidR="004A3868" w:rsidRDefault="003F1AB5">
          <w:pPr>
            <w:pStyle w:val="afff1"/>
            <w:spacing w:before="156"/>
            <w:ind w:firstLine="420"/>
            <w:rPr>
              <w:szCs w:val="21"/>
            </w:rPr>
          </w:pPr>
          <w:r>
            <w:rPr>
              <w:rFonts w:hint="eastAsia"/>
              <w:szCs w:val="21"/>
            </w:rPr>
            <w:t>①</w:t>
          </w:r>
          <w:r>
            <w:rPr>
              <w:szCs w:val="21"/>
            </w:rPr>
            <w:t>终止确认部分在终止确认日的账面价值。</w:t>
          </w:r>
        </w:p>
        <w:p w:rsidR="004A3868" w:rsidRDefault="003F1AB5">
          <w:pPr>
            <w:pStyle w:val="afff1"/>
            <w:spacing w:before="156"/>
            <w:ind w:firstLine="420"/>
            <w:rPr>
              <w:szCs w:val="21"/>
            </w:rPr>
          </w:pPr>
          <w:r>
            <w:rPr>
              <w:rFonts w:hint="eastAsia"/>
              <w:szCs w:val="21"/>
            </w:rPr>
            <w:t>②</w:t>
          </w:r>
          <w:r>
            <w:rPr>
              <w:szCs w:val="21"/>
            </w:rPr>
            <w:t>终止确认部分收到的对价，与原计入其他综合收益的公允价值变动累计额中对应终止确认部分的金额（涉及转移的金融资产为以公允价值计量且其变动计入其他综合收益的金融资产）之和。</w:t>
          </w:r>
        </w:p>
        <w:p w:rsidR="004A3868" w:rsidRDefault="003F1AB5">
          <w:pPr>
            <w:pStyle w:val="afff1"/>
            <w:spacing w:before="156"/>
            <w:ind w:firstLine="420"/>
            <w:rPr>
              <w:szCs w:val="21"/>
            </w:rPr>
          </w:pPr>
          <w:r>
            <w:rPr>
              <w:rFonts w:hint="eastAsia"/>
              <w:szCs w:val="21"/>
            </w:rPr>
            <w:t>金融资产转移不满足终止确认条件的，继续确认该金融资产，所收到的对价确认为一项金融负债。</w:t>
          </w:r>
        </w:p>
        <w:p w:rsidR="004A3868" w:rsidRDefault="003F1AB5">
          <w:pPr>
            <w:pStyle w:val="afff1"/>
            <w:spacing w:before="156"/>
            <w:ind w:firstLine="420"/>
            <w:rPr>
              <w:szCs w:val="21"/>
            </w:rPr>
          </w:pPr>
          <w:r>
            <w:rPr>
              <w:szCs w:val="21"/>
            </w:rPr>
            <w:t>(5</w:t>
          </w:r>
          <w:r>
            <w:rPr>
              <w:rFonts w:hint="eastAsia"/>
              <w:szCs w:val="21"/>
            </w:rPr>
            <w:t>)</w:t>
          </w:r>
          <w:r>
            <w:rPr>
              <w:szCs w:val="21"/>
            </w:rPr>
            <w:t>金融资产和金融负债公允价值的确定方法</w:t>
          </w:r>
        </w:p>
        <w:p w:rsidR="004A3868" w:rsidRDefault="003F1AB5">
          <w:pPr>
            <w:pStyle w:val="afff1"/>
            <w:spacing w:before="156"/>
            <w:ind w:firstLine="420"/>
            <w:rPr>
              <w:szCs w:val="21"/>
            </w:rPr>
          </w:pPr>
          <w:r>
            <w:rPr>
              <w:rFonts w:hint="eastAsia"/>
              <w:szCs w:val="21"/>
            </w:rPr>
            <w:t>存在活跃市场的金融资产或金融负债，以活跃市场的报价确定其公允价值，除非该项金融资产存在针对资产本身的限售期。对于针对资产本身的限售的金融资产，按照活跃市场的报价扣除市场参与者因承担指定期间内无法在公开市场上出售该金融资产的风险而要求获得的补偿金额后确定。活跃市场的报价包括易于且可定期从交易所、交易商、经纪人、行业集团、定价机构或监管机构等获得相关资产或负债的报价，且能代表在公平交易基础上实际并经常发生的市场交易。</w:t>
          </w:r>
        </w:p>
        <w:p w:rsidR="004A3868" w:rsidRDefault="003F1AB5">
          <w:pPr>
            <w:pStyle w:val="afff1"/>
            <w:spacing w:before="156"/>
            <w:ind w:firstLine="420"/>
            <w:rPr>
              <w:szCs w:val="21"/>
            </w:rPr>
          </w:pPr>
          <w:r>
            <w:rPr>
              <w:rFonts w:hint="eastAsia"/>
              <w:szCs w:val="21"/>
            </w:rPr>
            <w:t>初始取得或衍生的金融资产或承担的金融负债，以市场交易价格作为确定其公允价值的基础。</w:t>
          </w:r>
        </w:p>
        <w:p w:rsidR="004A3868" w:rsidRDefault="003F1AB5">
          <w:pPr>
            <w:pStyle w:val="afff1"/>
            <w:spacing w:before="156"/>
            <w:ind w:firstLine="420"/>
            <w:rPr>
              <w:szCs w:val="21"/>
            </w:rPr>
          </w:pPr>
          <w:r>
            <w:rPr>
              <w:rFonts w:hint="eastAsia"/>
              <w:szCs w:val="21"/>
            </w:rPr>
            <w:t>不存在活跃市场的金融资产或金融负债，采用估值技术确定其公允价值。在估值时，本公司采用在当前情况下适用并且有足够可利用数据和其他信息支持的估值技术，选择与市场参与者在</w:t>
          </w:r>
          <w:r>
            <w:rPr>
              <w:rFonts w:hint="eastAsia"/>
              <w:szCs w:val="21"/>
            </w:rPr>
            <w:lastRenderedPageBreak/>
            <w:t>相关资产或负债的交易中所考虑的资产或负债特征相一致的输入值，并尽可能优先使用相关可观察输入值。在相关可观察输入值无法取得或取得不切实可行的情况下，使用不可观察输入值。</w:t>
          </w:r>
        </w:p>
        <w:p w:rsidR="004A3868" w:rsidRDefault="003F1AB5">
          <w:pPr>
            <w:pStyle w:val="afff1"/>
            <w:spacing w:before="156"/>
            <w:ind w:firstLine="420"/>
            <w:rPr>
              <w:szCs w:val="21"/>
            </w:rPr>
          </w:pPr>
          <w:r>
            <w:rPr>
              <w:szCs w:val="21"/>
            </w:rPr>
            <w:t>(6</w:t>
          </w:r>
          <w:r>
            <w:rPr>
              <w:rFonts w:hint="eastAsia"/>
              <w:szCs w:val="21"/>
            </w:rPr>
            <w:t>)</w:t>
          </w:r>
          <w:r>
            <w:rPr>
              <w:szCs w:val="21"/>
            </w:rPr>
            <w:t>金融工具减值</w:t>
          </w:r>
        </w:p>
        <w:p w:rsidR="004A3868" w:rsidRDefault="003F1AB5">
          <w:pPr>
            <w:pStyle w:val="afff1"/>
            <w:spacing w:before="156"/>
            <w:ind w:firstLine="420"/>
            <w:rPr>
              <w:szCs w:val="21"/>
            </w:rPr>
          </w:pPr>
          <w:r>
            <w:rPr>
              <w:rFonts w:hint="eastAsia"/>
              <w:szCs w:val="21"/>
            </w:rPr>
            <w:t>本公司对以摊余成本计量的金融资产以预期信用损失为基础进行减值会计处理并确认损失准备。</w:t>
          </w:r>
        </w:p>
        <w:p w:rsidR="004A3868" w:rsidRDefault="003F1AB5">
          <w:pPr>
            <w:pStyle w:val="afff1"/>
            <w:spacing w:before="156"/>
            <w:ind w:firstLine="420"/>
            <w:rPr>
              <w:szCs w:val="21"/>
            </w:rPr>
          </w:pPr>
          <w:r>
            <w:rPr>
              <w:rFonts w:hint="eastAsia"/>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rsidR="004A3868" w:rsidRDefault="003F1AB5">
          <w:pPr>
            <w:pStyle w:val="afff1"/>
            <w:spacing w:before="156"/>
            <w:ind w:firstLine="420"/>
            <w:rPr>
              <w:szCs w:val="21"/>
            </w:rPr>
          </w:pPr>
          <w:r>
            <w:rPr>
              <w:rFonts w:hint="eastAsia"/>
              <w:szCs w:val="21"/>
            </w:rPr>
            <w:t>对由收入准则规范的交易形成的应收票据、应收款项以及租赁应收款，本公司运用简化计量方法，按照相当于整个存续期内预期信用损失的金额计量损失准备。</w:t>
          </w:r>
        </w:p>
        <w:p w:rsidR="004A3868" w:rsidRDefault="003F1AB5">
          <w:pPr>
            <w:pStyle w:val="afff1"/>
            <w:spacing w:before="156"/>
            <w:ind w:firstLine="420"/>
            <w:rPr>
              <w:szCs w:val="21"/>
            </w:rPr>
          </w:pPr>
          <w:r>
            <w:rPr>
              <w:rFonts w:hint="eastAsia"/>
              <w:szCs w:val="21"/>
            </w:rPr>
            <w:t>对于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p>
        <w:p w:rsidR="004A3868" w:rsidRDefault="003F1AB5">
          <w:pPr>
            <w:pStyle w:val="afff1"/>
            <w:spacing w:before="156"/>
            <w:ind w:firstLine="420"/>
            <w:rPr>
              <w:szCs w:val="21"/>
            </w:rPr>
          </w:pPr>
          <w:r>
            <w:rPr>
              <w:rFonts w:hint="eastAsia"/>
              <w:szCs w:val="21"/>
            </w:rPr>
            <w:t>除上述采用简化计量方法和购买或源生的已发生信用减值以外的其他金融资产，本公司在每个资产负债表日评估相关金融工具的信用风险自初始确认后是否已显著增加，并按照下列情形分别计量其损失准备、确认预期信用损失及其变动：</w:t>
          </w:r>
        </w:p>
        <w:p w:rsidR="004A3868" w:rsidRDefault="003F1AB5">
          <w:pPr>
            <w:pStyle w:val="afff1"/>
            <w:spacing w:before="156"/>
            <w:ind w:firstLine="420"/>
            <w:rPr>
              <w:szCs w:val="21"/>
            </w:rPr>
          </w:pPr>
          <w:r>
            <w:rPr>
              <w:szCs w:val="21"/>
            </w:rPr>
            <w:t>1）如果该金融工具的信用风险自初始确认后并未显著增加，处于第一阶段，则按照相当于该金融工具未来12个月内预期信用损失的金额计量其损失准备，并按照账面余额和实际利率计算利息收入。</w:t>
          </w:r>
        </w:p>
        <w:p w:rsidR="004A3868" w:rsidRDefault="003F1AB5">
          <w:pPr>
            <w:pStyle w:val="afff1"/>
            <w:spacing w:before="156"/>
            <w:ind w:firstLine="420"/>
            <w:rPr>
              <w:szCs w:val="21"/>
            </w:rPr>
          </w:pPr>
          <w:r>
            <w:rPr>
              <w:szCs w:val="21"/>
            </w:rPr>
            <w:t>2）如果该金融工具的信用风险自初始确认后已显著增加但尚未发生信用减值的，处于第二阶段，则按照相当于该金融工具整个存续期内预期信用损失的金额计量其损失准备，并按照账面余额和实际利率计算利息收入。</w:t>
          </w:r>
        </w:p>
        <w:p w:rsidR="004A3868" w:rsidRDefault="003F1AB5">
          <w:pPr>
            <w:pStyle w:val="afff1"/>
            <w:spacing w:before="156"/>
            <w:ind w:firstLine="420"/>
            <w:rPr>
              <w:szCs w:val="21"/>
            </w:rPr>
          </w:pPr>
          <w:r>
            <w:rPr>
              <w:szCs w:val="21"/>
            </w:rPr>
            <w:t>3）如果该金融工具自初始确认后已经发生信用减值的，处于第三阶段，本公司按照相当于该</w:t>
          </w:r>
          <w:r>
            <w:rPr>
              <w:szCs w:val="21"/>
            </w:rPr>
            <w:lastRenderedPageBreak/>
            <w:t>金融工具整个存续期内预期信用损失的金额计量其损失准备，并按照摊余成本和实际利率计算利息收入。</w:t>
          </w:r>
        </w:p>
        <w:p w:rsidR="004A3868" w:rsidRDefault="003F1AB5">
          <w:pPr>
            <w:pStyle w:val="afff1"/>
            <w:spacing w:before="156"/>
            <w:ind w:firstLine="420"/>
            <w:rPr>
              <w:szCs w:val="21"/>
            </w:rPr>
          </w:pPr>
          <w:r>
            <w:rPr>
              <w:rFonts w:hint="eastAsia"/>
              <w:szCs w:val="21"/>
            </w:rPr>
            <w:t>金融工具信用损失准备的增加或转回金额，作为减值损失或利得计入当期损益。除分类为以公允价值计量且其变动计入其他综合收益的金融资产外，信用损失准备抵减金融资产的账面余额。对于分类为以公允价值计量且其变动计入其他综合收益的金融资产，本公司在其他综合收益中确认其信用损失准备，不减少该金融资产在资产负债表中列示的账面价值。</w:t>
          </w:r>
        </w:p>
        <w:p w:rsidR="004A3868" w:rsidRDefault="003F1AB5">
          <w:pPr>
            <w:pStyle w:val="afff1"/>
            <w:spacing w:before="156"/>
            <w:ind w:firstLine="420"/>
            <w:rPr>
              <w:szCs w:val="21"/>
            </w:rPr>
          </w:pPr>
          <w:r>
            <w:rPr>
              <w:rFonts w:hint="eastAsia"/>
              <w:szCs w:val="21"/>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日按照相当于未来</w:t>
          </w:r>
          <w:r>
            <w:rPr>
              <w:szCs w:val="21"/>
            </w:rPr>
            <w:t>12个月内预期信用损失的金额计量该金融工具的损失准备，由此形成的损失准备的转回金额作为减值利得计入当期损益。</w:t>
          </w:r>
        </w:p>
        <w:p w:rsidR="004A3868" w:rsidRDefault="003F1AB5">
          <w:pPr>
            <w:pStyle w:val="afff1"/>
            <w:spacing w:before="156"/>
            <w:ind w:firstLine="420"/>
            <w:rPr>
              <w:szCs w:val="21"/>
            </w:rPr>
          </w:pPr>
          <w:r>
            <w:rPr>
              <w:szCs w:val="21"/>
            </w:rPr>
            <w:t>1）信用风险显著增加</w:t>
          </w:r>
        </w:p>
        <w:p w:rsidR="004A3868" w:rsidRDefault="003F1AB5">
          <w:pPr>
            <w:pStyle w:val="afff1"/>
            <w:spacing w:before="156"/>
            <w:ind w:firstLine="420"/>
            <w:rPr>
              <w:szCs w:val="21"/>
            </w:rPr>
          </w:pPr>
          <w:r>
            <w:rPr>
              <w:rFonts w:hint="eastAsia"/>
              <w:szCs w:val="21"/>
            </w:rPr>
            <w:t>本公司利用可获得的合理且有依据的前瞻性信息，通过比较金融工具在资产负债表日发生违约的风险与在初始确认日发生违约的风险，以确定金融工具的信用风险自初始确认后是否已显著增加。对于财务担保合同，本公司在应用金融工具减值规定时，将本公司成为做出不可撤销承诺的一方之日作为初始确认日。</w:t>
          </w:r>
        </w:p>
        <w:p w:rsidR="004A3868" w:rsidRDefault="003F1AB5">
          <w:pPr>
            <w:pStyle w:val="afff1"/>
            <w:spacing w:before="156"/>
            <w:ind w:firstLine="420"/>
            <w:rPr>
              <w:szCs w:val="21"/>
            </w:rPr>
          </w:pPr>
          <w:r>
            <w:rPr>
              <w:rFonts w:hint="eastAsia"/>
              <w:szCs w:val="21"/>
            </w:rPr>
            <w:t>本公司在评估信用风险是否显著增加时会考虑如下因素：</w:t>
          </w:r>
        </w:p>
        <w:p w:rsidR="004A3868" w:rsidRDefault="003F1AB5">
          <w:pPr>
            <w:pStyle w:val="afff1"/>
            <w:spacing w:before="156"/>
            <w:ind w:firstLine="420"/>
            <w:rPr>
              <w:szCs w:val="21"/>
            </w:rPr>
          </w:pPr>
          <w:r>
            <w:rPr>
              <w:rFonts w:hint="eastAsia"/>
              <w:szCs w:val="21"/>
            </w:rPr>
            <w:t>①</w:t>
          </w:r>
          <w:r>
            <w:rPr>
              <w:szCs w:val="21"/>
            </w:rPr>
            <w:t>债务人经营成果实际或预期是否发生显著变化；</w:t>
          </w:r>
        </w:p>
        <w:p w:rsidR="004A3868" w:rsidRDefault="003F1AB5">
          <w:pPr>
            <w:pStyle w:val="afff1"/>
            <w:spacing w:before="156"/>
            <w:ind w:firstLine="420"/>
            <w:rPr>
              <w:szCs w:val="21"/>
            </w:rPr>
          </w:pPr>
          <w:r>
            <w:rPr>
              <w:rFonts w:hint="eastAsia"/>
              <w:szCs w:val="21"/>
            </w:rPr>
            <w:t>②</w:t>
          </w:r>
          <w:r>
            <w:rPr>
              <w:szCs w:val="21"/>
            </w:rPr>
            <w:t>债务人所处的监管、经济或技术环境是否发生显著不利变化；</w:t>
          </w:r>
        </w:p>
        <w:p w:rsidR="004A3868" w:rsidRDefault="003F1AB5">
          <w:pPr>
            <w:pStyle w:val="afff1"/>
            <w:spacing w:before="156"/>
            <w:ind w:firstLine="420"/>
            <w:rPr>
              <w:szCs w:val="21"/>
            </w:rPr>
          </w:pPr>
          <w:r>
            <w:rPr>
              <w:rFonts w:hint="eastAsia"/>
              <w:szCs w:val="21"/>
            </w:rPr>
            <w:t>③</w:t>
          </w:r>
          <w:r>
            <w:rPr>
              <w:szCs w:val="21"/>
            </w:rPr>
            <w:t>作为债务抵押的担保物价值或第三方提供的担保或信用增级质量是否发生显著变化，这些变化预期将降低债务人按合同规定期限还款的经济动机或者影响违约概率；</w:t>
          </w:r>
        </w:p>
        <w:p w:rsidR="004A3868" w:rsidRDefault="003F1AB5">
          <w:pPr>
            <w:pStyle w:val="afff1"/>
            <w:spacing w:before="156"/>
            <w:ind w:firstLine="420"/>
            <w:rPr>
              <w:szCs w:val="21"/>
            </w:rPr>
          </w:pPr>
          <w:r>
            <w:rPr>
              <w:rFonts w:hint="eastAsia"/>
              <w:szCs w:val="21"/>
            </w:rPr>
            <w:t>④</w:t>
          </w:r>
          <w:r>
            <w:rPr>
              <w:szCs w:val="21"/>
            </w:rPr>
            <w:t>债务人预期表现和还款行为是否发生显著变化；</w:t>
          </w:r>
        </w:p>
        <w:p w:rsidR="004A3868" w:rsidRDefault="003F1AB5">
          <w:pPr>
            <w:pStyle w:val="afff1"/>
            <w:spacing w:before="156"/>
            <w:ind w:firstLine="420"/>
            <w:rPr>
              <w:szCs w:val="21"/>
            </w:rPr>
          </w:pPr>
          <w:r>
            <w:rPr>
              <w:rFonts w:hint="eastAsia"/>
              <w:szCs w:val="21"/>
            </w:rPr>
            <w:t>⑤</w:t>
          </w:r>
          <w:r>
            <w:rPr>
              <w:szCs w:val="21"/>
            </w:rPr>
            <w:t>本公司对金融工具信用管理方法是否发生变化等。</w:t>
          </w:r>
        </w:p>
        <w:p w:rsidR="004A3868" w:rsidRDefault="003F1AB5">
          <w:pPr>
            <w:pStyle w:val="afff1"/>
            <w:spacing w:before="156"/>
            <w:ind w:firstLine="420"/>
            <w:rPr>
              <w:szCs w:val="21"/>
            </w:rPr>
          </w:pPr>
          <w:r>
            <w:rPr>
              <w:rFonts w:hint="eastAsia"/>
              <w:szCs w:val="21"/>
            </w:rPr>
            <w:t>于资产负债表日，若本公司判断金融工具只具有较低的信用风险，则本公司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流量义务的能力，则该金融工具被视为具有较低的信用风险。</w:t>
          </w:r>
        </w:p>
        <w:p w:rsidR="004A3868" w:rsidRDefault="003F1AB5">
          <w:pPr>
            <w:pStyle w:val="afff1"/>
            <w:spacing w:before="156"/>
            <w:ind w:firstLine="420"/>
            <w:rPr>
              <w:szCs w:val="21"/>
            </w:rPr>
          </w:pPr>
          <w:r>
            <w:rPr>
              <w:szCs w:val="21"/>
            </w:rPr>
            <w:lastRenderedPageBreak/>
            <w:t>2）已发生信用减值的金融资产</w:t>
          </w:r>
        </w:p>
        <w:p w:rsidR="004A3868" w:rsidRDefault="003F1AB5">
          <w:pPr>
            <w:pStyle w:val="afff1"/>
            <w:spacing w:before="156"/>
            <w:ind w:firstLine="420"/>
            <w:rPr>
              <w:szCs w:val="21"/>
            </w:rPr>
          </w:pPr>
          <w:r>
            <w:rPr>
              <w:rFonts w:hint="eastAsia"/>
              <w:szCs w:val="21"/>
            </w:rPr>
            <w:t>当对金融资产预期未来现金流量具有不利影响的一项或多项事件发生时，该金融资产成为已发生信用减值的金融资产。金融资产已发生信用减值的证据包括下列可观察信息：</w:t>
          </w:r>
        </w:p>
        <w:p w:rsidR="004A3868" w:rsidRDefault="003F1AB5">
          <w:pPr>
            <w:pStyle w:val="afff1"/>
            <w:spacing w:before="156"/>
            <w:ind w:firstLine="420"/>
            <w:rPr>
              <w:szCs w:val="21"/>
            </w:rPr>
          </w:pPr>
          <w:r>
            <w:rPr>
              <w:rFonts w:hint="eastAsia"/>
              <w:szCs w:val="21"/>
            </w:rPr>
            <w:t>①</w:t>
          </w:r>
          <w:r>
            <w:rPr>
              <w:szCs w:val="21"/>
            </w:rPr>
            <w:t>发行方或债务人发生重大财务困难；</w:t>
          </w:r>
        </w:p>
        <w:p w:rsidR="004A3868" w:rsidRDefault="003F1AB5">
          <w:pPr>
            <w:pStyle w:val="afff1"/>
            <w:spacing w:before="156"/>
            <w:ind w:firstLine="420"/>
            <w:rPr>
              <w:szCs w:val="21"/>
            </w:rPr>
          </w:pPr>
          <w:r>
            <w:rPr>
              <w:rFonts w:hint="eastAsia"/>
              <w:szCs w:val="21"/>
            </w:rPr>
            <w:t>②</w:t>
          </w:r>
          <w:r>
            <w:rPr>
              <w:szCs w:val="21"/>
            </w:rPr>
            <w:t>债务人违反合同，如偿付利息或本金违约或逾期等；</w:t>
          </w:r>
        </w:p>
        <w:p w:rsidR="004A3868" w:rsidRDefault="003F1AB5">
          <w:pPr>
            <w:pStyle w:val="afff1"/>
            <w:spacing w:before="156"/>
            <w:ind w:firstLine="420"/>
            <w:rPr>
              <w:szCs w:val="21"/>
            </w:rPr>
          </w:pPr>
          <w:r>
            <w:rPr>
              <w:rFonts w:hint="eastAsia"/>
              <w:szCs w:val="21"/>
            </w:rPr>
            <w:t>③</w:t>
          </w:r>
          <w:r>
            <w:rPr>
              <w:szCs w:val="21"/>
            </w:rPr>
            <w:t>债权人出于与债务人财务困难有关的经济或合同考虑，给予债务人在任何其他情况下都不会做出的让步；</w:t>
          </w:r>
        </w:p>
        <w:p w:rsidR="004A3868" w:rsidRDefault="003F1AB5">
          <w:pPr>
            <w:pStyle w:val="afff1"/>
            <w:spacing w:before="156"/>
            <w:ind w:firstLine="420"/>
            <w:rPr>
              <w:szCs w:val="21"/>
            </w:rPr>
          </w:pPr>
          <w:r>
            <w:rPr>
              <w:rFonts w:hint="eastAsia"/>
              <w:szCs w:val="21"/>
            </w:rPr>
            <w:t>④</w:t>
          </w:r>
          <w:r>
            <w:rPr>
              <w:szCs w:val="21"/>
            </w:rPr>
            <w:t>债务人很可能破产或进行其他财务重组；</w:t>
          </w:r>
        </w:p>
        <w:p w:rsidR="004A3868" w:rsidRDefault="003F1AB5">
          <w:pPr>
            <w:pStyle w:val="afff1"/>
            <w:spacing w:before="156"/>
            <w:ind w:firstLine="420"/>
            <w:rPr>
              <w:szCs w:val="21"/>
            </w:rPr>
          </w:pPr>
          <w:r>
            <w:rPr>
              <w:rFonts w:hint="eastAsia"/>
              <w:szCs w:val="21"/>
            </w:rPr>
            <w:t>⑤</w:t>
          </w:r>
          <w:r>
            <w:rPr>
              <w:szCs w:val="21"/>
            </w:rPr>
            <w:t>发行方或债务人财务困难导致该金融资产的活跃市场消失；</w:t>
          </w:r>
        </w:p>
        <w:p w:rsidR="004A3868" w:rsidRDefault="003F1AB5">
          <w:pPr>
            <w:pStyle w:val="afff1"/>
            <w:spacing w:before="156"/>
            <w:ind w:firstLine="420"/>
            <w:rPr>
              <w:szCs w:val="21"/>
            </w:rPr>
          </w:pPr>
          <w:r>
            <w:rPr>
              <w:rFonts w:hint="eastAsia"/>
              <w:szCs w:val="21"/>
            </w:rPr>
            <w:t>⑥</w:t>
          </w:r>
          <w:r>
            <w:rPr>
              <w:szCs w:val="21"/>
            </w:rPr>
            <w:t>以大幅折扣购买或源生一项金融资产，该折扣反映了发生信用损失的事实。</w:t>
          </w:r>
        </w:p>
        <w:p w:rsidR="004A3868" w:rsidRDefault="003F1AB5">
          <w:pPr>
            <w:pStyle w:val="afff1"/>
            <w:spacing w:before="156"/>
            <w:ind w:firstLine="420"/>
            <w:rPr>
              <w:szCs w:val="21"/>
            </w:rPr>
          </w:pPr>
          <w:r>
            <w:rPr>
              <w:rFonts w:hint="eastAsia"/>
              <w:szCs w:val="21"/>
            </w:rPr>
            <w:t>金融资产发生信用减值，有可能是多个事件的共同作用所致，未必是可单独识别的事件所致。</w:t>
          </w:r>
        </w:p>
        <w:p w:rsidR="004A3868" w:rsidRDefault="003F1AB5">
          <w:pPr>
            <w:pStyle w:val="afff1"/>
            <w:spacing w:before="156"/>
            <w:ind w:firstLine="420"/>
            <w:rPr>
              <w:szCs w:val="21"/>
            </w:rPr>
          </w:pPr>
          <w:r>
            <w:rPr>
              <w:szCs w:val="21"/>
            </w:rPr>
            <w:t>3）预期信用损失的确定</w:t>
          </w:r>
        </w:p>
        <w:p w:rsidR="004A3868" w:rsidRDefault="003F1AB5">
          <w:pPr>
            <w:pStyle w:val="afff1"/>
            <w:spacing w:before="156"/>
            <w:ind w:firstLine="420"/>
            <w:rPr>
              <w:szCs w:val="21"/>
            </w:rPr>
          </w:pPr>
          <w:r>
            <w:rPr>
              <w:rFonts w:hint="eastAsia"/>
              <w:szCs w:val="21"/>
            </w:rPr>
            <w:t>本公司基于单项和组合评估金融工具的预期信用损失，在评估预期信用损失时，考虑有关过去事项、当前状况以及未来经济状况预测的合理且有依据的信息。</w:t>
          </w:r>
        </w:p>
        <w:p w:rsidR="004A3868" w:rsidRDefault="003F1AB5">
          <w:pPr>
            <w:pStyle w:val="afff1"/>
            <w:spacing w:before="156"/>
            <w:ind w:firstLine="420"/>
            <w:rPr>
              <w:szCs w:val="21"/>
            </w:rPr>
          </w:pPr>
          <w:r>
            <w:rPr>
              <w:rFonts w:hint="eastAsia"/>
              <w:szCs w:val="21"/>
            </w:rPr>
            <w:t>本公司以共同信用风险特征为依据，将金融工具分为不同组合。本公司采用的共同信用风险特征包括：金融工具类型、信用风险评级、账龄组合、逾期账龄组合、合同结算周期、债务人所处行业等。相关金融工具的单项评估标准和组合信用风险特征详见相关金融工具的会计政策。</w:t>
          </w:r>
        </w:p>
        <w:p w:rsidR="004A3868" w:rsidRDefault="003F1AB5">
          <w:pPr>
            <w:pStyle w:val="afff1"/>
            <w:spacing w:before="156"/>
            <w:ind w:firstLine="420"/>
            <w:rPr>
              <w:szCs w:val="21"/>
            </w:rPr>
          </w:pPr>
          <w:r>
            <w:rPr>
              <w:rFonts w:hint="eastAsia"/>
              <w:szCs w:val="21"/>
            </w:rPr>
            <w:t>本公司按照下列方法确定相关金融工具的预期信用损失：</w:t>
          </w:r>
        </w:p>
        <w:p w:rsidR="004A3868" w:rsidRDefault="003F1AB5">
          <w:pPr>
            <w:pStyle w:val="afff1"/>
            <w:spacing w:before="156"/>
            <w:ind w:firstLine="420"/>
            <w:rPr>
              <w:szCs w:val="21"/>
            </w:rPr>
          </w:pPr>
          <w:r>
            <w:rPr>
              <w:rFonts w:hint="eastAsia"/>
              <w:szCs w:val="21"/>
            </w:rPr>
            <w:t>①</w:t>
          </w:r>
          <w:r>
            <w:rPr>
              <w:szCs w:val="21"/>
            </w:rPr>
            <w:t>对于金融资产，信用损失为本公司应收取的合同现金流量与预期收取的现金流量之间差额的现值。</w:t>
          </w:r>
        </w:p>
        <w:p w:rsidR="004A3868" w:rsidRDefault="003F1AB5">
          <w:pPr>
            <w:pStyle w:val="afff1"/>
            <w:spacing w:before="156"/>
            <w:ind w:firstLine="420"/>
            <w:rPr>
              <w:szCs w:val="21"/>
            </w:rPr>
          </w:pPr>
          <w:r>
            <w:rPr>
              <w:rFonts w:hint="eastAsia"/>
              <w:szCs w:val="21"/>
            </w:rPr>
            <w:t>②</w:t>
          </w:r>
          <w:r>
            <w:rPr>
              <w:szCs w:val="21"/>
            </w:rPr>
            <w:t>对于租赁应收款项，信用损失为本公司应收取的合同现金流量与预期收取的现金流量之间差额的现值。</w:t>
          </w:r>
        </w:p>
        <w:p w:rsidR="004A3868" w:rsidRDefault="003F1AB5">
          <w:pPr>
            <w:pStyle w:val="afff1"/>
            <w:spacing w:before="156"/>
            <w:ind w:firstLine="420"/>
            <w:rPr>
              <w:szCs w:val="21"/>
            </w:rPr>
          </w:pPr>
          <w:r>
            <w:rPr>
              <w:rFonts w:hint="eastAsia"/>
              <w:szCs w:val="21"/>
            </w:rPr>
            <w:t>③</w:t>
          </w:r>
          <w:r>
            <w:rPr>
              <w:szCs w:val="21"/>
            </w:rPr>
            <w:t>对于财务担保合同，信用损失为本公司就该合同持有人发生的信用损失向其做出赔付的预计付款额，减去本公司预期向该合同持有人、债务人或任何其他方收取的金额之间差额的现值。</w:t>
          </w:r>
        </w:p>
        <w:p w:rsidR="004A3868" w:rsidRDefault="003F1AB5">
          <w:pPr>
            <w:pStyle w:val="afff1"/>
            <w:spacing w:before="156"/>
            <w:ind w:firstLine="420"/>
            <w:rPr>
              <w:szCs w:val="21"/>
            </w:rPr>
          </w:pPr>
          <w:r>
            <w:rPr>
              <w:rFonts w:hint="eastAsia"/>
              <w:szCs w:val="21"/>
            </w:rPr>
            <w:lastRenderedPageBreak/>
            <w:t>④</w:t>
          </w:r>
          <w:r>
            <w:rPr>
              <w:szCs w:val="21"/>
            </w:rPr>
            <w:t>对于资产负债表日已发生信用减值但并非购买或源生已发生信用减值的金融资产，信用损失为该金融资产账面余额与按原实际利率折现的估计未来现金流量的现值之间的差额。</w:t>
          </w:r>
        </w:p>
        <w:p w:rsidR="004A3868" w:rsidRDefault="003F1AB5">
          <w:pPr>
            <w:pStyle w:val="afff1"/>
            <w:spacing w:before="156"/>
            <w:ind w:firstLine="420"/>
            <w:rPr>
              <w:szCs w:val="21"/>
            </w:rPr>
          </w:pPr>
          <w:r>
            <w:rPr>
              <w:rFonts w:hint="eastAsia"/>
              <w:szCs w:val="21"/>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w:t>
          </w:r>
        </w:p>
        <w:p w:rsidR="004A3868" w:rsidRDefault="003F1AB5">
          <w:pPr>
            <w:pStyle w:val="afff1"/>
            <w:spacing w:before="156"/>
            <w:ind w:firstLine="420"/>
            <w:rPr>
              <w:szCs w:val="21"/>
            </w:rPr>
          </w:pPr>
          <w:r>
            <w:rPr>
              <w:szCs w:val="21"/>
            </w:rPr>
            <w:t>4）减记金融资产</w:t>
          </w:r>
        </w:p>
        <w:p w:rsidR="004A3868" w:rsidRDefault="003F1AB5">
          <w:pPr>
            <w:pStyle w:val="afff1"/>
            <w:spacing w:before="156"/>
            <w:ind w:firstLine="420"/>
            <w:rPr>
              <w:szCs w:val="21"/>
            </w:rPr>
          </w:pPr>
          <w:r>
            <w:rPr>
              <w:rFonts w:hint="eastAsia"/>
              <w:szCs w:val="21"/>
            </w:rPr>
            <w:t>当本公司不再合理预期金融资产合同现金流量能够全部或部分收回的，直接减记该金融资产的账面余额。这种减记构成相关金融资产的终止确认。</w:t>
          </w:r>
        </w:p>
        <w:p w:rsidR="004A3868" w:rsidRDefault="003F1AB5">
          <w:pPr>
            <w:pStyle w:val="afff1"/>
            <w:spacing w:before="156"/>
            <w:ind w:firstLine="420"/>
            <w:rPr>
              <w:szCs w:val="21"/>
            </w:rPr>
          </w:pPr>
          <w:r>
            <w:rPr>
              <w:szCs w:val="21"/>
            </w:rPr>
            <w:t>(7)金融资产及金融负债的抵销</w:t>
          </w:r>
        </w:p>
        <w:p w:rsidR="004A3868" w:rsidRDefault="003F1AB5">
          <w:pPr>
            <w:pStyle w:val="afff1"/>
            <w:spacing w:before="156"/>
            <w:ind w:firstLine="420"/>
            <w:rPr>
              <w:szCs w:val="21"/>
            </w:rPr>
          </w:pPr>
          <w:r>
            <w:rPr>
              <w:rFonts w:hint="eastAsia"/>
              <w:szCs w:val="21"/>
            </w:rPr>
            <w:t>金融资产和金融负债在资产负债表内分别列示，没有相互抵销。但是，同时满足下列条件的，以相互抵销后的净额在资产负债表内列示：</w:t>
          </w:r>
        </w:p>
        <w:p w:rsidR="004A3868" w:rsidRDefault="003F1AB5">
          <w:pPr>
            <w:pStyle w:val="afff1"/>
            <w:spacing w:before="156"/>
            <w:ind w:firstLine="420"/>
            <w:rPr>
              <w:szCs w:val="21"/>
            </w:rPr>
          </w:pPr>
          <w:r>
            <w:rPr>
              <w:szCs w:val="21"/>
            </w:rPr>
            <w:t>1）本公司具有抵销已确认金额的法定权利，且该种法定权利是当前可执行的；</w:t>
          </w:r>
        </w:p>
        <w:p w:rsidR="004A3868" w:rsidRDefault="003F1AB5">
          <w:pPr>
            <w:pStyle w:val="afff1"/>
            <w:spacing w:before="156"/>
            <w:ind w:firstLine="420"/>
            <w:rPr>
              <w:szCs w:val="21"/>
            </w:rPr>
          </w:pPr>
          <w:r>
            <w:rPr>
              <w:szCs w:val="21"/>
            </w:rPr>
            <w:t>2）本公司计划以净额结算，或同时变现该金融资产和清偿该金融负债。</w:t>
          </w:r>
        </w:p>
      </w:sdtContent>
    </w:sdt>
    <w:p w:rsidR="004A3868" w:rsidRDefault="003F1AB5">
      <w:pPr>
        <w:pStyle w:val="Style12711"/>
      </w:pPr>
      <w:bookmarkStart w:id="121" w:name="_Hlk533667757"/>
      <w:r>
        <w:rPr>
          <w:rFonts w:hint="eastAsia"/>
        </w:rPr>
        <w:t>应收票据</w:t>
      </w:r>
    </w:p>
    <w:sdt>
      <w:sdtPr>
        <w:alias w:val="是否适用：应收票据_重要会计政策和估计[双击切换]"/>
        <w:tag w:val="_GBC_71282cbeee2f4e2784a0766b8ae627ef"/>
        <w:id w:val="181562608"/>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应收票据的预期信用损失的确定方法及会计处理方法</w:t>
      </w:r>
    </w:p>
    <w:bookmarkStart w:id="122" w:name="_Hlk152690276" w:displacedByCustomXml="next"/>
    <w:sdt>
      <w:sdtPr>
        <w:rPr>
          <w:rFonts w:hint="eastAsia"/>
          <w:sz w:val="21"/>
          <w:szCs w:val="21"/>
        </w:rPr>
        <w:alias w:val="是否适用：应收票据的预期信用损失的确定方法及会计处理方法[双击切换]"/>
        <w:tag w:val="_GBC_b76500bf5ece4a0190aa82e1d37678af"/>
        <w:id w:val="-1755110504"/>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MACROBUTTON  SnrToggleCheckbox √适用</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 w:val="21"/>
          <w:szCs w:val="21"/>
        </w:rPr>
        <w:alias w:val="应收票据的预期信用损失的确定方法及会计处理方法"/>
        <w:tag w:val="_GBC_f71dbe4e212946138d1b162f7cf661a2"/>
        <w:id w:val="-1088311496"/>
        <w:placeholder>
          <w:docPart w:val="GBC22222222222222222222222222222"/>
        </w:placeholder>
      </w:sdtPr>
      <w:sdtEndPr>
        <w:rPr>
          <w:rStyle w:val="afff2"/>
        </w:rPr>
      </w:sdtEndPr>
      <w:sdtContent>
        <w:p w:rsidR="004A3868" w:rsidRDefault="003F1AB5">
          <w:pPr>
            <w:rPr>
              <w:rStyle w:val="afff2"/>
              <w:szCs w:val="21"/>
            </w:rPr>
          </w:pPr>
          <w:r>
            <w:rPr>
              <w:rStyle w:val="afff2"/>
              <w:rFonts w:hint="eastAsia"/>
              <w:szCs w:val="21"/>
            </w:rPr>
            <w:t>本公司对应收票据的预期信用损失的确定方法及会计处理方法详见本报告第十节</w:t>
          </w:r>
          <w:r>
            <w:rPr>
              <w:rStyle w:val="afff2"/>
              <w:szCs w:val="21"/>
            </w:rPr>
            <w:t>.五</w:t>
          </w:r>
          <w:r>
            <w:rPr>
              <w:rStyle w:val="afff2"/>
              <w:rFonts w:hint="eastAsia"/>
              <w:szCs w:val="21"/>
            </w:rPr>
            <w:t>.</w:t>
          </w:r>
          <w:r>
            <w:rPr>
              <w:rStyle w:val="afff2"/>
              <w:szCs w:val="21"/>
            </w:rPr>
            <w:t>11.(6)金融工具减值。</w:t>
          </w:r>
        </w:p>
      </w:sdtContent>
    </w:sdt>
    <w:p w:rsidR="004A3868" w:rsidRDefault="003F1AB5">
      <w:pPr>
        <w:rPr>
          <w:sz w:val="21"/>
          <w:szCs w:val="21"/>
        </w:rPr>
      </w:pPr>
      <w:r>
        <w:rPr>
          <w:sz w:val="21"/>
          <w:szCs w:val="21"/>
        </w:rPr>
        <w:t>按照信用风险特征组合计提坏账准备的组合类别及确定依据</w:t>
      </w:r>
    </w:p>
    <w:bookmarkEnd w:id="122" w:displacedByCustomXml="next"/>
    <w:bookmarkEnd w:id="121" w:displacedByCustomXml="next"/>
    <w:sdt>
      <w:sdtPr>
        <w:alias w:val="是否适用：应收票据按照信用风险特征组合计提坏账准备的组合类别及确定依据[双击切换]"/>
        <w:tag w:val="_GBC_bdbc02d09982499a9db8e87f1e92519c"/>
        <w:id w:val="1741368887"/>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1"/>
          <w:szCs w:val="21"/>
        </w:rPr>
        <w:alias w:val="应收票据按照信用风险特征组合计提坏账准备的组合类别及确定依据"/>
        <w:tag w:val="_GBC_753a33a28cdc45e4b5d0420bf9282a36"/>
        <w:id w:val="1209539134"/>
        <w:placeholder>
          <w:docPart w:val="GBC22222222222222222222222222222"/>
        </w:placeholder>
      </w:sdtPr>
      <w:sdtEndPr>
        <w:rPr>
          <w:szCs w:val="20"/>
        </w:rPr>
      </w:sdtEndPr>
      <w:sdtContent>
        <w:p w:rsidR="004A3868" w:rsidRDefault="003F1AB5">
          <w:pPr>
            <w:rPr>
              <w:rStyle w:val="afff2"/>
              <w:szCs w:val="21"/>
            </w:rPr>
          </w:pPr>
          <w:r>
            <w:rPr>
              <w:rStyle w:val="afff2"/>
              <w:rFonts w:hint="eastAsia"/>
              <w:szCs w:val="21"/>
            </w:rPr>
            <w:t>当在单项工具层面无法以合理成本评估预期信用损失的充分证据时，本公司参考历史信用损失经验，结合当前状况以及对未来经济状况的判断，依据信用风险特征将</w:t>
          </w:r>
          <w:r>
            <w:rPr>
              <w:rStyle w:val="afff2"/>
              <w:szCs w:val="21"/>
            </w:rPr>
            <w:tab/>
            <w:t>应收票据划分为若干组合，在组合基础上计算预期信用损失。确定组合的依据如下：</w:t>
          </w:r>
        </w:p>
        <w:tbl>
          <w:tblPr>
            <w:tblStyle w:val="g12"/>
            <w:tblW w:w="5000" w:type="pct"/>
            <w:jc w:val="center"/>
            <w:tblInd w:w="0" w:type="dxa"/>
            <w:tblBorders>
              <w:top w:val="single" w:sz="8" w:space="0" w:color="auto"/>
              <w:left w:val="single" w:sz="8" w:space="0" w:color="auto"/>
              <w:bottom w:val="single" w:sz="8" w:space="0" w:color="auto"/>
              <w:right w:val="single" w:sz="8" w:space="0" w:color="auto"/>
            </w:tblBorders>
            <w:tblLayout w:type="fixed"/>
            <w:tblCellMar>
              <w:right w:w="28" w:type="dxa"/>
            </w:tblCellMar>
            <w:tblLook w:val="04A0" w:firstRow="1" w:lastRow="0" w:firstColumn="1" w:lastColumn="0" w:noHBand="0" w:noVBand="1"/>
          </w:tblPr>
          <w:tblGrid>
            <w:gridCol w:w="1815"/>
            <w:gridCol w:w="2659"/>
            <w:gridCol w:w="4339"/>
          </w:tblGrid>
          <w:tr w:rsidR="004A3868">
            <w:trPr>
              <w:trHeight w:val="397"/>
              <w:jc w:val="center"/>
            </w:trPr>
            <w:tc>
              <w:tcPr>
                <w:tcW w:w="1838" w:type="dxa"/>
                <w:vAlign w:val="center"/>
              </w:tcPr>
              <w:p w:rsidR="004A3868" w:rsidRDefault="003F1AB5">
                <w:pPr>
                  <w:pStyle w:val="afffb"/>
                </w:pPr>
                <w:r>
                  <w:t>组合名称</w:t>
                </w:r>
              </w:p>
            </w:tc>
            <w:tc>
              <w:tcPr>
                <w:tcW w:w="2693" w:type="dxa"/>
                <w:vAlign w:val="center"/>
              </w:tcPr>
              <w:p w:rsidR="004A3868" w:rsidRDefault="003F1AB5">
                <w:pPr>
                  <w:pStyle w:val="afffb"/>
                </w:pPr>
                <w:r>
                  <w:t>确定组合的依据</w:t>
                </w:r>
              </w:p>
            </w:tc>
            <w:tc>
              <w:tcPr>
                <w:tcW w:w="4395" w:type="dxa"/>
                <w:vAlign w:val="center"/>
              </w:tcPr>
              <w:p w:rsidR="004A3868" w:rsidRDefault="003F1AB5">
                <w:pPr>
                  <w:pStyle w:val="afffb"/>
                </w:pPr>
                <w:r>
                  <w:t>计提方法</w:t>
                </w:r>
              </w:p>
            </w:tc>
          </w:tr>
          <w:tr w:rsidR="004A3868">
            <w:trPr>
              <w:trHeight w:val="397"/>
              <w:jc w:val="center"/>
            </w:trPr>
            <w:tc>
              <w:tcPr>
                <w:tcW w:w="1838" w:type="dxa"/>
                <w:vAlign w:val="center"/>
              </w:tcPr>
              <w:p w:rsidR="004A3868" w:rsidRDefault="003F1AB5">
                <w:pPr>
                  <w:pStyle w:val="afffb"/>
                </w:pPr>
                <w:r>
                  <w:t>账龄组合</w:t>
                </w:r>
              </w:p>
            </w:tc>
            <w:tc>
              <w:tcPr>
                <w:tcW w:w="2693" w:type="dxa"/>
                <w:vAlign w:val="center"/>
              </w:tcPr>
              <w:p w:rsidR="004A3868" w:rsidRDefault="003F1AB5">
                <w:pPr>
                  <w:pStyle w:val="afffb"/>
                </w:pPr>
                <w:r>
                  <w:t>账龄分析法</w:t>
                </w:r>
              </w:p>
            </w:tc>
            <w:tc>
              <w:tcPr>
                <w:tcW w:w="4395" w:type="dxa"/>
                <w:vAlign w:val="center"/>
              </w:tcPr>
              <w:p w:rsidR="004A3868" w:rsidRDefault="003F1AB5">
                <w:pPr>
                  <w:pStyle w:val="afffb"/>
                </w:pPr>
                <w:r>
                  <w:t>参考历史信用损失经验，结合当前状况以及对未来经济状况的预期计量坏账准备</w:t>
                </w:r>
              </w:p>
            </w:tc>
          </w:tr>
        </w:tbl>
        <w:p w:rsidR="004A3868" w:rsidRDefault="003F1AB5">
          <w:pPr>
            <w:pStyle w:val="afff3"/>
            <w:ind w:firstLine="420"/>
          </w:pPr>
          <w:r>
            <w:rPr>
              <w:rFonts w:hint="eastAsia"/>
            </w:rPr>
            <w:t>计提方法：参考历史信用损失经验，结合当前状况以及对未来经济状况的预测，通过违约风险敞口和整个存续期预期信用损失率，计算预期信用损失。</w:t>
          </w:r>
        </w:p>
      </w:sdtContent>
    </w:sdt>
    <w:p w:rsidR="004A3868" w:rsidRDefault="004A3868">
      <w:pPr>
        <w:rPr>
          <w:sz w:val="21"/>
          <w:szCs w:val="21"/>
        </w:rPr>
      </w:pPr>
    </w:p>
    <w:p w:rsidR="004A3868" w:rsidRDefault="003F1AB5">
      <w:pPr>
        <w:rPr>
          <w:sz w:val="21"/>
          <w:szCs w:val="21"/>
        </w:rPr>
      </w:pPr>
      <w:r>
        <w:rPr>
          <w:sz w:val="21"/>
          <w:szCs w:val="21"/>
        </w:rPr>
        <w:lastRenderedPageBreak/>
        <w:t>基于账龄确认信用风险特征组合的账龄计算方法</w:t>
      </w:r>
    </w:p>
    <w:sdt>
      <w:sdtPr>
        <w:rPr>
          <w:sz w:val="21"/>
          <w:szCs w:val="21"/>
        </w:rPr>
        <w:alias w:val="是否适用：应收票据基于账龄确认信用风险特征组合的账龄计算方法[双击切换]"/>
        <w:tag w:val="_GBC_4d2b71d4b5534e67ac5cf99b5efc3674"/>
        <w:id w:val="136007098"/>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票据基于账龄确认信用风险特征组合的账龄计算方法"/>
        <w:tag w:val="_GBC_e2f290fa319e470688692a083511dae6"/>
        <w:id w:val="642626783"/>
        <w:placeholder>
          <w:docPart w:val="GBC22222222222222222222222222222"/>
        </w:placeholder>
      </w:sdtPr>
      <w:sdtEndPr>
        <w:rPr>
          <w:rStyle w:val="afff4"/>
          <w:kern w:val="2"/>
        </w:rPr>
      </w:sdtEndPr>
      <w:sdtContent>
        <w:p w:rsidR="004A3868" w:rsidRDefault="003F1AB5">
          <w:pPr>
            <w:rPr>
              <w:rStyle w:val="afff4"/>
              <w:sz w:val="21"/>
              <w:szCs w:val="21"/>
            </w:rPr>
          </w:pPr>
          <w:r>
            <w:rPr>
              <w:rStyle w:val="afff4"/>
              <w:rFonts w:hint="eastAsia"/>
              <w:sz w:val="21"/>
              <w:szCs w:val="21"/>
            </w:rPr>
            <w:t>账龄组合的账龄与预期信用损失率对照表详见本报告第十节</w:t>
          </w:r>
          <w:r>
            <w:rPr>
              <w:rStyle w:val="afff4"/>
              <w:sz w:val="21"/>
              <w:szCs w:val="21"/>
            </w:rPr>
            <w:t>.五</w:t>
          </w:r>
          <w:r>
            <w:rPr>
              <w:rStyle w:val="afff4"/>
              <w:rFonts w:hint="eastAsia"/>
              <w:sz w:val="21"/>
              <w:szCs w:val="21"/>
            </w:rPr>
            <w:t>.</w:t>
          </w:r>
          <w:r>
            <w:rPr>
              <w:rStyle w:val="afff4"/>
              <w:sz w:val="21"/>
              <w:szCs w:val="21"/>
            </w:rPr>
            <w:t>11.(6)金融工具减值</w:t>
          </w:r>
          <w:r>
            <w:rPr>
              <w:rStyle w:val="afff4"/>
              <w:rFonts w:hint="eastAsia"/>
              <w:sz w:val="21"/>
              <w:szCs w:val="21"/>
            </w:rPr>
            <w:t>。</w:t>
          </w:r>
        </w:p>
      </w:sdtContent>
    </w:sdt>
    <w:p w:rsidR="004A3868" w:rsidRDefault="003F1AB5">
      <w:pPr>
        <w:rPr>
          <w:sz w:val="21"/>
          <w:szCs w:val="21"/>
        </w:rPr>
      </w:pPr>
      <w:r>
        <w:rPr>
          <w:sz w:val="21"/>
          <w:szCs w:val="21"/>
        </w:rPr>
        <w:t>按照单项计提坏账准备的单项计提判断标准</w:t>
      </w:r>
    </w:p>
    <w:sdt>
      <w:sdtPr>
        <w:rPr>
          <w:sz w:val="21"/>
          <w:szCs w:val="21"/>
        </w:rPr>
        <w:alias w:val="是否适用：应收票据按照单项计提坏账准备的单项计提判断标准[双击切换]"/>
        <w:tag w:val="_GBC_acad24dddcfb47cb8bf9995785bdb5ca"/>
        <w:id w:val="116983470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Start w:id="123" w:name="_Hlk533667783" w:displacedByCustomXml="next"/>
    <w:bookmarkStart w:id="124" w:name="_Hlk152690378" w:displacedByCustomXml="next"/>
    <w:sdt>
      <w:sdtPr>
        <w:rPr>
          <w:sz w:val="21"/>
          <w:szCs w:val="21"/>
        </w:rPr>
        <w:alias w:val="应收票据按照单项计提坏账准备的单项计提判断标准"/>
        <w:tag w:val="_GBC_8b9da58fe2204222b593905e569664c5"/>
        <w:id w:val="-700858766"/>
        <w:lock w:val="sdtLocked"/>
      </w:sdtPr>
      <w:sdtEndPr/>
      <w:sdtContent>
        <w:p w:rsidR="004A3868" w:rsidRDefault="003F1AB5">
          <w:pPr>
            <w:rPr>
              <w:sz w:val="21"/>
              <w:szCs w:val="21"/>
            </w:rPr>
          </w:pPr>
          <w:r>
            <w:rPr>
              <w:rFonts w:hint="eastAsia"/>
              <w:sz w:val="21"/>
              <w:szCs w:val="21"/>
            </w:rPr>
            <w:t>对信用风险与组合信用风险显著不同的应收票据，本公司按单项计提预期信用损失。本公司对单项金额重大且在初始确认后已经发生信用减值的应收票据单独确定其信用损失。</w:t>
          </w:r>
        </w:p>
      </w:sdtContent>
    </w:sdt>
    <w:p w:rsidR="004A3868" w:rsidRDefault="003F1AB5">
      <w:pPr>
        <w:pStyle w:val="Style12711"/>
      </w:pPr>
      <w:r>
        <w:rPr>
          <w:rFonts w:hint="eastAsia"/>
        </w:rPr>
        <w:t>应收账款</w:t>
      </w:r>
    </w:p>
    <w:sdt>
      <w:sdtPr>
        <w:rPr>
          <w:rFonts w:hint="eastAsia"/>
        </w:rPr>
        <w:alias w:val="是否适用：应收账款_重要会计政策和估计[双击切换]"/>
        <w:tag w:val="_GBC_d0c8b3edf5e1401fa6e5edeeb4e121b6"/>
        <w:id w:val="1907331912"/>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应收账款的预期信用损失的确定方法及会计处理方法</w:t>
      </w:r>
    </w:p>
    <w:sdt>
      <w:sdtPr>
        <w:rPr>
          <w:sz w:val="21"/>
          <w:szCs w:val="21"/>
        </w:rPr>
        <w:alias w:val="是否适用：应收账款的预期信用损失的确定方法及会计处理方法[双击切换]"/>
        <w:tag w:val="_GBC_479aecc603f54e2f890eb00e4d87411d"/>
        <w:id w:val="2142458897"/>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账款的预期信用损失的确定方法及会计处理方法"/>
        <w:tag w:val="_GBC_85f7acffebe447d585138c00d17d515c"/>
        <w:id w:val="1421211299"/>
        <w:placeholder>
          <w:docPart w:val="GBC22222222222222222222222222222"/>
        </w:placeholder>
      </w:sdtPr>
      <w:sdtEndPr/>
      <w:sdtContent>
        <w:p w:rsidR="004A3868" w:rsidRDefault="003F1AB5">
          <w:pPr>
            <w:rPr>
              <w:sz w:val="21"/>
              <w:szCs w:val="21"/>
            </w:rPr>
          </w:pPr>
          <w:r>
            <w:rPr>
              <w:rFonts w:hint="eastAsia"/>
              <w:sz w:val="21"/>
              <w:szCs w:val="21"/>
            </w:rPr>
            <w:t>本公司对应收账款的预期信用损失的确定方法及会计处理方法详见本报告第十节</w:t>
          </w:r>
          <w:r>
            <w:rPr>
              <w:sz w:val="21"/>
              <w:szCs w:val="21"/>
            </w:rPr>
            <w:t>.五</w:t>
          </w:r>
          <w:r>
            <w:rPr>
              <w:rFonts w:hint="eastAsia"/>
              <w:sz w:val="21"/>
              <w:szCs w:val="21"/>
            </w:rPr>
            <w:t>.</w:t>
          </w:r>
          <w:r>
            <w:rPr>
              <w:sz w:val="21"/>
              <w:szCs w:val="21"/>
            </w:rPr>
            <w:t>11.(6)金融工具减值。</w:t>
          </w:r>
        </w:p>
      </w:sdtContent>
    </w:sdt>
    <w:p w:rsidR="004A3868" w:rsidRDefault="003F1AB5">
      <w:pPr>
        <w:rPr>
          <w:sz w:val="21"/>
          <w:szCs w:val="21"/>
        </w:rPr>
      </w:pPr>
      <w:r>
        <w:rPr>
          <w:sz w:val="21"/>
          <w:szCs w:val="21"/>
        </w:rPr>
        <w:t>按照信用风险特征组合计提坏账准备的组合类别及确定依据</w:t>
      </w:r>
    </w:p>
    <w:bookmarkEnd w:id="123" w:displacedByCustomXml="next"/>
    <w:bookmarkEnd w:id="124" w:displacedByCustomXml="next"/>
    <w:sdt>
      <w:sdtPr>
        <w:rPr>
          <w:sz w:val="21"/>
          <w:szCs w:val="21"/>
        </w:rPr>
        <w:alias w:val="是否适用：应收账款按照信用风险特征组合计提坏账准备的组合类别及确定依据[双击切换]"/>
        <w:tag w:val="_GBC_bbe660c8a4484f56bb4d8ca560cf5f0d"/>
        <w:id w:val="732661242"/>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账款按照信用风险特征组合计提坏账准备的组合类别及确定依据"/>
        <w:tag w:val="_GBC_dc9b9edff6424bb9a8c3e45ddef1456d"/>
        <w:id w:val="435795263"/>
        <w:placeholder>
          <w:docPart w:val="GBC22222222222222222222222222222"/>
        </w:placeholder>
      </w:sdtPr>
      <w:sdtEndPr>
        <w:rPr>
          <w:szCs w:val="20"/>
        </w:rPr>
      </w:sdtEndPr>
      <w:sdtContent>
        <w:p w:rsidR="004A3868" w:rsidRDefault="003F1AB5">
          <w:pPr>
            <w:rPr>
              <w:sz w:val="21"/>
              <w:szCs w:val="21"/>
            </w:rPr>
          </w:pPr>
          <w:r>
            <w:rPr>
              <w:rFonts w:hint="eastAsia"/>
              <w:sz w:val="21"/>
              <w:szCs w:val="21"/>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Style w:val="g12"/>
            <w:tblW w:w="5000" w:type="pct"/>
            <w:jc w:val="center"/>
            <w:tblInd w:w="0" w:type="dxa"/>
            <w:tblBorders>
              <w:top w:val="single" w:sz="8" w:space="0" w:color="auto"/>
              <w:left w:val="single" w:sz="8" w:space="0" w:color="auto"/>
              <w:bottom w:val="single" w:sz="8" w:space="0" w:color="auto"/>
              <w:right w:val="single" w:sz="8" w:space="0" w:color="auto"/>
            </w:tblBorders>
            <w:tblLayout w:type="fixed"/>
            <w:tblCellMar>
              <w:right w:w="28" w:type="dxa"/>
            </w:tblCellMar>
            <w:tblLook w:val="04A0" w:firstRow="1" w:lastRow="0" w:firstColumn="1" w:lastColumn="0" w:noHBand="0" w:noVBand="1"/>
          </w:tblPr>
          <w:tblGrid>
            <w:gridCol w:w="1987"/>
            <w:gridCol w:w="2114"/>
            <w:gridCol w:w="4712"/>
          </w:tblGrid>
          <w:tr w:rsidR="004A3868">
            <w:trPr>
              <w:trHeight w:val="397"/>
              <w:jc w:val="center"/>
            </w:trPr>
            <w:tc>
              <w:tcPr>
                <w:tcW w:w="1987" w:type="dxa"/>
                <w:vAlign w:val="center"/>
              </w:tcPr>
              <w:p w:rsidR="004A3868" w:rsidRDefault="003F1AB5">
                <w:pPr>
                  <w:pStyle w:val="afffb"/>
                </w:pPr>
                <w:r>
                  <w:t>组合名称</w:t>
                </w:r>
              </w:p>
            </w:tc>
            <w:tc>
              <w:tcPr>
                <w:tcW w:w="2114" w:type="dxa"/>
                <w:vAlign w:val="center"/>
              </w:tcPr>
              <w:p w:rsidR="004A3868" w:rsidRDefault="003F1AB5">
                <w:pPr>
                  <w:pStyle w:val="afffb"/>
                </w:pPr>
                <w:r>
                  <w:t>确定组合的依据</w:t>
                </w:r>
              </w:p>
            </w:tc>
            <w:tc>
              <w:tcPr>
                <w:tcW w:w="4712" w:type="dxa"/>
                <w:vAlign w:val="center"/>
              </w:tcPr>
              <w:p w:rsidR="004A3868" w:rsidRDefault="003F1AB5">
                <w:pPr>
                  <w:pStyle w:val="afffb"/>
                </w:pPr>
                <w:r>
                  <w:t>计提方法</w:t>
                </w:r>
              </w:p>
            </w:tc>
          </w:tr>
          <w:tr w:rsidR="004A3868">
            <w:trPr>
              <w:trHeight w:val="397"/>
              <w:jc w:val="center"/>
            </w:trPr>
            <w:tc>
              <w:tcPr>
                <w:tcW w:w="1987" w:type="dxa"/>
                <w:vAlign w:val="center"/>
              </w:tcPr>
              <w:p w:rsidR="004A3868" w:rsidRDefault="003F1AB5">
                <w:pPr>
                  <w:pStyle w:val="afffb"/>
                </w:pPr>
                <w:r>
                  <w:t>组合一：账龄组合</w:t>
                </w:r>
              </w:p>
            </w:tc>
            <w:tc>
              <w:tcPr>
                <w:tcW w:w="2114" w:type="dxa"/>
                <w:vAlign w:val="center"/>
              </w:tcPr>
              <w:p w:rsidR="004A3868" w:rsidRDefault="003F1AB5">
                <w:pPr>
                  <w:pStyle w:val="afffb"/>
                </w:pPr>
                <w:r>
                  <w:t>账龄状态</w:t>
                </w:r>
              </w:p>
            </w:tc>
            <w:tc>
              <w:tcPr>
                <w:tcW w:w="4712" w:type="dxa"/>
                <w:vAlign w:val="center"/>
              </w:tcPr>
              <w:p w:rsidR="004A3868" w:rsidRDefault="003F1AB5">
                <w:pPr>
                  <w:pStyle w:val="afffb"/>
                </w:pPr>
                <w:r>
                  <w:t>按账龄与整个存续期预期信用损失率对照表计提</w:t>
                </w:r>
              </w:p>
            </w:tc>
          </w:tr>
          <w:tr w:rsidR="004A3868">
            <w:trPr>
              <w:trHeight w:val="397"/>
              <w:jc w:val="center"/>
            </w:trPr>
            <w:tc>
              <w:tcPr>
                <w:tcW w:w="1987" w:type="dxa"/>
                <w:vAlign w:val="center"/>
              </w:tcPr>
              <w:p w:rsidR="004A3868" w:rsidRDefault="003F1AB5">
                <w:pPr>
                  <w:pStyle w:val="afffb"/>
                </w:pPr>
                <w:r>
                  <w:t>组合二：同一母公司并表范围内的关联方组合</w:t>
                </w:r>
              </w:p>
            </w:tc>
            <w:tc>
              <w:tcPr>
                <w:tcW w:w="2114" w:type="dxa"/>
                <w:vAlign w:val="center"/>
              </w:tcPr>
              <w:p w:rsidR="004A3868" w:rsidRDefault="003F1AB5">
                <w:pPr>
                  <w:pStyle w:val="afffb"/>
                </w:pPr>
                <w:r>
                  <w:t>合并范围内单位之间的应收款项</w:t>
                </w:r>
              </w:p>
            </w:tc>
            <w:tc>
              <w:tcPr>
                <w:tcW w:w="4712" w:type="dxa"/>
                <w:vAlign w:val="center"/>
              </w:tcPr>
              <w:p w:rsidR="004A3868" w:rsidRDefault="003F1AB5">
                <w:pPr>
                  <w:pStyle w:val="afffb"/>
                </w:pPr>
                <w:r>
                  <w:t>除明显证据表明存在坏账风险，并对其单项测试计提减值损失外，本公司参考历史信用损失经验，结合当前状况以及对未来经济状况的预期，对该组合计量坏账准备</w:t>
                </w:r>
              </w:p>
            </w:tc>
          </w:tr>
        </w:tbl>
        <w:p w:rsidR="004A3868" w:rsidRDefault="003F1AB5">
          <w:pPr>
            <w:pStyle w:val="afff3"/>
            <w:ind w:firstLine="420"/>
          </w:pPr>
          <w:r>
            <w:rPr>
              <w:rFonts w:hint="eastAsia"/>
            </w:rPr>
            <w:t>计提方法：参考历史信用损失经验，结合当前状况以及对未来经济状况的预测，通过违约风险敞口和整个存续期预期信用损失率，计算预期信用损失。</w:t>
          </w:r>
        </w:p>
      </w:sdtContent>
    </w:sdt>
    <w:p w:rsidR="004A3868" w:rsidRDefault="003F1AB5">
      <w:pPr>
        <w:rPr>
          <w:sz w:val="21"/>
          <w:szCs w:val="21"/>
        </w:rPr>
      </w:pPr>
      <w:r>
        <w:rPr>
          <w:sz w:val="21"/>
          <w:szCs w:val="21"/>
        </w:rPr>
        <w:t>基于账龄确认信用风险特征组合的账龄计算方法</w:t>
      </w:r>
    </w:p>
    <w:sdt>
      <w:sdtPr>
        <w:rPr>
          <w:sz w:val="21"/>
          <w:szCs w:val="21"/>
        </w:rPr>
        <w:alias w:val="是否适用：应收账款基于账龄确认信用风险特征组合的账龄计算方法[双击切换]"/>
        <w:tag w:val="_GBC_a894190385984ab79eb47091bc48cf44"/>
        <w:id w:val="-1618749597"/>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账款基于账龄确认信用风险特征组合的账龄计算方法"/>
        <w:tag w:val="_GBC_5898846437ea4f198500076e05edd8ab"/>
        <w:id w:val="1586960457"/>
        <w:placeholder>
          <w:docPart w:val="GBC22222222222222222222222222222"/>
        </w:placeholder>
      </w:sdtPr>
      <w:sdtEndPr/>
      <w:sdtContent>
        <w:p w:rsidR="004A3868" w:rsidRDefault="003F1AB5">
          <w:pPr>
            <w:rPr>
              <w:sz w:val="21"/>
              <w:szCs w:val="21"/>
            </w:rPr>
          </w:pPr>
          <w:r>
            <w:rPr>
              <w:rFonts w:hint="eastAsia"/>
              <w:sz w:val="21"/>
              <w:szCs w:val="21"/>
            </w:rPr>
            <w:t>账龄组合的账龄与预期信用损失率对照表如下：</w:t>
          </w:r>
        </w:p>
        <w:tbl>
          <w:tblPr>
            <w:tblStyle w:val="g12"/>
            <w:tblW w:w="5000" w:type="pct"/>
            <w:jc w:val="center"/>
            <w:tblInd w:w="0" w:type="dxa"/>
            <w:tblLayout w:type="fixed"/>
            <w:tblCellMar>
              <w:right w:w="28" w:type="dxa"/>
            </w:tblCellMar>
            <w:tblLook w:val="04A0" w:firstRow="1" w:lastRow="0" w:firstColumn="1" w:lastColumn="0" w:noHBand="0" w:noVBand="1"/>
          </w:tblPr>
          <w:tblGrid>
            <w:gridCol w:w="4411"/>
            <w:gridCol w:w="4412"/>
          </w:tblGrid>
          <w:tr w:rsidR="004A3868">
            <w:trPr>
              <w:trHeight w:val="397"/>
              <w:jc w:val="center"/>
            </w:trPr>
            <w:tc>
              <w:tcPr>
                <w:tcW w:w="4411" w:type="dxa"/>
                <w:vAlign w:val="center"/>
              </w:tcPr>
              <w:p w:rsidR="004A3868" w:rsidRDefault="003F1AB5">
                <w:pPr>
                  <w:pStyle w:val="afffb"/>
                </w:pPr>
                <w:r>
                  <w:t>账龄</w:t>
                </w:r>
              </w:p>
            </w:tc>
            <w:tc>
              <w:tcPr>
                <w:tcW w:w="4412" w:type="dxa"/>
                <w:vAlign w:val="center"/>
              </w:tcPr>
              <w:p w:rsidR="004A3868" w:rsidRDefault="003F1AB5">
                <w:pPr>
                  <w:pStyle w:val="afffb"/>
                </w:pPr>
                <w:r>
                  <w:t>应收账款预期信用损失率（%）</w:t>
                </w:r>
              </w:p>
            </w:tc>
          </w:tr>
          <w:tr w:rsidR="004A3868">
            <w:trPr>
              <w:trHeight w:val="397"/>
              <w:jc w:val="center"/>
            </w:trPr>
            <w:tc>
              <w:tcPr>
                <w:tcW w:w="4411" w:type="dxa"/>
                <w:vAlign w:val="center"/>
              </w:tcPr>
              <w:p w:rsidR="004A3868" w:rsidRDefault="003F1AB5">
                <w:pPr>
                  <w:pStyle w:val="afffb"/>
                </w:pPr>
                <w:r>
                  <w:t>1年以内</w:t>
                </w:r>
              </w:p>
            </w:tc>
            <w:tc>
              <w:tcPr>
                <w:tcW w:w="4412" w:type="dxa"/>
                <w:vAlign w:val="center"/>
              </w:tcPr>
              <w:p w:rsidR="004A3868" w:rsidRDefault="003F1AB5">
                <w:pPr>
                  <w:pStyle w:val="afff7"/>
                </w:pPr>
                <w:r>
                  <w:t>5.00</w:t>
                </w:r>
              </w:p>
            </w:tc>
          </w:tr>
          <w:tr w:rsidR="004A3868">
            <w:trPr>
              <w:trHeight w:val="397"/>
              <w:jc w:val="center"/>
            </w:trPr>
            <w:tc>
              <w:tcPr>
                <w:tcW w:w="4411" w:type="dxa"/>
                <w:vAlign w:val="center"/>
              </w:tcPr>
              <w:p w:rsidR="004A3868" w:rsidRDefault="003F1AB5">
                <w:pPr>
                  <w:pStyle w:val="afffb"/>
                </w:pPr>
                <w:r>
                  <w:t>1－2年</w:t>
                </w:r>
              </w:p>
            </w:tc>
            <w:tc>
              <w:tcPr>
                <w:tcW w:w="4412" w:type="dxa"/>
                <w:vAlign w:val="center"/>
              </w:tcPr>
              <w:p w:rsidR="004A3868" w:rsidRDefault="003F1AB5">
                <w:pPr>
                  <w:pStyle w:val="afff7"/>
                </w:pPr>
                <w:r>
                  <w:t>10.00</w:t>
                </w:r>
              </w:p>
            </w:tc>
          </w:tr>
          <w:tr w:rsidR="004A3868">
            <w:trPr>
              <w:trHeight w:val="397"/>
              <w:jc w:val="center"/>
            </w:trPr>
            <w:tc>
              <w:tcPr>
                <w:tcW w:w="4411" w:type="dxa"/>
                <w:vAlign w:val="center"/>
              </w:tcPr>
              <w:p w:rsidR="004A3868" w:rsidRDefault="003F1AB5">
                <w:pPr>
                  <w:pStyle w:val="afffb"/>
                </w:pPr>
                <w:r>
                  <w:t>2－3年</w:t>
                </w:r>
              </w:p>
            </w:tc>
            <w:tc>
              <w:tcPr>
                <w:tcW w:w="4412" w:type="dxa"/>
                <w:vAlign w:val="center"/>
              </w:tcPr>
              <w:p w:rsidR="004A3868" w:rsidRDefault="003F1AB5">
                <w:pPr>
                  <w:pStyle w:val="afff7"/>
                </w:pPr>
                <w:r>
                  <w:t>20.00</w:t>
                </w:r>
              </w:p>
            </w:tc>
          </w:tr>
          <w:tr w:rsidR="004A3868">
            <w:trPr>
              <w:trHeight w:val="397"/>
              <w:jc w:val="center"/>
            </w:trPr>
            <w:tc>
              <w:tcPr>
                <w:tcW w:w="4411" w:type="dxa"/>
                <w:vAlign w:val="center"/>
              </w:tcPr>
              <w:p w:rsidR="004A3868" w:rsidRDefault="003F1AB5">
                <w:pPr>
                  <w:pStyle w:val="afffb"/>
                </w:pPr>
                <w:r>
                  <w:t>3－4年</w:t>
                </w:r>
              </w:p>
            </w:tc>
            <w:tc>
              <w:tcPr>
                <w:tcW w:w="4412" w:type="dxa"/>
                <w:vAlign w:val="center"/>
              </w:tcPr>
              <w:p w:rsidR="004A3868" w:rsidRDefault="003F1AB5">
                <w:pPr>
                  <w:pStyle w:val="afff7"/>
                </w:pPr>
                <w:r>
                  <w:t>30.00</w:t>
                </w:r>
              </w:p>
            </w:tc>
          </w:tr>
          <w:tr w:rsidR="004A3868">
            <w:trPr>
              <w:trHeight w:val="397"/>
              <w:jc w:val="center"/>
            </w:trPr>
            <w:tc>
              <w:tcPr>
                <w:tcW w:w="4411" w:type="dxa"/>
                <w:vAlign w:val="center"/>
              </w:tcPr>
              <w:p w:rsidR="004A3868" w:rsidRDefault="003F1AB5">
                <w:pPr>
                  <w:pStyle w:val="afffb"/>
                </w:pPr>
                <w:r>
                  <w:t>4－5年</w:t>
                </w:r>
              </w:p>
            </w:tc>
            <w:tc>
              <w:tcPr>
                <w:tcW w:w="4412" w:type="dxa"/>
                <w:vAlign w:val="center"/>
              </w:tcPr>
              <w:p w:rsidR="004A3868" w:rsidRDefault="003F1AB5">
                <w:pPr>
                  <w:pStyle w:val="afff7"/>
                </w:pPr>
                <w:r>
                  <w:t>50.00</w:t>
                </w:r>
              </w:p>
            </w:tc>
          </w:tr>
          <w:tr w:rsidR="004A3868">
            <w:trPr>
              <w:trHeight w:val="397"/>
              <w:jc w:val="center"/>
            </w:trPr>
            <w:tc>
              <w:tcPr>
                <w:tcW w:w="4411" w:type="dxa"/>
                <w:vAlign w:val="center"/>
              </w:tcPr>
              <w:p w:rsidR="004A3868" w:rsidRDefault="003F1AB5">
                <w:pPr>
                  <w:pStyle w:val="afffb"/>
                </w:pPr>
                <w:r>
                  <w:lastRenderedPageBreak/>
                  <w:t>5年以上</w:t>
                </w:r>
              </w:p>
            </w:tc>
            <w:tc>
              <w:tcPr>
                <w:tcW w:w="4412" w:type="dxa"/>
                <w:vAlign w:val="center"/>
              </w:tcPr>
              <w:p w:rsidR="004A3868" w:rsidRDefault="003F1AB5">
                <w:pPr>
                  <w:pStyle w:val="afff7"/>
                </w:pPr>
                <w:r>
                  <w:t>100.00</w:t>
                </w:r>
              </w:p>
            </w:tc>
          </w:tr>
        </w:tbl>
        <w:p w:rsidR="004A3868" w:rsidRDefault="003F1AB5">
          <w:pPr>
            <w:rPr>
              <w:sz w:val="21"/>
              <w:szCs w:val="21"/>
            </w:rPr>
          </w:pPr>
          <w:r>
            <w:rPr>
              <w:rFonts w:hint="eastAsia"/>
              <w:sz w:val="21"/>
              <w:szCs w:val="21"/>
            </w:rPr>
            <w:t>应收账款账龄按先进先出法进行计算。</w:t>
          </w:r>
        </w:p>
      </w:sdtContent>
    </w:sdt>
    <w:p w:rsidR="004A3868" w:rsidRDefault="003F1AB5">
      <w:pPr>
        <w:rPr>
          <w:sz w:val="21"/>
          <w:szCs w:val="21"/>
        </w:rPr>
      </w:pPr>
      <w:r>
        <w:rPr>
          <w:sz w:val="21"/>
          <w:szCs w:val="21"/>
        </w:rPr>
        <w:t>按照单项计提坏账准备的认定单项计提判断标准</w:t>
      </w:r>
    </w:p>
    <w:sdt>
      <w:sdtPr>
        <w:rPr>
          <w:sz w:val="21"/>
          <w:szCs w:val="21"/>
        </w:rPr>
        <w:alias w:val="是否适用：应收账款按照单项计提坏账准备的单项计提判断标准[双击切换]"/>
        <w:tag w:val="_GBC_f7afe786f25942689e4acaa1b3bcb415"/>
        <w:id w:val="-271242822"/>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账款按照单项计提坏账准备的单项计提判断标准"/>
        <w:tag w:val="_GBC_599e453280664c169d8cffd0da6e21f5"/>
        <w:id w:val="132529171"/>
        <w:placeholder>
          <w:docPart w:val="GBC22222222222222222222222222222"/>
        </w:placeholder>
      </w:sdtPr>
      <w:sdtEndPr>
        <w:rPr>
          <w:rStyle w:val="afff2"/>
        </w:rPr>
      </w:sdtEndPr>
      <w:sdtContent>
        <w:p w:rsidR="004A3868" w:rsidRDefault="003F1AB5">
          <w:pPr>
            <w:rPr>
              <w:rStyle w:val="afff2"/>
              <w:szCs w:val="21"/>
            </w:rPr>
          </w:pPr>
          <w:r>
            <w:rPr>
              <w:rStyle w:val="afff2"/>
              <w:rFonts w:hint="eastAsia"/>
              <w:szCs w:val="21"/>
            </w:rPr>
            <w:t>对信用风险与组合信用风险显著不同的应收账款，本公司按单项计提预期信用损失。本公司对单项金额重大且在初始确认后已经发生信用减值的应收账款单独确定其信用损失。</w:t>
          </w:r>
        </w:p>
      </w:sdtContent>
    </w:sdt>
    <w:p w:rsidR="004A3868" w:rsidRDefault="003F1AB5">
      <w:pPr>
        <w:pStyle w:val="Style12711"/>
      </w:pPr>
      <w:r>
        <w:rPr>
          <w:rFonts w:hint="eastAsia"/>
        </w:rPr>
        <w:t>应收款项融资</w:t>
      </w:r>
    </w:p>
    <w:sdt>
      <w:sdtPr>
        <w:alias w:val="是否适用：应收款项融资_重要会计政策和估计[双击切换]"/>
        <w:tag w:val="_GBC_a2e41ba19b9541d683d17977f5a0e631"/>
        <w:id w:val="-394284722"/>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应收款项融资预期信用损失的确定方法及会计处理方法</w:t>
      </w:r>
    </w:p>
    <w:sdt>
      <w:sdtPr>
        <w:alias w:val="是否适用：应收款项融资预期信用损失的确定方法及会计处理方法[双击切换]"/>
        <w:tag w:val="_GBC_9205d8eaf1c5457692563a4254ccea71"/>
        <w:id w:val="1313610904"/>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1"/>
          <w:szCs w:val="21"/>
        </w:rPr>
        <w:alias w:val="应收款项融资预期信用损失的确定方法及会计处理方法"/>
        <w:tag w:val="_GBC_d494628058d042838722bba8257b3e12"/>
        <w:id w:val="862317744"/>
        <w:placeholder>
          <w:docPart w:val="GBC22222222222222222222222222222"/>
        </w:placeholder>
      </w:sdtPr>
      <w:sdtEndPr>
        <w:rPr>
          <w:rStyle w:val="afff2"/>
        </w:rPr>
      </w:sdtEndPr>
      <w:sdtContent>
        <w:p w:rsidR="004A3868" w:rsidRDefault="003F1AB5">
          <w:pPr>
            <w:rPr>
              <w:rStyle w:val="afff2"/>
              <w:szCs w:val="21"/>
            </w:rPr>
          </w:pPr>
          <w:r>
            <w:rPr>
              <w:rStyle w:val="afff2"/>
              <w:rFonts w:hint="eastAsia"/>
              <w:szCs w:val="21"/>
            </w:rPr>
            <w:t>本公司对应收款项融资的预期信用损失的确定方法及会计处理方法详见本报告第十节</w:t>
          </w:r>
          <w:r>
            <w:rPr>
              <w:rStyle w:val="afff2"/>
              <w:szCs w:val="21"/>
            </w:rPr>
            <w:t>.五</w:t>
          </w:r>
          <w:r>
            <w:rPr>
              <w:rStyle w:val="afff2"/>
              <w:rFonts w:hint="eastAsia"/>
              <w:szCs w:val="21"/>
            </w:rPr>
            <w:t>.</w:t>
          </w:r>
          <w:r>
            <w:rPr>
              <w:rStyle w:val="afff2"/>
              <w:szCs w:val="21"/>
            </w:rPr>
            <w:t>11.(6)金融工具减值。</w:t>
          </w:r>
        </w:p>
      </w:sdtContent>
    </w:sdt>
    <w:p w:rsidR="004A3868" w:rsidRDefault="003F1AB5">
      <w:pPr>
        <w:rPr>
          <w:sz w:val="21"/>
          <w:szCs w:val="21"/>
        </w:rPr>
      </w:pPr>
      <w:r>
        <w:rPr>
          <w:sz w:val="21"/>
          <w:szCs w:val="21"/>
        </w:rPr>
        <w:t>按照信用风险特征组合计提坏账准备的组合类别及确定依据</w:t>
      </w:r>
    </w:p>
    <w:sdt>
      <w:sdtPr>
        <w:rPr>
          <w:sz w:val="21"/>
          <w:szCs w:val="21"/>
        </w:rPr>
        <w:alias w:val="是否适用：应收款项融资按照信用风险特征组合计提坏账准备的组合类别及确定依据[双击切换]"/>
        <w:tag w:val="_GBC_96c4eeead8b040d79bbd069f3f4f2aec"/>
        <w:id w:val="-1757894316"/>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款项融资按照信用风险特征组合计提坏账准备的组合类别及确定依据"/>
        <w:tag w:val="_GBC_37ff5d8320ca45f099eeaeeaaf6f1232"/>
        <w:id w:val="1807358153"/>
        <w:placeholder>
          <w:docPart w:val="GBC22222222222222222222222222222"/>
        </w:placeholder>
      </w:sdtPr>
      <w:sdtEndPr/>
      <w:sdtContent>
        <w:p w:rsidR="004A3868" w:rsidRDefault="003F1AB5">
          <w:pPr>
            <w:rPr>
              <w:rStyle w:val="afff2"/>
              <w:szCs w:val="21"/>
            </w:rPr>
          </w:pPr>
          <w:r>
            <w:rPr>
              <w:rStyle w:val="afff2"/>
              <w:rFonts w:hint="eastAsia"/>
              <w:szCs w:val="21"/>
            </w:rPr>
            <w:t>当在单项工具层面无法以合理成本评估预期信用损失的充分证据时，本公司参考历史信用损失经验，结合当前状况以及对未来经济状况的判断，依据信用风险特征将应收账款划分为若干组合，在组合基础上计算预期信用损失。确定组合的依据如下：</w:t>
          </w:r>
        </w:p>
        <w:tbl>
          <w:tblPr>
            <w:tblStyle w:val="g12"/>
            <w:tblW w:w="5000" w:type="pct"/>
            <w:jc w:val="center"/>
            <w:tblInd w:w="0" w:type="dxa"/>
            <w:tblLayout w:type="fixed"/>
            <w:tblCellMar>
              <w:right w:w="28" w:type="dxa"/>
            </w:tblCellMar>
            <w:tblLook w:val="04A0" w:firstRow="1" w:lastRow="0" w:firstColumn="1" w:lastColumn="0" w:noHBand="0" w:noVBand="1"/>
          </w:tblPr>
          <w:tblGrid>
            <w:gridCol w:w="1846"/>
            <w:gridCol w:w="1994"/>
            <w:gridCol w:w="4983"/>
          </w:tblGrid>
          <w:tr w:rsidR="004A3868">
            <w:trPr>
              <w:trHeight w:val="397"/>
              <w:jc w:val="center"/>
            </w:trPr>
            <w:tc>
              <w:tcPr>
                <w:tcW w:w="1838" w:type="dxa"/>
                <w:vAlign w:val="center"/>
              </w:tcPr>
              <w:p w:rsidR="004A3868" w:rsidRDefault="003F1AB5">
                <w:pPr>
                  <w:pStyle w:val="afffb"/>
                </w:pPr>
                <w:r>
                  <w:t>组合名称</w:t>
                </w:r>
              </w:p>
            </w:tc>
            <w:tc>
              <w:tcPr>
                <w:tcW w:w="1985" w:type="dxa"/>
                <w:vAlign w:val="center"/>
              </w:tcPr>
              <w:p w:rsidR="004A3868" w:rsidRDefault="003F1AB5">
                <w:pPr>
                  <w:pStyle w:val="afffb"/>
                </w:pPr>
                <w:r>
                  <w:t>确定组合的依据</w:t>
                </w:r>
              </w:p>
            </w:tc>
            <w:tc>
              <w:tcPr>
                <w:tcW w:w="4961" w:type="dxa"/>
                <w:vAlign w:val="center"/>
              </w:tcPr>
              <w:p w:rsidR="004A3868" w:rsidRDefault="003F1AB5">
                <w:pPr>
                  <w:pStyle w:val="afffb"/>
                </w:pPr>
                <w:r>
                  <w:t>计提方法</w:t>
                </w:r>
              </w:p>
            </w:tc>
          </w:tr>
          <w:tr w:rsidR="004A3868">
            <w:trPr>
              <w:trHeight w:val="397"/>
              <w:jc w:val="center"/>
            </w:trPr>
            <w:tc>
              <w:tcPr>
                <w:tcW w:w="1838" w:type="dxa"/>
                <w:vAlign w:val="center"/>
              </w:tcPr>
              <w:p w:rsidR="004A3868" w:rsidRDefault="003F1AB5">
                <w:pPr>
                  <w:pStyle w:val="afffb"/>
                </w:pPr>
                <w:r>
                  <w:t>账龄组合</w:t>
                </w:r>
              </w:p>
            </w:tc>
            <w:tc>
              <w:tcPr>
                <w:tcW w:w="1985" w:type="dxa"/>
                <w:vAlign w:val="center"/>
              </w:tcPr>
              <w:p w:rsidR="004A3868" w:rsidRDefault="003F1AB5">
                <w:pPr>
                  <w:pStyle w:val="afffb"/>
                </w:pPr>
                <w:r>
                  <w:t>账龄分析法</w:t>
                </w:r>
              </w:p>
            </w:tc>
            <w:tc>
              <w:tcPr>
                <w:tcW w:w="4961" w:type="dxa"/>
                <w:vAlign w:val="center"/>
              </w:tcPr>
              <w:p w:rsidR="004A3868" w:rsidRDefault="003F1AB5">
                <w:pPr>
                  <w:pStyle w:val="afffb"/>
                </w:pPr>
                <w:r>
                  <w:t>参考历史信用损失经验，结合当前状况以及对未来经济状况的预期计量坏账准备</w:t>
                </w:r>
              </w:p>
            </w:tc>
          </w:tr>
        </w:tbl>
        <w:p w:rsidR="004A3868" w:rsidRDefault="003F1AB5">
          <w:pPr>
            <w:pStyle w:val="afff1"/>
            <w:spacing w:before="156"/>
            <w:ind w:firstLine="420"/>
            <w:rPr>
              <w:szCs w:val="21"/>
            </w:rPr>
          </w:pPr>
          <w:r>
            <w:rPr>
              <w:rStyle w:val="afff4"/>
              <w:rFonts w:hint="eastAsia"/>
              <w:sz w:val="21"/>
              <w:szCs w:val="21"/>
            </w:rPr>
            <w:t>计提方法：参考历史信用损失经验，结合当前状况以及对未来经济状况的预测，通过违约风险敞口和整个存续期预期信用损失率，计算预期信用损失。</w:t>
          </w:r>
        </w:p>
      </w:sdtContent>
    </w:sdt>
    <w:p w:rsidR="004A3868" w:rsidRDefault="003F1AB5">
      <w:pPr>
        <w:rPr>
          <w:sz w:val="21"/>
          <w:szCs w:val="21"/>
        </w:rPr>
      </w:pPr>
      <w:r>
        <w:rPr>
          <w:sz w:val="21"/>
          <w:szCs w:val="21"/>
        </w:rPr>
        <w:t>基于账龄确认信用风险特征组合的账龄计算方法</w:t>
      </w:r>
    </w:p>
    <w:sdt>
      <w:sdtPr>
        <w:rPr>
          <w:sz w:val="21"/>
          <w:szCs w:val="21"/>
        </w:rPr>
        <w:alias w:val="是否适用：应收款项融资基于账龄确认信用风险特征组合的账龄计算方法[双击切换]"/>
        <w:tag w:val="_GBC_6088373057ea4aacb1a49ee381004fee"/>
        <w:id w:val="828092536"/>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款项融资基于账龄确认信用风险特征组合的账龄计算方法"/>
        <w:tag w:val="_GBC_791d9201e6df4c76873947e9954a5b9b"/>
        <w:id w:val="1324247040"/>
        <w:placeholder>
          <w:docPart w:val="GBC22222222222222222222222222222"/>
        </w:placeholder>
      </w:sdtPr>
      <w:sdtEndPr>
        <w:rPr>
          <w:rStyle w:val="afff2"/>
        </w:rPr>
      </w:sdtEndPr>
      <w:sdtContent>
        <w:p w:rsidR="004A3868" w:rsidRDefault="003F1AB5">
          <w:pPr>
            <w:rPr>
              <w:rStyle w:val="afff2"/>
              <w:szCs w:val="21"/>
            </w:rPr>
          </w:pPr>
          <w:r>
            <w:rPr>
              <w:rStyle w:val="afff2"/>
              <w:rFonts w:hint="eastAsia"/>
              <w:szCs w:val="21"/>
            </w:rPr>
            <w:t>账龄组合的账龄与预期信用损失率对照表详见本报告第十节</w:t>
          </w:r>
          <w:r>
            <w:rPr>
              <w:rStyle w:val="afff2"/>
              <w:szCs w:val="21"/>
            </w:rPr>
            <w:t>.五</w:t>
          </w:r>
          <w:r>
            <w:rPr>
              <w:rStyle w:val="afff2"/>
              <w:rFonts w:hint="eastAsia"/>
              <w:szCs w:val="21"/>
            </w:rPr>
            <w:t>.</w:t>
          </w:r>
          <w:r>
            <w:rPr>
              <w:rStyle w:val="afff2"/>
              <w:szCs w:val="21"/>
            </w:rPr>
            <w:t>11.(6)金融工具减值</w:t>
          </w:r>
        </w:p>
      </w:sdtContent>
    </w:sdt>
    <w:p w:rsidR="004A3868" w:rsidRDefault="003F1AB5">
      <w:pPr>
        <w:rPr>
          <w:sz w:val="21"/>
          <w:szCs w:val="21"/>
        </w:rPr>
      </w:pPr>
      <w:r>
        <w:rPr>
          <w:sz w:val="21"/>
          <w:szCs w:val="21"/>
        </w:rPr>
        <w:t>按照单项计提坏账准备的单项计提判断标准</w:t>
      </w:r>
    </w:p>
    <w:sdt>
      <w:sdtPr>
        <w:rPr>
          <w:sz w:val="21"/>
          <w:szCs w:val="21"/>
        </w:rPr>
        <w:alias w:val="是否适用：应收款项融资按照单项计提坏账准备的单项计提判断标准[双击切换]"/>
        <w:tag w:val="_GBC_ee8c0fdee21e477387bf47d167b126ff"/>
        <w:id w:val="756948447"/>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款项融资按照单项计提坏账准备的单项计提判断标准"/>
        <w:tag w:val="_GBC_b3b8295d655949dc97afd6a5c34f9a9a"/>
        <w:id w:val="823773585"/>
        <w:placeholder>
          <w:docPart w:val="GBC22222222222222222222222222222"/>
        </w:placeholder>
      </w:sdtPr>
      <w:sdtEndPr>
        <w:rPr>
          <w:rStyle w:val="afff2"/>
        </w:rPr>
      </w:sdtEndPr>
      <w:sdtContent>
        <w:p w:rsidR="004A3868" w:rsidRDefault="003F1AB5">
          <w:pPr>
            <w:rPr>
              <w:rStyle w:val="afff2"/>
              <w:szCs w:val="21"/>
            </w:rPr>
          </w:pPr>
          <w:r>
            <w:rPr>
              <w:rStyle w:val="afff2"/>
              <w:rFonts w:hint="eastAsia"/>
              <w:szCs w:val="21"/>
            </w:rPr>
            <w:t>对信用风险与组合信用风险显著不同的应收款项融资，本公司按单项计提预期信用损失。本公司对单项金额重大且在初始确认后已经发生信用减值的应收款项融资单独确定其信用损失。</w:t>
          </w:r>
        </w:p>
      </w:sdtContent>
    </w:sdt>
    <w:p w:rsidR="004A3868" w:rsidRDefault="004A3868">
      <w:pPr>
        <w:pStyle w:val="Style124"/>
      </w:pPr>
    </w:p>
    <w:p w:rsidR="004A3868" w:rsidRDefault="003F1AB5">
      <w:pPr>
        <w:pStyle w:val="Style12711"/>
      </w:pPr>
      <w:bookmarkStart w:id="125" w:name="_Hlk533667836"/>
      <w:r>
        <w:rPr>
          <w:rFonts w:hint="eastAsia"/>
        </w:rPr>
        <w:t>其他应收款</w:t>
      </w:r>
    </w:p>
    <w:sdt>
      <w:sdtPr>
        <w:rPr>
          <w:rFonts w:hint="eastAsia"/>
        </w:rPr>
        <w:alias w:val="是否适用：其他应收款_重要会计政策和估计[双击切换]"/>
        <w:tag w:val="_GBC_bd9572d7068940d78105aa21662a4f54"/>
        <w:id w:val="513192880"/>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其他应收款</w:t>
      </w:r>
      <w:r>
        <w:rPr>
          <w:sz w:val="21"/>
          <w:szCs w:val="21"/>
        </w:rPr>
        <w:t>预期信用损失的确定方法及会计处理方法</w:t>
      </w:r>
    </w:p>
    <w:sdt>
      <w:sdtPr>
        <w:alias w:val="是否适用：其他应收款预期信用损失的确定方法及会计处理方法[双击切换]"/>
        <w:tag w:val="_GBC_d0c5c796c0ac47848c0907121820cf83"/>
        <w:id w:val="-892118196"/>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alias w:val="其他应收款预期信用损失的确定方法及会计处理方法"/>
        <w:tag w:val="_GBC_d89fd8b99fb74b308080a3d007b66530"/>
        <w:id w:val="-1180969348"/>
        <w:placeholder>
          <w:docPart w:val="GBC22222222222222222222222222222"/>
        </w:placeholder>
      </w:sdtPr>
      <w:sdtEndPr>
        <w:rPr>
          <w:rStyle w:val="afff2"/>
          <w:sz w:val="21"/>
          <w:szCs w:val="21"/>
        </w:rPr>
      </w:sdtEndPr>
      <w:sdtContent>
        <w:p w:rsidR="004A3868" w:rsidRDefault="003F1AB5">
          <w:pPr>
            <w:rPr>
              <w:rStyle w:val="afff2"/>
              <w:szCs w:val="21"/>
            </w:rPr>
          </w:pPr>
          <w:r>
            <w:rPr>
              <w:rStyle w:val="afff2"/>
              <w:rFonts w:hint="eastAsia"/>
              <w:szCs w:val="21"/>
            </w:rPr>
            <w:t>本公司对其他应收款的预期信用损失的确定方法及会计处理方法详见本报告第十节.</w:t>
          </w:r>
          <w:r>
            <w:rPr>
              <w:rStyle w:val="afff2"/>
              <w:szCs w:val="21"/>
            </w:rPr>
            <w:t>五</w:t>
          </w:r>
          <w:r>
            <w:rPr>
              <w:rStyle w:val="afff2"/>
              <w:rFonts w:hint="eastAsia"/>
              <w:szCs w:val="21"/>
            </w:rPr>
            <w:t>.</w:t>
          </w:r>
          <w:r>
            <w:rPr>
              <w:rStyle w:val="afff2"/>
              <w:szCs w:val="21"/>
            </w:rPr>
            <w:t>11.(6)金融工具减值。</w:t>
          </w:r>
        </w:p>
      </w:sdtContent>
    </w:sdt>
    <w:p w:rsidR="004A3868" w:rsidRDefault="003F1AB5">
      <w:pPr>
        <w:rPr>
          <w:sz w:val="21"/>
          <w:szCs w:val="21"/>
        </w:rPr>
      </w:pPr>
      <w:r>
        <w:rPr>
          <w:sz w:val="21"/>
          <w:szCs w:val="21"/>
        </w:rPr>
        <w:t>按照信用风险特征组合计提坏账准备的组合类别及确定依据</w:t>
      </w:r>
    </w:p>
    <w:bookmarkEnd w:id="125" w:displacedByCustomXml="next"/>
    <w:sdt>
      <w:sdtPr>
        <w:rPr>
          <w:sz w:val="21"/>
          <w:szCs w:val="21"/>
        </w:rPr>
        <w:alias w:val="是否适用：其他应收款按照信用风险特征组合计提坏账准备的组合类别及确定依据[双击切换]"/>
        <w:tag w:val="_GBC_f39444fc293a46c5ae832091674d34c9"/>
        <w:id w:val="-1454701938"/>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其他应收款按照信用风险特征组合计提坏账准备的组合类别及确定依据"/>
        <w:tag w:val="_GBC_6ff0352272b24125ac1ff7ce3ba2aa3b"/>
        <w:id w:val="1167529673"/>
        <w:placeholder>
          <w:docPart w:val="GBC22222222222222222222222222222"/>
        </w:placeholder>
      </w:sdtPr>
      <w:sdtEndPr>
        <w:rPr>
          <w:szCs w:val="20"/>
        </w:rPr>
      </w:sdtEndPr>
      <w:sdtContent>
        <w:p w:rsidR="004A3868" w:rsidRDefault="003F1AB5">
          <w:pPr>
            <w:rPr>
              <w:rStyle w:val="afff2"/>
              <w:szCs w:val="21"/>
            </w:rPr>
          </w:pPr>
          <w:r>
            <w:rPr>
              <w:rStyle w:val="afff2"/>
              <w:rFonts w:hint="eastAsia"/>
              <w:szCs w:val="21"/>
            </w:rPr>
            <w:t>当在单项工具层面无法以合理成本评估预期信用损失的充分证据时，本公司参考历史信用损失经验，结合当前状况以及对未来经济状况的判断，依据信用风险特征将其他应收款划分为若干组合，在组合基础上计算预期信用损失。确定组合的依据如下：</w:t>
          </w:r>
        </w:p>
        <w:tbl>
          <w:tblPr>
            <w:tblStyle w:val="g12"/>
            <w:tblW w:w="5000" w:type="pct"/>
            <w:jc w:val="center"/>
            <w:tblInd w:w="0" w:type="dxa"/>
            <w:tblBorders>
              <w:top w:val="single" w:sz="8" w:space="0" w:color="auto"/>
              <w:left w:val="single" w:sz="8" w:space="0" w:color="auto"/>
              <w:bottom w:val="single" w:sz="8" w:space="0" w:color="auto"/>
              <w:right w:val="single" w:sz="8" w:space="0" w:color="auto"/>
            </w:tblBorders>
            <w:tblLayout w:type="fixed"/>
            <w:tblCellMar>
              <w:right w:w="28" w:type="dxa"/>
            </w:tblCellMar>
            <w:tblLook w:val="04A0" w:firstRow="1" w:lastRow="0" w:firstColumn="1" w:lastColumn="0" w:noHBand="0" w:noVBand="1"/>
          </w:tblPr>
          <w:tblGrid>
            <w:gridCol w:w="2137"/>
            <w:gridCol w:w="1855"/>
            <w:gridCol w:w="4821"/>
          </w:tblGrid>
          <w:tr w:rsidR="004A3868">
            <w:trPr>
              <w:trHeight w:val="397"/>
              <w:jc w:val="center"/>
            </w:trPr>
            <w:tc>
              <w:tcPr>
                <w:tcW w:w="2122" w:type="dxa"/>
                <w:vAlign w:val="center"/>
              </w:tcPr>
              <w:p w:rsidR="004A3868" w:rsidRDefault="003F1AB5">
                <w:pPr>
                  <w:pStyle w:val="afffb"/>
                </w:pPr>
                <w:r>
                  <w:t>组合名称</w:t>
                </w:r>
              </w:p>
            </w:tc>
            <w:tc>
              <w:tcPr>
                <w:tcW w:w="1842" w:type="dxa"/>
                <w:vAlign w:val="center"/>
              </w:tcPr>
              <w:p w:rsidR="004A3868" w:rsidRDefault="003F1AB5">
                <w:pPr>
                  <w:pStyle w:val="afffb"/>
                </w:pPr>
                <w:r>
                  <w:t>确定组合的依据</w:t>
                </w:r>
              </w:p>
            </w:tc>
            <w:tc>
              <w:tcPr>
                <w:tcW w:w="4788" w:type="dxa"/>
                <w:vAlign w:val="center"/>
              </w:tcPr>
              <w:p w:rsidR="004A3868" w:rsidRDefault="003F1AB5">
                <w:pPr>
                  <w:pStyle w:val="afffb"/>
                </w:pPr>
                <w:r>
                  <w:t>计提方法</w:t>
                </w:r>
              </w:p>
            </w:tc>
          </w:tr>
          <w:tr w:rsidR="004A3868">
            <w:trPr>
              <w:trHeight w:val="397"/>
              <w:jc w:val="center"/>
            </w:trPr>
            <w:tc>
              <w:tcPr>
                <w:tcW w:w="2122" w:type="dxa"/>
                <w:vAlign w:val="center"/>
              </w:tcPr>
              <w:p w:rsidR="004A3868" w:rsidRDefault="003F1AB5">
                <w:pPr>
                  <w:pStyle w:val="afffb"/>
                </w:pPr>
                <w:r>
                  <w:t>组合一：账龄组合</w:t>
                </w:r>
              </w:p>
            </w:tc>
            <w:tc>
              <w:tcPr>
                <w:tcW w:w="1842" w:type="dxa"/>
                <w:vAlign w:val="center"/>
              </w:tcPr>
              <w:p w:rsidR="004A3868" w:rsidRDefault="003F1AB5">
                <w:pPr>
                  <w:pStyle w:val="afffb"/>
                </w:pPr>
                <w:r>
                  <w:t>账龄状态</w:t>
                </w:r>
              </w:p>
            </w:tc>
            <w:tc>
              <w:tcPr>
                <w:tcW w:w="4788" w:type="dxa"/>
                <w:vAlign w:val="center"/>
              </w:tcPr>
              <w:p w:rsidR="004A3868" w:rsidRDefault="003F1AB5">
                <w:pPr>
                  <w:pStyle w:val="afffb"/>
                </w:pPr>
                <w:r>
                  <w:t>按账龄与整个存续期预期信用损失率对照表计提</w:t>
                </w:r>
              </w:p>
            </w:tc>
          </w:tr>
          <w:tr w:rsidR="004A3868">
            <w:trPr>
              <w:trHeight w:val="397"/>
              <w:jc w:val="center"/>
            </w:trPr>
            <w:tc>
              <w:tcPr>
                <w:tcW w:w="2122" w:type="dxa"/>
                <w:vAlign w:val="center"/>
              </w:tcPr>
              <w:p w:rsidR="004A3868" w:rsidRDefault="003F1AB5">
                <w:pPr>
                  <w:pStyle w:val="afffb"/>
                </w:pPr>
                <w:r>
                  <w:t>组合二：同一母公司并表范围内的关联方组合</w:t>
                </w:r>
              </w:p>
            </w:tc>
            <w:tc>
              <w:tcPr>
                <w:tcW w:w="1842" w:type="dxa"/>
                <w:vAlign w:val="center"/>
              </w:tcPr>
              <w:p w:rsidR="004A3868" w:rsidRDefault="003F1AB5">
                <w:pPr>
                  <w:pStyle w:val="afffb"/>
                </w:pPr>
                <w:r>
                  <w:t>合并范围内单位之间的应收款项</w:t>
                </w:r>
              </w:p>
            </w:tc>
            <w:tc>
              <w:tcPr>
                <w:tcW w:w="4788" w:type="dxa"/>
                <w:vAlign w:val="center"/>
              </w:tcPr>
              <w:p w:rsidR="004A3868" w:rsidRDefault="003F1AB5">
                <w:pPr>
                  <w:pStyle w:val="afffb"/>
                </w:pPr>
                <w:r>
                  <w:t>除明显证据表明存在坏账风险，并对其单项测试计提减值损失外，本公司参考历史信用损失经验，结合当前状况以及对未来经济状况的预期，对该组合计量坏账准备</w:t>
                </w:r>
              </w:p>
            </w:tc>
          </w:tr>
        </w:tbl>
        <w:p w:rsidR="004A3868" w:rsidRDefault="003F1AB5">
          <w:pPr>
            <w:pStyle w:val="afff3"/>
            <w:ind w:firstLine="420"/>
          </w:pPr>
          <w:r>
            <w:rPr>
              <w:rFonts w:hint="eastAsia"/>
            </w:rPr>
            <w:t>计提方法：参考历史信用损失经验，结合当前状况以及对未来经济状况的预测，通过违约风险敞口和整个存续期预期信用损失率，计算预期信用损失。</w:t>
          </w:r>
        </w:p>
      </w:sdtContent>
    </w:sdt>
    <w:p w:rsidR="004A3868" w:rsidRDefault="003F1AB5">
      <w:pPr>
        <w:rPr>
          <w:sz w:val="21"/>
          <w:szCs w:val="21"/>
        </w:rPr>
      </w:pPr>
      <w:r>
        <w:rPr>
          <w:sz w:val="21"/>
          <w:szCs w:val="21"/>
        </w:rPr>
        <w:t>基于账龄确认信用风险特征组合的账龄计算方法</w:t>
      </w:r>
    </w:p>
    <w:sdt>
      <w:sdtPr>
        <w:rPr>
          <w:sz w:val="21"/>
          <w:szCs w:val="21"/>
        </w:rPr>
        <w:alias w:val="是否适用：其他应收款基于账龄确认信用风险特征组合的账龄计算方法[双击切换]"/>
        <w:tag w:val="_GBC_212b4fcf685f4b098f47723f38f926d2"/>
        <w:id w:val="1749531169"/>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其他应收款基于账龄确认信用风险特征组合的账龄计算方法"/>
        <w:tag w:val="_GBC_80958ddf46f043c29fa2147d0266ca2b"/>
        <w:id w:val="-194927935"/>
        <w:placeholder>
          <w:docPart w:val="GBC22222222222222222222222222222"/>
        </w:placeholder>
      </w:sdtPr>
      <w:sdtEndPr/>
      <w:sdtContent>
        <w:p w:rsidR="004A3868" w:rsidRDefault="003F1AB5">
          <w:pPr>
            <w:rPr>
              <w:sz w:val="21"/>
              <w:szCs w:val="21"/>
            </w:rPr>
          </w:pPr>
          <w:r>
            <w:rPr>
              <w:rFonts w:hint="eastAsia"/>
              <w:sz w:val="21"/>
              <w:szCs w:val="21"/>
            </w:rPr>
            <w:t>账龄组合的账龄与预期信用损失率对照表如下：</w:t>
          </w:r>
        </w:p>
        <w:tbl>
          <w:tblPr>
            <w:tblStyle w:val="g12"/>
            <w:tblW w:w="5000" w:type="pct"/>
            <w:jc w:val="center"/>
            <w:tblInd w:w="0" w:type="dxa"/>
            <w:tblLayout w:type="fixed"/>
            <w:tblCellMar>
              <w:right w:w="28" w:type="dxa"/>
            </w:tblCellMar>
            <w:tblLook w:val="04A0" w:firstRow="1" w:lastRow="0" w:firstColumn="1" w:lastColumn="0" w:noHBand="0" w:noVBand="1"/>
          </w:tblPr>
          <w:tblGrid>
            <w:gridCol w:w="4411"/>
            <w:gridCol w:w="4412"/>
          </w:tblGrid>
          <w:tr w:rsidR="004A3868">
            <w:trPr>
              <w:trHeight w:val="397"/>
              <w:jc w:val="center"/>
            </w:trPr>
            <w:tc>
              <w:tcPr>
                <w:tcW w:w="4411" w:type="dxa"/>
                <w:vAlign w:val="center"/>
              </w:tcPr>
              <w:p w:rsidR="004A3868" w:rsidRDefault="003F1AB5">
                <w:pPr>
                  <w:pStyle w:val="afffb"/>
                </w:pPr>
                <w:r>
                  <w:t>账龄</w:t>
                </w:r>
              </w:p>
            </w:tc>
            <w:tc>
              <w:tcPr>
                <w:tcW w:w="4412" w:type="dxa"/>
                <w:vAlign w:val="center"/>
              </w:tcPr>
              <w:p w:rsidR="004A3868" w:rsidRDefault="003F1AB5">
                <w:pPr>
                  <w:pStyle w:val="afffb"/>
                </w:pPr>
                <w:r>
                  <w:t>其他应收款预期信用损失率（%）</w:t>
                </w:r>
              </w:p>
            </w:tc>
          </w:tr>
          <w:tr w:rsidR="004A3868">
            <w:trPr>
              <w:trHeight w:val="397"/>
              <w:jc w:val="center"/>
            </w:trPr>
            <w:tc>
              <w:tcPr>
                <w:tcW w:w="4411" w:type="dxa"/>
                <w:vAlign w:val="center"/>
              </w:tcPr>
              <w:p w:rsidR="004A3868" w:rsidRDefault="003F1AB5">
                <w:pPr>
                  <w:pStyle w:val="afffb"/>
                </w:pPr>
                <w:r>
                  <w:t>1年以内</w:t>
                </w:r>
              </w:p>
            </w:tc>
            <w:tc>
              <w:tcPr>
                <w:tcW w:w="4412" w:type="dxa"/>
                <w:vAlign w:val="center"/>
              </w:tcPr>
              <w:p w:rsidR="004A3868" w:rsidRDefault="003F1AB5">
                <w:pPr>
                  <w:pStyle w:val="afff7"/>
                </w:pPr>
                <w:r>
                  <w:t>5.00</w:t>
                </w:r>
              </w:p>
            </w:tc>
          </w:tr>
          <w:tr w:rsidR="004A3868">
            <w:trPr>
              <w:trHeight w:val="397"/>
              <w:jc w:val="center"/>
            </w:trPr>
            <w:tc>
              <w:tcPr>
                <w:tcW w:w="4411" w:type="dxa"/>
                <w:vAlign w:val="center"/>
              </w:tcPr>
              <w:p w:rsidR="004A3868" w:rsidRDefault="003F1AB5">
                <w:pPr>
                  <w:pStyle w:val="afffb"/>
                </w:pPr>
                <w:r>
                  <w:t>1－2年</w:t>
                </w:r>
              </w:p>
            </w:tc>
            <w:tc>
              <w:tcPr>
                <w:tcW w:w="4412" w:type="dxa"/>
                <w:vAlign w:val="center"/>
              </w:tcPr>
              <w:p w:rsidR="004A3868" w:rsidRDefault="003F1AB5">
                <w:pPr>
                  <w:pStyle w:val="afff7"/>
                </w:pPr>
                <w:r>
                  <w:t>10.00</w:t>
                </w:r>
              </w:p>
            </w:tc>
          </w:tr>
          <w:tr w:rsidR="004A3868">
            <w:trPr>
              <w:trHeight w:val="397"/>
              <w:jc w:val="center"/>
            </w:trPr>
            <w:tc>
              <w:tcPr>
                <w:tcW w:w="4411" w:type="dxa"/>
                <w:vAlign w:val="center"/>
              </w:tcPr>
              <w:p w:rsidR="004A3868" w:rsidRDefault="003F1AB5">
                <w:pPr>
                  <w:pStyle w:val="afffb"/>
                </w:pPr>
                <w:r>
                  <w:t>2－3年</w:t>
                </w:r>
              </w:p>
            </w:tc>
            <w:tc>
              <w:tcPr>
                <w:tcW w:w="4412" w:type="dxa"/>
                <w:vAlign w:val="center"/>
              </w:tcPr>
              <w:p w:rsidR="004A3868" w:rsidRDefault="003F1AB5">
                <w:pPr>
                  <w:pStyle w:val="afff7"/>
                </w:pPr>
                <w:r>
                  <w:t>20.00</w:t>
                </w:r>
              </w:p>
            </w:tc>
          </w:tr>
          <w:tr w:rsidR="004A3868">
            <w:trPr>
              <w:trHeight w:val="397"/>
              <w:jc w:val="center"/>
            </w:trPr>
            <w:tc>
              <w:tcPr>
                <w:tcW w:w="4411" w:type="dxa"/>
                <w:vAlign w:val="center"/>
              </w:tcPr>
              <w:p w:rsidR="004A3868" w:rsidRDefault="003F1AB5">
                <w:pPr>
                  <w:pStyle w:val="afffb"/>
                </w:pPr>
                <w:r>
                  <w:t>3－4年</w:t>
                </w:r>
              </w:p>
            </w:tc>
            <w:tc>
              <w:tcPr>
                <w:tcW w:w="4412" w:type="dxa"/>
                <w:vAlign w:val="center"/>
              </w:tcPr>
              <w:p w:rsidR="004A3868" w:rsidRDefault="003F1AB5">
                <w:pPr>
                  <w:pStyle w:val="afff7"/>
                </w:pPr>
                <w:r>
                  <w:t>30.00</w:t>
                </w:r>
              </w:p>
            </w:tc>
          </w:tr>
          <w:tr w:rsidR="004A3868">
            <w:trPr>
              <w:trHeight w:val="397"/>
              <w:jc w:val="center"/>
            </w:trPr>
            <w:tc>
              <w:tcPr>
                <w:tcW w:w="4411" w:type="dxa"/>
                <w:vAlign w:val="center"/>
              </w:tcPr>
              <w:p w:rsidR="004A3868" w:rsidRDefault="003F1AB5">
                <w:pPr>
                  <w:pStyle w:val="afffb"/>
                </w:pPr>
                <w:r>
                  <w:t>4－5年</w:t>
                </w:r>
              </w:p>
            </w:tc>
            <w:tc>
              <w:tcPr>
                <w:tcW w:w="4412" w:type="dxa"/>
                <w:vAlign w:val="center"/>
              </w:tcPr>
              <w:p w:rsidR="004A3868" w:rsidRDefault="003F1AB5">
                <w:pPr>
                  <w:pStyle w:val="afff7"/>
                </w:pPr>
                <w:r>
                  <w:t>50.00</w:t>
                </w:r>
              </w:p>
            </w:tc>
          </w:tr>
          <w:tr w:rsidR="004A3868">
            <w:trPr>
              <w:trHeight w:val="397"/>
              <w:jc w:val="center"/>
            </w:trPr>
            <w:tc>
              <w:tcPr>
                <w:tcW w:w="4411" w:type="dxa"/>
                <w:vAlign w:val="center"/>
              </w:tcPr>
              <w:p w:rsidR="004A3868" w:rsidRDefault="003F1AB5">
                <w:pPr>
                  <w:pStyle w:val="afffb"/>
                </w:pPr>
                <w:r>
                  <w:t>5年以上</w:t>
                </w:r>
              </w:p>
            </w:tc>
            <w:tc>
              <w:tcPr>
                <w:tcW w:w="4412" w:type="dxa"/>
                <w:vAlign w:val="center"/>
              </w:tcPr>
              <w:p w:rsidR="004A3868" w:rsidRDefault="003F1AB5">
                <w:pPr>
                  <w:pStyle w:val="afff7"/>
                </w:pPr>
                <w:r>
                  <w:t>100.00</w:t>
                </w:r>
              </w:p>
            </w:tc>
          </w:tr>
        </w:tbl>
        <w:p w:rsidR="004A3868" w:rsidRDefault="003F1AB5">
          <w:pPr>
            <w:rPr>
              <w:sz w:val="21"/>
              <w:szCs w:val="21"/>
            </w:rPr>
          </w:pPr>
          <w:r>
            <w:rPr>
              <w:rFonts w:hint="eastAsia"/>
              <w:sz w:val="21"/>
              <w:szCs w:val="21"/>
            </w:rPr>
            <w:t>其他应收款账龄按先进先出法进行计算。</w:t>
          </w:r>
        </w:p>
      </w:sdtContent>
    </w:sdt>
    <w:p w:rsidR="004A3868" w:rsidRDefault="003F1AB5">
      <w:pPr>
        <w:rPr>
          <w:sz w:val="21"/>
          <w:szCs w:val="21"/>
        </w:rPr>
      </w:pPr>
      <w:r>
        <w:rPr>
          <w:sz w:val="21"/>
          <w:szCs w:val="21"/>
        </w:rPr>
        <w:t>按照单项计提坏账准备的单项计提判断标准</w:t>
      </w:r>
    </w:p>
    <w:sdt>
      <w:sdtPr>
        <w:rPr>
          <w:sz w:val="21"/>
          <w:szCs w:val="21"/>
        </w:rPr>
        <w:alias w:val="是否适用：其他应收款按照单项计提坏账准备的单项计提判断标准[双击切换]"/>
        <w:tag w:val="_GBC_ba17d337469a42e78d387da6c2afd4e3"/>
        <w:id w:val="544804003"/>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其他应收款按照单项计提坏账准备的单项计提判断标准"/>
        <w:tag w:val="_GBC_ab193709afff47ac84ee1dbf87f804f7"/>
        <w:id w:val="381990133"/>
        <w:placeholder>
          <w:docPart w:val="GBC22222222222222222222222222222"/>
        </w:placeholder>
      </w:sdtPr>
      <w:sdtEndPr>
        <w:rPr>
          <w:rStyle w:val="afff2"/>
        </w:rPr>
      </w:sdtEndPr>
      <w:sdtContent>
        <w:p w:rsidR="004A3868" w:rsidRDefault="003F1AB5">
          <w:pPr>
            <w:rPr>
              <w:rStyle w:val="afff2"/>
              <w:szCs w:val="21"/>
            </w:rPr>
          </w:pPr>
          <w:r>
            <w:rPr>
              <w:rStyle w:val="afff2"/>
              <w:rFonts w:hint="eastAsia"/>
              <w:szCs w:val="21"/>
            </w:rPr>
            <w:t>对信用风险与组合信用风险显著不同的其他应收款，本公司按单项计提预期信用损失。本公司对单项金额重大且在初始确认后已经发生信用减值的其他应收款单独确定其信用损失。</w:t>
          </w:r>
        </w:p>
      </w:sdtContent>
    </w:sdt>
    <w:p w:rsidR="004A3868" w:rsidRDefault="003F1AB5">
      <w:pPr>
        <w:pStyle w:val="Style12711"/>
      </w:pPr>
      <w:r>
        <w:t>存货</w:t>
      </w:r>
    </w:p>
    <w:sdt>
      <w:sdtPr>
        <w:rPr>
          <w:rFonts w:hint="eastAsia"/>
          <w:sz w:val="21"/>
          <w:szCs w:val="21"/>
        </w:rPr>
        <w:alias w:val="是否适用：存货_重要会计政策和估计[双击切换]"/>
        <w:tag w:val="_GBC_dcacbe0db27e4ea5b80fa4aefb3bdbac"/>
        <w:id w:val="204401487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sz w:val="21"/>
          <w:szCs w:val="21"/>
        </w:rPr>
        <w:t>存货</w:t>
      </w:r>
      <w:r>
        <w:rPr>
          <w:rFonts w:hint="eastAsia"/>
          <w:sz w:val="21"/>
          <w:szCs w:val="21"/>
        </w:rPr>
        <w:t>类别、发出计价方法、盘存制度、低值易耗品和包装物的摊销方法</w:t>
      </w:r>
    </w:p>
    <w:bookmarkStart w:id="126" w:name="_Hlk152678121" w:displacedByCustomXml="next"/>
    <w:bookmarkEnd w:id="126" w:displacedByCustomXml="next"/>
    <w:sdt>
      <w:sdtPr>
        <w:rPr>
          <w:sz w:val="21"/>
          <w:szCs w:val="21"/>
        </w:rPr>
        <w:alias w:val="是否适用：存货类别、发出计价方法、盘存制度、低值易耗品和包装物的摊销方法[双击切换]"/>
        <w:tag w:val="_GBC_7a24117441bd45edbee63ef5c75fa013"/>
        <w:id w:val="-1808625724"/>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存货类别、发出计价方法、盘存制度、低值易耗品和包装物的摊销方法"/>
        <w:tag w:val="_GBC_3fcd1bdad070400f9c9e3e5d4c064f2b"/>
        <w:id w:val="-1486080453"/>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w:t>
          </w:r>
          <w:r>
            <w:rPr>
              <w:szCs w:val="21"/>
            </w:rPr>
            <w:t>1）存货类别</w:t>
          </w:r>
        </w:p>
        <w:p w:rsidR="004A3868" w:rsidRDefault="003F1AB5">
          <w:pPr>
            <w:pStyle w:val="afff1"/>
            <w:spacing w:before="156"/>
            <w:ind w:firstLine="420"/>
            <w:rPr>
              <w:szCs w:val="21"/>
            </w:rPr>
          </w:pPr>
          <w:r>
            <w:rPr>
              <w:rFonts w:hint="eastAsia"/>
              <w:szCs w:val="21"/>
            </w:rPr>
            <w:t>存货是指本公司在日常活动中持有以备出售的产成品或商品、处在生产过程中的在产品、在生产过程或提供劳务过程中耗用的材料和物料等。主要包括原材料、周转材料、委托加工材料、在产品、自制半成品、产成品（库存商品）、发出商品等。</w:t>
          </w:r>
        </w:p>
        <w:p w:rsidR="004A3868" w:rsidRDefault="003F1AB5">
          <w:pPr>
            <w:pStyle w:val="afff1"/>
            <w:spacing w:before="156"/>
            <w:ind w:firstLine="420"/>
            <w:rPr>
              <w:szCs w:val="21"/>
            </w:rPr>
          </w:pPr>
          <w:r>
            <w:rPr>
              <w:rFonts w:hint="eastAsia"/>
              <w:szCs w:val="21"/>
            </w:rPr>
            <w:t>（</w:t>
          </w:r>
          <w:r>
            <w:rPr>
              <w:szCs w:val="21"/>
            </w:rPr>
            <w:t>2）存货发出计价方法</w:t>
          </w:r>
        </w:p>
        <w:p w:rsidR="004A3868" w:rsidRDefault="003F1AB5">
          <w:pPr>
            <w:pStyle w:val="afff1"/>
            <w:spacing w:before="156"/>
            <w:ind w:firstLine="420"/>
            <w:rPr>
              <w:szCs w:val="21"/>
            </w:rPr>
          </w:pPr>
          <w:r>
            <w:rPr>
              <w:rFonts w:hint="eastAsia"/>
              <w:szCs w:val="21"/>
            </w:rPr>
            <w:t>存货在取得时，按成本进行初始计量，包括采购成本、加工成本和其他成本。存货发出时按月末一次加权平均法计价。</w:t>
          </w:r>
        </w:p>
        <w:p w:rsidR="004A3868" w:rsidRDefault="003F1AB5">
          <w:pPr>
            <w:pStyle w:val="afff1"/>
            <w:spacing w:before="156"/>
            <w:ind w:firstLine="420"/>
            <w:rPr>
              <w:szCs w:val="21"/>
            </w:rPr>
          </w:pPr>
          <w:r>
            <w:rPr>
              <w:rFonts w:hint="eastAsia"/>
              <w:szCs w:val="21"/>
            </w:rPr>
            <w:t>（</w:t>
          </w:r>
          <w:r>
            <w:rPr>
              <w:szCs w:val="21"/>
            </w:rPr>
            <w:t>3）存货的盘存制度</w:t>
          </w:r>
        </w:p>
        <w:p w:rsidR="004A3868" w:rsidRDefault="003F1AB5">
          <w:pPr>
            <w:pStyle w:val="afff1"/>
            <w:spacing w:before="156"/>
            <w:ind w:firstLine="420"/>
            <w:rPr>
              <w:szCs w:val="21"/>
            </w:rPr>
          </w:pPr>
          <w:r>
            <w:rPr>
              <w:rFonts w:hint="eastAsia"/>
              <w:szCs w:val="21"/>
            </w:rPr>
            <w:t>存货盘存制度为永续盘存制。</w:t>
          </w:r>
        </w:p>
        <w:p w:rsidR="004A3868" w:rsidRDefault="003F1AB5">
          <w:pPr>
            <w:pStyle w:val="afff1"/>
            <w:spacing w:before="156"/>
            <w:ind w:firstLine="420"/>
            <w:rPr>
              <w:szCs w:val="21"/>
            </w:rPr>
          </w:pPr>
          <w:r>
            <w:rPr>
              <w:rFonts w:hint="eastAsia"/>
              <w:szCs w:val="21"/>
            </w:rPr>
            <w:t>（</w:t>
          </w:r>
          <w:r>
            <w:rPr>
              <w:szCs w:val="21"/>
            </w:rPr>
            <w:t>4）低值易耗品和包装物的摊销方法</w:t>
          </w:r>
        </w:p>
        <w:p w:rsidR="004A3868" w:rsidRDefault="003F1AB5">
          <w:pPr>
            <w:pStyle w:val="afff1"/>
            <w:spacing w:before="156"/>
            <w:ind w:firstLine="420"/>
            <w:rPr>
              <w:szCs w:val="21"/>
            </w:rPr>
          </w:pPr>
          <w:r>
            <w:rPr>
              <w:szCs w:val="21"/>
            </w:rPr>
            <w:t>采用一次转销法进行摊销；</w:t>
          </w:r>
        </w:p>
      </w:sdtContent>
    </w:sdt>
    <w:p w:rsidR="004A3868" w:rsidRDefault="003F1AB5">
      <w:pPr>
        <w:pStyle w:val="afff1"/>
        <w:spacing w:before="156"/>
        <w:ind w:firstLine="420"/>
        <w:rPr>
          <w:szCs w:val="21"/>
        </w:rPr>
      </w:pPr>
      <w:r>
        <w:rPr>
          <w:szCs w:val="21"/>
        </w:rPr>
        <w:t>存货跌价准备的确认标准和计提方法</w:t>
      </w:r>
    </w:p>
    <w:sdt>
      <w:sdtPr>
        <w:rPr>
          <w:szCs w:val="21"/>
        </w:rPr>
        <w:alias w:val="是否适用：存货跌价准备的确认标准和计提方法[双击切换]"/>
        <w:tag w:val="_GBC_6e8ebb9994fe404dba2a12ec5c785d83"/>
        <w:id w:val="-1261289587"/>
        <w:placeholder>
          <w:docPart w:val="GBC22222222222222222222222222222"/>
        </w:placeholder>
      </w:sdtPr>
      <w:sdtEndPr/>
      <w:sdtContent>
        <w:p w:rsidR="004A3868" w:rsidRDefault="003F1AB5">
          <w:pPr>
            <w:pStyle w:val="afff1"/>
            <w:spacing w:before="156"/>
            <w:ind w:firstLine="42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1624035088"/>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期末对存货进行全面清查后，按存货的成本与可变现净值孰低提取或调整存货跌价准备。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4A3868" w:rsidRDefault="003F1AB5">
          <w:pPr>
            <w:pStyle w:val="afff1"/>
            <w:spacing w:before="156"/>
            <w:ind w:firstLine="420"/>
            <w:rPr>
              <w:szCs w:val="21"/>
            </w:rPr>
          </w:pPr>
          <w:r>
            <w:rPr>
              <w:rFonts w:hint="eastAsia"/>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rsidR="004A3868" w:rsidRDefault="003F1AB5">
          <w:pPr>
            <w:pStyle w:val="afff1"/>
            <w:spacing w:before="156"/>
            <w:ind w:firstLine="420"/>
            <w:rPr>
              <w:szCs w:val="21"/>
            </w:rPr>
          </w:pPr>
          <w:r>
            <w:rPr>
              <w:rFonts w:hint="eastAsia"/>
              <w:szCs w:val="21"/>
            </w:rPr>
            <w:t>以前减记存货价值的影响因素已经消失的，减记的金额予以恢复，并在原已计提的存货跌价准备金额内转回，转回的金额计入当期损益。</w:t>
          </w:r>
        </w:p>
      </w:sdtContent>
    </w:sdt>
    <w:p w:rsidR="004A3868" w:rsidRDefault="003F1AB5">
      <w:pPr>
        <w:pStyle w:val="afff1"/>
        <w:spacing w:before="156"/>
        <w:ind w:firstLine="420"/>
        <w:rPr>
          <w:szCs w:val="21"/>
        </w:rPr>
      </w:pPr>
      <w:r>
        <w:rPr>
          <w:szCs w:val="21"/>
        </w:rPr>
        <w:lastRenderedPageBreak/>
        <w:t>按照组合计提存货跌价准备的组合类别及确定依据</w:t>
      </w:r>
      <w:r>
        <w:rPr>
          <w:rFonts w:hint="eastAsia"/>
          <w:bCs/>
          <w:szCs w:val="21"/>
        </w:rPr>
        <w:t>、不同类别存货可变现净值的确定依据</w:t>
      </w:r>
    </w:p>
    <w:sdt>
      <w:sdtPr>
        <w:rPr>
          <w:sz w:val="21"/>
          <w:szCs w:val="21"/>
        </w:rPr>
        <w:alias w:val="是否适用：按照组合计提存货跌价准备的组合类别及确定依据、不同类别存货可变现净值的确定依据[双击切换]"/>
        <w:tag w:val="_GBC_497390f68e764f2baa3b06eda7d6c944"/>
        <w:id w:val="-8360720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sz w:val="21"/>
          <w:szCs w:val="21"/>
        </w:rPr>
        <w:t>基于库龄确认存货可变现净值的各库龄组合可变现净值的计算方法和确定依据</w:t>
      </w:r>
    </w:p>
    <w:sdt>
      <w:sdtPr>
        <w:rPr>
          <w:sz w:val="21"/>
          <w:szCs w:val="21"/>
        </w:rPr>
        <w:alias w:val="是否适用：基于库龄确认存货可变现净值的各库龄组合可变现净值的计算方法和确定依据[双击切换]"/>
        <w:tag w:val="_GBC_9d365dfe8a544c55a4c1edb1470b656d"/>
        <w:id w:val="169858430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bookmarkStart w:id="127" w:name="_Hlk533667851"/>
      <w:r>
        <w:rPr>
          <w:rFonts w:hint="eastAsia"/>
        </w:rPr>
        <w:t>合同资产</w:t>
      </w:r>
    </w:p>
    <w:sdt>
      <w:sdtPr>
        <w:rPr>
          <w:rFonts w:hint="eastAsia"/>
        </w:rPr>
        <w:alias w:val="是否适用：合同资产_重要会计政策和估计[双击切换]"/>
        <w:tag w:val="_GBC_5a88c6aff74e4eb184d0541279c7f45e"/>
        <w:id w:val="136856058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合同资产的确认方法及标准</w:t>
      </w:r>
    </w:p>
    <w:sdt>
      <w:sdtPr>
        <w:rPr>
          <w:sz w:val="21"/>
          <w:szCs w:val="21"/>
        </w:rPr>
        <w:alias w:val="是否适用：合同资产的确定方法、摊销方法和减值测试方法[双击切换]"/>
        <w:tag w:val="_GBC_1b5df72f15664694ad46f712f5c33e91"/>
        <w:id w:val="-40137210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合同资产预期信用损失的确定方法及会计处理方法</w:t>
      </w:r>
    </w:p>
    <w:bookmarkEnd w:id="127" w:displacedByCustomXml="next"/>
    <w:bookmarkStart w:id="128" w:name="_Hlk533667866" w:displacedByCustomXml="next"/>
    <w:sdt>
      <w:sdtPr>
        <w:rPr>
          <w:sz w:val="21"/>
          <w:szCs w:val="21"/>
        </w:rPr>
        <w:alias w:val="是否适用：合同资产预期信用损失的确定方法及会计处理方法[双击切换]"/>
        <w:tag w:val="_GBC_8c12b6b1febf4f9ab1540f119bcd3247"/>
        <w:id w:val="1304908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28"/>
    <w:p w:rsidR="004A3868" w:rsidRDefault="003F1AB5">
      <w:pPr>
        <w:rPr>
          <w:sz w:val="21"/>
          <w:szCs w:val="21"/>
        </w:rPr>
      </w:pPr>
      <w:r>
        <w:rPr>
          <w:sz w:val="21"/>
          <w:szCs w:val="21"/>
        </w:rPr>
        <w:t>按照信用风险特征组合计提坏账准备的组合类别及确定依据</w:t>
      </w:r>
    </w:p>
    <w:sdt>
      <w:sdtPr>
        <w:rPr>
          <w:sz w:val="21"/>
          <w:szCs w:val="21"/>
        </w:rPr>
        <w:alias w:val="是否适用：合同资产按照信用风险特征组合计提坏账准备的组合类别及确定依据[双击切换]"/>
        <w:tag w:val="_GBC_ebbe09c3657c4b539cc844981adf91e4"/>
        <w:id w:val="28177521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sz w:val="21"/>
          <w:szCs w:val="21"/>
        </w:rPr>
        <w:t>基于账龄确认信用风险特征组合的账龄计算方法</w:t>
      </w:r>
    </w:p>
    <w:sdt>
      <w:sdtPr>
        <w:rPr>
          <w:sz w:val="21"/>
          <w:szCs w:val="21"/>
        </w:rPr>
        <w:alias w:val="是否适用：合同资产基于账龄确认信用风险特征组合的账龄计算方法[双击切换]"/>
        <w:tag w:val="_GBC_3400ff02bc46467bac74fee97f4388c5"/>
        <w:id w:val="92330713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sz w:val="21"/>
          <w:szCs w:val="21"/>
        </w:rPr>
        <w:t>按照单项计提坏账准备的认定单项计提判断标准</w:t>
      </w:r>
    </w:p>
    <w:sdt>
      <w:sdtPr>
        <w:rPr>
          <w:sz w:val="21"/>
          <w:szCs w:val="21"/>
        </w:rPr>
        <w:alias w:val="是否适用：合同资产按照单项计提坏账准备的单项计提判断标准[双击切换]"/>
        <w:tag w:val="_GBC_aec9a536d61144fa91c2f954c8ff8473"/>
        <w:id w:val="165803116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持有待</w:t>
      </w:r>
      <w:r>
        <w:t>售的非流动资产或处置组</w:t>
      </w:r>
    </w:p>
    <w:bookmarkStart w:id="129" w:name="_Hlk533151067" w:displacedByCustomXml="next"/>
    <w:sdt>
      <w:sdtPr>
        <w:rPr>
          <w:sz w:val="21"/>
          <w:szCs w:val="21"/>
        </w:rPr>
        <w:alias w:val="是否适用：持有待售的非流动资产或处置组[双击切换]"/>
        <w:tag w:val="_GBC_e7f5369a15ba4034bd2498c40687a411"/>
        <w:id w:val="55921070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划分为持有待售的非流动资产或处置组的确认标准和会计处理方法</w:t>
      </w:r>
    </w:p>
    <w:bookmarkEnd w:id="129" w:displacedByCustomXml="next"/>
    <w:sdt>
      <w:sdtPr>
        <w:rPr>
          <w:sz w:val="21"/>
          <w:szCs w:val="21"/>
        </w:rPr>
        <w:alias w:val="是否适用：划分为持有待售的非流动资产或处置组的确认标准和会计处理方法[双击切换]"/>
        <w:tag w:val="_GBC_cf8b05c4ada54b2aac5743b74b5fdb45"/>
        <w:id w:val="42848306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sz w:val="21"/>
          <w:szCs w:val="21"/>
        </w:rPr>
        <w:t>终止经营的认定标准和列报方法</w:t>
      </w:r>
    </w:p>
    <w:sdt>
      <w:sdtPr>
        <w:rPr>
          <w:sz w:val="21"/>
          <w:szCs w:val="21"/>
        </w:rPr>
        <w:alias w:val="是否适用：终止经营的认定标准和列报方法[双击切换]"/>
        <w:tag w:val="_GBC_a323dd7cc84c4bd1bc42320036ce854b"/>
        <w:id w:val="182292311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t>长期股权投资</w:t>
      </w:r>
    </w:p>
    <w:sdt>
      <w:sdtPr>
        <w:rPr>
          <w:rFonts w:hint="eastAsia"/>
          <w:sz w:val="21"/>
          <w:szCs w:val="21"/>
        </w:rPr>
        <w:alias w:val="是否适用：长期股权投资_重要会计政策和估计[双击切换]"/>
        <w:tag w:val="_GBC_990faa4da4e64a5389a573293ba4981b"/>
        <w:id w:val="-582064498"/>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长期股权投资的核算方法"/>
        <w:tag w:val="_GBC_3e77074cd50946b1bccdff9bc1c9556f"/>
        <w:id w:val="-1247954576"/>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w:t>
          </w:r>
          <w:r>
            <w:rPr>
              <w:szCs w:val="21"/>
            </w:rPr>
            <w:t>1</w:t>
          </w:r>
          <w:r>
            <w:rPr>
              <w:rFonts w:hint="eastAsia"/>
              <w:szCs w:val="21"/>
            </w:rPr>
            <w:t>）</w:t>
          </w:r>
          <w:r>
            <w:rPr>
              <w:szCs w:val="21"/>
            </w:rPr>
            <w:t>初始投资成本的确定</w:t>
          </w:r>
        </w:p>
        <w:p w:rsidR="004A3868" w:rsidRDefault="003F1AB5">
          <w:pPr>
            <w:pStyle w:val="afff1"/>
            <w:spacing w:before="156"/>
            <w:ind w:firstLine="420"/>
            <w:rPr>
              <w:szCs w:val="21"/>
            </w:rPr>
          </w:pPr>
          <w:r>
            <w:rPr>
              <w:szCs w:val="21"/>
            </w:rPr>
            <w:t>1）企业合并形成的长期股权投资，具体会计政策详见本</w:t>
          </w:r>
          <w:r>
            <w:rPr>
              <w:rFonts w:hint="eastAsia"/>
              <w:szCs w:val="21"/>
            </w:rPr>
            <w:t>报告第十节.五.6</w:t>
          </w:r>
          <w:r>
            <w:rPr>
              <w:szCs w:val="21"/>
            </w:rPr>
            <w:t>.同一控制下和非同一控制下企业合并的会计处理方法。</w:t>
          </w:r>
        </w:p>
        <w:p w:rsidR="004A3868" w:rsidRDefault="003F1AB5">
          <w:pPr>
            <w:pStyle w:val="afff1"/>
            <w:spacing w:before="156"/>
            <w:ind w:firstLine="420"/>
            <w:rPr>
              <w:szCs w:val="21"/>
            </w:rPr>
          </w:pPr>
          <w:r>
            <w:rPr>
              <w:szCs w:val="21"/>
            </w:rPr>
            <w:t>2）其他方式取得的长期股权投资</w:t>
          </w:r>
        </w:p>
        <w:p w:rsidR="004A3868" w:rsidRDefault="003F1AB5">
          <w:pPr>
            <w:pStyle w:val="afff1"/>
            <w:spacing w:before="156"/>
            <w:ind w:firstLine="420"/>
            <w:rPr>
              <w:szCs w:val="21"/>
            </w:rPr>
          </w:pPr>
          <w:r>
            <w:rPr>
              <w:rFonts w:hint="eastAsia"/>
              <w:szCs w:val="21"/>
            </w:rPr>
            <w:t>以支付现金方式取得的长期股权投资，按照实际支付的购买价款作为初始投资成本。初始投资成本包括与取得长期股权投资直接相关的费用、税金及其他必要支出。</w:t>
          </w:r>
        </w:p>
        <w:p w:rsidR="004A3868" w:rsidRDefault="003F1AB5">
          <w:pPr>
            <w:pStyle w:val="afff1"/>
            <w:spacing w:before="156"/>
            <w:ind w:firstLine="420"/>
            <w:rPr>
              <w:szCs w:val="21"/>
            </w:rPr>
          </w:pPr>
          <w:r>
            <w:rPr>
              <w:rFonts w:hint="eastAsia"/>
              <w:szCs w:val="21"/>
            </w:rPr>
            <w:t>以发行权益性证券取得的长期股权投资，按照发行权益性证券的公允价值作为初始投资成本；</w:t>
          </w:r>
          <w:r>
            <w:rPr>
              <w:rFonts w:hint="eastAsia"/>
              <w:szCs w:val="21"/>
            </w:rPr>
            <w:lastRenderedPageBreak/>
            <w:t>发行或取得自身权益工具时发生的交易费用，可直接归属于权益性交易的从权益中扣减。</w:t>
          </w:r>
        </w:p>
        <w:p w:rsidR="004A3868" w:rsidRDefault="003F1AB5">
          <w:pPr>
            <w:pStyle w:val="afff1"/>
            <w:spacing w:before="156"/>
            <w:ind w:firstLine="420"/>
            <w:rPr>
              <w:szCs w:val="21"/>
            </w:rPr>
          </w:pPr>
          <w:r>
            <w:rPr>
              <w:rFonts w:hint="eastAsia"/>
              <w:szCs w:val="21"/>
            </w:rPr>
            <w:t>在非货币性资产交换具备商业实质和换入资产或换出资产的公允价值能够可靠计量的前提下，非货币性资产交换换入的长期股权投资以换出资产的公允价值为基础确定其初始投资成本，除非有确凿证据表明换入资产的公允价值更加可靠；不满足上述前提的非货币性资产交换，以换出资产的账面价值和应支付的相关税费作为换入长期股权投资的初始投资成本。</w:t>
          </w:r>
        </w:p>
        <w:p w:rsidR="004A3868" w:rsidRDefault="003F1AB5">
          <w:pPr>
            <w:pStyle w:val="afff1"/>
            <w:spacing w:before="156"/>
            <w:ind w:firstLine="420"/>
            <w:rPr>
              <w:szCs w:val="21"/>
            </w:rPr>
          </w:pPr>
          <w:r>
            <w:rPr>
              <w:rFonts w:hint="eastAsia"/>
              <w:szCs w:val="21"/>
            </w:rPr>
            <w:t>通过债务重组取得的长期股权投资，其初始投资成本按照公允价值为基础确定。</w:t>
          </w:r>
        </w:p>
        <w:p w:rsidR="004A3868" w:rsidRDefault="003F1AB5">
          <w:pPr>
            <w:pStyle w:val="afff1"/>
            <w:spacing w:before="156"/>
            <w:ind w:firstLine="420"/>
            <w:rPr>
              <w:szCs w:val="21"/>
            </w:rPr>
          </w:pPr>
          <w:r>
            <w:rPr>
              <w:rFonts w:hint="eastAsia"/>
              <w:szCs w:val="21"/>
            </w:rPr>
            <w:t>（</w:t>
          </w:r>
          <w:r>
            <w:rPr>
              <w:szCs w:val="21"/>
            </w:rPr>
            <w:t>2</w:t>
          </w:r>
          <w:r>
            <w:rPr>
              <w:rFonts w:hint="eastAsia"/>
              <w:szCs w:val="21"/>
            </w:rPr>
            <w:t>）</w:t>
          </w:r>
          <w:r>
            <w:rPr>
              <w:szCs w:val="21"/>
            </w:rPr>
            <w:t>后续计量及损益确认</w:t>
          </w:r>
        </w:p>
        <w:p w:rsidR="004A3868" w:rsidRDefault="003F1AB5">
          <w:pPr>
            <w:pStyle w:val="afff1"/>
            <w:spacing w:before="156"/>
            <w:ind w:firstLine="420"/>
            <w:rPr>
              <w:szCs w:val="21"/>
            </w:rPr>
          </w:pPr>
          <w:r>
            <w:rPr>
              <w:szCs w:val="21"/>
            </w:rPr>
            <w:t>1）成本法</w:t>
          </w:r>
        </w:p>
        <w:p w:rsidR="004A3868" w:rsidRDefault="003F1AB5">
          <w:pPr>
            <w:pStyle w:val="afff1"/>
            <w:spacing w:before="156"/>
            <w:ind w:firstLine="420"/>
            <w:rPr>
              <w:szCs w:val="21"/>
            </w:rPr>
          </w:pPr>
          <w:r>
            <w:rPr>
              <w:rFonts w:hint="eastAsia"/>
              <w:szCs w:val="21"/>
            </w:rPr>
            <w:t>本公司能够对被投资单位实施控制的长期股权投资采用成本法核算，并按照初始投资成本计价，追加或收回投资调整长期股权投资的成本。</w:t>
          </w:r>
        </w:p>
        <w:p w:rsidR="004A3868" w:rsidRDefault="003F1AB5">
          <w:pPr>
            <w:pStyle w:val="afff1"/>
            <w:spacing w:before="156"/>
            <w:ind w:firstLine="420"/>
            <w:rPr>
              <w:szCs w:val="21"/>
            </w:rPr>
          </w:pPr>
          <w:r>
            <w:rPr>
              <w:rFonts w:hint="eastAsia"/>
              <w:szCs w:val="21"/>
            </w:rPr>
            <w:t>除取得投资时实际支付的价款或对价中包含的已宣告但尚未发放的现金股利或利润外，本公司按照享有被投资单位宣告分派的现金股利或利润确认为当期投资收益。</w:t>
          </w:r>
        </w:p>
        <w:p w:rsidR="004A3868" w:rsidRDefault="003F1AB5">
          <w:pPr>
            <w:pStyle w:val="afff1"/>
            <w:spacing w:before="156"/>
            <w:ind w:firstLine="420"/>
            <w:rPr>
              <w:szCs w:val="21"/>
            </w:rPr>
          </w:pPr>
          <w:r>
            <w:rPr>
              <w:szCs w:val="21"/>
            </w:rPr>
            <w:t>2）权益法</w:t>
          </w:r>
        </w:p>
        <w:p w:rsidR="004A3868" w:rsidRDefault="003F1AB5">
          <w:pPr>
            <w:pStyle w:val="afff1"/>
            <w:spacing w:before="156"/>
            <w:ind w:firstLine="420"/>
            <w:rPr>
              <w:szCs w:val="21"/>
            </w:rPr>
          </w:pPr>
          <w:r>
            <w:rPr>
              <w:rFonts w:hint="eastAsia"/>
              <w:szCs w:val="21"/>
            </w:rPr>
            <w:t>本公司对联营企业和合营企业的长期股权投资采用权益法核算；对于其中一部分通过风险投资机构、共同基金、信托公司或包括投连险基金在内的类似主体间接持有的联营企业的权益性投资，采用公允价值计量且其变动计入损益。</w:t>
          </w:r>
        </w:p>
        <w:p w:rsidR="004A3868" w:rsidRDefault="003F1AB5">
          <w:pPr>
            <w:pStyle w:val="afff1"/>
            <w:spacing w:before="156"/>
            <w:ind w:firstLine="420"/>
            <w:rPr>
              <w:szCs w:val="21"/>
            </w:rPr>
          </w:pPr>
          <w:r>
            <w:rPr>
              <w:rFonts w:hint="eastAsia"/>
              <w:szCs w:val="21"/>
            </w:rPr>
            <w:t>长期股权投资的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4A3868" w:rsidRDefault="003F1AB5">
          <w:pPr>
            <w:pStyle w:val="afff1"/>
            <w:spacing w:before="156"/>
            <w:ind w:firstLine="420"/>
            <w:rPr>
              <w:szCs w:val="21"/>
            </w:rPr>
          </w:pPr>
          <w:r>
            <w:rPr>
              <w:rFonts w:hint="eastAsia"/>
              <w:szCs w:val="21"/>
            </w:rPr>
            <w:t>本公司取得长期股权投资后，按照应享有或应分担的被投资单位实现的净损益和其他综合收益的份额，分别确认投资收益和其他综合收益，同时调整长期股权投资的账面价值；并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4A3868" w:rsidRDefault="003F1AB5">
          <w:pPr>
            <w:pStyle w:val="afff1"/>
            <w:spacing w:before="156"/>
            <w:ind w:firstLine="420"/>
            <w:rPr>
              <w:szCs w:val="21"/>
            </w:rPr>
          </w:pPr>
          <w:r>
            <w:rPr>
              <w:rFonts w:hint="eastAsia"/>
              <w:szCs w:val="21"/>
            </w:rPr>
            <w:t>本公司在确认应享有被投资单位净损益的份额时，以取得投资时被投资单位各项可辨认资产等的公允价值为基础，对被投资单位的净利润进行调整后确认。本公司与联营企业、合营企业之</w:t>
          </w:r>
          <w:r>
            <w:rPr>
              <w:rFonts w:hint="eastAsia"/>
              <w:szCs w:val="21"/>
            </w:rPr>
            <w:lastRenderedPageBreak/>
            <w:t>间发生的未实现内部交易损益按照应享有的比例计算归属于本公司的部分予以抵销，在此基础上确认投资损益。</w:t>
          </w:r>
        </w:p>
        <w:p w:rsidR="004A3868" w:rsidRDefault="003F1AB5">
          <w:pPr>
            <w:pStyle w:val="afff1"/>
            <w:spacing w:before="156"/>
            <w:ind w:firstLine="420"/>
            <w:rPr>
              <w:szCs w:val="21"/>
            </w:rPr>
          </w:pPr>
          <w:r>
            <w:rPr>
              <w:rFonts w:hint="eastAsia"/>
              <w:szCs w:val="21"/>
            </w:rPr>
            <w:t>本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4A3868" w:rsidRDefault="003F1AB5">
          <w:pPr>
            <w:pStyle w:val="afff1"/>
            <w:spacing w:before="156"/>
            <w:ind w:firstLine="420"/>
            <w:rPr>
              <w:szCs w:val="21"/>
            </w:rPr>
          </w:pPr>
          <w:r>
            <w:rPr>
              <w:rFonts w:hint="eastAsia"/>
              <w:szCs w:val="21"/>
            </w:rPr>
            <w:t>被投资单位以后期间实现盈利的，公司在扣除未确认的亏损分担额后，按与上述相反的顺序处理，减记已确认预计负债的账面余额、恢复其他实质上构成对被投资单位净投资的长期权益及长期股权投资的账面价值后，恢复确认投资收益。</w:t>
          </w:r>
        </w:p>
        <w:p w:rsidR="004A3868" w:rsidRDefault="003F1AB5">
          <w:pPr>
            <w:pStyle w:val="afff1"/>
            <w:spacing w:before="156"/>
            <w:ind w:firstLine="420"/>
            <w:rPr>
              <w:szCs w:val="21"/>
            </w:rPr>
          </w:pPr>
          <w:r>
            <w:rPr>
              <w:rFonts w:hint="eastAsia"/>
              <w:szCs w:val="21"/>
            </w:rPr>
            <w:t>（</w:t>
          </w:r>
          <w:r>
            <w:rPr>
              <w:szCs w:val="21"/>
            </w:rPr>
            <w:t>3</w:t>
          </w:r>
          <w:r>
            <w:rPr>
              <w:rFonts w:hint="eastAsia"/>
              <w:szCs w:val="21"/>
            </w:rPr>
            <w:t>）</w:t>
          </w:r>
          <w:r>
            <w:rPr>
              <w:szCs w:val="21"/>
            </w:rPr>
            <w:t>长期股权投资核算方法的转换</w:t>
          </w:r>
        </w:p>
        <w:p w:rsidR="004A3868" w:rsidRDefault="003F1AB5">
          <w:pPr>
            <w:pStyle w:val="afff1"/>
            <w:spacing w:before="156"/>
            <w:ind w:firstLine="420"/>
            <w:rPr>
              <w:szCs w:val="21"/>
            </w:rPr>
          </w:pPr>
          <w:r>
            <w:rPr>
              <w:szCs w:val="21"/>
            </w:rPr>
            <w:t>1）公允价值计量转权益法核算</w:t>
          </w:r>
        </w:p>
        <w:p w:rsidR="004A3868" w:rsidRDefault="003F1AB5">
          <w:pPr>
            <w:pStyle w:val="afff1"/>
            <w:spacing w:before="156"/>
            <w:ind w:firstLine="420"/>
            <w:rPr>
              <w:szCs w:val="21"/>
            </w:rPr>
          </w:pPr>
          <w:r>
            <w:rPr>
              <w:rFonts w:hint="eastAsia"/>
              <w:szCs w:val="21"/>
            </w:rPr>
            <w:t>本公司原持有的对被投资单位不具有控制、共同控制或重大影响的按金融工具确认和计量准则进行会计处理的权益性投资，因追加投资等原因能够对被投资单位施加重大影响或实施共同控制但不构成控制的，按照《企业会计准则第</w:t>
          </w:r>
          <w:r>
            <w:rPr>
              <w:szCs w:val="21"/>
            </w:rPr>
            <w:t>22号——金融工具确认和计量》确定的原持有的股权投资的公允价值加上新增投资成本之和，作为改按权益法核算的初始投资成本。</w:t>
          </w:r>
        </w:p>
        <w:p w:rsidR="004A3868" w:rsidRDefault="003F1AB5">
          <w:pPr>
            <w:pStyle w:val="afff1"/>
            <w:spacing w:before="156"/>
            <w:ind w:firstLine="420"/>
            <w:rPr>
              <w:szCs w:val="21"/>
            </w:rPr>
          </w:pPr>
          <w:r>
            <w:rPr>
              <w:rFonts w:hint="eastAsia"/>
              <w:szCs w:val="21"/>
            </w:rPr>
            <w:t>按权益法核算的初始投资成本小于按照追加投资后全新的持股比例计算确定的应享有被投资单位在追加投资日可辨认净资产公允价值份额之间的差额，调整长期股权投资的账面价值，并计入当期营业外收入。</w:t>
          </w:r>
        </w:p>
        <w:p w:rsidR="004A3868" w:rsidRDefault="003F1AB5">
          <w:pPr>
            <w:pStyle w:val="afff1"/>
            <w:spacing w:before="156"/>
            <w:ind w:firstLine="420"/>
            <w:rPr>
              <w:szCs w:val="21"/>
            </w:rPr>
          </w:pPr>
          <w:r>
            <w:rPr>
              <w:szCs w:val="21"/>
            </w:rPr>
            <w:t>2）公允价值计量或权益法核算转成本法核算</w:t>
          </w:r>
        </w:p>
        <w:p w:rsidR="004A3868" w:rsidRDefault="003F1AB5">
          <w:pPr>
            <w:pStyle w:val="afff1"/>
            <w:spacing w:before="156"/>
            <w:ind w:firstLine="420"/>
            <w:rPr>
              <w:szCs w:val="21"/>
            </w:rPr>
          </w:pPr>
          <w:r>
            <w:rPr>
              <w:rFonts w:hint="eastAsia"/>
              <w:szCs w:val="21"/>
            </w:rPr>
            <w:t>本公司原持有的对被投资单位不具有控制、共同控制或重大影响的按金融工具确认和计量准则进行会计处理的权益性投资，或原持有对联营企业、合营企业的长期股权投资，因追加投资等原因能够对非同一控制下的被投资单位实施控制的，在编制个别财务报表时，按照原持有的股权投资账面价值加上新增投资成本之和，作为改按成本法核算的初始投资成本。</w:t>
          </w:r>
        </w:p>
        <w:p w:rsidR="004A3868" w:rsidRDefault="003F1AB5">
          <w:pPr>
            <w:pStyle w:val="afff1"/>
            <w:spacing w:before="156"/>
            <w:ind w:firstLine="420"/>
            <w:rPr>
              <w:szCs w:val="21"/>
            </w:rPr>
          </w:pPr>
          <w:r>
            <w:rPr>
              <w:rFonts w:hint="eastAsia"/>
              <w:szCs w:val="21"/>
            </w:rPr>
            <w:t>购买日之前持有的股权投资因采用权益法核算而确认的其他综合收益，在处置该项投资时采用与被投资单位直接处置相关资产或负债相同的基础进行会计处理。</w:t>
          </w:r>
        </w:p>
        <w:p w:rsidR="004A3868" w:rsidRDefault="003F1AB5">
          <w:pPr>
            <w:pStyle w:val="afff1"/>
            <w:spacing w:before="156"/>
            <w:ind w:firstLine="420"/>
            <w:rPr>
              <w:szCs w:val="21"/>
            </w:rPr>
          </w:pPr>
          <w:r>
            <w:rPr>
              <w:rFonts w:hint="eastAsia"/>
              <w:szCs w:val="21"/>
            </w:rPr>
            <w:lastRenderedPageBreak/>
            <w:t>购买日之前持有的股权投资按照《企业会计准则第</w:t>
          </w:r>
          <w:r>
            <w:rPr>
              <w:szCs w:val="21"/>
            </w:rPr>
            <w:t>22号——金融工具确认和计量》的有关规定进行会计处理的，原计入其他综合收益的累计公允价值变动在改按成本法核算时转入当期损益。</w:t>
          </w:r>
        </w:p>
        <w:p w:rsidR="004A3868" w:rsidRDefault="003F1AB5">
          <w:pPr>
            <w:pStyle w:val="afff1"/>
            <w:spacing w:before="156"/>
            <w:ind w:firstLine="420"/>
            <w:rPr>
              <w:szCs w:val="21"/>
            </w:rPr>
          </w:pPr>
          <w:r>
            <w:rPr>
              <w:szCs w:val="21"/>
            </w:rPr>
            <w:t>3）权益法核算转公允价值计量</w:t>
          </w:r>
        </w:p>
        <w:p w:rsidR="004A3868" w:rsidRDefault="003F1AB5">
          <w:pPr>
            <w:pStyle w:val="afff1"/>
            <w:spacing w:before="156"/>
            <w:ind w:firstLine="420"/>
            <w:rPr>
              <w:szCs w:val="21"/>
            </w:rPr>
          </w:pPr>
          <w:r>
            <w:rPr>
              <w:rFonts w:hint="eastAsia"/>
              <w:szCs w:val="21"/>
            </w:rPr>
            <w:t>本公司因处置部分股权投资等原因丧失了对被投资单位的共同控制或重大影响的，处置后的剩余股权改按《企业会计准则第</w:t>
          </w:r>
          <w:r>
            <w:rPr>
              <w:szCs w:val="21"/>
            </w:rPr>
            <w:t>22号——金融工具确认和计量》核算，其在丧失共同控制或重大影响之日的公允价值与账面价值之间的差额计入当期损益。</w:t>
          </w:r>
        </w:p>
        <w:p w:rsidR="004A3868" w:rsidRDefault="003F1AB5">
          <w:pPr>
            <w:pStyle w:val="afff1"/>
            <w:spacing w:before="156"/>
            <w:ind w:firstLine="420"/>
            <w:rPr>
              <w:szCs w:val="21"/>
            </w:rPr>
          </w:pPr>
          <w:r>
            <w:rPr>
              <w:rFonts w:hint="eastAsia"/>
              <w:szCs w:val="21"/>
            </w:rPr>
            <w:t>原股权投资因采用权益法核算而确认的其他综合收益，在终止采用权益法核算时采用与被投资单位直接处置相关资产或负债相同的基础进行会计处理。</w:t>
          </w:r>
        </w:p>
        <w:p w:rsidR="004A3868" w:rsidRDefault="003F1AB5">
          <w:pPr>
            <w:pStyle w:val="afff1"/>
            <w:spacing w:before="156"/>
            <w:ind w:firstLine="420"/>
            <w:rPr>
              <w:szCs w:val="21"/>
            </w:rPr>
          </w:pPr>
          <w:r>
            <w:rPr>
              <w:szCs w:val="21"/>
            </w:rPr>
            <w:t>4）成本法转权益法</w:t>
          </w:r>
        </w:p>
        <w:p w:rsidR="004A3868" w:rsidRDefault="003F1AB5">
          <w:pPr>
            <w:pStyle w:val="afff1"/>
            <w:spacing w:before="156"/>
            <w:ind w:firstLine="420"/>
            <w:rPr>
              <w:szCs w:val="21"/>
            </w:rPr>
          </w:pPr>
          <w:r>
            <w:rPr>
              <w:rFonts w:hint="eastAsia"/>
              <w:szCs w:val="21"/>
            </w:rPr>
            <w:t>本公司因处置部分权益性投资等原因丧失了对被投资单位的控制的，在编制个别财务报表时，处置后的剩余股权能够对被投资单位实施共同控制或施加重大影响的，改按权益法核算，并对该剩余股权视同自取得时即采用权益法核算进行调整。</w:t>
          </w:r>
        </w:p>
        <w:p w:rsidR="004A3868" w:rsidRDefault="003F1AB5">
          <w:pPr>
            <w:pStyle w:val="afff1"/>
            <w:spacing w:before="156"/>
            <w:ind w:firstLine="420"/>
            <w:rPr>
              <w:szCs w:val="21"/>
            </w:rPr>
          </w:pPr>
          <w:r>
            <w:rPr>
              <w:szCs w:val="21"/>
            </w:rPr>
            <w:t>5）成本法转公允价值计量</w:t>
          </w:r>
        </w:p>
        <w:p w:rsidR="004A3868" w:rsidRDefault="003F1AB5">
          <w:pPr>
            <w:pStyle w:val="afff1"/>
            <w:spacing w:before="156"/>
            <w:ind w:firstLine="420"/>
            <w:rPr>
              <w:szCs w:val="21"/>
            </w:rPr>
          </w:pPr>
          <w:r>
            <w:rPr>
              <w:rFonts w:hint="eastAsia"/>
              <w:szCs w:val="21"/>
            </w:rPr>
            <w:t>本公司因处置部分权益性投资等原因丧失了对被投资单位的控制的，在编制个别财务报表时，处置后的剩余股权不能对被投资单位实施共同控制或施加重大影响的，改按《企业会计准则第</w:t>
          </w:r>
          <w:r>
            <w:rPr>
              <w:szCs w:val="21"/>
            </w:rPr>
            <w:t>22号——金融工具确认和计量》的有关规定进行会计处理，其在丧失控制之日的公允价值与账面价值间的差额计入当期损益。</w:t>
          </w:r>
        </w:p>
        <w:p w:rsidR="004A3868" w:rsidRDefault="003F1AB5">
          <w:pPr>
            <w:pStyle w:val="afff1"/>
            <w:spacing w:before="156"/>
            <w:ind w:firstLine="420"/>
            <w:rPr>
              <w:szCs w:val="21"/>
            </w:rPr>
          </w:pPr>
          <w:r>
            <w:rPr>
              <w:rFonts w:hint="eastAsia"/>
              <w:szCs w:val="21"/>
            </w:rPr>
            <w:t>（</w:t>
          </w:r>
          <w:r>
            <w:rPr>
              <w:szCs w:val="21"/>
            </w:rPr>
            <w:t>4</w:t>
          </w:r>
          <w:r>
            <w:rPr>
              <w:rFonts w:hint="eastAsia"/>
              <w:szCs w:val="21"/>
            </w:rPr>
            <w:t>）</w:t>
          </w:r>
          <w:r>
            <w:rPr>
              <w:szCs w:val="21"/>
            </w:rPr>
            <w:t>长期股权投资的处置</w:t>
          </w:r>
        </w:p>
        <w:p w:rsidR="004A3868" w:rsidRDefault="003F1AB5">
          <w:pPr>
            <w:pStyle w:val="afff1"/>
            <w:spacing w:before="156"/>
            <w:ind w:firstLine="420"/>
            <w:rPr>
              <w:szCs w:val="21"/>
            </w:rPr>
          </w:pPr>
          <w:r>
            <w:rPr>
              <w:rFonts w:hint="eastAsia"/>
              <w:szCs w:val="21"/>
            </w:rPr>
            <w:t>处置长期股权投资，其账面价值与实际取得价款之间的差额，应当计入当期损益。采用权益法核算的长期股权投资，在处置该项投资时，采用与被投资单位直接处置相关资产或负债相同的基础，按相应比例对原计入其他综合收益的部分进行会计处理。</w:t>
          </w:r>
        </w:p>
        <w:p w:rsidR="004A3868" w:rsidRDefault="003F1AB5">
          <w:pPr>
            <w:pStyle w:val="afff1"/>
            <w:spacing w:before="156"/>
            <w:ind w:firstLine="420"/>
            <w:rPr>
              <w:szCs w:val="21"/>
            </w:rPr>
          </w:pPr>
          <w:r>
            <w:rPr>
              <w:rFonts w:hint="eastAsia"/>
              <w:szCs w:val="21"/>
            </w:rPr>
            <w:t>处置对子公司股权投资的各项交易的条款、条件以及经济影响符合以下一种或多种情况，将多次交易事项作为一揽子交易进行会计处理：</w:t>
          </w:r>
        </w:p>
        <w:p w:rsidR="004A3868" w:rsidRDefault="003F1AB5">
          <w:pPr>
            <w:pStyle w:val="afff1"/>
            <w:spacing w:before="156"/>
            <w:ind w:firstLine="420"/>
            <w:rPr>
              <w:szCs w:val="21"/>
            </w:rPr>
          </w:pPr>
          <w:r>
            <w:rPr>
              <w:szCs w:val="21"/>
            </w:rPr>
            <w:t>1）这些交易是同时或者在考虑了彼此影响的情况下订立的；</w:t>
          </w:r>
        </w:p>
        <w:p w:rsidR="004A3868" w:rsidRDefault="003F1AB5">
          <w:pPr>
            <w:pStyle w:val="afff1"/>
            <w:spacing w:before="156"/>
            <w:ind w:firstLine="420"/>
            <w:rPr>
              <w:szCs w:val="21"/>
            </w:rPr>
          </w:pPr>
          <w:r>
            <w:rPr>
              <w:szCs w:val="21"/>
            </w:rPr>
            <w:t>2）这些交易整体才能达成一项完整的商业结果；</w:t>
          </w:r>
        </w:p>
        <w:p w:rsidR="004A3868" w:rsidRDefault="003F1AB5">
          <w:pPr>
            <w:pStyle w:val="afff1"/>
            <w:spacing w:before="156"/>
            <w:ind w:firstLine="420"/>
            <w:rPr>
              <w:szCs w:val="21"/>
            </w:rPr>
          </w:pPr>
          <w:r>
            <w:rPr>
              <w:szCs w:val="21"/>
            </w:rPr>
            <w:lastRenderedPageBreak/>
            <w:t>3）一项交易的发生取决于其他至少一项交易的发生；</w:t>
          </w:r>
        </w:p>
        <w:p w:rsidR="004A3868" w:rsidRDefault="003F1AB5">
          <w:pPr>
            <w:pStyle w:val="afff1"/>
            <w:spacing w:before="156"/>
            <w:ind w:firstLine="420"/>
            <w:rPr>
              <w:szCs w:val="21"/>
            </w:rPr>
          </w:pPr>
          <w:r>
            <w:rPr>
              <w:szCs w:val="21"/>
            </w:rPr>
            <w:t>4）一项交易单独看是不经济的，但是和其他交易一并考虑时是经济的。</w:t>
          </w:r>
        </w:p>
        <w:p w:rsidR="004A3868" w:rsidRDefault="003F1AB5">
          <w:pPr>
            <w:pStyle w:val="afff1"/>
            <w:spacing w:before="156"/>
            <w:ind w:firstLine="420"/>
            <w:rPr>
              <w:szCs w:val="21"/>
            </w:rPr>
          </w:pPr>
          <w:r>
            <w:rPr>
              <w:rFonts w:hint="eastAsia"/>
              <w:szCs w:val="21"/>
            </w:rPr>
            <w:t>因处置部分股权投资或其他原因丧失了对原有子公司控制权的，不属于一揽子交易的，区分个别财务报表和合并财务报表进行相关会计处理：</w:t>
          </w:r>
        </w:p>
        <w:p w:rsidR="004A3868" w:rsidRDefault="003F1AB5">
          <w:pPr>
            <w:pStyle w:val="afff1"/>
            <w:spacing w:before="156"/>
            <w:ind w:firstLine="420"/>
            <w:rPr>
              <w:szCs w:val="21"/>
            </w:rPr>
          </w:pPr>
          <w:r>
            <w:rPr>
              <w:szCs w:val="21"/>
            </w:rPr>
            <w:t>1）在个别财务报表中，对于处置的股权，其账面价值与实际取得价款之间的差额计入当期损益。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rsidR="004A3868" w:rsidRDefault="003F1AB5">
          <w:pPr>
            <w:pStyle w:val="afff1"/>
            <w:spacing w:before="156"/>
            <w:ind w:firstLine="420"/>
            <w:rPr>
              <w:szCs w:val="21"/>
            </w:rPr>
          </w:pPr>
          <w:r>
            <w:rPr>
              <w:szCs w:val="21"/>
            </w:rPr>
            <w:t>2）在合并财务报表中，对于在丧失对子公司控制权以前的各项交易，处置价款与处置长期股权投资相应对享有子公司自购买日或合并日开始持续计算的净资产份额之间的差额，调整资本公积（股本溢价），资本公积不足冲减的，调整留存收益；在丧失对子公司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等，在</w:t>
          </w:r>
          <w:r>
            <w:rPr>
              <w:rFonts w:hint="eastAsia"/>
              <w:szCs w:val="21"/>
            </w:rPr>
            <w:t>丧失控制权时转为当期投资收益。</w:t>
          </w:r>
        </w:p>
        <w:p w:rsidR="004A3868" w:rsidRDefault="003F1AB5">
          <w:pPr>
            <w:pStyle w:val="afff1"/>
            <w:spacing w:before="156"/>
            <w:ind w:firstLine="420"/>
            <w:rPr>
              <w:szCs w:val="21"/>
            </w:rPr>
          </w:pPr>
          <w:r>
            <w:rPr>
              <w:rFonts w:hint="eastAsia"/>
              <w:szCs w:val="21"/>
            </w:rPr>
            <w:t>处置对子公司股权投资直至丧失控制权的各项交易属于一揽子交易的，将各项交易作为一项处置子公司股权投资并丧失控制权的交易进行会计处理，区分个别财务报表和合并财务报表进行相关会计处理：</w:t>
          </w:r>
        </w:p>
        <w:p w:rsidR="004A3868" w:rsidRDefault="003F1AB5">
          <w:pPr>
            <w:pStyle w:val="afff1"/>
            <w:spacing w:before="156"/>
            <w:ind w:firstLine="420"/>
            <w:rPr>
              <w:szCs w:val="21"/>
            </w:rPr>
          </w:pPr>
          <w:r>
            <w:rPr>
              <w:szCs w:val="21"/>
            </w:rPr>
            <w:t>1）在个别财务报表中，在丧失控制权之前每一次处置价款与处置的股权对应的长期股权投资账面价值之间的差额，确认为其他综合收益，在丧失控制权时一并转入丧失控制权当期的损益。</w:t>
          </w:r>
        </w:p>
        <w:p w:rsidR="004A3868" w:rsidRDefault="003F1AB5">
          <w:pPr>
            <w:pStyle w:val="afff1"/>
            <w:spacing w:before="156"/>
            <w:ind w:firstLine="420"/>
            <w:rPr>
              <w:szCs w:val="21"/>
            </w:rPr>
          </w:pPr>
          <w:r>
            <w:rPr>
              <w:szCs w:val="21"/>
            </w:rPr>
            <w:t>2）在合并财务报表中，在丧失控制权之前每一次处置价款与处置投资对应的享有该子公司净资产份额的差额，确认为其他综合收益，在丧失控制权时一并转入丧失控制权当期的损益。</w:t>
          </w:r>
        </w:p>
        <w:p w:rsidR="004A3868" w:rsidRDefault="003F1AB5">
          <w:pPr>
            <w:pStyle w:val="afff1"/>
            <w:spacing w:before="156"/>
            <w:ind w:firstLine="420"/>
            <w:rPr>
              <w:szCs w:val="21"/>
            </w:rPr>
          </w:pPr>
          <w:r>
            <w:rPr>
              <w:rFonts w:hint="eastAsia"/>
              <w:szCs w:val="21"/>
            </w:rPr>
            <w:t>（</w:t>
          </w:r>
          <w:r>
            <w:rPr>
              <w:szCs w:val="21"/>
            </w:rPr>
            <w:t>5</w:t>
          </w:r>
          <w:r>
            <w:rPr>
              <w:rFonts w:hint="eastAsia"/>
              <w:szCs w:val="21"/>
            </w:rPr>
            <w:t>）</w:t>
          </w:r>
          <w:r>
            <w:rPr>
              <w:szCs w:val="21"/>
            </w:rPr>
            <w:t>共同控制、重大影响的判断标准</w:t>
          </w:r>
        </w:p>
        <w:p w:rsidR="004A3868" w:rsidRDefault="003F1AB5">
          <w:pPr>
            <w:pStyle w:val="afff1"/>
            <w:spacing w:before="156"/>
            <w:ind w:firstLine="420"/>
            <w:rPr>
              <w:szCs w:val="21"/>
            </w:rPr>
          </w:pPr>
          <w:r>
            <w:rPr>
              <w:rFonts w:hint="eastAsia"/>
              <w:szCs w:val="21"/>
            </w:rPr>
            <w:t>如果本公司按照相关约定与其他参与方集体控制某项安排，并且对该安排回报具有重大影响的活动决策，需要经过分享控制权的参与方一致同意时才存在，则视为本公司与其他参与方共同</w:t>
          </w:r>
          <w:r>
            <w:rPr>
              <w:rFonts w:hint="eastAsia"/>
              <w:szCs w:val="21"/>
            </w:rPr>
            <w:lastRenderedPageBreak/>
            <w:t>控制某项安排，该安排即属于合营安排。</w:t>
          </w:r>
        </w:p>
        <w:p w:rsidR="004A3868" w:rsidRDefault="003F1AB5">
          <w:pPr>
            <w:pStyle w:val="afff1"/>
            <w:spacing w:before="156"/>
            <w:ind w:firstLine="420"/>
            <w:rPr>
              <w:szCs w:val="21"/>
            </w:rPr>
          </w:pPr>
          <w:r>
            <w:rPr>
              <w:rFonts w:hint="eastAsia"/>
              <w:szCs w:val="21"/>
            </w:rPr>
            <w:t>合营安排通过单独主体达成的，根据相关约定判断本公司对该单独主体的净资产享有权利时，将该单独主体作为合营企业，采用权益法核算。若根据相关约定判断本公司并非对该单独主体的净资产享有权利时，该单独主体作为共同经营，本公司确认与共同经营利益份额相关的项目，并按照相关企业会计准则的规定进行会计处理。</w:t>
          </w:r>
        </w:p>
        <w:p w:rsidR="004A3868" w:rsidRDefault="003F1AB5">
          <w:pPr>
            <w:pStyle w:val="afff1"/>
            <w:spacing w:before="156"/>
            <w:ind w:firstLine="420"/>
            <w:rPr>
              <w:szCs w:val="21"/>
            </w:rPr>
          </w:pPr>
          <w:r>
            <w:rPr>
              <w:rFonts w:hint="eastAsia"/>
              <w:szCs w:val="21"/>
            </w:rPr>
            <w:t>重大影响，是指投资方对被投资单位的财务和经营政策有参与决策的权力，但并不能够控制或者与其他方一起共同控制这些政策的制定。本公司通过以下一种或多种情形，并综合考虑所有事实和情况后，判断对被投资单位具有重大影响：</w:t>
          </w:r>
        </w:p>
        <w:p w:rsidR="004A3868" w:rsidRDefault="003F1AB5">
          <w:pPr>
            <w:pStyle w:val="afff1"/>
            <w:spacing w:before="156"/>
            <w:ind w:firstLine="420"/>
            <w:rPr>
              <w:szCs w:val="21"/>
            </w:rPr>
          </w:pPr>
          <w:r>
            <w:rPr>
              <w:szCs w:val="21"/>
            </w:rPr>
            <w:t>1）在被投资单位的董事会或类似权力机构中派有代表；</w:t>
          </w:r>
        </w:p>
        <w:p w:rsidR="004A3868" w:rsidRDefault="003F1AB5">
          <w:pPr>
            <w:pStyle w:val="afff1"/>
            <w:spacing w:before="156"/>
            <w:ind w:firstLine="420"/>
            <w:rPr>
              <w:szCs w:val="21"/>
            </w:rPr>
          </w:pPr>
          <w:r>
            <w:rPr>
              <w:szCs w:val="21"/>
            </w:rPr>
            <w:t>2）参与被投资单位财务和经营政策制定过程；</w:t>
          </w:r>
        </w:p>
        <w:p w:rsidR="004A3868" w:rsidRDefault="003F1AB5">
          <w:pPr>
            <w:pStyle w:val="afff1"/>
            <w:spacing w:before="156"/>
            <w:ind w:firstLine="420"/>
            <w:rPr>
              <w:szCs w:val="21"/>
            </w:rPr>
          </w:pPr>
          <w:r>
            <w:rPr>
              <w:szCs w:val="21"/>
            </w:rPr>
            <w:t>3）与被投资单位之间发生重要交易；</w:t>
          </w:r>
        </w:p>
        <w:p w:rsidR="004A3868" w:rsidRDefault="003F1AB5">
          <w:pPr>
            <w:pStyle w:val="afff1"/>
            <w:spacing w:before="156"/>
            <w:ind w:firstLine="420"/>
            <w:rPr>
              <w:szCs w:val="21"/>
            </w:rPr>
          </w:pPr>
          <w:r>
            <w:rPr>
              <w:szCs w:val="21"/>
            </w:rPr>
            <w:t>4）向被投资单位派出管理人员；</w:t>
          </w:r>
        </w:p>
        <w:p w:rsidR="004A3868" w:rsidRDefault="003F1AB5">
          <w:pPr>
            <w:pStyle w:val="afff1"/>
            <w:spacing w:before="156"/>
            <w:ind w:firstLine="420"/>
            <w:rPr>
              <w:szCs w:val="21"/>
            </w:rPr>
          </w:pPr>
          <w:r>
            <w:rPr>
              <w:szCs w:val="21"/>
            </w:rPr>
            <w:t>5）向被投资单位提供关键技术资料。</w:t>
          </w:r>
        </w:p>
      </w:sdtContent>
    </w:sdt>
    <w:p w:rsidR="004A3868" w:rsidRDefault="003F1AB5">
      <w:pPr>
        <w:pStyle w:val="Style12711"/>
      </w:pPr>
      <w:r>
        <w:t>投资性房地产</w:t>
      </w:r>
    </w:p>
    <w:p w:rsidR="004A3868" w:rsidRDefault="003F1AB5">
      <w:pPr>
        <w:rPr>
          <w:sz w:val="21"/>
          <w:szCs w:val="21"/>
        </w:rPr>
      </w:pPr>
      <w:r>
        <w:rPr>
          <w:rFonts w:hint="eastAsia"/>
          <w:sz w:val="21"/>
          <w:szCs w:val="21"/>
        </w:rPr>
        <w:t>不</w:t>
      </w:r>
      <w:sdt>
        <w:sdtPr>
          <w:rPr>
            <w:rFonts w:hint="eastAsia"/>
            <w:sz w:val="21"/>
            <w:szCs w:val="21"/>
          </w:rPr>
          <w:tag w:val="_PLD_1e7ac09bf64649b39185b6a5275d44b6"/>
          <w:id w:val="1802027872"/>
          <w:placeholder>
            <w:docPart w:val="GBC22222222222222222222222222222"/>
          </w:placeholder>
        </w:sdtPr>
        <w:sdtEndPr/>
        <w:sdtContent>
          <w:r>
            <w:rPr>
              <w:rFonts w:hint="eastAsia"/>
              <w:sz w:val="21"/>
              <w:szCs w:val="21"/>
            </w:rPr>
            <w:t>适用</w:t>
          </w:r>
        </w:sdtContent>
      </w:sdt>
    </w:p>
    <w:p w:rsidR="004A3868" w:rsidRDefault="003F1AB5">
      <w:pPr>
        <w:pStyle w:val="Style12711"/>
      </w:pPr>
      <w:r>
        <w:t>固定资产</w:t>
      </w:r>
    </w:p>
    <w:p w:rsidR="004A3868" w:rsidRDefault="003F1AB5">
      <w:pPr>
        <w:pStyle w:val="Style128"/>
        <w:numPr>
          <w:ilvl w:val="0"/>
          <w:numId w:val="60"/>
        </w:numPr>
      </w:pPr>
      <w:r>
        <w:rPr>
          <w:rFonts w:hint="eastAsia"/>
        </w:rPr>
        <w:t>确认条件</w:t>
      </w:r>
    </w:p>
    <w:sdt>
      <w:sdtPr>
        <w:alias w:val="是否适用：固定资产确认条件[双击切换]"/>
        <w:tag w:val="_GBC_4c768c6eca804bab9e4fc027185bcda6"/>
        <w:id w:val="-183559175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固定资产确认条件"/>
        <w:tag w:val="_GBC_3044d53470b143fa9477fa34b85d4ec5"/>
        <w:id w:val="1708293490"/>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固定资产指为生产商品、提供劳务、出租或经营管理而持有，并且使用寿命超过一个会计年度的有形资产。固定资产在同时满足下列条件时予以确认：</w:t>
          </w:r>
        </w:p>
        <w:p w:rsidR="004A3868" w:rsidRDefault="003F1AB5">
          <w:pPr>
            <w:pStyle w:val="afff1"/>
            <w:spacing w:before="156"/>
            <w:ind w:firstLine="420"/>
            <w:rPr>
              <w:szCs w:val="21"/>
            </w:rPr>
          </w:pPr>
          <w:r>
            <w:rPr>
              <w:rFonts w:hint="eastAsia"/>
              <w:szCs w:val="21"/>
            </w:rPr>
            <w:t>（</w:t>
          </w:r>
          <w:r>
            <w:rPr>
              <w:szCs w:val="21"/>
            </w:rPr>
            <w:t>1）与该固定资产有关的经济利益很可能流入企业；</w:t>
          </w:r>
        </w:p>
        <w:p w:rsidR="004A3868" w:rsidRDefault="003F1AB5">
          <w:pPr>
            <w:pStyle w:val="afff1"/>
            <w:spacing w:before="156"/>
            <w:ind w:firstLine="420"/>
            <w:rPr>
              <w:b/>
              <w:szCs w:val="21"/>
            </w:rPr>
          </w:pPr>
          <w:r>
            <w:rPr>
              <w:rFonts w:hint="eastAsia"/>
              <w:szCs w:val="21"/>
            </w:rPr>
            <w:t>（</w:t>
          </w:r>
          <w:r>
            <w:rPr>
              <w:szCs w:val="21"/>
            </w:rPr>
            <w:t>2）该固定资产的成本能够可靠地计量。</w:t>
          </w:r>
        </w:p>
      </w:sdtContent>
    </w:sdt>
    <w:p w:rsidR="004A3868" w:rsidRDefault="003F1AB5">
      <w:pPr>
        <w:pStyle w:val="Style128"/>
        <w:numPr>
          <w:ilvl w:val="0"/>
          <w:numId w:val="60"/>
        </w:numPr>
      </w:pPr>
      <w:r>
        <w:t>折旧方法</w:t>
      </w:r>
    </w:p>
    <w:sdt>
      <w:sdtPr>
        <w:alias w:val="是否适用：固定资产折旧方法[双击切换]"/>
        <w:tag w:val="_GBC_f89f129fe73045168ebdc30031da9fdd"/>
        <w:id w:val="-501587870"/>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674"/>
        <w:gridCol w:w="1785"/>
        <w:gridCol w:w="1788"/>
        <w:gridCol w:w="1788"/>
        <w:gridCol w:w="1788"/>
      </w:tblGrid>
      <w:tr w:rsidR="004A3868">
        <w:trPr>
          <w:trHeight w:val="397"/>
          <w:jc w:val="center"/>
        </w:trPr>
        <w:sdt>
          <w:sdtPr>
            <w:tag w:val="_PLD_b93b748ee97a4a8bae6f8263364d91d5"/>
            <w:id w:val="-377554350"/>
            <w:lock w:val="sdtLocked"/>
          </w:sdtPr>
          <w:sdtEndPr/>
          <w:sdtContent>
            <w:tc>
              <w:tcPr>
                <w:tcW w:w="949" w:type="pct"/>
                <w:vAlign w:val="center"/>
              </w:tcPr>
              <w:p w:rsidR="004A3868" w:rsidRDefault="003F1AB5">
                <w:pPr>
                  <w:pStyle w:val="afffb"/>
                </w:pPr>
                <w:r>
                  <w:t>类别</w:t>
                </w:r>
              </w:p>
            </w:tc>
          </w:sdtContent>
        </w:sdt>
        <w:sdt>
          <w:sdtPr>
            <w:tag w:val="_PLD_8eb75a8ba4fb45a3be1c35e2609526fb"/>
            <w:id w:val="-1703465113"/>
            <w:lock w:val="sdtLocked"/>
          </w:sdtPr>
          <w:sdtEndPr/>
          <w:sdtContent>
            <w:tc>
              <w:tcPr>
                <w:tcW w:w="1012" w:type="pct"/>
                <w:vAlign w:val="center"/>
              </w:tcPr>
              <w:p w:rsidR="004A3868" w:rsidRDefault="003F1AB5">
                <w:pPr>
                  <w:pStyle w:val="afffb"/>
                </w:pPr>
                <w:r>
                  <w:rPr>
                    <w:rFonts w:hint="eastAsia"/>
                  </w:rPr>
                  <w:t>折旧方法</w:t>
                </w:r>
              </w:p>
            </w:tc>
          </w:sdtContent>
        </w:sdt>
        <w:sdt>
          <w:sdtPr>
            <w:tag w:val="_PLD_288e4cb255e44ed98e0c53f336ac01e0"/>
            <w:id w:val="-744497452"/>
            <w:lock w:val="sdtLocked"/>
          </w:sdtPr>
          <w:sdtEndPr/>
          <w:sdtContent>
            <w:tc>
              <w:tcPr>
                <w:tcW w:w="1013" w:type="pct"/>
                <w:vAlign w:val="center"/>
              </w:tcPr>
              <w:p w:rsidR="004A3868" w:rsidRDefault="003F1AB5">
                <w:pPr>
                  <w:pStyle w:val="afffb"/>
                </w:pPr>
                <w:r>
                  <w:t>折旧年限（年）</w:t>
                </w:r>
              </w:p>
            </w:tc>
          </w:sdtContent>
        </w:sdt>
        <w:sdt>
          <w:sdtPr>
            <w:tag w:val="_PLD_b978331f5a784568b426597e450ebc7a"/>
            <w:id w:val="-657377539"/>
            <w:lock w:val="sdtLocked"/>
          </w:sdtPr>
          <w:sdtEndPr/>
          <w:sdtContent>
            <w:tc>
              <w:tcPr>
                <w:tcW w:w="1013" w:type="pct"/>
                <w:vAlign w:val="center"/>
              </w:tcPr>
              <w:p w:rsidR="004A3868" w:rsidRDefault="003F1AB5">
                <w:pPr>
                  <w:pStyle w:val="afffb"/>
                </w:pPr>
                <w:r>
                  <w:t>残值率</w:t>
                </w:r>
              </w:p>
            </w:tc>
          </w:sdtContent>
        </w:sdt>
        <w:sdt>
          <w:sdtPr>
            <w:tag w:val="_PLD_02921e2cbb3b427bb4fe2aba2949e56a"/>
            <w:id w:val="-762369685"/>
            <w:lock w:val="sdtLocked"/>
          </w:sdtPr>
          <w:sdtEndPr/>
          <w:sdtContent>
            <w:tc>
              <w:tcPr>
                <w:tcW w:w="1013" w:type="pct"/>
                <w:vAlign w:val="center"/>
              </w:tcPr>
              <w:p w:rsidR="004A3868" w:rsidRDefault="003F1AB5">
                <w:pPr>
                  <w:pStyle w:val="afffb"/>
                </w:pPr>
                <w:r>
                  <w:t>年折旧率</w:t>
                </w:r>
              </w:p>
            </w:tc>
          </w:sdtContent>
        </w:sdt>
      </w:tr>
      <w:tr w:rsidR="004A3868">
        <w:trPr>
          <w:trHeight w:val="397"/>
          <w:jc w:val="center"/>
        </w:trPr>
        <w:tc>
          <w:tcPr>
            <w:tcW w:w="949" w:type="pct"/>
            <w:vAlign w:val="center"/>
          </w:tcPr>
          <w:p w:rsidR="004A3868" w:rsidRDefault="003F1AB5">
            <w:pPr>
              <w:pStyle w:val="afffb"/>
            </w:pPr>
            <w:r>
              <w:t>房屋及建筑物</w:t>
            </w:r>
          </w:p>
        </w:tc>
        <w:tc>
          <w:tcPr>
            <w:tcW w:w="1012" w:type="pct"/>
            <w:vAlign w:val="center"/>
          </w:tcPr>
          <w:p w:rsidR="004A3868" w:rsidRDefault="003F1AB5">
            <w:pPr>
              <w:pStyle w:val="afffb"/>
            </w:pPr>
            <w:r>
              <w:t>年限平均法</w:t>
            </w:r>
          </w:p>
        </w:tc>
        <w:tc>
          <w:tcPr>
            <w:tcW w:w="1013" w:type="pct"/>
            <w:vAlign w:val="center"/>
          </w:tcPr>
          <w:p w:rsidR="004A3868" w:rsidRDefault="003F1AB5">
            <w:pPr>
              <w:pStyle w:val="afff7"/>
            </w:pPr>
            <w:r>
              <w:t>10-20</w:t>
            </w:r>
          </w:p>
        </w:tc>
        <w:tc>
          <w:tcPr>
            <w:tcW w:w="1013" w:type="pct"/>
            <w:vAlign w:val="center"/>
          </w:tcPr>
          <w:p w:rsidR="004A3868" w:rsidRDefault="003F1AB5">
            <w:pPr>
              <w:pStyle w:val="afff7"/>
            </w:pPr>
            <w:r>
              <w:t>5.00</w:t>
            </w:r>
          </w:p>
        </w:tc>
        <w:tc>
          <w:tcPr>
            <w:tcW w:w="1013" w:type="pct"/>
            <w:vAlign w:val="center"/>
          </w:tcPr>
          <w:p w:rsidR="004A3868" w:rsidRDefault="003F1AB5">
            <w:pPr>
              <w:pStyle w:val="afff7"/>
            </w:pPr>
            <w:r>
              <w:t>4.95-9.50</w:t>
            </w:r>
          </w:p>
        </w:tc>
      </w:tr>
      <w:tr w:rsidR="004A3868">
        <w:trPr>
          <w:trHeight w:val="397"/>
          <w:jc w:val="center"/>
        </w:trPr>
        <w:tc>
          <w:tcPr>
            <w:tcW w:w="949" w:type="pct"/>
            <w:vAlign w:val="center"/>
          </w:tcPr>
          <w:p w:rsidR="004A3868" w:rsidRDefault="003F1AB5">
            <w:pPr>
              <w:pStyle w:val="afffb"/>
            </w:pPr>
            <w:r>
              <w:t>机器设备</w:t>
            </w:r>
          </w:p>
        </w:tc>
        <w:tc>
          <w:tcPr>
            <w:tcW w:w="1012" w:type="pct"/>
            <w:vAlign w:val="center"/>
          </w:tcPr>
          <w:p w:rsidR="004A3868" w:rsidRDefault="003F1AB5">
            <w:pPr>
              <w:pStyle w:val="afffb"/>
            </w:pPr>
            <w:r>
              <w:t>年限平均法</w:t>
            </w:r>
          </w:p>
        </w:tc>
        <w:tc>
          <w:tcPr>
            <w:tcW w:w="1013" w:type="pct"/>
            <w:vAlign w:val="center"/>
          </w:tcPr>
          <w:p w:rsidR="004A3868" w:rsidRDefault="003F1AB5">
            <w:pPr>
              <w:pStyle w:val="afff7"/>
            </w:pPr>
            <w:r>
              <w:t>5-10</w:t>
            </w:r>
          </w:p>
        </w:tc>
        <w:tc>
          <w:tcPr>
            <w:tcW w:w="1013" w:type="pct"/>
            <w:vAlign w:val="center"/>
          </w:tcPr>
          <w:p w:rsidR="004A3868" w:rsidRDefault="003F1AB5">
            <w:pPr>
              <w:pStyle w:val="afff7"/>
            </w:pPr>
            <w:r>
              <w:t>5.00</w:t>
            </w:r>
          </w:p>
        </w:tc>
        <w:tc>
          <w:tcPr>
            <w:tcW w:w="1013" w:type="pct"/>
            <w:vAlign w:val="center"/>
          </w:tcPr>
          <w:p w:rsidR="004A3868" w:rsidRDefault="003F1AB5">
            <w:pPr>
              <w:pStyle w:val="afff7"/>
            </w:pPr>
            <w:r>
              <w:t>9.50-19.00</w:t>
            </w:r>
          </w:p>
        </w:tc>
      </w:tr>
      <w:tr w:rsidR="004A3868">
        <w:trPr>
          <w:trHeight w:val="397"/>
          <w:jc w:val="center"/>
        </w:trPr>
        <w:tc>
          <w:tcPr>
            <w:tcW w:w="949" w:type="pct"/>
            <w:vAlign w:val="center"/>
          </w:tcPr>
          <w:p w:rsidR="004A3868" w:rsidRDefault="003F1AB5">
            <w:pPr>
              <w:pStyle w:val="afffb"/>
            </w:pPr>
            <w:r>
              <w:lastRenderedPageBreak/>
              <w:t>电子设备及办公设备</w:t>
            </w:r>
          </w:p>
        </w:tc>
        <w:tc>
          <w:tcPr>
            <w:tcW w:w="1012" w:type="pct"/>
            <w:vAlign w:val="center"/>
          </w:tcPr>
          <w:p w:rsidR="004A3868" w:rsidRDefault="003F1AB5">
            <w:pPr>
              <w:pStyle w:val="afffb"/>
            </w:pPr>
            <w:r>
              <w:t>年限平均法</w:t>
            </w:r>
          </w:p>
        </w:tc>
        <w:tc>
          <w:tcPr>
            <w:tcW w:w="1013" w:type="pct"/>
            <w:vAlign w:val="center"/>
          </w:tcPr>
          <w:p w:rsidR="004A3868" w:rsidRDefault="003F1AB5">
            <w:pPr>
              <w:pStyle w:val="afff7"/>
            </w:pPr>
            <w:r>
              <w:t>3-10</w:t>
            </w:r>
          </w:p>
        </w:tc>
        <w:tc>
          <w:tcPr>
            <w:tcW w:w="1013" w:type="pct"/>
            <w:vAlign w:val="center"/>
          </w:tcPr>
          <w:p w:rsidR="004A3868" w:rsidRDefault="003F1AB5">
            <w:pPr>
              <w:pStyle w:val="afff7"/>
            </w:pPr>
            <w:r>
              <w:t>5.00</w:t>
            </w:r>
          </w:p>
        </w:tc>
        <w:tc>
          <w:tcPr>
            <w:tcW w:w="1013" w:type="pct"/>
            <w:vAlign w:val="center"/>
          </w:tcPr>
          <w:p w:rsidR="004A3868" w:rsidRDefault="003F1AB5">
            <w:pPr>
              <w:pStyle w:val="afff7"/>
            </w:pPr>
            <w:r>
              <w:t>9.50-31.67</w:t>
            </w:r>
          </w:p>
        </w:tc>
      </w:tr>
      <w:tr w:rsidR="004A3868">
        <w:trPr>
          <w:trHeight w:val="397"/>
          <w:jc w:val="center"/>
        </w:trPr>
        <w:tc>
          <w:tcPr>
            <w:tcW w:w="949" w:type="pct"/>
            <w:vAlign w:val="center"/>
          </w:tcPr>
          <w:p w:rsidR="004A3868" w:rsidRDefault="003F1AB5">
            <w:pPr>
              <w:pStyle w:val="afffb"/>
            </w:pPr>
            <w:r>
              <w:t>运输工具</w:t>
            </w:r>
          </w:p>
        </w:tc>
        <w:tc>
          <w:tcPr>
            <w:tcW w:w="1012" w:type="pct"/>
            <w:vAlign w:val="center"/>
          </w:tcPr>
          <w:p w:rsidR="004A3868" w:rsidRDefault="003F1AB5">
            <w:pPr>
              <w:pStyle w:val="afffb"/>
            </w:pPr>
            <w:r>
              <w:t>年限平均法</w:t>
            </w:r>
          </w:p>
        </w:tc>
        <w:tc>
          <w:tcPr>
            <w:tcW w:w="1013" w:type="pct"/>
            <w:vAlign w:val="center"/>
          </w:tcPr>
          <w:p w:rsidR="004A3868" w:rsidRDefault="003F1AB5">
            <w:pPr>
              <w:pStyle w:val="afff7"/>
            </w:pPr>
            <w:r>
              <w:t>4-10</w:t>
            </w:r>
          </w:p>
        </w:tc>
        <w:tc>
          <w:tcPr>
            <w:tcW w:w="1013" w:type="pct"/>
            <w:vAlign w:val="center"/>
          </w:tcPr>
          <w:p w:rsidR="004A3868" w:rsidRDefault="003F1AB5">
            <w:pPr>
              <w:pStyle w:val="afff7"/>
            </w:pPr>
            <w:r>
              <w:t>5.00</w:t>
            </w:r>
          </w:p>
        </w:tc>
        <w:tc>
          <w:tcPr>
            <w:tcW w:w="1013" w:type="pct"/>
            <w:vAlign w:val="center"/>
          </w:tcPr>
          <w:p w:rsidR="004A3868" w:rsidRDefault="003F1AB5">
            <w:pPr>
              <w:pStyle w:val="afff7"/>
            </w:pPr>
            <w:r>
              <w:t>9.50-23.75</w:t>
            </w:r>
          </w:p>
        </w:tc>
      </w:tr>
    </w:tbl>
    <w:p w:rsidR="004A3868" w:rsidRDefault="003F1AB5">
      <w:pPr>
        <w:pStyle w:val="afff1"/>
        <w:spacing w:before="156"/>
        <w:ind w:firstLine="420"/>
        <w:rPr>
          <w:szCs w:val="21"/>
        </w:rPr>
      </w:pPr>
      <w:r>
        <w:rPr>
          <w:rFonts w:hint="eastAsia"/>
          <w:szCs w:val="21"/>
        </w:rPr>
        <w:t>固定资产折旧按其入账价值减去预计净残值后在预计使用寿命内计提。对计提了减值准备的固定资产，则在未来期间按扣除减值准备后的账面价值及依据尚可使用年限确定折旧额；已提足折旧仍继续使用的固定资产不计提折旧。</w:t>
      </w:r>
    </w:p>
    <w:p w:rsidR="004A3868" w:rsidRDefault="003F1AB5">
      <w:pPr>
        <w:pStyle w:val="afff1"/>
        <w:spacing w:before="156"/>
        <w:ind w:firstLine="420"/>
        <w:rPr>
          <w:szCs w:val="21"/>
        </w:rPr>
      </w:pPr>
      <w:r>
        <w:rPr>
          <w:rFonts w:hint="eastAsia"/>
          <w:szCs w:val="21"/>
        </w:rPr>
        <w:t>利用专项储备支出形成的固定资产，按照形成固定资产的成本冲减专项储备，并确认相同金额的累计折旧，该固定资产在以后期间不再计提折旧。</w:t>
      </w:r>
    </w:p>
    <w:p w:rsidR="004A3868" w:rsidRDefault="003F1AB5">
      <w:pPr>
        <w:pStyle w:val="afff1"/>
        <w:spacing w:before="156"/>
        <w:ind w:firstLine="420"/>
        <w:rPr>
          <w:szCs w:val="21"/>
        </w:rPr>
      </w:pPr>
      <w:r>
        <w:rPr>
          <w:rFonts w:hint="eastAsia"/>
          <w:szCs w:val="21"/>
        </w:rPr>
        <w:t>本公司根据固定资产的性质和使用情况，确定固定资产的使用寿命和预计净残值。并在年度终了，对固定资产的使用寿命、预计净残值和折旧方法进行复核，如与原先估计数存在差异的，进行相应的调整。</w:t>
      </w:r>
    </w:p>
    <w:p w:rsidR="004A3868" w:rsidRDefault="003F1AB5">
      <w:pPr>
        <w:pStyle w:val="Style12711"/>
      </w:pPr>
      <w:r>
        <w:t>在建工程</w:t>
      </w:r>
    </w:p>
    <w:sdt>
      <w:sdtPr>
        <w:rPr>
          <w:rFonts w:hint="eastAsia"/>
          <w:sz w:val="21"/>
          <w:szCs w:val="21"/>
        </w:rPr>
        <w:alias w:val="是否适用：在建工程_重要会计政策和估计[双击切换]"/>
        <w:tag w:val="_GBC_00730441e5ea4f57b3cd3ff1ecc5c1bd"/>
        <w:id w:val="102539225"/>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在建工程核算方法"/>
        <w:tag w:val="_GBC_ed79f983df814c58add61776fe84c76e"/>
        <w:id w:val="-1414387658"/>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本公司自行建造的在建工程按实际成本计价，实际成本由建造该项资产达到预定可使用状态前所发生的必要支出构成，包括工程用物资成本、人工成本、交纳的相关税费、应予资本化的借款费用以及应分摊的间接费用等。</w:t>
          </w:r>
        </w:p>
        <w:p w:rsidR="004A3868" w:rsidRDefault="003F1AB5">
          <w:pPr>
            <w:pStyle w:val="afff1"/>
            <w:spacing w:before="156"/>
            <w:ind w:firstLine="420"/>
            <w:rPr>
              <w:szCs w:val="21"/>
            </w:rPr>
          </w:pPr>
          <w:r>
            <w:rPr>
              <w:rFonts w:hint="eastAsia"/>
              <w:szCs w:val="21"/>
            </w:rPr>
            <w:t>在建工程项目按建造该项资产达到预定可使用状态前所发生的全部支出，作为固定资产的入账价值。所建造的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rsidR="004A3868" w:rsidRDefault="003F1AB5">
          <w:pPr>
            <w:pStyle w:val="afff1"/>
            <w:spacing w:before="156"/>
            <w:ind w:firstLine="420"/>
            <w:rPr>
              <w:szCs w:val="21"/>
            </w:rPr>
          </w:pPr>
          <w:r>
            <w:rPr>
              <w:rFonts w:hint="eastAsia"/>
              <w:szCs w:val="21"/>
            </w:rPr>
            <w:t>在建工程的减值测试方法和减值准备计提方法详见本报告第十节.</w:t>
          </w:r>
          <w:r>
            <w:rPr>
              <w:szCs w:val="21"/>
            </w:rPr>
            <w:t>(</w:t>
          </w:r>
          <w:r>
            <w:rPr>
              <w:rFonts w:hint="eastAsia"/>
              <w:szCs w:val="21"/>
            </w:rPr>
            <w:t>五).</w:t>
          </w:r>
          <w:r>
            <w:rPr>
              <w:szCs w:val="21"/>
            </w:rPr>
            <w:t>27</w:t>
          </w:r>
          <w:r>
            <w:rPr>
              <w:rFonts w:hint="eastAsia"/>
              <w:szCs w:val="21"/>
            </w:rPr>
            <w:t>长期资产减值。</w:t>
          </w:r>
        </w:p>
      </w:sdtContent>
    </w:sdt>
    <w:p w:rsidR="004A3868" w:rsidRDefault="003F1AB5">
      <w:pPr>
        <w:pStyle w:val="Style12711"/>
      </w:pPr>
      <w:r>
        <w:t>借款费用</w:t>
      </w:r>
    </w:p>
    <w:sdt>
      <w:sdtPr>
        <w:rPr>
          <w:rFonts w:hint="eastAsia"/>
          <w:sz w:val="21"/>
          <w:szCs w:val="21"/>
        </w:rPr>
        <w:alias w:val="是否适用：借款费用_重要会计政策和估计[双击切换]"/>
        <w:tag w:val="_GBC_84ea3b60fd54474487b81f25f176d989"/>
        <w:id w:val="24753533"/>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借款费用的会计处理方法"/>
        <w:tag w:val="_GBC_2101c32d32c64f39a8b8fcd2b72dbb0a"/>
        <w:id w:val="-281428139"/>
        <w:placeholder>
          <w:docPart w:val="GBC22222222222222222222222222222"/>
        </w:placeholder>
      </w:sdtPr>
      <w:sdtEndPr/>
      <w:sdtContent>
        <w:p w:rsidR="004A3868" w:rsidRDefault="003F1AB5">
          <w:pPr>
            <w:pStyle w:val="afff1"/>
            <w:spacing w:before="156"/>
            <w:ind w:firstLine="420"/>
            <w:rPr>
              <w:szCs w:val="21"/>
            </w:rPr>
          </w:pPr>
          <w:r>
            <w:rPr>
              <w:szCs w:val="21"/>
            </w:rPr>
            <w:t>(1</w:t>
          </w:r>
          <w:r>
            <w:rPr>
              <w:rFonts w:hint="eastAsia"/>
              <w:szCs w:val="21"/>
            </w:rPr>
            <w:t>)</w:t>
          </w:r>
          <w:r>
            <w:rPr>
              <w:szCs w:val="21"/>
            </w:rPr>
            <w:t>借款费用资本化的确认原则</w:t>
          </w:r>
        </w:p>
        <w:p w:rsidR="004A3868" w:rsidRDefault="003F1AB5">
          <w:pPr>
            <w:pStyle w:val="afff1"/>
            <w:spacing w:before="156"/>
            <w:ind w:firstLine="420"/>
            <w:rPr>
              <w:szCs w:val="21"/>
            </w:rPr>
          </w:pPr>
          <w:r>
            <w:rPr>
              <w:rFonts w:hint="eastAsia"/>
              <w:szCs w:val="21"/>
            </w:rPr>
            <w:t>本公司发生的借款费用，可直接归属于符合资本化条件的资产的购建或者生产的，予以资本化，计入相关资产成本；其他借款费用，在发生时根据其发生额确认为费用，计入当期损益。</w:t>
          </w:r>
        </w:p>
        <w:p w:rsidR="004A3868" w:rsidRDefault="003F1AB5">
          <w:pPr>
            <w:pStyle w:val="afff1"/>
            <w:spacing w:before="156"/>
            <w:ind w:firstLine="420"/>
            <w:rPr>
              <w:szCs w:val="21"/>
            </w:rPr>
          </w:pPr>
          <w:r>
            <w:rPr>
              <w:rFonts w:hint="eastAsia"/>
              <w:szCs w:val="21"/>
            </w:rPr>
            <w:lastRenderedPageBreak/>
            <w:t>符合资本化条件的资产，是指需要经过相当长时间的购建或者生产活动才能达到预定可使用或者可销售状态的固定资产、投资性房地产和存货等资产。</w:t>
          </w:r>
        </w:p>
        <w:p w:rsidR="004A3868" w:rsidRDefault="003F1AB5">
          <w:pPr>
            <w:pStyle w:val="afff1"/>
            <w:spacing w:before="156"/>
            <w:ind w:firstLine="420"/>
            <w:rPr>
              <w:szCs w:val="21"/>
            </w:rPr>
          </w:pPr>
          <w:r>
            <w:rPr>
              <w:rFonts w:hint="eastAsia"/>
              <w:szCs w:val="21"/>
            </w:rPr>
            <w:t>借款费用同时满足下列条件时开始资本化：</w:t>
          </w:r>
        </w:p>
        <w:p w:rsidR="004A3868" w:rsidRDefault="003F1AB5">
          <w:pPr>
            <w:pStyle w:val="afff1"/>
            <w:spacing w:before="156"/>
            <w:ind w:firstLine="420"/>
            <w:rPr>
              <w:szCs w:val="21"/>
            </w:rPr>
          </w:pPr>
          <w:r>
            <w:rPr>
              <w:szCs w:val="21"/>
            </w:rPr>
            <w:t>1）资产支出已经发生，资产支出包括为购建或者生产符合资本化条件的资产而以支付现金、转移非现金资产或者承担带息债务形式发生的支出；</w:t>
          </w:r>
        </w:p>
        <w:p w:rsidR="004A3868" w:rsidRDefault="003F1AB5">
          <w:pPr>
            <w:pStyle w:val="afff1"/>
            <w:spacing w:before="156"/>
            <w:ind w:firstLine="420"/>
            <w:rPr>
              <w:szCs w:val="21"/>
            </w:rPr>
          </w:pPr>
          <w:r>
            <w:rPr>
              <w:szCs w:val="21"/>
            </w:rPr>
            <w:t>2）借款费用已经发生；</w:t>
          </w:r>
        </w:p>
        <w:p w:rsidR="004A3868" w:rsidRDefault="003F1AB5">
          <w:pPr>
            <w:pStyle w:val="afff1"/>
            <w:spacing w:before="156"/>
            <w:ind w:firstLine="420"/>
            <w:rPr>
              <w:szCs w:val="21"/>
            </w:rPr>
          </w:pPr>
          <w:r>
            <w:rPr>
              <w:szCs w:val="21"/>
            </w:rPr>
            <w:t>3）为使资产达到预定可使用或者可销售状态所必要的购建或者生产活动已经开始。</w:t>
          </w:r>
        </w:p>
        <w:p w:rsidR="004A3868" w:rsidRDefault="003F1AB5">
          <w:pPr>
            <w:pStyle w:val="afff1"/>
            <w:spacing w:before="156"/>
            <w:ind w:firstLine="420"/>
            <w:rPr>
              <w:szCs w:val="21"/>
            </w:rPr>
          </w:pPr>
          <w:r>
            <w:rPr>
              <w:szCs w:val="21"/>
            </w:rPr>
            <w:t>(2</w:t>
          </w:r>
          <w:r>
            <w:rPr>
              <w:rFonts w:hint="eastAsia"/>
              <w:szCs w:val="21"/>
            </w:rPr>
            <w:t>)</w:t>
          </w:r>
          <w:r>
            <w:rPr>
              <w:szCs w:val="21"/>
            </w:rPr>
            <w:t>借款费用资本化期间</w:t>
          </w:r>
        </w:p>
        <w:p w:rsidR="004A3868" w:rsidRDefault="003F1AB5">
          <w:pPr>
            <w:pStyle w:val="afff1"/>
            <w:spacing w:before="156"/>
            <w:ind w:firstLine="420"/>
            <w:rPr>
              <w:szCs w:val="21"/>
            </w:rPr>
          </w:pPr>
          <w:r>
            <w:rPr>
              <w:rFonts w:hint="eastAsia"/>
              <w:szCs w:val="21"/>
            </w:rPr>
            <w:t>资本化期间，指从借款费用开始资本化时点到停止资本化时点的期间，借款费用暂停资本化的期间不包括在内。</w:t>
          </w:r>
        </w:p>
        <w:p w:rsidR="004A3868" w:rsidRDefault="003F1AB5">
          <w:pPr>
            <w:pStyle w:val="afff1"/>
            <w:spacing w:before="156"/>
            <w:ind w:firstLine="420"/>
            <w:rPr>
              <w:szCs w:val="21"/>
            </w:rPr>
          </w:pPr>
          <w:r>
            <w:rPr>
              <w:rFonts w:hint="eastAsia"/>
              <w:szCs w:val="21"/>
            </w:rPr>
            <w:t>当购建或者生产符合资本化条件的资产达到预定可使用或者可销售状态时，借款费用停止资本化。</w:t>
          </w:r>
        </w:p>
        <w:p w:rsidR="004A3868" w:rsidRDefault="003F1AB5">
          <w:pPr>
            <w:pStyle w:val="afff1"/>
            <w:spacing w:before="156"/>
            <w:ind w:firstLine="420"/>
            <w:rPr>
              <w:szCs w:val="21"/>
            </w:rPr>
          </w:pPr>
          <w:r>
            <w:rPr>
              <w:rFonts w:hint="eastAsia"/>
              <w:szCs w:val="21"/>
            </w:rPr>
            <w:t>当购建或者生产符合资本化条件的资产中部分项目分别完工且可单独使用时，该部分资产借款费用停止资本化。</w:t>
          </w:r>
        </w:p>
        <w:p w:rsidR="004A3868" w:rsidRDefault="003F1AB5">
          <w:pPr>
            <w:pStyle w:val="afff1"/>
            <w:spacing w:before="156"/>
            <w:ind w:firstLine="420"/>
            <w:rPr>
              <w:szCs w:val="21"/>
            </w:rPr>
          </w:pPr>
          <w:r>
            <w:rPr>
              <w:rFonts w:hint="eastAsia"/>
              <w:szCs w:val="21"/>
            </w:rPr>
            <w:t>购建或者生产的资产的各部分分别完工，但必须等到整体完工后才可使用或可对外销售的，在该资产整体完工时停止借款费用资本化。</w:t>
          </w:r>
        </w:p>
        <w:p w:rsidR="004A3868" w:rsidRDefault="003F1AB5">
          <w:pPr>
            <w:pStyle w:val="afff1"/>
            <w:spacing w:before="156"/>
            <w:ind w:firstLine="420"/>
            <w:rPr>
              <w:szCs w:val="21"/>
            </w:rPr>
          </w:pPr>
          <w:r>
            <w:rPr>
              <w:szCs w:val="21"/>
            </w:rPr>
            <w:t>(3</w:t>
          </w:r>
          <w:r>
            <w:rPr>
              <w:rFonts w:hint="eastAsia"/>
              <w:szCs w:val="21"/>
            </w:rPr>
            <w:t>)</w:t>
          </w:r>
          <w:r>
            <w:rPr>
              <w:szCs w:val="21"/>
            </w:rPr>
            <w:t>暂停资本化期间</w:t>
          </w:r>
        </w:p>
        <w:p w:rsidR="004A3868" w:rsidRDefault="003F1AB5">
          <w:pPr>
            <w:pStyle w:val="afff1"/>
            <w:spacing w:before="156"/>
            <w:ind w:firstLine="420"/>
            <w:rPr>
              <w:szCs w:val="21"/>
            </w:rPr>
          </w:pPr>
          <w:r>
            <w:rPr>
              <w:rFonts w:hint="eastAsia"/>
              <w:szCs w:val="21"/>
            </w:rPr>
            <w:t>符合资本化条件的资产在购建或生产过程中发生的非正常中断、且中断时间连续超过</w:t>
          </w:r>
          <w:r>
            <w:rPr>
              <w:szCs w:val="21"/>
            </w:rPr>
            <w:t>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4A3868" w:rsidRDefault="003F1AB5">
          <w:pPr>
            <w:pStyle w:val="afff1"/>
            <w:spacing w:before="156"/>
            <w:ind w:firstLine="420"/>
            <w:rPr>
              <w:szCs w:val="21"/>
            </w:rPr>
          </w:pPr>
          <w:r>
            <w:rPr>
              <w:szCs w:val="21"/>
            </w:rPr>
            <w:t>(4</w:t>
          </w:r>
          <w:r>
            <w:rPr>
              <w:rFonts w:hint="eastAsia"/>
              <w:szCs w:val="21"/>
            </w:rPr>
            <w:t>)</w:t>
          </w:r>
          <w:r>
            <w:rPr>
              <w:szCs w:val="21"/>
            </w:rPr>
            <w:t>借款费用资本化金额的计算方法</w:t>
          </w:r>
        </w:p>
        <w:p w:rsidR="004A3868" w:rsidRDefault="003F1AB5">
          <w:pPr>
            <w:pStyle w:val="afff1"/>
            <w:spacing w:before="156"/>
            <w:ind w:firstLine="420"/>
            <w:rPr>
              <w:szCs w:val="21"/>
            </w:rPr>
          </w:pPr>
          <w:r>
            <w:rPr>
              <w:rFonts w:hint="eastAsia"/>
              <w:szCs w:val="21"/>
            </w:rPr>
            <w:t>专门借款的利息费用（扣除尚未动用的借款资金存入银行取得的利息收入或者进行暂时性投资取得的投资收益）及其辅助费用在所购建或者生产的符合资本化条件的资产达到预定可使用或者可销售状态前，予以资本化。</w:t>
          </w:r>
        </w:p>
        <w:p w:rsidR="004A3868" w:rsidRDefault="003F1AB5">
          <w:pPr>
            <w:pStyle w:val="afff1"/>
            <w:spacing w:before="156"/>
            <w:ind w:firstLine="420"/>
            <w:rPr>
              <w:szCs w:val="21"/>
            </w:rPr>
          </w:pPr>
          <w:r>
            <w:rPr>
              <w:rFonts w:hint="eastAsia"/>
              <w:szCs w:val="21"/>
            </w:rPr>
            <w:lastRenderedPageBreak/>
            <w:t>根据累计资产支出超过专门借款部分的资产支出加权平均数乘以所占用一般借款的资本化率，计算确定一般借款应予资本化的利息金额。资本化率根据一般借款加权平均利率计算确定。</w:t>
          </w:r>
        </w:p>
        <w:p w:rsidR="004A3868" w:rsidRDefault="003F1AB5">
          <w:pPr>
            <w:pStyle w:val="afff1"/>
            <w:spacing w:before="156"/>
            <w:ind w:firstLine="420"/>
            <w:rPr>
              <w:szCs w:val="21"/>
            </w:rPr>
          </w:pPr>
          <w:r>
            <w:rPr>
              <w:rFonts w:hint="eastAsia"/>
              <w:szCs w:val="21"/>
            </w:rPr>
            <w:t>借款存在折价或者溢价的，按照实际利率法确定每一会计期间应摊销的折价或者溢价金额，调整每期利息金额。</w:t>
          </w:r>
        </w:p>
      </w:sdtContent>
    </w:sdt>
    <w:p w:rsidR="004A3868" w:rsidRDefault="003F1AB5">
      <w:pPr>
        <w:pStyle w:val="Style12711"/>
      </w:pPr>
      <w:r>
        <w:t>生物资产</w:t>
      </w:r>
    </w:p>
    <w:sdt>
      <w:sdtPr>
        <w:rPr>
          <w:rFonts w:hint="eastAsia"/>
          <w:sz w:val="21"/>
          <w:szCs w:val="21"/>
        </w:rPr>
        <w:alias w:val="是否适用：生物资产_重要会计政策和估计[双击切换]"/>
        <w:tag w:val="_GBC_f511e8d0a6dc417eb1d10eeecb5b05a5"/>
        <w:id w:val="-1766222707"/>
        <w:lock w:val="sdtLocked"/>
        <w:placeholder>
          <w:docPart w:val="GBC22222222222222222222222222222"/>
        </w:placeholder>
      </w:sdtPr>
      <w:sdtEndPr/>
      <w:sdtContent>
        <w:p w:rsidR="004A3868" w:rsidRDefault="003F1AB5">
          <w:pPr>
            <w:rPr>
              <w:rFonts w:cs="Times New Roman"/>
              <w:kern w:val="2"/>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t>油气资产</w:t>
      </w:r>
    </w:p>
    <w:sdt>
      <w:sdtPr>
        <w:rPr>
          <w:rFonts w:hint="eastAsia"/>
          <w:sz w:val="21"/>
          <w:szCs w:val="21"/>
        </w:rPr>
        <w:alias w:val="是否适用：油气资产_重要会计政策和估计[双击切换]"/>
        <w:tag w:val="_GBC_fb60dd1d8d2346fb9b2e461875c070c9"/>
        <w:id w:val="982127089"/>
        <w:lock w:val="sdtLocked"/>
        <w:placeholder>
          <w:docPart w:val="GBC22222222222222222222222222222"/>
        </w:placeholder>
      </w:sdtPr>
      <w:sdtEndPr/>
      <w:sdtContent>
        <w:p w:rsidR="004A3868" w:rsidRDefault="003F1AB5">
          <w:pPr>
            <w:rPr>
              <w:rFonts w:cs="Times New Roman"/>
              <w:kern w:val="2"/>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t>无形资产</w:t>
      </w:r>
    </w:p>
    <w:p w:rsidR="004A3868" w:rsidRDefault="003F1AB5">
      <w:pPr>
        <w:pStyle w:val="Style128"/>
        <w:numPr>
          <w:ilvl w:val="3"/>
          <w:numId w:val="61"/>
        </w:numPr>
        <w:rPr>
          <w:rStyle w:val="Style143"/>
        </w:rPr>
      </w:pPr>
      <w:r>
        <w:rPr>
          <w:rFonts w:hint="eastAsia"/>
        </w:rPr>
        <w:t>使用寿命及其确定依据、估计情况、摊销方法</w:t>
      </w:r>
      <w:r>
        <w:rPr>
          <w:rStyle w:val="Style143"/>
          <w:rFonts w:hint="eastAsia"/>
        </w:rPr>
        <w:t>或复核程序</w:t>
      </w:r>
    </w:p>
    <w:sdt>
      <w:sdtPr>
        <w:alias w:val="是否适用：无形资产计价方法、使用寿命、减值测试[双击切换]"/>
        <w:tag w:val="_GBC_40df8c87b47d48bbbf73a71cc533a892"/>
        <w:id w:val="-1460419999"/>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 w:val="24"/>
          <w:szCs w:val="21"/>
        </w:rPr>
        <w:alias w:val="无形资产计价方法、使用寿命、减值测试"/>
        <w:tag w:val="_GBC_a9e64b18f452482eb6674ec605618dcc"/>
        <w:id w:val="2048414752"/>
        <w:lock w:val="sdtLocked"/>
        <w:placeholder>
          <w:docPart w:val="GBC22222222222222222222222222222"/>
        </w:placeholder>
      </w:sdtPr>
      <w:sdtEndPr/>
      <w:sdtContent>
        <w:p w:rsidR="004A3868" w:rsidRDefault="003F1AB5">
          <w:pPr>
            <w:pStyle w:val="afff1"/>
            <w:spacing w:before="156"/>
            <w:rPr>
              <w:szCs w:val="21"/>
            </w:rPr>
          </w:pPr>
          <w:r>
            <w:rPr>
              <w:rFonts w:hint="eastAsia"/>
              <w:szCs w:val="21"/>
            </w:rPr>
            <w:t>无形资产是指本公司拥有或者控制的没有实物形态的可辨认非货币性资产，包括土地使用权、专利权及非专利技术等。</w:t>
          </w:r>
        </w:p>
        <w:p w:rsidR="004A3868" w:rsidRDefault="003F1AB5">
          <w:pPr>
            <w:pStyle w:val="afff1"/>
            <w:spacing w:before="156"/>
            <w:ind w:firstLine="420"/>
            <w:rPr>
              <w:szCs w:val="21"/>
            </w:rPr>
          </w:pPr>
          <w:r>
            <w:rPr>
              <w:szCs w:val="21"/>
            </w:rPr>
            <w:t>1</w:t>
          </w:r>
          <w:r>
            <w:rPr>
              <w:rFonts w:hint="eastAsia"/>
              <w:szCs w:val="21"/>
            </w:rPr>
            <w:t>）</w:t>
          </w:r>
          <w:r>
            <w:rPr>
              <w:szCs w:val="21"/>
            </w:rPr>
            <w:t>无形资产的初始计量</w:t>
          </w:r>
        </w:p>
        <w:p w:rsidR="004A3868" w:rsidRDefault="003F1AB5">
          <w:pPr>
            <w:pStyle w:val="afff1"/>
            <w:spacing w:before="156"/>
            <w:ind w:firstLine="420"/>
            <w:rPr>
              <w:szCs w:val="21"/>
            </w:rPr>
          </w:pPr>
          <w:r>
            <w:rPr>
              <w:rFonts w:hint="eastAsia"/>
              <w:szCs w:val="21"/>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rsidR="004A3868" w:rsidRDefault="003F1AB5">
          <w:pPr>
            <w:pStyle w:val="afff1"/>
            <w:spacing w:before="156"/>
            <w:ind w:firstLine="420"/>
            <w:rPr>
              <w:szCs w:val="21"/>
            </w:rPr>
          </w:pPr>
          <w:r>
            <w:rPr>
              <w:rFonts w:hint="eastAsia"/>
              <w:szCs w:val="21"/>
            </w:rPr>
            <w:t>债务重组取得债务人用以抵债的无形资产，以该无形资产的公允价值为基础确定其入账价值，并将重组债务的账面价值与该用以抵债的无形资产公允价值之间的差额，计入当期损益。</w:t>
          </w:r>
        </w:p>
        <w:p w:rsidR="004A3868" w:rsidRDefault="003F1AB5">
          <w:pPr>
            <w:pStyle w:val="afff1"/>
            <w:spacing w:before="156"/>
            <w:ind w:firstLine="420"/>
            <w:rPr>
              <w:szCs w:val="21"/>
            </w:rPr>
          </w:pPr>
          <w:r>
            <w:rPr>
              <w:rFonts w:hint="eastAsia"/>
              <w:szCs w:val="21"/>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rsidR="004A3868" w:rsidRDefault="003F1AB5">
          <w:pPr>
            <w:pStyle w:val="afff1"/>
            <w:spacing w:before="156"/>
            <w:ind w:firstLine="420"/>
            <w:rPr>
              <w:szCs w:val="21"/>
            </w:rPr>
          </w:pPr>
          <w:r>
            <w:rPr>
              <w:rFonts w:hint="eastAsia"/>
              <w:szCs w:val="21"/>
            </w:rPr>
            <w:t>以同一控制下的企业吸收合并方式取得的无形资产按被合并方的账面价值确定其入账价值；以非同一控制下的企业吸收合并方式取得的无形资产按公允价值确定其入账价值。</w:t>
          </w:r>
        </w:p>
        <w:p w:rsidR="004A3868" w:rsidRDefault="003F1AB5">
          <w:pPr>
            <w:pStyle w:val="afff1"/>
            <w:spacing w:before="156"/>
            <w:ind w:firstLine="420"/>
            <w:rPr>
              <w:szCs w:val="21"/>
            </w:rPr>
          </w:pPr>
          <w:r>
            <w:rPr>
              <w:rFonts w:hint="eastAsia"/>
              <w:szCs w:val="21"/>
            </w:rPr>
            <w:t>内部自行开发的无形资产，其成本包括：开发该无形资产时耗用的材料、劳务成本、注册费、在开发过程中使用的其他专利权和特许权的摊销以及满足资本化条件的利息费用，以及为使该无形资产达到预定用途前所发生的其他直接费用。</w:t>
          </w:r>
        </w:p>
        <w:p w:rsidR="004A3868" w:rsidRDefault="003F1AB5">
          <w:pPr>
            <w:pStyle w:val="afff1"/>
            <w:spacing w:before="156"/>
            <w:ind w:firstLine="420"/>
            <w:rPr>
              <w:szCs w:val="21"/>
            </w:rPr>
          </w:pPr>
          <w:r>
            <w:rPr>
              <w:szCs w:val="21"/>
            </w:rPr>
            <w:lastRenderedPageBreak/>
            <w:t>2</w:t>
          </w:r>
          <w:r>
            <w:rPr>
              <w:rFonts w:hint="eastAsia"/>
              <w:szCs w:val="21"/>
            </w:rPr>
            <w:t>）</w:t>
          </w:r>
          <w:r>
            <w:rPr>
              <w:szCs w:val="21"/>
            </w:rPr>
            <w:t>无形资产的后续计量</w:t>
          </w:r>
        </w:p>
        <w:p w:rsidR="004A3868" w:rsidRDefault="003F1AB5">
          <w:pPr>
            <w:pStyle w:val="afff1"/>
            <w:spacing w:before="156"/>
            <w:ind w:firstLine="420"/>
            <w:rPr>
              <w:szCs w:val="21"/>
            </w:rPr>
          </w:pPr>
          <w:r>
            <w:rPr>
              <w:rFonts w:hint="eastAsia"/>
              <w:szCs w:val="21"/>
            </w:rPr>
            <w:t>本公司在取得无形资产时分析判断其使用寿命，划分为使用寿命有限和使用寿命不确定的无形资产。</w:t>
          </w:r>
        </w:p>
        <w:p w:rsidR="004A3868" w:rsidRDefault="003F1AB5">
          <w:pPr>
            <w:pStyle w:val="afff1"/>
            <w:spacing w:before="156"/>
            <w:ind w:firstLine="420"/>
            <w:rPr>
              <w:szCs w:val="21"/>
            </w:rPr>
          </w:pPr>
          <w:r>
            <w:rPr>
              <w:rFonts w:hint="eastAsia"/>
              <w:szCs w:val="21"/>
            </w:rPr>
            <w:t>①</w:t>
          </w:r>
          <w:r>
            <w:rPr>
              <w:szCs w:val="21"/>
            </w:rPr>
            <w:t>使用寿命有限的无形资产</w:t>
          </w:r>
        </w:p>
        <w:p w:rsidR="004A3868" w:rsidRDefault="003F1AB5">
          <w:pPr>
            <w:pStyle w:val="afff1"/>
            <w:spacing w:before="156"/>
            <w:ind w:firstLine="420"/>
            <w:rPr>
              <w:szCs w:val="21"/>
            </w:rPr>
          </w:pPr>
          <w:r>
            <w:rPr>
              <w:rFonts w:hint="eastAsia"/>
              <w:szCs w:val="21"/>
            </w:rPr>
            <w:t>对于使用寿命有限的无形资产，在为企业带来经济利益的期限内按直线法摊销。使用寿命有限的无形资产预计寿命及依据如下：</w:t>
          </w:r>
        </w:p>
        <w:tbl>
          <w:tblPr>
            <w:tblStyle w:val="g12"/>
            <w:tblW w:w="5000" w:type="pct"/>
            <w:jc w:val="center"/>
            <w:tblInd w:w="0" w:type="dxa"/>
            <w:tblLayout w:type="fixed"/>
            <w:tblCellMar>
              <w:right w:w="28" w:type="dxa"/>
            </w:tblCellMar>
            <w:tblLook w:val="04A0" w:firstRow="1" w:lastRow="0" w:firstColumn="1" w:lastColumn="0" w:noHBand="0" w:noVBand="1"/>
          </w:tblPr>
          <w:tblGrid>
            <w:gridCol w:w="1587"/>
            <w:gridCol w:w="1592"/>
            <w:gridCol w:w="5644"/>
          </w:tblGrid>
          <w:tr w:rsidR="004A3868">
            <w:trPr>
              <w:trHeight w:val="397"/>
              <w:jc w:val="center"/>
            </w:trPr>
            <w:tc>
              <w:tcPr>
                <w:tcW w:w="1555" w:type="dxa"/>
                <w:vAlign w:val="center"/>
              </w:tcPr>
              <w:p w:rsidR="004A3868" w:rsidRDefault="003F1AB5">
                <w:pPr>
                  <w:pStyle w:val="afffb"/>
                </w:pPr>
                <w:r>
                  <w:t>项目</w:t>
                </w:r>
              </w:p>
            </w:tc>
            <w:tc>
              <w:tcPr>
                <w:tcW w:w="1559" w:type="dxa"/>
                <w:vAlign w:val="center"/>
              </w:tcPr>
              <w:p w:rsidR="004A3868" w:rsidRDefault="003F1AB5">
                <w:pPr>
                  <w:pStyle w:val="afffb"/>
                </w:pPr>
                <w:r>
                  <w:t>预计使用寿命</w:t>
                </w:r>
              </w:p>
            </w:tc>
            <w:tc>
              <w:tcPr>
                <w:tcW w:w="5528" w:type="dxa"/>
                <w:vAlign w:val="center"/>
              </w:tcPr>
              <w:p w:rsidR="004A3868" w:rsidRDefault="003F1AB5">
                <w:pPr>
                  <w:pStyle w:val="afffb"/>
                </w:pPr>
                <w:r>
                  <w:t>依据</w:t>
                </w:r>
              </w:p>
            </w:tc>
          </w:tr>
          <w:tr w:rsidR="004A3868">
            <w:trPr>
              <w:trHeight w:val="397"/>
              <w:jc w:val="center"/>
            </w:trPr>
            <w:tc>
              <w:tcPr>
                <w:tcW w:w="1555" w:type="dxa"/>
                <w:vAlign w:val="center"/>
              </w:tcPr>
              <w:p w:rsidR="004A3868" w:rsidRDefault="003F1AB5">
                <w:pPr>
                  <w:pStyle w:val="afffb"/>
                </w:pPr>
                <w:r>
                  <w:t>软件</w:t>
                </w:r>
              </w:p>
            </w:tc>
            <w:tc>
              <w:tcPr>
                <w:tcW w:w="1559" w:type="dxa"/>
                <w:vAlign w:val="center"/>
              </w:tcPr>
              <w:p w:rsidR="004A3868" w:rsidRDefault="003F1AB5">
                <w:pPr>
                  <w:pStyle w:val="afffb"/>
                </w:pPr>
                <w:r>
                  <w:t>3-10</w:t>
                </w:r>
              </w:p>
            </w:tc>
            <w:tc>
              <w:tcPr>
                <w:tcW w:w="5528" w:type="dxa"/>
                <w:vAlign w:val="center"/>
              </w:tcPr>
              <w:p w:rsidR="004A3868" w:rsidRDefault="003F1AB5">
                <w:pPr>
                  <w:pStyle w:val="afffb"/>
                </w:pPr>
                <w:r>
                  <w:t>预计为企业带来经济利益的期限</w:t>
                </w:r>
              </w:p>
            </w:tc>
          </w:tr>
          <w:tr w:rsidR="004A3868">
            <w:trPr>
              <w:trHeight w:val="397"/>
              <w:jc w:val="center"/>
            </w:trPr>
            <w:tc>
              <w:tcPr>
                <w:tcW w:w="1555" w:type="dxa"/>
                <w:vAlign w:val="center"/>
              </w:tcPr>
              <w:p w:rsidR="004A3868" w:rsidRDefault="003F1AB5">
                <w:pPr>
                  <w:pStyle w:val="afffb"/>
                </w:pPr>
                <w:r>
                  <w:t>土地使用权</w:t>
                </w:r>
              </w:p>
            </w:tc>
            <w:tc>
              <w:tcPr>
                <w:tcW w:w="1559" w:type="dxa"/>
                <w:vAlign w:val="center"/>
              </w:tcPr>
              <w:p w:rsidR="004A3868" w:rsidRDefault="003F1AB5">
                <w:pPr>
                  <w:pStyle w:val="afffb"/>
                </w:pPr>
                <w:r>
                  <w:t>50</w:t>
                </w:r>
              </w:p>
            </w:tc>
            <w:tc>
              <w:tcPr>
                <w:tcW w:w="5528" w:type="dxa"/>
                <w:vAlign w:val="center"/>
              </w:tcPr>
              <w:p w:rsidR="004A3868" w:rsidRDefault="003F1AB5">
                <w:pPr>
                  <w:pStyle w:val="afffb"/>
                </w:pPr>
                <w:r>
                  <w:t>按照合同规定的使用年限</w:t>
                </w:r>
              </w:p>
            </w:tc>
          </w:tr>
          <w:tr w:rsidR="004A3868">
            <w:trPr>
              <w:trHeight w:val="397"/>
              <w:jc w:val="center"/>
            </w:trPr>
            <w:tc>
              <w:tcPr>
                <w:tcW w:w="1555" w:type="dxa"/>
                <w:vAlign w:val="center"/>
              </w:tcPr>
              <w:p w:rsidR="004A3868" w:rsidRDefault="003F1AB5">
                <w:pPr>
                  <w:pStyle w:val="afffb"/>
                </w:pPr>
                <w:r>
                  <w:t>其他</w:t>
                </w:r>
              </w:p>
            </w:tc>
            <w:tc>
              <w:tcPr>
                <w:tcW w:w="1559" w:type="dxa"/>
                <w:vAlign w:val="center"/>
              </w:tcPr>
              <w:p w:rsidR="004A3868" w:rsidRDefault="003F1AB5">
                <w:pPr>
                  <w:pStyle w:val="afffb"/>
                </w:pPr>
                <w:r>
                  <w:t>3-10</w:t>
                </w:r>
              </w:p>
            </w:tc>
            <w:tc>
              <w:tcPr>
                <w:tcW w:w="5528" w:type="dxa"/>
                <w:vAlign w:val="center"/>
              </w:tcPr>
              <w:p w:rsidR="004A3868" w:rsidRDefault="003F1AB5">
                <w:pPr>
                  <w:pStyle w:val="afffb"/>
                </w:pPr>
                <w:r>
                  <w:t>预计为企业带来经济利益的期限</w:t>
                </w:r>
              </w:p>
            </w:tc>
          </w:tr>
        </w:tbl>
        <w:p w:rsidR="004A3868" w:rsidRDefault="003F1AB5">
          <w:pPr>
            <w:pStyle w:val="afff1"/>
            <w:spacing w:before="156"/>
            <w:ind w:firstLine="420"/>
            <w:rPr>
              <w:szCs w:val="21"/>
            </w:rPr>
          </w:pPr>
          <w:r>
            <w:rPr>
              <w:rFonts w:hint="eastAsia"/>
              <w:szCs w:val="21"/>
            </w:rPr>
            <w:t>期末，对使用寿命有限的无形资产的使用寿命和摊销方法进行复核，必要时进行调整。</w:t>
          </w:r>
        </w:p>
        <w:p w:rsidR="004A3868" w:rsidRDefault="003F1AB5">
          <w:pPr>
            <w:pStyle w:val="afff1"/>
            <w:spacing w:before="156"/>
            <w:ind w:firstLine="420"/>
            <w:rPr>
              <w:szCs w:val="21"/>
            </w:rPr>
          </w:pPr>
          <w:r>
            <w:rPr>
              <w:rFonts w:hint="eastAsia"/>
              <w:szCs w:val="21"/>
            </w:rPr>
            <w:t>②</w:t>
          </w:r>
          <w:r>
            <w:rPr>
              <w:szCs w:val="21"/>
            </w:rPr>
            <w:t>使用寿命不确定的无形资产</w:t>
          </w:r>
        </w:p>
        <w:p w:rsidR="004A3868" w:rsidRDefault="003F1AB5">
          <w:pPr>
            <w:pStyle w:val="afff1"/>
            <w:spacing w:before="156"/>
            <w:ind w:firstLine="420"/>
            <w:rPr>
              <w:szCs w:val="21"/>
            </w:rPr>
          </w:pPr>
          <w:r>
            <w:rPr>
              <w:rFonts w:hint="eastAsia"/>
              <w:szCs w:val="21"/>
            </w:rPr>
            <w:t>无法预见无形资产为企业带来经济利益期限的，视为使用寿命不确定的无形资产。</w:t>
          </w:r>
        </w:p>
        <w:p w:rsidR="004A3868" w:rsidRDefault="003F1AB5">
          <w:pPr>
            <w:pStyle w:val="afff1"/>
            <w:spacing w:before="156"/>
            <w:ind w:firstLine="420"/>
            <w:rPr>
              <w:szCs w:val="21"/>
            </w:rPr>
          </w:pPr>
          <w:r>
            <w:rPr>
              <w:rFonts w:hint="eastAsia"/>
              <w:szCs w:val="21"/>
            </w:rPr>
            <w:t>期末，对使用寿命不确定的无形资产的使用寿命进行复核，如果有证据表明该无形资产为企业带来经济利益的期限是可预见的，则估计其使用寿命并按照使用寿命有限的无形资产的摊销政策进行摊销。</w:t>
          </w:r>
        </w:p>
        <w:p w:rsidR="004A3868" w:rsidRDefault="003F1AB5">
          <w:pPr>
            <w:pStyle w:val="afff1"/>
            <w:spacing w:before="156"/>
            <w:ind w:firstLine="420"/>
            <w:rPr>
              <w:szCs w:val="21"/>
            </w:rPr>
          </w:pPr>
          <w:r>
            <w:rPr>
              <w:rFonts w:hint="eastAsia"/>
              <w:szCs w:val="21"/>
            </w:rPr>
            <w:t>无形资产的减值测试方法和减值准备计提方法详见本报告第十节.</w:t>
          </w:r>
          <w:r>
            <w:rPr>
              <w:szCs w:val="21"/>
            </w:rPr>
            <w:t>(</w:t>
          </w:r>
          <w:r>
            <w:rPr>
              <w:rFonts w:hint="eastAsia"/>
              <w:szCs w:val="21"/>
            </w:rPr>
            <w:t>五).</w:t>
          </w:r>
          <w:r>
            <w:rPr>
              <w:szCs w:val="21"/>
            </w:rPr>
            <w:t>27</w:t>
          </w:r>
          <w:r>
            <w:rPr>
              <w:rFonts w:hint="eastAsia"/>
              <w:szCs w:val="21"/>
            </w:rPr>
            <w:t>长期资产减值。</w:t>
          </w:r>
        </w:p>
        <w:p w:rsidR="004A3868" w:rsidRDefault="00B34370">
          <w:pPr>
            <w:rPr>
              <w:sz w:val="21"/>
              <w:szCs w:val="21"/>
            </w:rPr>
          </w:pPr>
        </w:p>
      </w:sdtContent>
    </w:sdt>
    <w:p w:rsidR="004A3868" w:rsidRDefault="003F1AB5">
      <w:pPr>
        <w:pStyle w:val="Style128"/>
        <w:numPr>
          <w:ilvl w:val="3"/>
          <w:numId w:val="61"/>
        </w:numPr>
      </w:pPr>
      <w:r>
        <w:rPr>
          <w:rFonts w:hint="eastAsia"/>
        </w:rPr>
        <w:t>研发支出的归集范围及相关会计处理方法</w:t>
      </w:r>
    </w:p>
    <w:sdt>
      <w:sdtPr>
        <w:rPr>
          <w:sz w:val="21"/>
          <w:szCs w:val="21"/>
        </w:rPr>
        <w:alias w:val="是否适用：无形资产内部研究开发支出会计政策[双击切换]"/>
        <w:tag w:val="_GBC_8f6b939ea36a42808f60b7c024994f2b"/>
        <w:id w:val="-166970818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无形资产内部研究、开发支出会计政策"/>
        <w:tag w:val="_GBC_af7b1338d88344dfb8cd34ed66bfe672"/>
        <w:id w:val="2110085637"/>
        <w:lock w:val="sdtLocked"/>
      </w:sdtPr>
      <w:sdtEndPr/>
      <w:sdtContent>
        <w:p w:rsidR="004A3868" w:rsidRDefault="003F1AB5">
          <w:pPr>
            <w:pStyle w:val="afff1"/>
            <w:spacing w:before="156"/>
            <w:ind w:firstLine="420"/>
            <w:rPr>
              <w:szCs w:val="21"/>
            </w:rPr>
          </w:pPr>
          <w:r>
            <w:rPr>
              <w:szCs w:val="21"/>
            </w:rPr>
            <w:t>1</w:t>
          </w:r>
          <w:r>
            <w:rPr>
              <w:rFonts w:hint="eastAsia"/>
              <w:szCs w:val="21"/>
            </w:rPr>
            <w:t>）</w:t>
          </w:r>
          <w:r>
            <w:rPr>
              <w:szCs w:val="21"/>
            </w:rPr>
            <w:t>划分公司内部研究开发项目的研究阶段和开发阶段具体标准</w:t>
          </w:r>
        </w:p>
        <w:p w:rsidR="004A3868" w:rsidRDefault="003F1AB5">
          <w:pPr>
            <w:pStyle w:val="afff1"/>
            <w:spacing w:before="156"/>
            <w:ind w:firstLine="420"/>
            <w:rPr>
              <w:szCs w:val="21"/>
            </w:rPr>
          </w:pPr>
          <w:r>
            <w:rPr>
              <w:rFonts w:hint="eastAsia"/>
              <w:szCs w:val="21"/>
            </w:rPr>
            <w:t>研究阶段：为获取并理解新的科学或技术知识等而进行的独创性的有计划调查、研究活动的阶段。</w:t>
          </w:r>
        </w:p>
        <w:p w:rsidR="004A3868" w:rsidRDefault="003F1AB5">
          <w:pPr>
            <w:pStyle w:val="afff1"/>
            <w:spacing w:before="156"/>
            <w:ind w:firstLine="420"/>
            <w:rPr>
              <w:szCs w:val="21"/>
            </w:rPr>
          </w:pPr>
          <w:r>
            <w:rPr>
              <w:rFonts w:hint="eastAsia"/>
              <w:szCs w:val="21"/>
            </w:rPr>
            <w:t>开发阶段：在进行商业性生产或使用前，将研究成果或其他知识应用于某项计划或设计，以生产出新的或具有实质性改进的材料、装置、产品等活动的阶段。</w:t>
          </w:r>
        </w:p>
        <w:p w:rsidR="004A3868" w:rsidRDefault="003F1AB5">
          <w:pPr>
            <w:pStyle w:val="afff1"/>
            <w:spacing w:before="156"/>
            <w:ind w:firstLine="420"/>
            <w:rPr>
              <w:szCs w:val="21"/>
            </w:rPr>
          </w:pPr>
          <w:r>
            <w:rPr>
              <w:rFonts w:hint="eastAsia"/>
              <w:szCs w:val="21"/>
            </w:rPr>
            <w:t>内部研究开发项目研究阶段的支出，在发生时计入当期损益。</w:t>
          </w:r>
        </w:p>
        <w:p w:rsidR="004A3868" w:rsidRDefault="003F1AB5">
          <w:pPr>
            <w:pStyle w:val="afff1"/>
            <w:spacing w:before="156"/>
            <w:ind w:firstLine="420"/>
            <w:rPr>
              <w:szCs w:val="21"/>
            </w:rPr>
          </w:pPr>
          <w:r>
            <w:rPr>
              <w:szCs w:val="21"/>
            </w:rPr>
            <w:lastRenderedPageBreak/>
            <w:t>2</w:t>
          </w:r>
          <w:r>
            <w:rPr>
              <w:rFonts w:hint="eastAsia"/>
              <w:szCs w:val="21"/>
            </w:rPr>
            <w:t>）</w:t>
          </w:r>
          <w:r>
            <w:rPr>
              <w:szCs w:val="21"/>
            </w:rPr>
            <w:t>开发阶段支出符合资本化的具体标准</w:t>
          </w:r>
        </w:p>
        <w:p w:rsidR="004A3868" w:rsidRDefault="003F1AB5">
          <w:pPr>
            <w:pStyle w:val="afff1"/>
            <w:spacing w:before="156"/>
            <w:ind w:firstLine="420"/>
            <w:rPr>
              <w:szCs w:val="21"/>
            </w:rPr>
          </w:pPr>
          <w:r>
            <w:rPr>
              <w:rFonts w:hint="eastAsia"/>
              <w:szCs w:val="21"/>
            </w:rPr>
            <w:t>内部研究开发项目开发阶段的支出，同时满足下列条件时确认为无形资产：</w:t>
          </w:r>
        </w:p>
        <w:p w:rsidR="004A3868" w:rsidRDefault="003F1AB5">
          <w:pPr>
            <w:pStyle w:val="afff1"/>
            <w:spacing w:before="156"/>
            <w:ind w:firstLine="420"/>
            <w:rPr>
              <w:szCs w:val="21"/>
            </w:rPr>
          </w:pPr>
          <w:r>
            <w:rPr>
              <w:rFonts w:hint="eastAsia"/>
              <w:szCs w:val="21"/>
            </w:rPr>
            <w:t>①</w:t>
          </w:r>
          <w:r>
            <w:rPr>
              <w:szCs w:val="21"/>
            </w:rPr>
            <w:t>完成该无形资产以使其能够使用或出售在技术上具有可行性；</w:t>
          </w:r>
        </w:p>
        <w:p w:rsidR="004A3868" w:rsidRDefault="003F1AB5">
          <w:pPr>
            <w:pStyle w:val="afff1"/>
            <w:spacing w:before="156"/>
            <w:ind w:firstLine="420"/>
            <w:rPr>
              <w:szCs w:val="21"/>
            </w:rPr>
          </w:pPr>
          <w:r>
            <w:rPr>
              <w:rFonts w:hint="eastAsia"/>
              <w:szCs w:val="21"/>
            </w:rPr>
            <w:t>②</w:t>
          </w:r>
          <w:r>
            <w:rPr>
              <w:szCs w:val="21"/>
            </w:rPr>
            <w:t>具有完成该无形资产并使用或出售的意图；</w:t>
          </w:r>
        </w:p>
        <w:p w:rsidR="004A3868" w:rsidRDefault="003F1AB5">
          <w:pPr>
            <w:pStyle w:val="afff1"/>
            <w:spacing w:before="156"/>
            <w:ind w:firstLine="420"/>
            <w:rPr>
              <w:szCs w:val="21"/>
            </w:rPr>
          </w:pPr>
          <w:r>
            <w:rPr>
              <w:rFonts w:hint="eastAsia"/>
              <w:szCs w:val="21"/>
            </w:rPr>
            <w:t>③</w:t>
          </w:r>
          <w:r>
            <w:rPr>
              <w:szCs w:val="21"/>
            </w:rPr>
            <w:t>无形资产产生经济利益的方式，包括能够证明运用该无形资产生产的产品存在市场或无形资产自身存在市场，无形资产将在内部使用的，能够证明其有用性；</w:t>
          </w:r>
        </w:p>
        <w:p w:rsidR="004A3868" w:rsidRDefault="003F1AB5">
          <w:pPr>
            <w:pStyle w:val="afff1"/>
            <w:spacing w:before="156"/>
            <w:ind w:firstLine="420"/>
            <w:rPr>
              <w:szCs w:val="21"/>
            </w:rPr>
          </w:pPr>
          <w:r>
            <w:rPr>
              <w:rFonts w:hint="eastAsia"/>
              <w:szCs w:val="21"/>
            </w:rPr>
            <w:t>④</w:t>
          </w:r>
          <w:r>
            <w:rPr>
              <w:szCs w:val="21"/>
            </w:rPr>
            <w:t>有足够的技术、财务资源和其他资源支持，以完成该无形资产的开发，并有能力使用或出售该无形资产；</w:t>
          </w:r>
        </w:p>
        <w:p w:rsidR="004A3868" w:rsidRDefault="003F1AB5">
          <w:pPr>
            <w:pStyle w:val="afff1"/>
            <w:spacing w:before="156"/>
            <w:ind w:firstLine="420"/>
            <w:rPr>
              <w:szCs w:val="21"/>
            </w:rPr>
          </w:pPr>
          <w:r>
            <w:rPr>
              <w:rFonts w:hint="eastAsia"/>
              <w:szCs w:val="21"/>
            </w:rPr>
            <w:t>⑤</w:t>
          </w:r>
          <w:r>
            <w:rPr>
              <w:szCs w:val="21"/>
            </w:rPr>
            <w:t>归属于该无形资产开发阶段的支出能够可靠地计量。</w:t>
          </w:r>
        </w:p>
        <w:p w:rsidR="004A3868" w:rsidRDefault="003F1AB5">
          <w:pPr>
            <w:pStyle w:val="afff1"/>
            <w:spacing w:before="156"/>
            <w:ind w:firstLine="420"/>
            <w:rPr>
              <w:szCs w:val="21"/>
            </w:rPr>
          </w:pPr>
          <w:r>
            <w:rPr>
              <w:rFonts w:hint="eastAsia"/>
              <w:szCs w:val="21"/>
            </w:rPr>
            <w:t>不满足上述条件的开发阶段的支出，于发生时计入当期损益。无法区分研究阶段支出和开发阶段支出的，将发生的研发支出全部计入当期损益。内部开发活动形成的无形资产的成本仅包括满足资本化条件的时点至无形资产达到预定用途前发生的支出总额，对于同一项无形资产在开发过程中达到资本化条件之前已经费用化计入损益的支出不再进行调整。</w:t>
          </w:r>
        </w:p>
      </w:sdtContent>
    </w:sdt>
    <w:p w:rsidR="004A3868" w:rsidRDefault="003F1AB5">
      <w:pPr>
        <w:pStyle w:val="Style12711"/>
      </w:pPr>
      <w:r>
        <w:rPr>
          <w:rFonts w:hint="eastAsia"/>
        </w:rPr>
        <w:t>长期资产减值</w:t>
      </w:r>
    </w:p>
    <w:sdt>
      <w:sdtPr>
        <w:rPr>
          <w:rFonts w:hint="eastAsia"/>
          <w:sz w:val="21"/>
          <w:szCs w:val="21"/>
        </w:rPr>
        <w:alias w:val="是否适用：长期资产减值_重要会计政策和估计[双击切换]"/>
        <w:tag w:val="_GBC_e9110d6af45c4c0d808e2f284fadf642"/>
        <w:id w:val="-671569903"/>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非金融长期资产减值测试方法及会计处理方法"/>
        <w:tag w:val="_GBC_0a065c1269a846f6923598a2c1fc4269"/>
        <w:id w:val="-426108662"/>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本公司在每一个资产负债表日检查长期股权投资、固定资产、在建工程、使用寿命确定的无形资产、是否存在可能发生减值的迹象。如果长期资产存在减值迹象，则以单项资产为基础估计其可收回金额；难以对单项资产的可收回金额进行估计的，以该资产所属的资产组为基础确定资产组的可收回金额。</w:t>
          </w:r>
        </w:p>
        <w:p w:rsidR="004A3868" w:rsidRDefault="003F1AB5">
          <w:pPr>
            <w:pStyle w:val="afff1"/>
            <w:spacing w:before="156"/>
            <w:ind w:firstLine="420"/>
          </w:pPr>
          <w:r>
            <w:rPr>
              <w:rFonts w:hint="eastAsia"/>
              <w:szCs w:val="21"/>
            </w:rPr>
            <w:t>资产可收回金额的估计，根据其公允价值减去处置费用后的净额与资产预计未来</w:t>
          </w:r>
          <w:r>
            <w:rPr>
              <w:rFonts w:hint="eastAsia"/>
            </w:rPr>
            <w:t>现金流量的现值两者之间较高者确定。</w:t>
          </w:r>
        </w:p>
        <w:p w:rsidR="004A3868" w:rsidRDefault="003F1AB5">
          <w:pPr>
            <w:pStyle w:val="afff1"/>
            <w:spacing w:before="156"/>
            <w:ind w:firstLine="420"/>
            <w:rPr>
              <w:szCs w:val="21"/>
            </w:rPr>
          </w:pPr>
          <w:r>
            <w:rPr>
              <w:rFonts w:hint="eastAsia"/>
              <w:szCs w:val="21"/>
            </w:rPr>
            <w:t>可收回金额的计量结果表明，长期资产的可收回金额低于其账面价值的，将长期资产的账面价值减记至可收回金额，减记的金额确认为资产减值损失，计入当期损益，同时计提相应的资产减值准备。资产减值损失一经确认，在以后会计期间不得转回。</w:t>
          </w:r>
        </w:p>
        <w:p w:rsidR="004A3868" w:rsidRDefault="003F1AB5">
          <w:pPr>
            <w:pStyle w:val="afff1"/>
            <w:spacing w:before="156"/>
            <w:ind w:firstLine="420"/>
            <w:rPr>
              <w:szCs w:val="21"/>
            </w:rPr>
          </w:pPr>
          <w:r>
            <w:rPr>
              <w:rFonts w:hint="eastAsia"/>
              <w:szCs w:val="21"/>
            </w:rPr>
            <w:t>资产减值损失确认后，减值资产的折旧或者摊销费用在未来期间作相应调整，以使该资产在剩余使用寿命内，系统地分摊调整后的资产账面价值（扣除预计净残值）。</w:t>
          </w:r>
        </w:p>
        <w:p w:rsidR="004A3868" w:rsidRDefault="003F1AB5">
          <w:pPr>
            <w:pStyle w:val="afff1"/>
            <w:spacing w:before="156"/>
            <w:ind w:firstLine="420"/>
            <w:rPr>
              <w:szCs w:val="21"/>
            </w:rPr>
          </w:pPr>
          <w:r>
            <w:rPr>
              <w:rFonts w:hint="eastAsia"/>
              <w:szCs w:val="21"/>
            </w:rPr>
            <w:lastRenderedPageBreak/>
            <w:t>因企业合并所形成的商誉和使用寿命不确定的无形资产，无论是否存在减值迹象，每年都进行减值测试。</w:t>
          </w:r>
        </w:p>
        <w:p w:rsidR="004A3868" w:rsidRDefault="003F1AB5">
          <w:pPr>
            <w:pStyle w:val="afff1"/>
            <w:spacing w:before="156"/>
            <w:ind w:firstLine="420"/>
            <w:rPr>
              <w:szCs w:val="21"/>
            </w:rPr>
          </w:pPr>
          <w:r>
            <w:rPr>
              <w:rFonts w:hint="eastAsia"/>
              <w:szCs w:val="21"/>
            </w:rPr>
            <w:t>在对商誉进行减值测试时，将商誉的账面价值分摊至预期从企业合并的协同效应中受益的资产组或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sdtContent>
    </w:sdt>
    <w:p w:rsidR="004A3868" w:rsidRDefault="003F1AB5">
      <w:pPr>
        <w:pStyle w:val="Style12711"/>
      </w:pPr>
      <w:r>
        <w:t>长期待摊费用</w:t>
      </w:r>
    </w:p>
    <w:sdt>
      <w:sdtPr>
        <w:rPr>
          <w:rFonts w:hint="eastAsia"/>
          <w:sz w:val="21"/>
          <w:szCs w:val="21"/>
        </w:rPr>
        <w:alias w:val="是否适用：长期待摊费用_重要会计政策和估计[双击切换]"/>
        <w:tag w:val="_GBC_5f2bbee5e66644d489f8d74ae8f96539"/>
        <w:id w:val="-823119754"/>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ascii="Calibri" w:hAnsi="Calibri" w:cs="Times New Roman" w:hint="eastAsia"/>
          <w:kern w:val="2"/>
          <w:szCs w:val="21"/>
        </w:rPr>
        <w:alias w:val="开办费、长期待摊费用摊销方法"/>
        <w:tag w:val="_GBC_a0e2b7a5a9454eaea97ca201421d7dde"/>
        <w:id w:val="2083487513"/>
        <w:lock w:val="sdtLocked"/>
        <w:placeholder>
          <w:docPart w:val="GBC22222222222222222222222222222"/>
        </w:placeholder>
      </w:sdtPr>
      <w:sdtEndPr>
        <w:rPr>
          <w:szCs w:val="22"/>
        </w:rPr>
      </w:sdtEndPr>
      <w:sdtContent>
        <w:p w:rsidR="004A3868" w:rsidRDefault="003F1AB5">
          <w:pPr>
            <w:pStyle w:val="afff1"/>
            <w:spacing w:before="156"/>
            <w:ind w:firstLine="420"/>
            <w:rPr>
              <w:szCs w:val="21"/>
            </w:rPr>
          </w:pPr>
          <w:r>
            <w:rPr>
              <w:szCs w:val="21"/>
            </w:rPr>
            <w:t>(1)摊销方法</w:t>
          </w:r>
        </w:p>
        <w:p w:rsidR="004A3868" w:rsidRDefault="003F1AB5">
          <w:pPr>
            <w:pStyle w:val="afff1"/>
            <w:spacing w:before="156"/>
            <w:ind w:firstLine="420"/>
            <w:rPr>
              <w:szCs w:val="21"/>
            </w:rPr>
          </w:pPr>
          <w:r>
            <w:rPr>
              <w:rFonts w:hint="eastAsia"/>
              <w:szCs w:val="21"/>
            </w:rPr>
            <w:t>长期待摊费用，是指本公司已经发生但应由本期和以后各期负担的分摊期限在</w:t>
          </w:r>
          <w:r>
            <w:rPr>
              <w:szCs w:val="21"/>
            </w:rPr>
            <w:t>1年以上的各项费用。长期待摊费用在受益期内按直线法分期摊销。</w:t>
          </w:r>
        </w:p>
        <w:p w:rsidR="004A3868" w:rsidRDefault="003F1AB5">
          <w:pPr>
            <w:pStyle w:val="afff1"/>
            <w:spacing w:before="156"/>
            <w:ind w:firstLine="420"/>
            <w:rPr>
              <w:szCs w:val="21"/>
            </w:rPr>
          </w:pPr>
          <w:r>
            <w:rPr>
              <w:rFonts w:hint="eastAsia"/>
              <w:szCs w:val="21"/>
            </w:rPr>
            <w:t>(</w:t>
          </w:r>
          <w:r>
            <w:rPr>
              <w:szCs w:val="21"/>
            </w:rPr>
            <w:t>2)摊销年限</w:t>
          </w:r>
        </w:p>
        <w:tbl>
          <w:tblPr>
            <w:tblStyle w:val="g12"/>
            <w:tblW w:w="5000" w:type="pct"/>
            <w:jc w:val="center"/>
            <w:tblInd w:w="0" w:type="dxa"/>
            <w:tblLayout w:type="fixed"/>
            <w:tblCellMar>
              <w:right w:w="28" w:type="dxa"/>
            </w:tblCellMar>
            <w:tblLook w:val="04A0" w:firstRow="1" w:lastRow="0" w:firstColumn="1" w:lastColumn="0" w:noHBand="0" w:noVBand="1"/>
          </w:tblPr>
          <w:tblGrid>
            <w:gridCol w:w="2858"/>
            <w:gridCol w:w="2858"/>
            <w:gridCol w:w="3107"/>
          </w:tblGrid>
          <w:tr w:rsidR="004A3868">
            <w:trPr>
              <w:trHeight w:val="397"/>
              <w:jc w:val="center"/>
            </w:trPr>
            <w:tc>
              <w:tcPr>
                <w:tcW w:w="2801" w:type="dxa"/>
                <w:vAlign w:val="center"/>
              </w:tcPr>
              <w:p w:rsidR="004A3868" w:rsidRDefault="003F1AB5">
                <w:pPr>
                  <w:pStyle w:val="afffb"/>
                </w:pPr>
                <w:r>
                  <w:t>类别</w:t>
                </w:r>
              </w:p>
            </w:tc>
            <w:tc>
              <w:tcPr>
                <w:tcW w:w="2801" w:type="dxa"/>
                <w:vAlign w:val="center"/>
              </w:tcPr>
              <w:p w:rsidR="004A3868" w:rsidRDefault="003F1AB5">
                <w:pPr>
                  <w:pStyle w:val="afffb"/>
                </w:pPr>
                <w:r>
                  <w:t>摊销年限</w:t>
                </w:r>
              </w:p>
            </w:tc>
            <w:tc>
              <w:tcPr>
                <w:tcW w:w="3045" w:type="dxa"/>
                <w:vAlign w:val="center"/>
              </w:tcPr>
              <w:p w:rsidR="004A3868" w:rsidRDefault="003F1AB5">
                <w:pPr>
                  <w:pStyle w:val="afffb"/>
                </w:pPr>
                <w:r>
                  <w:t>备注</w:t>
                </w:r>
              </w:p>
            </w:tc>
          </w:tr>
          <w:tr w:rsidR="004A3868">
            <w:trPr>
              <w:trHeight w:val="397"/>
              <w:jc w:val="center"/>
            </w:trPr>
            <w:tc>
              <w:tcPr>
                <w:tcW w:w="2801" w:type="dxa"/>
                <w:vAlign w:val="center"/>
              </w:tcPr>
              <w:p w:rsidR="004A3868" w:rsidRDefault="003F1AB5">
                <w:pPr>
                  <w:pStyle w:val="afffb"/>
                </w:pPr>
                <w:r>
                  <w:t>厂房及办公室装修费</w:t>
                </w:r>
              </w:p>
            </w:tc>
            <w:tc>
              <w:tcPr>
                <w:tcW w:w="2801" w:type="dxa"/>
                <w:vAlign w:val="center"/>
              </w:tcPr>
              <w:p w:rsidR="004A3868" w:rsidRDefault="003F1AB5">
                <w:pPr>
                  <w:pStyle w:val="afffb"/>
                </w:pPr>
                <w:r>
                  <w:t>预计可使用年限</w:t>
                </w:r>
              </w:p>
            </w:tc>
            <w:tc>
              <w:tcPr>
                <w:tcW w:w="3045" w:type="dxa"/>
                <w:vAlign w:val="center"/>
              </w:tcPr>
              <w:p w:rsidR="004A3868" w:rsidRDefault="004A3868">
                <w:pPr>
                  <w:pStyle w:val="afffb"/>
                </w:pPr>
              </w:p>
            </w:tc>
          </w:tr>
          <w:tr w:rsidR="004A3868">
            <w:trPr>
              <w:trHeight w:val="397"/>
              <w:jc w:val="center"/>
            </w:trPr>
            <w:tc>
              <w:tcPr>
                <w:tcW w:w="2801" w:type="dxa"/>
                <w:vAlign w:val="center"/>
              </w:tcPr>
              <w:p w:rsidR="004A3868" w:rsidRDefault="003F1AB5">
                <w:pPr>
                  <w:pStyle w:val="afffb"/>
                </w:pPr>
                <w:r>
                  <w:t>办公软件</w:t>
                </w:r>
              </w:p>
            </w:tc>
            <w:tc>
              <w:tcPr>
                <w:tcW w:w="2801" w:type="dxa"/>
                <w:vAlign w:val="center"/>
              </w:tcPr>
              <w:p w:rsidR="004A3868" w:rsidRDefault="003F1AB5">
                <w:pPr>
                  <w:pStyle w:val="afffb"/>
                </w:pPr>
                <w:r>
                  <w:t>预计可使用年限</w:t>
                </w:r>
              </w:p>
            </w:tc>
            <w:tc>
              <w:tcPr>
                <w:tcW w:w="3045" w:type="dxa"/>
                <w:vAlign w:val="center"/>
              </w:tcPr>
              <w:p w:rsidR="004A3868" w:rsidRDefault="004A3868">
                <w:pPr>
                  <w:pStyle w:val="afffb"/>
                </w:pPr>
              </w:p>
            </w:tc>
          </w:tr>
        </w:tbl>
        <w:p w:rsidR="004A3868" w:rsidRDefault="00B34370">
          <w:pPr>
            <w:pStyle w:val="Style152"/>
          </w:pPr>
        </w:p>
      </w:sdtContent>
    </w:sdt>
    <w:p w:rsidR="004A3868" w:rsidRDefault="004A3868">
      <w:pPr>
        <w:rPr>
          <w:sz w:val="21"/>
          <w:szCs w:val="21"/>
        </w:rPr>
      </w:pPr>
    </w:p>
    <w:p w:rsidR="004A3868" w:rsidRDefault="003F1AB5">
      <w:pPr>
        <w:pStyle w:val="Style12711"/>
      </w:pPr>
      <w:r>
        <w:rPr>
          <w:rFonts w:hint="eastAsia"/>
        </w:rPr>
        <w:t>合同负债</w:t>
      </w:r>
    </w:p>
    <w:bookmarkStart w:id="130" w:name="_Hlk533668008" w:displacedByCustomXml="next"/>
    <w:sdt>
      <w:sdtPr>
        <w:rPr>
          <w:sz w:val="21"/>
          <w:szCs w:val="21"/>
        </w:rPr>
        <w:alias w:val="是否适用：合同负债的确定方法、摊销方法和减值测试方法[双击切换]"/>
        <w:tag w:val="_GBC_1d0f6a0a7f304d3f94158c9d73a7239a"/>
        <w:id w:val="1186173069"/>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B34370">
      <w:pPr>
        <w:rPr>
          <w:sz w:val="21"/>
          <w:szCs w:val="21"/>
        </w:rPr>
      </w:pPr>
      <w:sdt>
        <w:sdtPr>
          <w:rPr>
            <w:sz w:val="21"/>
            <w:szCs w:val="21"/>
          </w:rPr>
          <w:alias w:val="合同负债的确定方法、摊销方法和减值测试方法"/>
          <w:tag w:val="_GBC_0555b9144f6c494282d03f175d2fa19d"/>
          <w:id w:val="-889420390"/>
          <w:placeholder>
            <w:docPart w:val="GBC22222222222222222222222222222"/>
          </w:placeholder>
        </w:sdtPr>
        <w:sdtEndPr/>
        <w:sdtContent>
          <w:r w:rsidR="003F1AB5">
            <w:rPr>
              <w:rFonts w:hint="eastAsia"/>
              <w:sz w:val="21"/>
              <w:szCs w:val="21"/>
            </w:rPr>
            <w:t>本公司将已收或应收客户对价而应向客户转让商品的义务部分确认为合同负债。</w:t>
          </w:r>
        </w:sdtContent>
      </w:sdt>
      <w:bookmarkEnd w:id="130"/>
    </w:p>
    <w:p w:rsidR="004A3868" w:rsidRDefault="003F1AB5">
      <w:pPr>
        <w:pStyle w:val="Style12711"/>
      </w:pPr>
      <w:r>
        <w:rPr>
          <w:rFonts w:hint="eastAsia"/>
        </w:rPr>
        <w:t>职工薪酬</w:t>
      </w:r>
    </w:p>
    <w:p w:rsidR="004A3868" w:rsidRDefault="003F1AB5">
      <w:pPr>
        <w:pStyle w:val="Style128"/>
        <w:numPr>
          <w:ilvl w:val="3"/>
          <w:numId w:val="62"/>
        </w:numPr>
      </w:pPr>
      <w:r>
        <w:rPr>
          <w:rFonts w:hint="eastAsia"/>
        </w:rPr>
        <w:t>短期薪酬的会计处理方法</w:t>
      </w:r>
    </w:p>
    <w:sdt>
      <w:sdtPr>
        <w:rPr>
          <w:rFonts w:hint="eastAsia"/>
          <w:sz w:val="21"/>
          <w:szCs w:val="21"/>
        </w:rPr>
        <w:alias w:val="是否适用：短期薪酬的会计处理方法[双击切换]"/>
        <w:tag w:val="_GBC_efadddc5ff4a48fb9432574c3528c6b3"/>
        <w:id w:val="-904141845"/>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短期薪酬的会计处理方法"/>
        <w:tag w:val="_GBC_8fdf44b194ac45fb945d36b9896df796"/>
        <w:id w:val="362173873"/>
        <w:placeholder>
          <w:docPart w:val="GBC22222222222222222222222222222"/>
        </w:placeholder>
      </w:sdtPr>
      <w:sdtEndPr>
        <w:rPr>
          <w:rStyle w:val="afff2"/>
        </w:rPr>
      </w:sdtEndPr>
      <w:sdtContent>
        <w:p w:rsidR="004A3868" w:rsidRDefault="003F1AB5">
          <w:pPr>
            <w:rPr>
              <w:rStyle w:val="afff2"/>
              <w:szCs w:val="21"/>
            </w:rPr>
          </w:pPr>
          <w:r>
            <w:rPr>
              <w:rStyle w:val="afff2"/>
              <w:rFonts w:hint="eastAsia"/>
              <w:szCs w:val="21"/>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p>
      </w:sdtContent>
    </w:sdt>
    <w:p w:rsidR="004A3868" w:rsidRDefault="003F1AB5">
      <w:pPr>
        <w:pStyle w:val="Style128"/>
        <w:numPr>
          <w:ilvl w:val="3"/>
          <w:numId w:val="62"/>
        </w:numPr>
      </w:pPr>
      <w:r>
        <w:rPr>
          <w:rFonts w:hint="eastAsia"/>
        </w:rPr>
        <w:lastRenderedPageBreak/>
        <w:t>离职后福利的会计处理方法</w:t>
      </w:r>
    </w:p>
    <w:sdt>
      <w:sdtPr>
        <w:rPr>
          <w:rFonts w:hint="eastAsia"/>
          <w:sz w:val="21"/>
          <w:szCs w:val="21"/>
        </w:rPr>
        <w:alias w:val="是否适用：离职后福利的会计处理方法[双击切换]"/>
        <w:tag w:val="_GBC_64248844b1544474ae8d85d08e7479af"/>
        <w:id w:val="-1266230886"/>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离职后福利的会计处理方法"/>
        <w:tag w:val="_GBC_3b0bafa6ef784ba99c829e2f60cf828e"/>
        <w:id w:val="1089115187"/>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离职后福利是指本公司为获得职工提供的服务而在职工退休或与企业解除劳动关系后，提供的各种形式的报酬和福利，短期薪酬和辞退福利除外。</w:t>
          </w:r>
        </w:p>
        <w:p w:rsidR="004A3868" w:rsidRDefault="003F1AB5">
          <w:pPr>
            <w:pStyle w:val="afff1"/>
            <w:spacing w:before="156"/>
            <w:ind w:firstLine="420"/>
            <w:rPr>
              <w:szCs w:val="21"/>
            </w:rPr>
          </w:pPr>
          <w:r>
            <w:rPr>
              <w:rFonts w:hint="eastAsia"/>
              <w:szCs w:val="21"/>
            </w:rPr>
            <w:t>本公司的离职后福利计划分类为设定提存计划和设定受益计划。</w:t>
          </w:r>
        </w:p>
        <w:p w:rsidR="004A3868" w:rsidRDefault="003F1AB5">
          <w:pPr>
            <w:pStyle w:val="afff1"/>
            <w:spacing w:before="156"/>
            <w:ind w:firstLine="420"/>
            <w:rPr>
              <w:szCs w:val="21"/>
            </w:rPr>
          </w:pPr>
          <w:r>
            <w:rPr>
              <w:rFonts w:hint="eastAsia"/>
              <w:szCs w:val="21"/>
            </w:rPr>
            <w:t>离职后福利设定提存计划主要为参加由各地劳动及社会保障机构组织实施的社会基本养老保险、失业保险等；在职工为本公司提供服务的会计期间，将根据设定提存计划计算的应缴存金额确认为负债，并计入当期损益或相关资产成本。</w:t>
          </w:r>
        </w:p>
        <w:p w:rsidR="004A3868" w:rsidRDefault="003F1AB5">
          <w:pPr>
            <w:pStyle w:val="afff1"/>
            <w:spacing w:before="156"/>
            <w:ind w:firstLine="420"/>
            <w:rPr>
              <w:szCs w:val="21"/>
            </w:rPr>
          </w:pPr>
          <w:r>
            <w:rPr>
              <w:rFonts w:hint="eastAsia"/>
              <w:szCs w:val="21"/>
            </w:rPr>
            <w:t>本公司按照国家规定的标准定期缴付上述款项后，不再有其他的支付义务。</w:t>
          </w:r>
        </w:p>
      </w:sdtContent>
    </w:sdt>
    <w:p w:rsidR="004A3868" w:rsidRDefault="003F1AB5">
      <w:pPr>
        <w:pStyle w:val="Style128"/>
        <w:numPr>
          <w:ilvl w:val="3"/>
          <w:numId w:val="62"/>
        </w:numPr>
      </w:pPr>
      <w:r>
        <w:rPr>
          <w:rFonts w:hint="eastAsia"/>
        </w:rPr>
        <w:t>辞退福利的会计处理方法</w:t>
      </w:r>
    </w:p>
    <w:sdt>
      <w:sdtPr>
        <w:rPr>
          <w:rFonts w:hint="eastAsia"/>
          <w:sz w:val="21"/>
          <w:szCs w:val="21"/>
        </w:rPr>
        <w:alias w:val="是否适用：辞退福利的会计处理方法[双击切换]"/>
        <w:tag w:val="_GBC_7a3bf6905df64c658fb0148a81f2964d"/>
        <w:id w:val="-662851834"/>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辞退福利的会计处理方法"/>
        <w:tag w:val="_GBC_a93705fb60b24bceb25c88a68ed87432"/>
        <w:id w:val="-771397320"/>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辞退福利是指本公司在职工劳动合同到期之前解除与职工的劳动关系，或者为鼓励职工自愿接受裁减而给予职工的补偿，在本公司不能单方面撤回解除劳动关系计划或裁减建议时和确认与涉及支付辞退福利的重组相关的成本费用时两者孰早日，确认因解除与职工的劳动关系给予补偿而产生的负债，同时计入当期损益。</w:t>
          </w:r>
        </w:p>
        <w:p w:rsidR="004A3868" w:rsidRDefault="003F1AB5">
          <w:pPr>
            <w:pStyle w:val="afff1"/>
            <w:spacing w:before="156"/>
            <w:ind w:firstLine="420"/>
            <w:rPr>
              <w:szCs w:val="21"/>
            </w:rPr>
          </w:pPr>
          <w:r>
            <w:rPr>
              <w:rFonts w:hint="eastAsia"/>
              <w:szCs w:val="21"/>
            </w:rPr>
            <w:t>本公司向接受内部退休安排的职工提供内退福利。内退福利是指，向未达到国家规定的退休年龄、经本公司管理层批准自愿退出工作岗位的职工支付的工资及为其缴纳的社会保险费等。本公司自内部退休安排开始之日起至职工达到正常退休年龄止，向内退职工支付内部退养福利。对于内退福利，本公司比照辞退福利进行会计处理，在符合辞退福利相关确认条件时，将自职工停止提供服务日至正常退休日期间拟支付的内退职工工资和缴纳的社会保险费等，确认为负债，一次性计入当期损益。内退福利的精算假设变化及福利标准调整引起的差异于发生时计入当期损益。</w:t>
          </w:r>
        </w:p>
      </w:sdtContent>
    </w:sdt>
    <w:p w:rsidR="004A3868" w:rsidRDefault="003F1AB5">
      <w:pPr>
        <w:pStyle w:val="Style128"/>
        <w:numPr>
          <w:ilvl w:val="3"/>
          <w:numId w:val="62"/>
        </w:numPr>
      </w:pPr>
      <w:r>
        <w:rPr>
          <w:rFonts w:hint="eastAsia"/>
        </w:rPr>
        <w:t>其他长期职工福利的会计处理方法</w:t>
      </w:r>
    </w:p>
    <w:sdt>
      <w:sdtPr>
        <w:rPr>
          <w:rFonts w:hint="eastAsia"/>
          <w:sz w:val="21"/>
          <w:szCs w:val="21"/>
        </w:rPr>
        <w:alias w:val="是否适用：其他长期职工福利的会计处理方法[双击切换]"/>
        <w:tag w:val="_GBC_94d434167e154a30ad2071a069525a71"/>
        <w:id w:val="-702562307"/>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其他长期职工福利的会计处理方法"/>
        <w:tag w:val="_GBC_0e549e9400284de7b64ddf6ecc255dea"/>
        <w:id w:val="-1398661664"/>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其他长期职工福利是指除短期薪酬、离职后福利、辞退福利之外的其他所有职工福利。</w:t>
          </w:r>
        </w:p>
        <w:p w:rsidR="004A3868" w:rsidRDefault="003F1AB5">
          <w:pPr>
            <w:pStyle w:val="afff1"/>
            <w:spacing w:before="156"/>
            <w:ind w:firstLine="420"/>
            <w:rPr>
              <w:szCs w:val="21"/>
            </w:rPr>
          </w:pPr>
          <w:r>
            <w:rPr>
              <w:rFonts w:hint="eastAsia"/>
              <w:szCs w:val="21"/>
            </w:rPr>
            <w:t>对符合设定提存计划条件的其他长期职工福利，在职工为本公司提供服务的会计期间，将应缴存金额确认为负债，并计入当期损益或相关资产成本；除上述情形外的其他长期职工福利，在资产负债表日将设定受益计划产生的福利义务归属于职工提供服务的期间，并计入当期损益或相</w:t>
          </w:r>
          <w:r>
            <w:rPr>
              <w:rFonts w:hint="eastAsia"/>
              <w:szCs w:val="21"/>
            </w:rPr>
            <w:lastRenderedPageBreak/>
            <w:t>关资产成本。</w:t>
          </w:r>
        </w:p>
      </w:sdtContent>
    </w:sdt>
    <w:p w:rsidR="004A3868" w:rsidRDefault="003F1AB5">
      <w:pPr>
        <w:pStyle w:val="Style12711"/>
      </w:pPr>
      <w:r>
        <w:t>预计负债</w:t>
      </w:r>
    </w:p>
    <w:sdt>
      <w:sdtPr>
        <w:rPr>
          <w:rFonts w:hint="eastAsia"/>
          <w:sz w:val="21"/>
          <w:szCs w:val="21"/>
        </w:rPr>
        <w:alias w:val="是否适用：预计负债_重要会计政策和估计[双击切换]"/>
        <w:tag w:val="_GBC_546a7423773c46d2b57f08fc5fdbc638"/>
        <w:id w:val="2048095244"/>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预计负债的核算方法"/>
        <w:tag w:val="_GBC_d6934772e41e485d9e00e349486f9d7e"/>
        <w:id w:val="1124651461"/>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w:t>
          </w:r>
          <w:r>
            <w:rPr>
              <w:szCs w:val="21"/>
            </w:rPr>
            <w:t>1）预计负债的确认标准</w:t>
          </w:r>
        </w:p>
        <w:p w:rsidR="004A3868" w:rsidRDefault="003F1AB5">
          <w:pPr>
            <w:pStyle w:val="afff1"/>
            <w:spacing w:before="156"/>
            <w:ind w:firstLine="420"/>
            <w:rPr>
              <w:szCs w:val="21"/>
            </w:rPr>
          </w:pPr>
          <w:r>
            <w:rPr>
              <w:rFonts w:hint="eastAsia"/>
              <w:szCs w:val="21"/>
            </w:rPr>
            <w:t>当与产品质量保证、亏损合同或有事项相关的义务是本公司承担的现时义务，且履行该义务很可能导致经济利益流出，以及该义务的金额能够可靠地计量，则确认为预计负债。</w:t>
          </w:r>
        </w:p>
        <w:p w:rsidR="004A3868" w:rsidRDefault="003F1AB5">
          <w:pPr>
            <w:pStyle w:val="afff1"/>
            <w:spacing w:before="156"/>
            <w:ind w:firstLine="420"/>
            <w:rPr>
              <w:szCs w:val="21"/>
            </w:rPr>
          </w:pPr>
          <w:r>
            <w:rPr>
              <w:rFonts w:hint="eastAsia"/>
              <w:szCs w:val="21"/>
            </w:rPr>
            <w:t>（</w:t>
          </w:r>
          <w:r>
            <w:rPr>
              <w:szCs w:val="21"/>
            </w:rPr>
            <w:t>2）预计负债的计量方法</w:t>
          </w:r>
        </w:p>
        <w:p w:rsidR="004A3868" w:rsidRDefault="003F1AB5">
          <w:pPr>
            <w:pStyle w:val="afff1"/>
            <w:spacing w:before="156"/>
            <w:ind w:firstLine="420"/>
            <w:rPr>
              <w:szCs w:val="21"/>
            </w:rPr>
          </w:pPr>
          <w:r>
            <w:rPr>
              <w:rFonts w:hint="eastAsia"/>
              <w:szCs w:val="21"/>
            </w:rPr>
            <w:t>本公司预计负债按履行相关现时义务所需的支出的最佳估计数进行初始计量。</w:t>
          </w:r>
        </w:p>
        <w:p w:rsidR="004A3868" w:rsidRDefault="003F1AB5">
          <w:pPr>
            <w:pStyle w:val="afff1"/>
            <w:spacing w:before="156"/>
            <w:ind w:firstLine="420"/>
            <w:rPr>
              <w:szCs w:val="21"/>
            </w:rPr>
          </w:pPr>
          <w:r>
            <w:rPr>
              <w:rFonts w:hint="eastAsia"/>
              <w:szCs w:val="21"/>
            </w:rPr>
            <w:t>本公司在确定最佳估计数时，综合考虑与或有事项有关的风险、不确定性和货币时间价值等因素。对于货币时间价值影响重大的，通过对相关未来现金流出进行折现后确定最佳估计数。</w:t>
          </w:r>
        </w:p>
        <w:p w:rsidR="004A3868" w:rsidRDefault="003F1AB5">
          <w:pPr>
            <w:pStyle w:val="afff1"/>
            <w:spacing w:before="156"/>
            <w:ind w:firstLine="420"/>
            <w:rPr>
              <w:szCs w:val="21"/>
            </w:rPr>
          </w:pPr>
          <w:r>
            <w:rPr>
              <w:rFonts w:hint="eastAsia"/>
              <w:szCs w:val="21"/>
            </w:rPr>
            <w:t>最佳估计数分别以下情况处理：</w:t>
          </w:r>
        </w:p>
        <w:p w:rsidR="004A3868" w:rsidRDefault="003F1AB5">
          <w:pPr>
            <w:pStyle w:val="afff1"/>
            <w:spacing w:before="156"/>
            <w:ind w:firstLine="420"/>
            <w:rPr>
              <w:szCs w:val="21"/>
            </w:rPr>
          </w:pPr>
          <w:r>
            <w:rPr>
              <w:rFonts w:hint="eastAsia"/>
              <w:szCs w:val="21"/>
            </w:rPr>
            <w:t>所需支出存在一个连续范围（或区间），且该范围内各种结果发生的可能性相同的，则最佳估计数按照该范围的中间值即上下限金额的平均数确定。</w:t>
          </w:r>
        </w:p>
        <w:p w:rsidR="004A3868" w:rsidRDefault="003F1AB5">
          <w:pPr>
            <w:pStyle w:val="afff1"/>
            <w:spacing w:before="156"/>
            <w:ind w:firstLine="420"/>
            <w:rPr>
              <w:szCs w:val="21"/>
            </w:rPr>
          </w:pPr>
          <w:r>
            <w:rPr>
              <w:rFonts w:hint="eastAsia"/>
              <w:szCs w:val="21"/>
            </w:rPr>
            <w:t>所需支出不存在一个连续范围（或区间），或虽然存在一个连续范围但该范围内各种结果发生的可能性不相同的，如或有事项涉及单个项目的，则最佳估计数按照最可能发生金额确定；如或有事项涉及多个项目的，则最佳估计数按各种可能结果及相关概率计算确定。</w:t>
          </w:r>
        </w:p>
        <w:p w:rsidR="004A3868" w:rsidRDefault="003F1AB5">
          <w:pPr>
            <w:pStyle w:val="afff1"/>
            <w:spacing w:before="156"/>
            <w:ind w:firstLine="420"/>
            <w:rPr>
              <w:szCs w:val="21"/>
            </w:rPr>
          </w:pPr>
          <w:r>
            <w:rPr>
              <w:rFonts w:hint="eastAsia"/>
              <w:szCs w:val="21"/>
            </w:rPr>
            <w:t>本公司清偿预计负债所需支出全部或部分预期由第三方补偿的，补偿金额在基本确定能够收到时，作为资产单独确认，确认的补偿金额不超过预计负债的账面价值。</w:t>
          </w:r>
        </w:p>
      </w:sdtContent>
    </w:sdt>
    <w:p w:rsidR="004A3868" w:rsidRDefault="003F1AB5">
      <w:pPr>
        <w:pStyle w:val="Style12711"/>
      </w:pPr>
      <w:r>
        <w:rPr>
          <w:rFonts w:hint="eastAsia"/>
        </w:rPr>
        <w:t>股份支付</w:t>
      </w:r>
    </w:p>
    <w:sdt>
      <w:sdtPr>
        <w:rPr>
          <w:rFonts w:hint="eastAsia"/>
          <w:sz w:val="21"/>
          <w:szCs w:val="21"/>
        </w:rPr>
        <w:alias w:val="是否适用：股份支付_重要会计政策和估计[双击切换]"/>
        <w:tag w:val="_GBC_7741eb89da65434190830ba1cd87e4dc"/>
        <w:id w:val="-50196784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股份支付的核算方法"/>
        <w:tag w:val="_GBC_99e197c555ed4cf8aa00bbd5da2fe98b"/>
        <w:id w:val="536779551"/>
        <w:lock w:val="sdtLocked"/>
      </w:sdtPr>
      <w:sdtEndPr/>
      <w:sdtContent>
        <w:p w:rsidR="004A3868" w:rsidRDefault="003F1AB5">
          <w:pPr>
            <w:pStyle w:val="afff1"/>
            <w:spacing w:before="156"/>
            <w:ind w:firstLine="420"/>
            <w:rPr>
              <w:szCs w:val="21"/>
            </w:rPr>
          </w:pPr>
          <w:r>
            <w:rPr>
              <w:szCs w:val="21"/>
            </w:rPr>
            <w:t>(1</w:t>
          </w:r>
          <w:r>
            <w:rPr>
              <w:rFonts w:hint="eastAsia"/>
              <w:szCs w:val="21"/>
            </w:rPr>
            <w:t>)</w:t>
          </w:r>
          <w:r>
            <w:rPr>
              <w:szCs w:val="21"/>
            </w:rPr>
            <w:t>股份支付的种类</w:t>
          </w:r>
        </w:p>
        <w:p w:rsidR="004A3868" w:rsidRDefault="003F1AB5">
          <w:pPr>
            <w:pStyle w:val="afff1"/>
            <w:spacing w:before="156"/>
            <w:ind w:firstLine="420"/>
            <w:rPr>
              <w:szCs w:val="21"/>
            </w:rPr>
          </w:pPr>
          <w:r>
            <w:rPr>
              <w:rFonts w:hint="eastAsia"/>
              <w:szCs w:val="21"/>
            </w:rPr>
            <w:t>本公司的股份支付分为以权益结算的股份支付和以现金结算的股份支付。</w:t>
          </w:r>
        </w:p>
        <w:p w:rsidR="004A3868" w:rsidRDefault="003F1AB5">
          <w:pPr>
            <w:pStyle w:val="afff1"/>
            <w:spacing w:before="156"/>
            <w:ind w:firstLine="420"/>
            <w:rPr>
              <w:szCs w:val="21"/>
            </w:rPr>
          </w:pPr>
          <w:r>
            <w:rPr>
              <w:szCs w:val="21"/>
            </w:rPr>
            <w:t>(2</w:t>
          </w:r>
          <w:r>
            <w:rPr>
              <w:rFonts w:hint="eastAsia"/>
              <w:szCs w:val="21"/>
            </w:rPr>
            <w:t>)</w:t>
          </w:r>
          <w:r>
            <w:rPr>
              <w:szCs w:val="21"/>
            </w:rPr>
            <w:t>权益工具公允价值的确定方法</w:t>
          </w:r>
        </w:p>
        <w:p w:rsidR="004A3868" w:rsidRDefault="003F1AB5">
          <w:pPr>
            <w:pStyle w:val="afff1"/>
            <w:spacing w:before="156"/>
            <w:ind w:firstLine="420"/>
            <w:rPr>
              <w:szCs w:val="21"/>
            </w:rPr>
          </w:pPr>
          <w:r>
            <w:rPr>
              <w:rFonts w:hint="eastAsia"/>
              <w:szCs w:val="21"/>
            </w:rPr>
            <w:t>对于授予的存在活跃市场的期权等权益工具，按照活跃市场中的报价确定其公允价值。对于授予的不存在活跃市场的期权等权益工具，采用期权定价模型等确定其公允价值，选用的期权定</w:t>
          </w:r>
          <w:r>
            <w:rPr>
              <w:rFonts w:hint="eastAsia"/>
              <w:szCs w:val="21"/>
            </w:rPr>
            <w:lastRenderedPageBreak/>
            <w:t>价模型考虑以下因素：</w:t>
          </w:r>
        </w:p>
        <w:p w:rsidR="004A3868" w:rsidRDefault="003F1AB5">
          <w:pPr>
            <w:pStyle w:val="afff1"/>
            <w:spacing w:before="156"/>
            <w:ind w:firstLine="420"/>
            <w:rPr>
              <w:szCs w:val="21"/>
            </w:rPr>
          </w:pPr>
          <w:r>
            <w:rPr>
              <w:szCs w:val="21"/>
            </w:rPr>
            <w:t>1）期权的行权价格；</w:t>
          </w:r>
        </w:p>
        <w:p w:rsidR="004A3868" w:rsidRDefault="003F1AB5">
          <w:pPr>
            <w:pStyle w:val="afff1"/>
            <w:spacing w:before="156"/>
            <w:ind w:firstLine="420"/>
            <w:rPr>
              <w:szCs w:val="21"/>
            </w:rPr>
          </w:pPr>
          <w:r>
            <w:rPr>
              <w:szCs w:val="21"/>
            </w:rPr>
            <w:t>2）期权的有效期；</w:t>
          </w:r>
        </w:p>
        <w:p w:rsidR="004A3868" w:rsidRDefault="003F1AB5">
          <w:pPr>
            <w:pStyle w:val="afff1"/>
            <w:spacing w:before="156"/>
            <w:ind w:firstLine="420"/>
            <w:rPr>
              <w:szCs w:val="21"/>
            </w:rPr>
          </w:pPr>
          <w:r>
            <w:rPr>
              <w:szCs w:val="21"/>
            </w:rPr>
            <w:t>3）标的股份的现行价格；</w:t>
          </w:r>
        </w:p>
        <w:p w:rsidR="004A3868" w:rsidRDefault="003F1AB5">
          <w:pPr>
            <w:pStyle w:val="afff1"/>
            <w:spacing w:before="156"/>
            <w:ind w:firstLine="420"/>
            <w:rPr>
              <w:szCs w:val="21"/>
            </w:rPr>
          </w:pPr>
          <w:r>
            <w:rPr>
              <w:szCs w:val="21"/>
            </w:rPr>
            <w:t>4）股价预计波动率；</w:t>
          </w:r>
        </w:p>
        <w:p w:rsidR="004A3868" w:rsidRDefault="003F1AB5">
          <w:pPr>
            <w:pStyle w:val="afff1"/>
            <w:spacing w:before="156"/>
            <w:ind w:firstLine="420"/>
            <w:rPr>
              <w:szCs w:val="21"/>
            </w:rPr>
          </w:pPr>
          <w:r>
            <w:rPr>
              <w:szCs w:val="21"/>
            </w:rPr>
            <w:t>5）股份的预计股利；</w:t>
          </w:r>
        </w:p>
        <w:p w:rsidR="004A3868" w:rsidRDefault="003F1AB5">
          <w:pPr>
            <w:pStyle w:val="afff1"/>
            <w:spacing w:before="156"/>
            <w:ind w:firstLine="420"/>
            <w:rPr>
              <w:szCs w:val="21"/>
            </w:rPr>
          </w:pPr>
          <w:r>
            <w:rPr>
              <w:szCs w:val="21"/>
            </w:rPr>
            <w:t>6）期权有效期内的无风险利率。</w:t>
          </w:r>
        </w:p>
        <w:p w:rsidR="004A3868" w:rsidRDefault="003F1AB5">
          <w:pPr>
            <w:pStyle w:val="afff1"/>
            <w:spacing w:before="156"/>
            <w:ind w:firstLine="420"/>
            <w:rPr>
              <w:szCs w:val="21"/>
            </w:rPr>
          </w:pPr>
          <w:r>
            <w:rPr>
              <w:rFonts w:hint="eastAsia"/>
              <w:szCs w:val="21"/>
            </w:rPr>
            <w:t>在确定权益工具授予日的公允价值时，考虑股份支付协议规定的可行权条件中的市场条件和非可行权条件的影响。股份支付存在非可行权条件的，只要职工或其他方满足了所有可行权条件中的非市场条件（如服务期限等），即确认已得到服务相对应的成本费用。</w:t>
          </w:r>
        </w:p>
        <w:p w:rsidR="004A3868" w:rsidRDefault="003F1AB5">
          <w:pPr>
            <w:pStyle w:val="afff1"/>
            <w:spacing w:before="156"/>
            <w:ind w:firstLine="420"/>
            <w:rPr>
              <w:szCs w:val="21"/>
            </w:rPr>
          </w:pPr>
          <w:r>
            <w:rPr>
              <w:szCs w:val="21"/>
            </w:rPr>
            <w:t>(3</w:t>
          </w:r>
          <w:r>
            <w:rPr>
              <w:rFonts w:hint="eastAsia"/>
              <w:szCs w:val="21"/>
            </w:rPr>
            <w:t>)</w:t>
          </w:r>
          <w:r>
            <w:rPr>
              <w:szCs w:val="21"/>
            </w:rPr>
            <w:t>确定可行权权益工具最佳估计的依据</w:t>
          </w:r>
        </w:p>
        <w:p w:rsidR="004A3868" w:rsidRDefault="003F1AB5">
          <w:pPr>
            <w:pStyle w:val="afff1"/>
            <w:spacing w:before="156"/>
            <w:ind w:firstLine="420"/>
            <w:rPr>
              <w:szCs w:val="21"/>
            </w:rPr>
          </w:pPr>
          <w:r>
            <w:rPr>
              <w:rFonts w:hint="eastAsia"/>
              <w:szCs w:val="21"/>
            </w:rPr>
            <w:t>等待期内每个资产负债表日，根据最新取得的可行权职工人数变动等后续信息作出最佳估计，修正预计可行权的权益工具数量。在可行权日，最终预计可行权权益工具的数量与实际可行权数量一致。</w:t>
          </w:r>
        </w:p>
        <w:p w:rsidR="004A3868" w:rsidRDefault="003F1AB5">
          <w:pPr>
            <w:pStyle w:val="afff1"/>
            <w:spacing w:before="156"/>
            <w:ind w:firstLine="420"/>
            <w:rPr>
              <w:szCs w:val="21"/>
            </w:rPr>
          </w:pPr>
          <w:r>
            <w:rPr>
              <w:szCs w:val="21"/>
            </w:rPr>
            <w:t>(4</w:t>
          </w:r>
          <w:r>
            <w:rPr>
              <w:rFonts w:hint="eastAsia"/>
              <w:szCs w:val="21"/>
            </w:rPr>
            <w:t>)</w:t>
          </w:r>
          <w:r>
            <w:rPr>
              <w:szCs w:val="21"/>
            </w:rPr>
            <w:t>会计处理方法</w:t>
          </w:r>
        </w:p>
        <w:p w:rsidR="004A3868" w:rsidRDefault="003F1AB5">
          <w:pPr>
            <w:pStyle w:val="afff1"/>
            <w:spacing w:before="156"/>
            <w:ind w:firstLine="420"/>
            <w:rPr>
              <w:szCs w:val="21"/>
            </w:rPr>
          </w:pPr>
          <w:r>
            <w:rPr>
              <w:szCs w:val="21"/>
            </w:rPr>
            <w:t>1）权益结算和现金结算股份支付的会计处理</w:t>
          </w:r>
        </w:p>
        <w:p w:rsidR="004A3868" w:rsidRDefault="003F1AB5">
          <w:pPr>
            <w:pStyle w:val="afff1"/>
            <w:spacing w:before="156"/>
            <w:ind w:firstLine="420"/>
            <w:rPr>
              <w:szCs w:val="21"/>
            </w:rPr>
          </w:pPr>
          <w:r>
            <w:rPr>
              <w:rFonts w:hint="eastAsia"/>
              <w:szCs w:val="21"/>
            </w:rPr>
            <w:t>以权益结算的股份支付，按授予职工权益工具的公允价值计量。授予后立即可行权的，在授予日按照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rsidR="004A3868" w:rsidRDefault="003F1AB5">
          <w:pPr>
            <w:pStyle w:val="afff1"/>
            <w:spacing w:before="156"/>
            <w:ind w:firstLine="420"/>
            <w:rPr>
              <w:szCs w:val="21"/>
            </w:rPr>
          </w:pPr>
          <w:r>
            <w:rPr>
              <w:rFonts w:hint="eastAsia"/>
              <w:szCs w:val="21"/>
            </w:rPr>
            <w:t>以现金结算的股份支付，按照本公司承担的以股份或其他权益工具为基础计算确定的负债的公允价值计量。授予后立即可行权的，在授予日以本公司承担负债的公允价值计入相关成本或费用，相应增加负债。在完成等待期内的服务或达到规定业绩条件以后才可行权的以现金结算的股份支付，在等待期内的每个资产负债表日，以对可行权情况的最佳估计为基础，按照本公司承担</w:t>
          </w:r>
          <w:r>
            <w:rPr>
              <w:rFonts w:hint="eastAsia"/>
              <w:szCs w:val="21"/>
            </w:rPr>
            <w:lastRenderedPageBreak/>
            <w:t>负债的公允价值金额，将当期取得的服务计入成本或费用和相应的负债。在相关负债结算前的每个资产负债表日以及结算日，对负债的公允价值重新计量，其变动计入当期损益。</w:t>
          </w:r>
        </w:p>
        <w:p w:rsidR="004A3868" w:rsidRDefault="003F1AB5">
          <w:pPr>
            <w:pStyle w:val="afff1"/>
            <w:spacing w:before="156"/>
            <w:ind w:firstLine="420"/>
            <w:rPr>
              <w:szCs w:val="21"/>
            </w:rPr>
          </w:pPr>
          <w:r>
            <w:rPr>
              <w:szCs w:val="21"/>
            </w:rPr>
            <w:t>2）股份支付条款和条件修改的会计处理</w:t>
          </w:r>
        </w:p>
        <w:p w:rsidR="004A3868" w:rsidRDefault="003F1AB5">
          <w:pPr>
            <w:pStyle w:val="afff1"/>
            <w:spacing w:before="156"/>
            <w:ind w:firstLine="420"/>
            <w:rPr>
              <w:szCs w:val="21"/>
            </w:rPr>
          </w:pPr>
          <w:r>
            <w:rPr>
              <w:rFonts w:hint="eastAsia"/>
              <w:szCs w:val="21"/>
            </w:rPr>
            <w:t>对于不利修改，本公司视同该变更从未发生，仍继续对取得的服务进行会计处理。</w:t>
          </w:r>
        </w:p>
        <w:p w:rsidR="004A3868" w:rsidRDefault="003F1AB5">
          <w:pPr>
            <w:pStyle w:val="afff1"/>
            <w:spacing w:before="156"/>
            <w:ind w:firstLine="420"/>
            <w:rPr>
              <w:szCs w:val="21"/>
            </w:rPr>
          </w:pPr>
          <w:r>
            <w:rPr>
              <w:rFonts w:hint="eastAsia"/>
              <w:szCs w:val="21"/>
            </w:rPr>
            <w:t>对于有利修改，本公司按照如下规定进行处理：如果修改增加了所授予的权益工具的公允价值，企业应按照权益工具公允价值的增加相应地确认取得服务的增加。如果修改发生在等待期内，在确认修改日至修改后的可行权日之间取得服务的公允价值时，应当既包括在剩余原等待期内以原权益工具授予日公允价值为基础确定的服务金额，也包括权益工具公允价值的增加。如果修改发生在可行权日之后，应当立即确认权益工具公允价值的增加。如果股份支付协议要求职工只有先完成更长期间的服务才能取得修改后的权益工具，则企业应在整个等待期内确认权益工具公允价值的增加。</w:t>
          </w:r>
        </w:p>
        <w:p w:rsidR="004A3868" w:rsidRDefault="003F1AB5">
          <w:pPr>
            <w:pStyle w:val="afff1"/>
            <w:spacing w:before="156"/>
            <w:ind w:firstLine="420"/>
            <w:rPr>
              <w:szCs w:val="21"/>
            </w:rPr>
          </w:pPr>
          <w:r>
            <w:rPr>
              <w:rFonts w:hint="eastAsia"/>
              <w:szCs w:val="21"/>
            </w:rPr>
            <w:t>如果修改增加了所授予的权益工具的数量，企业将增加的权益工具的公允价值相应地确认为取得服务的增加。如果修改发生在等待期内，在确认修改日至增加的权益工具可行权日之间取得服务的公允价值时，应当既包括在剩余原等待期内以原权益工具授予日公允价值为基础确定的服务金额，也包括权益工具公允价值的增加。</w:t>
          </w:r>
        </w:p>
        <w:p w:rsidR="004A3868" w:rsidRDefault="003F1AB5">
          <w:pPr>
            <w:pStyle w:val="afff1"/>
            <w:spacing w:before="156"/>
            <w:ind w:firstLine="420"/>
            <w:rPr>
              <w:szCs w:val="21"/>
            </w:rPr>
          </w:pPr>
          <w:r>
            <w:rPr>
              <w:rFonts w:hint="eastAsia"/>
              <w:szCs w:val="21"/>
            </w:rPr>
            <w:t>如果企业按照有利于职工的方式修改可行权条件，如缩短等待期、变更或取消业绩条件（而非市场条件），企业在处理可行权条件时，应当考虑修改后的可行权条件。</w:t>
          </w:r>
        </w:p>
        <w:p w:rsidR="004A3868" w:rsidRDefault="003F1AB5">
          <w:pPr>
            <w:pStyle w:val="afff1"/>
            <w:spacing w:before="156"/>
            <w:ind w:firstLine="420"/>
            <w:rPr>
              <w:szCs w:val="21"/>
            </w:rPr>
          </w:pPr>
          <w:r>
            <w:rPr>
              <w:szCs w:val="21"/>
            </w:rPr>
            <w:t>3）股份支付取消的会计处理</w:t>
          </w:r>
        </w:p>
        <w:p w:rsidR="004A3868" w:rsidRDefault="003F1AB5">
          <w:pPr>
            <w:pStyle w:val="afff1"/>
            <w:spacing w:before="156"/>
            <w:ind w:firstLine="420"/>
            <w:rPr>
              <w:szCs w:val="21"/>
            </w:rPr>
          </w:pPr>
          <w:r>
            <w:rPr>
              <w:rFonts w:hint="eastAsia"/>
              <w:szCs w:val="21"/>
            </w:rPr>
            <w:t>若在等待期内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p w:rsidR="004A3868" w:rsidRDefault="003F1AB5">
      <w:pPr>
        <w:pStyle w:val="Style12711"/>
      </w:pPr>
      <w:r>
        <w:rPr>
          <w:rFonts w:hint="eastAsia"/>
        </w:rPr>
        <w:t>优先股、永续债等其他金融工具</w:t>
      </w:r>
    </w:p>
    <w:sdt>
      <w:sdtPr>
        <w:rPr>
          <w:rFonts w:hint="eastAsia"/>
          <w:sz w:val="21"/>
          <w:szCs w:val="21"/>
        </w:rPr>
        <w:alias w:val="是否适用：优先股、永续债等其他金融工具[双击切换]"/>
        <w:tag w:val="_GBC_00e1aed4ff2c40d6bda73971e87d6eb8"/>
        <w:id w:val="132632429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收入</w:t>
      </w:r>
    </w:p>
    <w:p w:rsidR="004A3868" w:rsidRDefault="003F1AB5">
      <w:pPr>
        <w:pStyle w:val="Style128"/>
      </w:pPr>
      <w:r>
        <w:rPr>
          <w:rFonts w:hint="eastAsia"/>
        </w:rPr>
        <w:t>按照业务类型披露收入确认和计量所采用的会计政策</w:t>
      </w:r>
    </w:p>
    <w:bookmarkStart w:id="131" w:name="_Hlk533668053" w:displacedByCustomXml="next"/>
    <w:sdt>
      <w:sdtPr>
        <w:alias w:val="是否适用：收入确认和计量所采用的会计政策[双击切换]"/>
        <w:tag w:val="_GBC_58b9f76eca7b4d9d8e5c5dfd0fba5c09"/>
        <w:id w:val="-1497878301"/>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收入确认和计量所采用的会计政策"/>
        <w:tag w:val="_GBC_9ba2713a8f0a44ef9a4ee890aa13e0fb"/>
        <w:id w:val="-827509989"/>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w:t>
          </w:r>
          <w:r>
            <w:rPr>
              <w:szCs w:val="21"/>
            </w:rPr>
            <w:t>1）本公司的收入主要来源于如下业务类型：</w:t>
          </w:r>
        </w:p>
        <w:p w:rsidR="004A3868" w:rsidRDefault="003F1AB5">
          <w:pPr>
            <w:pStyle w:val="afff1"/>
            <w:spacing w:before="156"/>
            <w:ind w:firstLine="420"/>
            <w:rPr>
              <w:szCs w:val="21"/>
            </w:rPr>
          </w:pPr>
          <w:r>
            <w:rPr>
              <w:szCs w:val="21"/>
            </w:rPr>
            <w:lastRenderedPageBreak/>
            <w:t>1）销售输配电及控制设备；</w:t>
          </w:r>
        </w:p>
        <w:p w:rsidR="004A3868" w:rsidRDefault="003F1AB5">
          <w:pPr>
            <w:pStyle w:val="afff1"/>
            <w:spacing w:before="156"/>
            <w:ind w:firstLine="420"/>
            <w:rPr>
              <w:szCs w:val="21"/>
            </w:rPr>
          </w:pPr>
          <w:r>
            <w:rPr>
              <w:szCs w:val="21"/>
            </w:rPr>
            <w:t>2）销售取向硅钢</w:t>
          </w:r>
          <w:r>
            <w:rPr>
              <w:rFonts w:hint="eastAsia"/>
              <w:szCs w:val="21"/>
            </w:rPr>
            <w:t>。</w:t>
          </w:r>
        </w:p>
        <w:p w:rsidR="004A3868" w:rsidRDefault="003F1AB5">
          <w:pPr>
            <w:pStyle w:val="afff1"/>
            <w:spacing w:before="156"/>
            <w:ind w:firstLine="420"/>
            <w:rPr>
              <w:szCs w:val="21"/>
            </w:rPr>
          </w:pPr>
          <w:r>
            <w:rPr>
              <w:rFonts w:hint="eastAsia"/>
              <w:szCs w:val="21"/>
            </w:rPr>
            <w:t>（</w:t>
          </w:r>
          <w:r>
            <w:rPr>
              <w:szCs w:val="21"/>
            </w:rPr>
            <w:t>2）收入确认的一般原则</w:t>
          </w:r>
        </w:p>
        <w:p w:rsidR="004A3868" w:rsidRDefault="003F1AB5">
          <w:pPr>
            <w:pStyle w:val="afff1"/>
            <w:spacing w:before="156"/>
            <w:ind w:firstLine="420"/>
            <w:rPr>
              <w:szCs w:val="21"/>
            </w:rPr>
          </w:pPr>
          <w:r>
            <w:rPr>
              <w:rFonts w:hint="eastAsia"/>
              <w:szCs w:val="21"/>
            </w:rPr>
            <w:t>本公司在履行了合同中的履约义务，即在客户取得相关商品或服务控制权时，按照分摊至该项履约义务的交易价格确认收入。履约义务，是指合同中本公司向客户转让可明确区分商品或服务的承诺。取得相关商品控制权，是指能够主导该商品的使用并从中获得几乎全部的经济利益。</w:t>
          </w:r>
        </w:p>
        <w:p w:rsidR="004A3868" w:rsidRDefault="003F1AB5">
          <w:pPr>
            <w:pStyle w:val="afff1"/>
            <w:spacing w:before="156"/>
            <w:ind w:firstLine="420"/>
            <w:rPr>
              <w:szCs w:val="21"/>
            </w:rPr>
          </w:pPr>
          <w:r>
            <w:rPr>
              <w:rFonts w:hint="eastAsia"/>
              <w:szCs w:val="21"/>
            </w:rPr>
            <w:t>本公司在合同开始日即对合同进行评估，识别该合同所包含的各单项履约义务，并确定各单项履约义务是在某一时段内履行，还是某一时点履行。满足下列条件之一的，属于在某一时间段内履行的履约义务，本公司按照履约进度，在一段时间内确认收入：</w:t>
          </w:r>
          <w:r>
            <w:rPr>
              <w:szCs w:val="21"/>
            </w:rPr>
            <w:t>1)客户在本公司履约的同时即取得并消耗本公司履约所带来的经济利益；2)客户能够控制本公司履约过程中在建的商品；3)本公司履约过程中所产出的商品具有不可替代用途，且本公司在整个合同期间内有权就累计至今已完成的履约部分收取款项。否则，本公司在客户取得相关商品或服务控制权的时点确认收入。</w:t>
          </w:r>
        </w:p>
        <w:p w:rsidR="004A3868" w:rsidRDefault="003F1AB5">
          <w:pPr>
            <w:pStyle w:val="afff1"/>
            <w:spacing w:before="156"/>
            <w:ind w:firstLine="420"/>
            <w:rPr>
              <w:szCs w:val="21"/>
            </w:rPr>
          </w:pPr>
          <w:r>
            <w:rPr>
              <w:rFonts w:hint="eastAsia"/>
              <w:szCs w:val="21"/>
            </w:rPr>
            <w:t>对于在某一时段内履行的履约义务，本公司根据商品和劳务的性质，采用产出法确定恰当的履约进度。产出法是根据已转移给客户的商品对于客户的价值确定履约进度。当履约进度不能合理确定时，已经发生的成本预计能够得到补偿的，本公司按照已经发生的成本金额确认收入，直到履约进度能够合理确定为止。</w:t>
          </w:r>
        </w:p>
        <w:p w:rsidR="004A3868" w:rsidRDefault="003F1AB5">
          <w:pPr>
            <w:pStyle w:val="afff1"/>
            <w:spacing w:before="156"/>
            <w:ind w:firstLine="420"/>
            <w:rPr>
              <w:szCs w:val="21"/>
            </w:rPr>
          </w:pPr>
          <w:r>
            <w:rPr>
              <w:rFonts w:hint="eastAsia"/>
              <w:szCs w:val="21"/>
            </w:rPr>
            <w:t>（</w:t>
          </w:r>
          <w:r>
            <w:rPr>
              <w:szCs w:val="21"/>
            </w:rPr>
            <w:t>3）收入确认的具体方法</w:t>
          </w:r>
        </w:p>
        <w:p w:rsidR="004A3868" w:rsidRDefault="003F1AB5">
          <w:pPr>
            <w:pStyle w:val="afff1"/>
            <w:spacing w:before="156"/>
            <w:ind w:firstLine="420"/>
            <w:rPr>
              <w:szCs w:val="21"/>
            </w:rPr>
          </w:pPr>
          <w:r>
            <w:rPr>
              <w:rFonts w:hint="eastAsia"/>
              <w:szCs w:val="21"/>
            </w:rPr>
            <w:t>本公司主要销售输配电及控制设备和取向硅钢，属于在某一时点履约合同，产品销售收入具体确认原则如下：</w:t>
          </w:r>
        </w:p>
        <w:p w:rsidR="004A3868" w:rsidRDefault="003F1AB5">
          <w:pPr>
            <w:pStyle w:val="afff1"/>
            <w:spacing w:before="156"/>
            <w:ind w:firstLine="420"/>
            <w:rPr>
              <w:szCs w:val="21"/>
            </w:rPr>
          </w:pPr>
          <w:r>
            <w:rPr>
              <w:szCs w:val="21"/>
            </w:rPr>
            <w:t>1）境内商品销售收入确认具体原则</w:t>
          </w:r>
        </w:p>
        <w:p w:rsidR="004A3868" w:rsidRDefault="003F1AB5">
          <w:pPr>
            <w:pStyle w:val="afff1"/>
            <w:spacing w:before="156"/>
            <w:ind w:firstLine="420"/>
            <w:rPr>
              <w:szCs w:val="21"/>
            </w:rPr>
          </w:pPr>
          <w:r>
            <w:rPr>
              <w:rFonts w:hint="eastAsia"/>
              <w:szCs w:val="21"/>
            </w:rPr>
            <w:t>公司根据合同约定或订单要求将产品交付给购货方，并获得购货方验收确认后，已将商品的控制权转移给购货方时确认收入。</w:t>
          </w:r>
        </w:p>
        <w:p w:rsidR="004A3868" w:rsidRDefault="003F1AB5">
          <w:pPr>
            <w:pStyle w:val="afff1"/>
            <w:spacing w:before="156"/>
            <w:ind w:firstLine="420"/>
            <w:rPr>
              <w:szCs w:val="21"/>
            </w:rPr>
          </w:pPr>
          <w:r>
            <w:rPr>
              <w:szCs w:val="21"/>
            </w:rPr>
            <w:t>2）境外商品销售收入确认具体原则</w:t>
          </w:r>
        </w:p>
        <w:p w:rsidR="004A3868" w:rsidRDefault="003F1AB5">
          <w:pPr>
            <w:pStyle w:val="afff1"/>
            <w:spacing w:before="156"/>
            <w:ind w:firstLine="420"/>
            <w:rPr>
              <w:szCs w:val="21"/>
            </w:rPr>
          </w:pPr>
          <w:r>
            <w:rPr>
              <w:rFonts w:hint="eastAsia"/>
              <w:szCs w:val="21"/>
            </w:rPr>
            <w:t>公司在将货物交付承运方并完成报关出口时，按照出口报关单出口日期作为控制权转移的时点，确认销售收入。</w:t>
          </w:r>
        </w:p>
        <w:p w:rsidR="004A3868" w:rsidRDefault="003F1AB5">
          <w:pPr>
            <w:pStyle w:val="afff1"/>
            <w:spacing w:before="156"/>
            <w:ind w:firstLine="420"/>
            <w:rPr>
              <w:szCs w:val="21"/>
            </w:rPr>
          </w:pPr>
          <w:r>
            <w:rPr>
              <w:rFonts w:hint="eastAsia"/>
              <w:szCs w:val="21"/>
            </w:rPr>
            <w:lastRenderedPageBreak/>
            <w:t>（</w:t>
          </w:r>
          <w:r>
            <w:rPr>
              <w:szCs w:val="21"/>
            </w:rPr>
            <w:t>4）特定交易的收入处理原则</w:t>
          </w:r>
        </w:p>
        <w:p w:rsidR="004A3868" w:rsidRDefault="003F1AB5">
          <w:pPr>
            <w:pStyle w:val="afff1"/>
            <w:spacing w:before="156"/>
            <w:ind w:firstLine="420"/>
            <w:rPr>
              <w:szCs w:val="21"/>
            </w:rPr>
          </w:pPr>
          <w:r>
            <w:rPr>
              <w:szCs w:val="21"/>
            </w:rPr>
            <w:t>1）附有销售退回条款的合同</w:t>
          </w:r>
        </w:p>
        <w:p w:rsidR="004A3868" w:rsidRDefault="003F1AB5">
          <w:pPr>
            <w:pStyle w:val="afff1"/>
            <w:spacing w:before="156"/>
            <w:ind w:firstLine="420"/>
            <w:rPr>
              <w:szCs w:val="21"/>
            </w:rPr>
          </w:pPr>
          <w:r>
            <w:rPr>
              <w:rFonts w:hint="eastAsia"/>
              <w:szCs w:val="21"/>
            </w:rPr>
            <w:t>对于附有销售退回条款的销售，本公司在客户取得相关商品控制权时，按照因向客户转让商品而预期有权收取的对价金额</w:t>
          </w:r>
          <w:r>
            <w:rPr>
              <w:szCs w:val="21"/>
            </w:rPr>
            <w:t>(即，不包含预期因销售退回将退还的金额)确认收入，按照预期因销售退回将退还的金额确认负债；同时，按照预期将退回商品转让时的账面价值，扣除收回该商品预计发生的成本(包括退回商品的价值减损)后的余额，确认为一项资产，按照所转让商品转让时的账面价值，扣除上述资产成本的净额结转成本。</w:t>
          </w:r>
        </w:p>
        <w:p w:rsidR="004A3868" w:rsidRDefault="003F1AB5">
          <w:pPr>
            <w:pStyle w:val="afff1"/>
            <w:spacing w:before="156"/>
            <w:ind w:firstLine="420"/>
            <w:rPr>
              <w:szCs w:val="21"/>
            </w:rPr>
          </w:pPr>
          <w:r>
            <w:rPr>
              <w:szCs w:val="21"/>
            </w:rPr>
            <w:t>2）附有质量保证条款的合同</w:t>
          </w:r>
        </w:p>
        <w:p w:rsidR="004A3868" w:rsidRDefault="003F1AB5">
          <w:pPr>
            <w:pStyle w:val="afff1"/>
            <w:spacing w:before="156"/>
            <w:ind w:firstLine="420"/>
            <w:rPr>
              <w:szCs w:val="21"/>
            </w:rPr>
          </w:pPr>
          <w:r>
            <w:rPr>
              <w:rFonts w:hint="eastAsia"/>
              <w:szCs w:val="21"/>
            </w:rPr>
            <w:t>对于附有质量保证条款的销售，如果该质量保证在向客户保证所销售商品或服务符合既定标准之外提供了一项单独的服务，该质量保证构成单项履约义务。否则，本公司按照《企业会计准则第</w:t>
          </w:r>
          <w:r>
            <w:rPr>
              <w:szCs w:val="21"/>
            </w:rPr>
            <w:t>13号——或有事项》规定对质量保证责任进行会计处理</w:t>
          </w:r>
        </w:p>
        <w:p w:rsidR="004A3868" w:rsidRDefault="003F1AB5">
          <w:pPr>
            <w:pStyle w:val="afff1"/>
            <w:spacing w:before="156"/>
            <w:ind w:firstLine="420"/>
            <w:rPr>
              <w:szCs w:val="21"/>
            </w:rPr>
          </w:pPr>
          <w:r>
            <w:rPr>
              <w:szCs w:val="21"/>
            </w:rPr>
            <w:t>3）主要责任人和代理人</w:t>
          </w:r>
        </w:p>
        <w:p w:rsidR="004A3868" w:rsidRDefault="003F1AB5">
          <w:pPr>
            <w:pStyle w:val="afff1"/>
            <w:spacing w:before="156"/>
            <w:ind w:firstLine="420"/>
            <w:rPr>
              <w:szCs w:val="21"/>
            </w:rPr>
          </w:pPr>
          <w:r>
            <w:rPr>
              <w:rFonts w:hint="eastAsia"/>
              <w:szCs w:val="21"/>
            </w:rPr>
            <w:t>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该金额按照已收或应收对价总额扣除应支付给其他相关方的价款后的净额确定。</w:t>
          </w:r>
        </w:p>
      </w:sdtContent>
    </w:sdt>
    <w:bookmarkEnd w:id="131"/>
    <w:p w:rsidR="004A3868" w:rsidRDefault="003F1AB5">
      <w:pPr>
        <w:pStyle w:val="Style128"/>
      </w:pPr>
      <w:r>
        <w:rPr>
          <w:rFonts w:hint="eastAsia"/>
        </w:rPr>
        <w:t>同类业务采用不同经营模式涉及</w:t>
      </w:r>
      <w:r>
        <w:t>不同收入确认方式及计量方法</w:t>
      </w:r>
    </w:p>
    <w:bookmarkStart w:id="132" w:name="_Hlk533668087" w:displacedByCustomXml="next"/>
    <w:sdt>
      <w:sdtPr>
        <w:rPr>
          <w:sz w:val="21"/>
          <w:szCs w:val="21"/>
        </w:rPr>
        <w:alias w:val="是否适用：同类业务采用不同经营模式导致收入确认会计政策存在差异的情况[双击切换]"/>
        <w:tag w:val="_GBC_778cfed951bb4cf4997e2d67e4b1e3a9"/>
        <w:id w:val="-27525734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32"/>
    <w:p w:rsidR="004A3868" w:rsidRDefault="003F1AB5">
      <w:pPr>
        <w:pStyle w:val="Style12711"/>
      </w:pPr>
      <w:r>
        <w:rPr>
          <w:rFonts w:hint="eastAsia"/>
        </w:rPr>
        <w:t>合同成本</w:t>
      </w:r>
    </w:p>
    <w:bookmarkStart w:id="133" w:name="_Hlk533668133" w:displacedByCustomXml="next"/>
    <w:sdt>
      <w:sdtPr>
        <w:alias w:val="是否适用：合同成本_重要会计政策和估计[双击切换]"/>
        <w:tag w:val="_GBC_c5b4accd569d48e8a81ed05eb0bf64fb"/>
        <w:id w:val="589739355"/>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合同成本_重要会计政策和估计"/>
        <w:tag w:val="_GBC_74258d199b3d4540b8df00b35751b505"/>
        <w:id w:val="-877694982"/>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w:t>
          </w:r>
          <w:r>
            <w:rPr>
              <w:szCs w:val="21"/>
            </w:rPr>
            <w:t>1）合同履约成本</w:t>
          </w:r>
        </w:p>
        <w:p w:rsidR="004A3868" w:rsidRDefault="003F1AB5">
          <w:pPr>
            <w:pStyle w:val="afff1"/>
            <w:spacing w:before="156"/>
            <w:ind w:firstLine="420"/>
            <w:rPr>
              <w:szCs w:val="21"/>
            </w:rPr>
          </w:pPr>
          <w:r>
            <w:rPr>
              <w:rFonts w:hint="eastAsia"/>
              <w:szCs w:val="21"/>
            </w:rPr>
            <w:t>本公司对于为履行合同发生的成本，不属于除收入准则外的其他企业会计准则范围且同时满足下列条件的作为合同履约成本确认为一项资产：</w:t>
          </w:r>
        </w:p>
        <w:p w:rsidR="004A3868" w:rsidRDefault="003F1AB5">
          <w:pPr>
            <w:pStyle w:val="afff1"/>
            <w:spacing w:before="156"/>
            <w:ind w:firstLine="420"/>
            <w:rPr>
              <w:szCs w:val="21"/>
            </w:rPr>
          </w:pPr>
          <w:r>
            <w:rPr>
              <w:szCs w:val="21"/>
            </w:rPr>
            <w:t>1）该成本与一份当前或预期取得的合同直接相关，包括直接人工、直接材料、制造费用（或类似费用）、明确由客户承担的成本以及仅因该合同而发生的其他成本；</w:t>
          </w:r>
        </w:p>
        <w:p w:rsidR="004A3868" w:rsidRDefault="003F1AB5">
          <w:pPr>
            <w:pStyle w:val="afff1"/>
            <w:spacing w:before="156"/>
            <w:ind w:firstLine="420"/>
            <w:rPr>
              <w:szCs w:val="21"/>
            </w:rPr>
          </w:pPr>
          <w:r>
            <w:rPr>
              <w:szCs w:val="21"/>
            </w:rPr>
            <w:t>2）该成本增加了企业未来用于履行履约义务的资源。</w:t>
          </w:r>
        </w:p>
        <w:p w:rsidR="004A3868" w:rsidRDefault="003F1AB5">
          <w:pPr>
            <w:pStyle w:val="afff1"/>
            <w:spacing w:before="156"/>
            <w:ind w:firstLine="420"/>
            <w:rPr>
              <w:szCs w:val="21"/>
            </w:rPr>
          </w:pPr>
          <w:r>
            <w:rPr>
              <w:szCs w:val="21"/>
            </w:rPr>
            <w:lastRenderedPageBreak/>
            <w:t>3）该成本预期能够收回。</w:t>
          </w:r>
        </w:p>
        <w:p w:rsidR="004A3868" w:rsidRDefault="003F1AB5">
          <w:pPr>
            <w:pStyle w:val="afff1"/>
            <w:spacing w:before="156"/>
            <w:ind w:firstLine="420"/>
            <w:rPr>
              <w:szCs w:val="21"/>
            </w:rPr>
          </w:pPr>
          <w:r>
            <w:rPr>
              <w:rFonts w:hint="eastAsia"/>
              <w:szCs w:val="21"/>
            </w:rPr>
            <w:t>该资产根据其初始确认时摊销期限是否超过一个正常营业周期在存货或其他非流动资产中列报。</w:t>
          </w:r>
        </w:p>
        <w:p w:rsidR="004A3868" w:rsidRDefault="003F1AB5">
          <w:pPr>
            <w:pStyle w:val="afff1"/>
            <w:spacing w:before="156"/>
            <w:ind w:firstLine="420"/>
            <w:rPr>
              <w:szCs w:val="21"/>
            </w:rPr>
          </w:pPr>
          <w:r>
            <w:rPr>
              <w:rFonts w:hint="eastAsia"/>
              <w:szCs w:val="21"/>
            </w:rPr>
            <w:t>（</w:t>
          </w:r>
          <w:r>
            <w:rPr>
              <w:szCs w:val="21"/>
            </w:rPr>
            <w:t>2）合同取得成本</w:t>
          </w:r>
        </w:p>
        <w:p w:rsidR="004A3868" w:rsidRDefault="003F1AB5">
          <w:pPr>
            <w:pStyle w:val="afff1"/>
            <w:spacing w:before="156"/>
            <w:ind w:firstLine="420"/>
            <w:rPr>
              <w:szCs w:val="21"/>
            </w:rPr>
          </w:pPr>
          <w:r>
            <w:rPr>
              <w:rFonts w:hint="eastAsia"/>
              <w:szCs w:val="21"/>
            </w:rPr>
            <w:t>本公司为取得合同发生的增量成本预期能够收回的，作为合同取得成本确认为一项资产。增量成本是指本公司不取得合同就不会发生的成本，如销售佣金等。对于摊销期限不超过一年的，在发生时计入当期损益。</w:t>
          </w:r>
        </w:p>
        <w:p w:rsidR="004A3868" w:rsidRDefault="003F1AB5">
          <w:pPr>
            <w:pStyle w:val="afff1"/>
            <w:spacing w:before="156"/>
            <w:ind w:firstLine="420"/>
            <w:rPr>
              <w:szCs w:val="21"/>
            </w:rPr>
          </w:pPr>
          <w:r>
            <w:rPr>
              <w:rFonts w:hint="eastAsia"/>
              <w:szCs w:val="21"/>
            </w:rPr>
            <w:t>（</w:t>
          </w:r>
          <w:r>
            <w:rPr>
              <w:szCs w:val="21"/>
            </w:rPr>
            <w:t>3）合同成本摊销</w:t>
          </w:r>
        </w:p>
        <w:p w:rsidR="004A3868" w:rsidRDefault="003F1AB5">
          <w:pPr>
            <w:pStyle w:val="afff1"/>
            <w:spacing w:before="156"/>
            <w:ind w:firstLine="420"/>
            <w:rPr>
              <w:szCs w:val="21"/>
            </w:rPr>
          </w:pPr>
          <w:r>
            <w:rPr>
              <w:rFonts w:hint="eastAsia"/>
              <w:szCs w:val="21"/>
            </w:rPr>
            <w:t>上述与合同成本有关的资产，采用与该资产相关的商品或服务收入确认相同的基础，在履约义务履行的时点或按照履约义务的履约进度进行摊销，计入当期损益。</w:t>
          </w:r>
        </w:p>
        <w:p w:rsidR="004A3868" w:rsidRDefault="003F1AB5">
          <w:pPr>
            <w:pStyle w:val="afff1"/>
            <w:spacing w:before="156"/>
            <w:ind w:firstLine="420"/>
            <w:rPr>
              <w:szCs w:val="21"/>
            </w:rPr>
          </w:pPr>
          <w:r>
            <w:rPr>
              <w:rFonts w:hint="eastAsia"/>
              <w:szCs w:val="21"/>
            </w:rPr>
            <w:t>（</w:t>
          </w:r>
          <w:r>
            <w:rPr>
              <w:szCs w:val="21"/>
            </w:rPr>
            <w:t>4）合同成本减值</w:t>
          </w:r>
        </w:p>
        <w:p w:rsidR="004A3868" w:rsidRDefault="003F1AB5">
          <w:pPr>
            <w:pStyle w:val="afff1"/>
            <w:spacing w:before="156"/>
            <w:ind w:firstLine="420"/>
            <w:rPr>
              <w:szCs w:val="21"/>
            </w:rPr>
          </w:pPr>
          <w:r>
            <w:rPr>
              <w:rFonts w:hint="eastAsia"/>
              <w:szCs w:val="21"/>
            </w:rPr>
            <w:t>上述与合同成本有关的资产，账面价值高于本公司因转让与该资产相关的商品预期能够取得剩余对价与为转让该相关商品估计将要发生的成本的差额的，超出部分应当计提减值准备，并确认为资产减值损失。</w:t>
          </w:r>
        </w:p>
        <w:p w:rsidR="004A3868" w:rsidRDefault="003F1AB5">
          <w:pPr>
            <w:pStyle w:val="afff1"/>
            <w:spacing w:before="156"/>
            <w:ind w:firstLine="420"/>
            <w:rPr>
              <w:szCs w:val="21"/>
            </w:rPr>
          </w:pPr>
          <w:r>
            <w:rPr>
              <w:rFonts w:hint="eastAsia"/>
              <w:szCs w:val="21"/>
            </w:rPr>
            <w:t>计提减值准备后，如果以前期间减值的因素发生变化，使得上述两项差额高于该资产账面价值的，转回原已计提的资产减值准备，并计入当期损益，但转回后的资产账面价值不超过假定不计提减值准备情况下该资产在转回日的账面价值。</w:t>
          </w:r>
        </w:p>
      </w:sdtContent>
    </w:sdt>
    <w:bookmarkEnd w:id="133"/>
    <w:p w:rsidR="004A3868" w:rsidRDefault="003F1AB5">
      <w:pPr>
        <w:pStyle w:val="Style12711"/>
      </w:pPr>
      <w:r>
        <w:t>政府补助</w:t>
      </w:r>
    </w:p>
    <w:bookmarkStart w:id="134" w:name="_Hlk533668149" w:displacedByCustomXml="next"/>
    <w:sdt>
      <w:sdtPr>
        <w:alias w:val="是否适用：政府补助_重要会计政策和估计[双击切换]"/>
        <w:tag w:val="_GBC_d8ac76c6a68c49fb952fadc0e46c9ef4"/>
        <w:id w:val="879756617"/>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政府补助_重要会计政策和估计"/>
        <w:tag w:val="_GBC_cbcbe4da2edd4cf1b6108f1c89e035f7"/>
        <w:id w:val="-48770243"/>
        <w:placeholder>
          <w:docPart w:val="GBC22222222222222222222222222222"/>
        </w:placeholder>
      </w:sdtPr>
      <w:sdtEndPr/>
      <w:sdtContent>
        <w:p w:rsidR="004A3868" w:rsidRDefault="003F1AB5">
          <w:pPr>
            <w:pStyle w:val="afff1"/>
            <w:spacing w:before="156"/>
            <w:ind w:firstLine="420"/>
            <w:rPr>
              <w:szCs w:val="21"/>
            </w:rPr>
          </w:pPr>
          <w:r>
            <w:rPr>
              <w:szCs w:val="21"/>
            </w:rPr>
            <w:t>(1)类型</w:t>
          </w:r>
        </w:p>
        <w:p w:rsidR="004A3868" w:rsidRDefault="003F1AB5">
          <w:pPr>
            <w:pStyle w:val="afff1"/>
            <w:spacing w:before="156"/>
            <w:ind w:firstLine="420"/>
            <w:rPr>
              <w:szCs w:val="21"/>
            </w:rPr>
          </w:pPr>
          <w:r>
            <w:rPr>
              <w:rFonts w:hint="eastAsia"/>
              <w:szCs w:val="21"/>
            </w:rPr>
            <w:t>政府补助，是本公司从政府无偿取得的货币性资产与非货币性资产。根据相关政府文件规定的补助对象，将政府补助划分为与资产相关的政府补助和与收益相关的政府补助。</w:t>
          </w:r>
        </w:p>
        <w:p w:rsidR="004A3868" w:rsidRDefault="003F1AB5">
          <w:pPr>
            <w:pStyle w:val="afff1"/>
            <w:spacing w:before="156"/>
            <w:ind w:firstLine="420"/>
            <w:rPr>
              <w:szCs w:val="21"/>
            </w:rPr>
          </w:pPr>
          <w:r>
            <w:rPr>
              <w:rFonts w:hint="eastAsia"/>
              <w:szCs w:val="21"/>
            </w:rPr>
            <w:t>与资产相关的政府补助，是指本公司取得的、用于购建或以其他方式形成长期资产的政府补助。与收益相关的政府补助，是指除与资产相关的政府补助之外的政府补助。</w:t>
          </w:r>
        </w:p>
        <w:p w:rsidR="004A3868" w:rsidRDefault="003F1AB5">
          <w:pPr>
            <w:pStyle w:val="afff1"/>
            <w:spacing w:before="156"/>
            <w:ind w:firstLine="420"/>
            <w:rPr>
              <w:szCs w:val="21"/>
            </w:rPr>
          </w:pPr>
          <w:r>
            <w:rPr>
              <w:szCs w:val="21"/>
            </w:rPr>
            <w:t>(2)政府补助的确认</w:t>
          </w:r>
        </w:p>
        <w:p w:rsidR="004A3868" w:rsidRDefault="003F1AB5">
          <w:pPr>
            <w:pStyle w:val="afff1"/>
            <w:spacing w:before="156"/>
            <w:ind w:firstLine="420"/>
            <w:rPr>
              <w:szCs w:val="21"/>
            </w:rPr>
          </w:pPr>
          <w:r>
            <w:rPr>
              <w:rFonts w:hint="eastAsia"/>
              <w:szCs w:val="21"/>
            </w:rPr>
            <w:lastRenderedPageBreak/>
            <w:t>对期末有证据表明公司能够符合财政扶持政策规定的相关条件且预计能够收到财政扶持资金的，按应收金额确认政府补助。除此之外，政府补助均在实际收到时确认。</w:t>
          </w:r>
        </w:p>
        <w:p w:rsidR="004A3868" w:rsidRDefault="003F1AB5">
          <w:pPr>
            <w:pStyle w:val="afff1"/>
            <w:spacing w:before="156"/>
            <w:ind w:firstLine="420"/>
            <w:rPr>
              <w:szCs w:val="21"/>
            </w:rPr>
          </w:pPr>
          <w:r>
            <w:rPr>
              <w:rFonts w:hint="eastAsia"/>
              <w:szCs w:val="21"/>
            </w:rPr>
            <w:t>政府补助为货币性资产的，按照收到或应收的金额计量。政府补助为非货币性资产的，按照公允价值计量；公允价值不能够可靠取得的，按照名义金额（人民币</w:t>
          </w:r>
          <w:r>
            <w:rPr>
              <w:szCs w:val="21"/>
            </w:rPr>
            <w:t>1元）计量。按照名义金额计量的政府补助，直接计入当期损益。</w:t>
          </w:r>
        </w:p>
        <w:p w:rsidR="004A3868" w:rsidRDefault="003F1AB5">
          <w:pPr>
            <w:pStyle w:val="afff1"/>
            <w:spacing w:before="156"/>
            <w:ind w:firstLine="420"/>
            <w:rPr>
              <w:szCs w:val="21"/>
            </w:rPr>
          </w:pPr>
          <w:r>
            <w:rPr>
              <w:szCs w:val="21"/>
            </w:rPr>
            <w:t>(3)会计处理方法</w:t>
          </w:r>
        </w:p>
        <w:p w:rsidR="004A3868" w:rsidRDefault="003F1AB5">
          <w:pPr>
            <w:pStyle w:val="afff1"/>
            <w:spacing w:before="156"/>
            <w:ind w:firstLine="420"/>
            <w:rPr>
              <w:szCs w:val="21"/>
            </w:rPr>
          </w:pPr>
          <w:r>
            <w:rPr>
              <w:rFonts w:hint="eastAsia"/>
              <w:szCs w:val="21"/>
            </w:rPr>
            <w:t>本公司根据经济业务的实质，确定某一类政府补助业务应当采用总额法还是净额法进行会计处理。通常情况下，本公司对于同类或类似政府补助业务只选用一种方法，且对该业务一贯地运用该方法。</w:t>
          </w:r>
        </w:p>
        <w:tbl>
          <w:tblPr>
            <w:tblStyle w:val="g12"/>
            <w:tblW w:w="5000" w:type="pct"/>
            <w:jc w:val="center"/>
            <w:tblInd w:w="0" w:type="dxa"/>
            <w:tblLayout w:type="fixed"/>
            <w:tblCellMar>
              <w:right w:w="28" w:type="dxa"/>
            </w:tblCellMar>
            <w:tblLook w:val="04A0" w:firstRow="1" w:lastRow="0" w:firstColumn="1" w:lastColumn="0" w:noHBand="0" w:noVBand="1"/>
          </w:tblPr>
          <w:tblGrid>
            <w:gridCol w:w="4411"/>
            <w:gridCol w:w="4412"/>
          </w:tblGrid>
          <w:tr w:rsidR="004A3868">
            <w:trPr>
              <w:trHeight w:val="397"/>
              <w:jc w:val="center"/>
            </w:trPr>
            <w:tc>
              <w:tcPr>
                <w:tcW w:w="4411" w:type="dxa"/>
                <w:vAlign w:val="center"/>
              </w:tcPr>
              <w:p w:rsidR="004A3868" w:rsidRDefault="003F1AB5">
                <w:pPr>
                  <w:pStyle w:val="afffb"/>
                </w:pPr>
                <w:r>
                  <w:t>项目</w:t>
                </w:r>
              </w:p>
            </w:tc>
            <w:tc>
              <w:tcPr>
                <w:tcW w:w="4412" w:type="dxa"/>
                <w:vAlign w:val="center"/>
              </w:tcPr>
              <w:p w:rsidR="004A3868" w:rsidRDefault="003F1AB5">
                <w:pPr>
                  <w:pStyle w:val="afffb"/>
                </w:pPr>
                <w:r>
                  <w:t>核算内容</w:t>
                </w:r>
              </w:p>
            </w:tc>
          </w:tr>
          <w:tr w:rsidR="004A3868">
            <w:trPr>
              <w:trHeight w:val="397"/>
              <w:jc w:val="center"/>
            </w:trPr>
            <w:tc>
              <w:tcPr>
                <w:tcW w:w="4411" w:type="dxa"/>
                <w:vAlign w:val="center"/>
              </w:tcPr>
              <w:p w:rsidR="004A3868" w:rsidRDefault="003F1AB5">
                <w:pPr>
                  <w:pStyle w:val="afffb"/>
                </w:pPr>
                <w:r>
                  <w:t>采用总额法核算的政府补助类别</w:t>
                </w:r>
              </w:p>
            </w:tc>
            <w:tc>
              <w:tcPr>
                <w:tcW w:w="4412" w:type="dxa"/>
                <w:vAlign w:val="center"/>
              </w:tcPr>
              <w:p w:rsidR="004A3868" w:rsidRDefault="003F1AB5">
                <w:pPr>
                  <w:pStyle w:val="afffb"/>
                </w:pPr>
                <w:r>
                  <w:t>政府补助</w:t>
                </w:r>
              </w:p>
            </w:tc>
          </w:tr>
          <w:tr w:rsidR="004A3868">
            <w:trPr>
              <w:trHeight w:val="397"/>
              <w:jc w:val="center"/>
            </w:trPr>
            <w:tc>
              <w:tcPr>
                <w:tcW w:w="4411" w:type="dxa"/>
                <w:vAlign w:val="center"/>
              </w:tcPr>
              <w:p w:rsidR="004A3868" w:rsidRDefault="003F1AB5">
                <w:pPr>
                  <w:pStyle w:val="afffb"/>
                </w:pPr>
                <w:r>
                  <w:t>采用净额法核算的政府补助类别</w:t>
                </w:r>
              </w:p>
            </w:tc>
            <w:tc>
              <w:tcPr>
                <w:tcW w:w="4412" w:type="dxa"/>
                <w:vAlign w:val="center"/>
              </w:tcPr>
              <w:p w:rsidR="004A3868" w:rsidRDefault="003F1AB5">
                <w:pPr>
                  <w:pStyle w:val="afffb"/>
                </w:pPr>
                <w:r>
                  <w:t>无</w:t>
                </w:r>
              </w:p>
            </w:tc>
          </w:tr>
        </w:tbl>
        <w:p w:rsidR="004A3868" w:rsidRDefault="004A3868">
          <w:pPr>
            <w:pStyle w:val="Style124"/>
          </w:pPr>
        </w:p>
        <w:p w:rsidR="004A3868" w:rsidRDefault="003F1AB5">
          <w:pPr>
            <w:pStyle w:val="afff1"/>
            <w:spacing w:before="156"/>
            <w:ind w:firstLine="420"/>
            <w:rPr>
              <w:szCs w:val="21"/>
            </w:rPr>
          </w:pPr>
          <w:r>
            <w:rPr>
              <w:rFonts w:hint="eastAsia"/>
              <w:szCs w:val="21"/>
            </w:rPr>
            <w:t>与资产相关的政府补助，应当冲减相关资产的账面价值或确认为递延收益。与资产相关的政府补助确认为递延收益的，在所建造或购买资产使用寿命内按照合理、系统的方法分期计入损益。</w:t>
          </w:r>
        </w:p>
        <w:p w:rsidR="004A3868" w:rsidRDefault="003F1AB5">
          <w:pPr>
            <w:pStyle w:val="afff1"/>
            <w:spacing w:before="156"/>
            <w:ind w:firstLine="420"/>
            <w:rPr>
              <w:szCs w:val="21"/>
            </w:rPr>
          </w:pPr>
          <w:r>
            <w:rPr>
              <w:rFonts w:hint="eastAsia"/>
              <w:szCs w:val="21"/>
            </w:rPr>
            <w:t>与收益相关的政府补助，用于补偿企业以后期间的相关费用或损失的，确认为递延收益，在确认相关费用或损失的期间计入当期损益或冲减相关成本；用于补偿企业已发生的相关费用或损失的，取得时直接计入当期损益或冲减相关成本。</w:t>
          </w:r>
        </w:p>
        <w:p w:rsidR="004A3868" w:rsidRDefault="003F1AB5">
          <w:pPr>
            <w:pStyle w:val="afff1"/>
            <w:spacing w:before="156"/>
            <w:ind w:firstLine="420"/>
            <w:rPr>
              <w:szCs w:val="21"/>
            </w:rPr>
          </w:pPr>
          <w:r>
            <w:rPr>
              <w:rFonts w:hint="eastAsia"/>
              <w:szCs w:val="21"/>
            </w:rPr>
            <w:t>与企业日常活动相关的政府补助计入其他收益或冲减相关成本费用；与企业日常活动无关的政府补助计入营业外收支。</w:t>
          </w:r>
        </w:p>
        <w:p w:rsidR="004A3868" w:rsidRDefault="003F1AB5">
          <w:pPr>
            <w:pStyle w:val="afff1"/>
            <w:spacing w:before="156"/>
            <w:ind w:firstLine="420"/>
            <w:rPr>
              <w:szCs w:val="21"/>
            </w:rPr>
          </w:pPr>
          <w:r>
            <w:rPr>
              <w:rFonts w:hint="eastAsia"/>
              <w:szCs w:val="21"/>
            </w:rPr>
            <w:t>收到与政策性优惠贷款贴息相关的政府补助冲减相关借款费用；取得贷款银行提供的政策性优惠利率贷款的，以实际收到的借款金额作为借款的入账价值，按照借款本金和该政策性优惠利率计算相关借款费用。</w:t>
          </w:r>
        </w:p>
        <w:p w:rsidR="004A3868" w:rsidRDefault="003F1AB5">
          <w:pPr>
            <w:pStyle w:val="afff1"/>
            <w:spacing w:before="156"/>
            <w:ind w:firstLine="420"/>
            <w:rPr>
              <w:szCs w:val="21"/>
            </w:rPr>
          </w:pPr>
          <w:r>
            <w:rPr>
              <w:rFonts w:hint="eastAsia"/>
              <w:szCs w:val="21"/>
            </w:rPr>
            <w:t>已确认的政府补助需要返还时，初始确认时冲减相关资产账面价值的，调整资产账面价值；存在相关递延收益余额的，冲减相关递延收益账面余额，超出部分计入当期损益；不存在相关递延收益的，直接计入当期损益。</w:t>
          </w:r>
        </w:p>
      </w:sdtContent>
    </w:sdt>
    <w:bookmarkEnd w:id="134"/>
    <w:p w:rsidR="004A3868" w:rsidRDefault="004A3868">
      <w:pPr>
        <w:pStyle w:val="Style124"/>
      </w:pPr>
    </w:p>
    <w:p w:rsidR="004A3868" w:rsidRDefault="003F1AB5">
      <w:pPr>
        <w:pStyle w:val="Style12711"/>
      </w:pPr>
      <w:r>
        <w:lastRenderedPageBreak/>
        <w:t>递延所得税资产</w:t>
      </w:r>
      <w:r>
        <w:t>/</w:t>
      </w:r>
      <w:r>
        <w:t>递延所得税负债</w:t>
      </w:r>
    </w:p>
    <w:sdt>
      <w:sdtPr>
        <w:rPr>
          <w:rFonts w:hint="eastAsia"/>
          <w:sz w:val="21"/>
          <w:szCs w:val="21"/>
        </w:rPr>
        <w:alias w:val="是否适用：所得税的会计处理方法[双击切换]"/>
        <w:tag w:val="_GBC_7e8295f4559b44568e5d37a6a605588c"/>
        <w:id w:val="743755915"/>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Cs w:val="21"/>
        </w:rPr>
        <w:alias w:val="所得税的会计处理方法"/>
        <w:tag w:val="_GBC_545dd84ed2b9458fa5e2b87aa1e1cc1c"/>
        <w:id w:val="-561719088"/>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递延所得税资产和递延所得税负债根据资产和负债的计税基础与其账面价值的差额</w:t>
          </w:r>
          <w:r>
            <w:rPr>
              <w:szCs w:val="21"/>
            </w:rPr>
            <w:t>(暂时性差异)计算确认。于资产负债表日，递延所得税资产和递延所得税负债，按照预期收回该资产或清偿该负债期间的适用税率计量。</w:t>
          </w:r>
        </w:p>
        <w:p w:rsidR="004A3868" w:rsidRDefault="003F1AB5">
          <w:pPr>
            <w:pStyle w:val="afff1"/>
            <w:spacing w:before="156"/>
            <w:ind w:firstLine="420"/>
            <w:rPr>
              <w:szCs w:val="21"/>
            </w:rPr>
          </w:pPr>
          <w:r>
            <w:rPr>
              <w:rFonts w:hint="eastAsia"/>
              <w:szCs w:val="21"/>
            </w:rPr>
            <w:t>（</w:t>
          </w:r>
          <w:r>
            <w:rPr>
              <w:szCs w:val="21"/>
            </w:rPr>
            <w:t>1）确认递延所得税资产的依据</w:t>
          </w:r>
        </w:p>
        <w:p w:rsidR="004A3868" w:rsidRDefault="003F1AB5">
          <w:pPr>
            <w:pStyle w:val="afff1"/>
            <w:spacing w:before="156"/>
            <w:ind w:firstLine="420"/>
            <w:rPr>
              <w:szCs w:val="21"/>
            </w:rPr>
          </w:pPr>
          <w:r>
            <w:rPr>
              <w:rFonts w:hint="eastAsia"/>
              <w:szCs w:val="21"/>
            </w:rPr>
            <w:t>本公司以很可能取得用来抵扣可抵扣暂时性差异、能够结转以后年度的可抵扣亏损和税款抵减的应纳税所得额为限，确认由可抵扣暂时性差异产生的递延所得税资产。但是，同时具有下列特征的交易中因资产或负债的初始确认所产生的递延所得税资产不予确认：</w:t>
          </w:r>
        </w:p>
        <w:p w:rsidR="004A3868" w:rsidRDefault="003F1AB5">
          <w:pPr>
            <w:pStyle w:val="afff1"/>
            <w:spacing w:before="156"/>
            <w:ind w:firstLine="420"/>
            <w:rPr>
              <w:szCs w:val="21"/>
            </w:rPr>
          </w:pPr>
          <w:r>
            <w:rPr>
              <w:szCs w:val="21"/>
            </w:rPr>
            <w:t>1）该交易不是企业合并；</w:t>
          </w:r>
        </w:p>
        <w:p w:rsidR="004A3868" w:rsidRDefault="003F1AB5">
          <w:pPr>
            <w:pStyle w:val="afff1"/>
            <w:spacing w:before="156"/>
            <w:ind w:firstLine="420"/>
            <w:rPr>
              <w:szCs w:val="21"/>
            </w:rPr>
          </w:pPr>
          <w:r>
            <w:rPr>
              <w:szCs w:val="21"/>
            </w:rPr>
            <w:t>2）交易发生时既不影响会计利润也不影响应纳税所得额或可抵扣亏损。</w:t>
          </w:r>
        </w:p>
        <w:p w:rsidR="004A3868" w:rsidRDefault="003F1AB5">
          <w:pPr>
            <w:pStyle w:val="afff1"/>
            <w:spacing w:before="156"/>
            <w:ind w:firstLine="420"/>
            <w:rPr>
              <w:szCs w:val="21"/>
            </w:rPr>
          </w:pPr>
          <w:r>
            <w:rPr>
              <w:rFonts w:hint="eastAsia"/>
              <w:szCs w:val="21"/>
            </w:rPr>
            <w:t>对于与联营企业投资相关的可抵扣暂时性差异，同时满足下列条件的，确认相应的递延所得税资产：暂时性差异在可预见的未来很可能转回，且未来很可能获得用来抵扣可抵扣暂时性差异的应纳税所得额。</w:t>
          </w:r>
        </w:p>
        <w:p w:rsidR="004A3868" w:rsidRDefault="003F1AB5">
          <w:pPr>
            <w:pStyle w:val="afff1"/>
            <w:spacing w:before="156"/>
            <w:ind w:firstLine="420"/>
            <w:rPr>
              <w:szCs w:val="21"/>
            </w:rPr>
          </w:pPr>
          <w:r>
            <w:rPr>
              <w:rFonts w:hint="eastAsia"/>
              <w:szCs w:val="21"/>
            </w:rPr>
            <w:t>（</w:t>
          </w:r>
          <w:r>
            <w:rPr>
              <w:szCs w:val="21"/>
            </w:rPr>
            <w:t>2）确认递延所得税负债的依据</w:t>
          </w:r>
        </w:p>
        <w:p w:rsidR="004A3868" w:rsidRDefault="003F1AB5">
          <w:pPr>
            <w:pStyle w:val="afff1"/>
            <w:spacing w:before="156"/>
            <w:ind w:firstLine="420"/>
            <w:rPr>
              <w:szCs w:val="21"/>
            </w:rPr>
          </w:pPr>
          <w:r>
            <w:rPr>
              <w:rFonts w:hint="eastAsia"/>
              <w:szCs w:val="21"/>
            </w:rPr>
            <w:t>公司将当期与以前期间应交未交的应纳税暂时性差异确认为递延所得税负债。但不包括：</w:t>
          </w:r>
        </w:p>
        <w:p w:rsidR="004A3868" w:rsidRDefault="003F1AB5">
          <w:pPr>
            <w:pStyle w:val="afff1"/>
            <w:spacing w:before="156"/>
            <w:ind w:firstLine="420"/>
            <w:rPr>
              <w:szCs w:val="21"/>
            </w:rPr>
          </w:pPr>
          <w:r>
            <w:rPr>
              <w:szCs w:val="21"/>
            </w:rPr>
            <w:t>1）商誉的初始确认所形成的暂时性差异；</w:t>
          </w:r>
        </w:p>
        <w:p w:rsidR="004A3868" w:rsidRDefault="003F1AB5">
          <w:pPr>
            <w:pStyle w:val="afff1"/>
            <w:spacing w:before="156"/>
            <w:ind w:firstLine="420"/>
            <w:rPr>
              <w:szCs w:val="21"/>
            </w:rPr>
          </w:pPr>
          <w:r>
            <w:rPr>
              <w:szCs w:val="21"/>
            </w:rPr>
            <w:t>2）非企业合并形成的交易或事项，且该交易或事项发生时既不影响会计利润，也不影响应纳税所得额（或可抵扣亏损）所形成的暂时性差异；</w:t>
          </w:r>
        </w:p>
        <w:p w:rsidR="004A3868" w:rsidRDefault="003F1AB5">
          <w:pPr>
            <w:pStyle w:val="afff1"/>
            <w:spacing w:before="156"/>
            <w:ind w:firstLine="420"/>
            <w:rPr>
              <w:szCs w:val="21"/>
            </w:rPr>
          </w:pPr>
          <w:r>
            <w:rPr>
              <w:szCs w:val="21"/>
            </w:rPr>
            <w:t>3）对于与子公司、联营企业投资相关的应纳税暂时性差异，该暂时性差异转回的时间能够控制并且该暂时性差异在可预见的未来很可能不会转回。</w:t>
          </w:r>
        </w:p>
      </w:sdtContent>
    </w:sdt>
    <w:p w:rsidR="004A3868" w:rsidRDefault="004A3868">
      <w:pPr>
        <w:rPr>
          <w:sz w:val="21"/>
          <w:szCs w:val="21"/>
        </w:rPr>
      </w:pPr>
    </w:p>
    <w:p w:rsidR="004A3868" w:rsidRDefault="003F1AB5">
      <w:pPr>
        <w:pStyle w:val="Style12711"/>
      </w:pPr>
      <w:r>
        <w:t>租赁</w:t>
      </w:r>
    </w:p>
    <w:sdt>
      <w:sdtPr>
        <w:alias w:val="是否适用：租赁_重要会计政策和估计[双击切换]"/>
        <w:tag w:val="_GBC_6915a792f5f54d76bb3c5c2090ce337f"/>
        <w:id w:val="303888326"/>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sz w:val="21"/>
          <w:szCs w:val="21"/>
        </w:rPr>
        <w:t>作为承租方对短期租赁和低价值资产租赁进行简化处理的判断依据和会计处理方法</w:t>
      </w:r>
    </w:p>
    <w:sdt>
      <w:sdtPr>
        <w:rPr>
          <w:sz w:val="21"/>
          <w:szCs w:val="21"/>
        </w:rPr>
        <w:alias w:val="是否适用：作为承租方对短期租赁和低价值资产租赁进行简化处理的判断依据和会计处理方法[双击切换]"/>
        <w:tag w:val="_GBC_96c8873101a04b4ab58dc379b95e7de7"/>
        <w:id w:val="-793906129"/>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作为承租方对短期租赁和低价值资产租赁进行简化处理的判断依据和会计处理方法"/>
        <w:tag w:val="_GBC_608ebcbb99ad40879d4235963013eef6"/>
        <w:id w:val="295110659"/>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在租赁期开始日，除应用简化处理的短期租赁和低价值资产租赁外，本公司对租赁确认使用权资产和租赁负债。</w:t>
          </w:r>
        </w:p>
        <w:p w:rsidR="004A3868" w:rsidRDefault="003F1AB5">
          <w:pPr>
            <w:pStyle w:val="afff1"/>
            <w:spacing w:before="156"/>
            <w:ind w:firstLine="420"/>
            <w:rPr>
              <w:szCs w:val="21"/>
            </w:rPr>
          </w:pPr>
          <w:r>
            <w:rPr>
              <w:rFonts w:hint="eastAsia"/>
              <w:szCs w:val="21"/>
            </w:rPr>
            <w:t>（</w:t>
          </w:r>
          <w:r>
            <w:rPr>
              <w:szCs w:val="21"/>
            </w:rPr>
            <w:t>1）短期租赁和低价值资产租赁</w:t>
          </w:r>
        </w:p>
        <w:p w:rsidR="004A3868" w:rsidRDefault="003F1AB5">
          <w:pPr>
            <w:pStyle w:val="afff1"/>
            <w:spacing w:before="156"/>
            <w:ind w:firstLine="420"/>
            <w:rPr>
              <w:szCs w:val="21"/>
            </w:rPr>
          </w:pPr>
          <w:r>
            <w:rPr>
              <w:rFonts w:hint="eastAsia"/>
              <w:szCs w:val="21"/>
            </w:rPr>
            <w:t>短期租赁是指不包含购买选择权且租赁期不超过</w:t>
          </w:r>
          <w:r>
            <w:rPr>
              <w:szCs w:val="21"/>
            </w:rPr>
            <w:t>12个月的租赁。低价值资产租赁是指单项租赁资产为全新资产时价值较低的租赁。</w:t>
          </w:r>
        </w:p>
      </w:sdtContent>
    </w:sdt>
    <w:p w:rsidR="004A3868" w:rsidRDefault="003F1AB5">
      <w:pPr>
        <w:rPr>
          <w:sz w:val="21"/>
          <w:szCs w:val="21"/>
        </w:rPr>
      </w:pPr>
      <w:r>
        <w:rPr>
          <w:sz w:val="21"/>
          <w:szCs w:val="21"/>
        </w:rPr>
        <w:t>作为出租方的租赁分类标准和会计处理方法</w:t>
      </w:r>
    </w:p>
    <w:sdt>
      <w:sdtPr>
        <w:rPr>
          <w:sz w:val="21"/>
          <w:szCs w:val="21"/>
        </w:rPr>
        <w:alias w:val="是否适用：作为出租方的租赁分类标准和会计处理方法[双击切换]"/>
        <w:tag w:val="_GBC_4ce66446786b4db69563b4f1b2b86d89"/>
        <w:id w:val="-1390794306"/>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Cs w:val="21"/>
        </w:rPr>
        <w:alias w:val="作为出租方的租赁分类标准和会计处理方法"/>
        <w:tag w:val="_GBC_ca849938b2044c5a8ca6cd68a06181a3"/>
        <w:id w:val="-1265527674"/>
        <w:placeholder>
          <w:docPart w:val="GBC22222222222222222222222222222"/>
        </w:placeholder>
      </w:sdtPr>
      <w:sdtEndPr/>
      <w:sdtContent>
        <w:p w:rsidR="004A3868" w:rsidRDefault="003F1AB5">
          <w:pPr>
            <w:pStyle w:val="afff1"/>
            <w:spacing w:before="156"/>
            <w:ind w:firstLine="420"/>
            <w:rPr>
              <w:szCs w:val="21"/>
            </w:rPr>
          </w:pPr>
          <w:r>
            <w:rPr>
              <w:rFonts w:hint="eastAsia"/>
              <w:szCs w:val="21"/>
            </w:rPr>
            <w:t>（</w:t>
          </w:r>
          <w:r>
            <w:rPr>
              <w:szCs w:val="21"/>
            </w:rPr>
            <w:t>1）租赁的分类</w:t>
          </w:r>
        </w:p>
        <w:p w:rsidR="004A3868" w:rsidRDefault="003F1AB5">
          <w:pPr>
            <w:pStyle w:val="afff1"/>
            <w:spacing w:before="156"/>
            <w:ind w:firstLine="420"/>
            <w:rPr>
              <w:szCs w:val="21"/>
            </w:rPr>
          </w:pPr>
          <w:r>
            <w:rPr>
              <w:rFonts w:hint="eastAsia"/>
              <w:szCs w:val="21"/>
            </w:rPr>
            <w:t>本公司在租赁开始日将租赁分为融资租赁和经营租赁。融资租赁是指实质上转移了与租赁资产所有权有关的几乎全部风险和报酬的租赁，其所有权最终可能转移，也可能不转移。经营租赁是指除融资租赁以外的其他租赁。</w:t>
          </w:r>
        </w:p>
        <w:p w:rsidR="004A3868" w:rsidRDefault="003F1AB5">
          <w:pPr>
            <w:pStyle w:val="afff1"/>
            <w:spacing w:before="156"/>
            <w:ind w:firstLine="420"/>
            <w:rPr>
              <w:szCs w:val="21"/>
            </w:rPr>
          </w:pPr>
          <w:r>
            <w:rPr>
              <w:rFonts w:hint="eastAsia"/>
              <w:szCs w:val="21"/>
            </w:rPr>
            <w:t>一项租赁存在下列一种或多种情形的，本公司通常分类为融资租赁：</w:t>
          </w:r>
        </w:p>
        <w:p w:rsidR="004A3868" w:rsidRDefault="003F1AB5">
          <w:pPr>
            <w:pStyle w:val="afff1"/>
            <w:spacing w:before="156"/>
            <w:ind w:firstLine="420"/>
            <w:rPr>
              <w:szCs w:val="21"/>
            </w:rPr>
          </w:pPr>
          <w:r>
            <w:rPr>
              <w:szCs w:val="21"/>
            </w:rPr>
            <w:t>1）在租赁期届满时，租赁资产的所有权转移给承租人。</w:t>
          </w:r>
        </w:p>
        <w:p w:rsidR="004A3868" w:rsidRDefault="003F1AB5">
          <w:pPr>
            <w:pStyle w:val="afff1"/>
            <w:spacing w:before="156"/>
            <w:ind w:firstLine="420"/>
            <w:rPr>
              <w:szCs w:val="21"/>
            </w:rPr>
          </w:pPr>
          <w:r>
            <w:rPr>
              <w:szCs w:val="21"/>
            </w:rPr>
            <w:t>2）承租人有购买租赁资产的选择权，所订立的购买价款与预计行使选择权时租赁资产的公允价值相比足够低，因而在租赁开始日就可以合理确定承租人将行使该选择权。</w:t>
          </w:r>
        </w:p>
        <w:p w:rsidR="004A3868" w:rsidRDefault="003F1AB5">
          <w:pPr>
            <w:pStyle w:val="afff1"/>
            <w:spacing w:before="156"/>
            <w:ind w:firstLine="420"/>
            <w:rPr>
              <w:szCs w:val="21"/>
            </w:rPr>
          </w:pPr>
          <w:r>
            <w:rPr>
              <w:szCs w:val="21"/>
            </w:rPr>
            <w:t>3）资产的所有权虽然不转移，但租赁期占租赁资产使用寿命的大部分。</w:t>
          </w:r>
        </w:p>
        <w:p w:rsidR="004A3868" w:rsidRDefault="003F1AB5">
          <w:pPr>
            <w:pStyle w:val="afff1"/>
            <w:spacing w:before="156"/>
            <w:ind w:firstLine="420"/>
            <w:rPr>
              <w:szCs w:val="21"/>
            </w:rPr>
          </w:pPr>
          <w:r>
            <w:rPr>
              <w:szCs w:val="21"/>
            </w:rPr>
            <w:t>4）在租赁开始日，租赁收款额的现值几乎相当于租赁资产的公允价值。</w:t>
          </w:r>
        </w:p>
        <w:p w:rsidR="004A3868" w:rsidRDefault="003F1AB5">
          <w:pPr>
            <w:pStyle w:val="afff1"/>
            <w:spacing w:before="156"/>
            <w:ind w:firstLine="420"/>
            <w:rPr>
              <w:szCs w:val="21"/>
            </w:rPr>
          </w:pPr>
          <w:r>
            <w:rPr>
              <w:szCs w:val="21"/>
            </w:rPr>
            <w:t>5）租赁资产性质特殊，如果不作较大改造，只有承租人才能使用。</w:t>
          </w:r>
        </w:p>
        <w:p w:rsidR="004A3868" w:rsidRDefault="003F1AB5">
          <w:pPr>
            <w:pStyle w:val="afff1"/>
            <w:spacing w:before="156"/>
            <w:ind w:firstLine="420"/>
            <w:rPr>
              <w:szCs w:val="21"/>
            </w:rPr>
          </w:pPr>
          <w:r>
            <w:rPr>
              <w:rFonts w:hint="eastAsia"/>
              <w:szCs w:val="21"/>
            </w:rPr>
            <w:t>一项租赁存在下列一项或多项迹象的，本公司也可能分类为融资租赁：</w:t>
          </w:r>
        </w:p>
        <w:p w:rsidR="004A3868" w:rsidRDefault="003F1AB5">
          <w:pPr>
            <w:pStyle w:val="afff1"/>
            <w:spacing w:before="156"/>
            <w:ind w:firstLine="420"/>
            <w:rPr>
              <w:szCs w:val="21"/>
            </w:rPr>
          </w:pPr>
          <w:r>
            <w:rPr>
              <w:szCs w:val="21"/>
            </w:rPr>
            <w:t>1）若承租人撤销租赁，撤销租赁对出租人造成的损失由承租人承担。</w:t>
          </w:r>
        </w:p>
        <w:p w:rsidR="004A3868" w:rsidRDefault="003F1AB5">
          <w:pPr>
            <w:pStyle w:val="afff1"/>
            <w:spacing w:before="156"/>
            <w:ind w:firstLine="420"/>
            <w:rPr>
              <w:szCs w:val="21"/>
            </w:rPr>
          </w:pPr>
          <w:r>
            <w:rPr>
              <w:szCs w:val="21"/>
            </w:rPr>
            <w:t>2）资产余值的公允价值波动所产生的利得或损失归属于承租人。</w:t>
          </w:r>
        </w:p>
        <w:p w:rsidR="004A3868" w:rsidRDefault="003F1AB5">
          <w:pPr>
            <w:pStyle w:val="afff1"/>
            <w:spacing w:before="156"/>
            <w:ind w:firstLine="420"/>
            <w:rPr>
              <w:szCs w:val="21"/>
            </w:rPr>
          </w:pPr>
          <w:r>
            <w:rPr>
              <w:szCs w:val="21"/>
            </w:rPr>
            <w:t>3）承租人有能力以远低于市场水平的租金继续租赁至下一期间。</w:t>
          </w:r>
        </w:p>
        <w:p w:rsidR="004A3868" w:rsidRDefault="003F1AB5">
          <w:pPr>
            <w:pStyle w:val="afff1"/>
            <w:spacing w:before="156"/>
            <w:ind w:firstLine="420"/>
            <w:rPr>
              <w:szCs w:val="21"/>
            </w:rPr>
          </w:pPr>
          <w:r>
            <w:rPr>
              <w:rFonts w:hint="eastAsia"/>
              <w:szCs w:val="21"/>
            </w:rPr>
            <w:t>（</w:t>
          </w:r>
          <w:r>
            <w:rPr>
              <w:szCs w:val="21"/>
            </w:rPr>
            <w:t>2）对融资租赁的会计处理</w:t>
          </w:r>
        </w:p>
        <w:p w:rsidR="004A3868" w:rsidRDefault="003F1AB5">
          <w:pPr>
            <w:pStyle w:val="afff1"/>
            <w:spacing w:before="156"/>
            <w:ind w:firstLine="420"/>
            <w:rPr>
              <w:szCs w:val="21"/>
            </w:rPr>
          </w:pPr>
          <w:r>
            <w:rPr>
              <w:rFonts w:hint="eastAsia"/>
              <w:szCs w:val="21"/>
            </w:rPr>
            <w:t>在租赁期开始日，本公司对融资租赁确认应收融资租赁款，并终止确认融资租赁资产。</w:t>
          </w:r>
        </w:p>
        <w:p w:rsidR="004A3868" w:rsidRDefault="003F1AB5">
          <w:pPr>
            <w:pStyle w:val="afff1"/>
            <w:spacing w:before="156"/>
            <w:ind w:firstLine="420"/>
            <w:rPr>
              <w:szCs w:val="21"/>
            </w:rPr>
          </w:pPr>
          <w:r>
            <w:rPr>
              <w:rFonts w:hint="eastAsia"/>
              <w:szCs w:val="21"/>
            </w:rPr>
            <w:lastRenderedPageBreak/>
            <w:t>应收融资租赁款初始计量时，以未担保余值和租赁期开始日尚未收到的租赁收款额按照租赁内含利率折现的现值之和作为应收融资租赁款的入账价值。租赁收款额包括：</w:t>
          </w:r>
        </w:p>
        <w:p w:rsidR="004A3868" w:rsidRDefault="003F1AB5">
          <w:pPr>
            <w:pStyle w:val="afff1"/>
            <w:spacing w:before="156"/>
            <w:ind w:firstLine="420"/>
            <w:rPr>
              <w:szCs w:val="21"/>
            </w:rPr>
          </w:pPr>
          <w:r>
            <w:rPr>
              <w:szCs w:val="21"/>
            </w:rPr>
            <w:t>1）扣除租赁激励相关金额后的固定付款额及实质固定付款额；</w:t>
          </w:r>
        </w:p>
        <w:p w:rsidR="004A3868" w:rsidRDefault="003F1AB5">
          <w:pPr>
            <w:pStyle w:val="afff1"/>
            <w:spacing w:before="156"/>
            <w:ind w:firstLine="420"/>
            <w:rPr>
              <w:szCs w:val="21"/>
            </w:rPr>
          </w:pPr>
          <w:r>
            <w:rPr>
              <w:szCs w:val="21"/>
            </w:rPr>
            <w:t>2）取决于指数或比率的可变租赁付款额；</w:t>
          </w:r>
        </w:p>
        <w:p w:rsidR="004A3868" w:rsidRDefault="003F1AB5">
          <w:pPr>
            <w:pStyle w:val="afff1"/>
            <w:spacing w:before="156"/>
            <w:ind w:firstLine="420"/>
            <w:rPr>
              <w:szCs w:val="21"/>
            </w:rPr>
          </w:pPr>
          <w:r>
            <w:rPr>
              <w:szCs w:val="21"/>
            </w:rPr>
            <w:t>3）合理确定承租人将行使购买选择权的情况下，租赁收款额包括购买选择权的行权价格；</w:t>
          </w:r>
        </w:p>
        <w:p w:rsidR="004A3868" w:rsidRDefault="003F1AB5">
          <w:pPr>
            <w:pStyle w:val="afff1"/>
            <w:spacing w:before="156"/>
            <w:ind w:firstLine="420"/>
            <w:rPr>
              <w:szCs w:val="21"/>
            </w:rPr>
          </w:pPr>
          <w:r>
            <w:rPr>
              <w:szCs w:val="21"/>
            </w:rPr>
            <w:t>4）租赁期反映出承租人将行使终止租赁选择权的情况下，租赁收款额包括承租人行使终止租赁选择权需支付的款项；</w:t>
          </w:r>
        </w:p>
        <w:p w:rsidR="004A3868" w:rsidRDefault="003F1AB5">
          <w:pPr>
            <w:pStyle w:val="afff1"/>
            <w:spacing w:before="156"/>
            <w:ind w:firstLine="420"/>
            <w:rPr>
              <w:szCs w:val="21"/>
            </w:rPr>
          </w:pPr>
          <w:r>
            <w:rPr>
              <w:szCs w:val="21"/>
            </w:rPr>
            <w:t>5）由承租人、与承租人有关的一方以及有经济能力履行担保义务的独立第三方向出租人提供的担保余值。</w:t>
          </w:r>
        </w:p>
        <w:p w:rsidR="004A3868" w:rsidRDefault="003F1AB5">
          <w:pPr>
            <w:pStyle w:val="afff1"/>
            <w:spacing w:before="156"/>
            <w:ind w:firstLine="420"/>
            <w:rPr>
              <w:szCs w:val="21"/>
            </w:rPr>
          </w:pPr>
          <w:r>
            <w:rPr>
              <w:rFonts w:hint="eastAsia"/>
              <w:szCs w:val="21"/>
            </w:rPr>
            <w:t>本公司按照固定的租赁内含利率计算并确认租赁期内各个期间的利息收入，所取得的未纳入租赁投资净额计量的可变租赁付款额在实际发生时计入当期损益。</w:t>
          </w:r>
        </w:p>
        <w:p w:rsidR="004A3868" w:rsidRDefault="003F1AB5">
          <w:pPr>
            <w:pStyle w:val="afff1"/>
            <w:spacing w:before="156"/>
            <w:ind w:firstLine="420"/>
            <w:rPr>
              <w:szCs w:val="21"/>
            </w:rPr>
          </w:pPr>
          <w:r>
            <w:rPr>
              <w:rFonts w:hint="eastAsia"/>
              <w:szCs w:val="21"/>
            </w:rPr>
            <w:t>（</w:t>
          </w:r>
          <w:r>
            <w:rPr>
              <w:szCs w:val="21"/>
            </w:rPr>
            <w:t>3）对经营租赁的会计处理</w:t>
          </w:r>
        </w:p>
        <w:p w:rsidR="004A3868" w:rsidRDefault="003F1AB5">
          <w:pPr>
            <w:pStyle w:val="afff1"/>
            <w:spacing w:before="156"/>
            <w:ind w:firstLine="420"/>
            <w:rPr>
              <w:szCs w:val="21"/>
            </w:rPr>
          </w:pPr>
          <w:r>
            <w:rPr>
              <w:rFonts w:hint="eastAsia"/>
              <w:szCs w:val="21"/>
            </w:rPr>
            <w:t>本公司在租赁期内各个期间采用直线法或其他系统合理的方法，将经营租赁的租赁收款额确认为租金收入；发生的与经营租赁有关的初始直接费用资本化，在租赁期内按照与租金收入确认相同的基础进行分摊，分期计入当期损益；取得的与经营租赁有关的未计入租赁收款额的可变租赁付款额，在实际发生时计入当期损益。</w:t>
          </w:r>
        </w:p>
      </w:sdtContent>
    </w:sdt>
    <w:p w:rsidR="004A3868" w:rsidRDefault="004A3868">
      <w:pPr>
        <w:pStyle w:val="Style124"/>
      </w:pPr>
    </w:p>
    <w:p w:rsidR="004A3868" w:rsidRDefault="003F1AB5">
      <w:pPr>
        <w:pStyle w:val="Style12711"/>
      </w:pPr>
      <w:r>
        <w:rPr>
          <w:rFonts w:hint="eastAsia"/>
        </w:rPr>
        <w:t>其他重要的会计政策和会计估计</w:t>
      </w:r>
    </w:p>
    <w:sdt>
      <w:sdtPr>
        <w:rPr>
          <w:rFonts w:hint="eastAsia"/>
          <w:sz w:val="21"/>
          <w:szCs w:val="21"/>
        </w:rPr>
        <w:alias w:val="是否适用：其他重要的会计政策和会计估计[双击切换]"/>
        <w:tag w:val="_GBC_b463c26b00e64f799c5b85b2c1c805fb"/>
        <w:id w:val="70922271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4A3868">
      <w:pPr>
        <w:rPr>
          <w:sz w:val="21"/>
          <w:szCs w:val="21"/>
        </w:rPr>
      </w:pPr>
    </w:p>
    <w:p w:rsidR="004A3868" w:rsidRDefault="003F1AB5">
      <w:pPr>
        <w:pStyle w:val="Style12711"/>
      </w:pPr>
      <w:r>
        <w:rPr>
          <w:rFonts w:hint="eastAsia"/>
        </w:rPr>
        <w:t>重要</w:t>
      </w:r>
      <w:r>
        <w:t>会计政策</w:t>
      </w:r>
      <w:r>
        <w:rPr>
          <w:rFonts w:hint="eastAsia"/>
        </w:rPr>
        <w:t>和</w:t>
      </w:r>
      <w:r>
        <w:t>会计估计的变更</w:t>
      </w:r>
    </w:p>
    <w:p w:rsidR="004A3868" w:rsidRDefault="003F1AB5">
      <w:pPr>
        <w:pStyle w:val="Style128"/>
        <w:numPr>
          <w:ilvl w:val="3"/>
          <w:numId w:val="63"/>
        </w:numPr>
      </w:pPr>
      <w:r>
        <w:rPr>
          <w:rFonts w:hint="eastAsia"/>
        </w:rPr>
        <w:t>重要</w:t>
      </w:r>
      <w:r>
        <w:t>会计政策变更</w:t>
      </w:r>
    </w:p>
    <w:sdt>
      <w:sdtPr>
        <w:rPr>
          <w:sz w:val="21"/>
          <w:szCs w:val="21"/>
        </w:rPr>
        <w:alias w:val="是否适用：重要会计政策变更[双击切换]"/>
        <w:tag w:val="_GBC_f1ebc580f60c4d30a80747190ffbec4f"/>
        <w:id w:val="-1437669390"/>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3"/>
          <w:numId w:val="63"/>
        </w:numPr>
      </w:pPr>
      <w:r>
        <w:rPr>
          <w:rFonts w:hint="eastAsia"/>
        </w:rPr>
        <w:t>重要</w:t>
      </w:r>
      <w:r>
        <w:t>会计估计变更</w:t>
      </w:r>
    </w:p>
    <w:sdt>
      <w:sdtPr>
        <w:alias w:val="是否适用：重要会计估计变更[双击切换]"/>
        <w:tag w:val="_GBC_902f08bd36774074945386d2d1f9b67d"/>
        <w:id w:val="-1649892460"/>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3"/>
          <w:numId w:val="63"/>
        </w:numPr>
      </w:pPr>
      <w:r>
        <w:rPr>
          <w:rFonts w:ascii="Times New Roman" w:hAnsi="Times New Roman"/>
        </w:rPr>
        <w:t>2023</w:t>
      </w:r>
      <w:r>
        <w:t>年</w:t>
      </w:r>
      <w:r>
        <w:rPr>
          <w:rFonts w:hint="eastAsia"/>
        </w:rPr>
        <w:t>起首次执行新会计准则或准则解释等涉及调整首次执行当年年初的财务报表</w:t>
      </w:r>
    </w:p>
    <w:bookmarkStart w:id="135" w:name="_Hlk24100246" w:displacedByCustomXml="next"/>
    <w:sdt>
      <w:sdtPr>
        <w:rPr>
          <w:rFonts w:hint="eastAsia"/>
          <w:sz w:val="21"/>
          <w:szCs w:val="21"/>
        </w:rPr>
        <w:alias w:val="是否适用：首次执行新金融工具准则或新收入准则调整首次执行当年年初财务报表相关项目情况[双击切换]"/>
        <w:tag w:val="_GBC_e1701479a1654e0d9f4b2ffb99c13db0"/>
        <w:id w:val="-102085487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35"/>
    <w:p w:rsidR="004A3868" w:rsidRDefault="003F1AB5">
      <w:pPr>
        <w:pStyle w:val="Style12711"/>
      </w:pPr>
      <w:r>
        <w:rPr>
          <w:rFonts w:hint="eastAsia"/>
        </w:rPr>
        <w:lastRenderedPageBreak/>
        <w:t>其他</w:t>
      </w:r>
    </w:p>
    <w:sdt>
      <w:sdtPr>
        <w:rPr>
          <w:rFonts w:hint="eastAsia"/>
          <w:sz w:val="21"/>
          <w:szCs w:val="21"/>
        </w:rPr>
        <w:alias w:val="是否适用：公司主要会计政策、会计估计和前期差错的其他说明[双击切换]"/>
        <w:tag w:val="_GBC_bcb348c2b015461e9de30ce69ad888ae"/>
        <w:id w:val="139885945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2"/>
        <w:numPr>
          <w:ilvl w:val="0"/>
          <w:numId w:val="6"/>
        </w:numPr>
        <w:spacing w:line="240" w:lineRule="auto"/>
        <w:ind w:left="425"/>
        <w:rPr>
          <w:rFonts w:ascii="宋体" w:hAnsi="宋体"/>
        </w:rPr>
      </w:pPr>
      <w:r>
        <w:rPr>
          <w:rFonts w:ascii="宋体" w:hAnsi="宋体" w:hint="eastAsia"/>
        </w:rPr>
        <w:t>税项</w:t>
      </w:r>
    </w:p>
    <w:sdt>
      <w:sdtPr>
        <w:rPr>
          <w:rFonts w:asciiTheme="minorHAnsi" w:hAnsiTheme="minorHAnsi" w:cs="宋体"/>
          <w:b w:val="0"/>
          <w:bCs w:val="0"/>
          <w:kern w:val="0"/>
          <w:sz w:val="24"/>
          <w:szCs w:val="22"/>
        </w:rPr>
        <w:alias w:val="模块:主要税种及税率"/>
        <w:tag w:val="_GBC_21c965fa52af49a9865023fb4e05671a"/>
        <w:id w:val="1883745031"/>
        <w:lock w:val="sdtLocked"/>
        <w:placeholder>
          <w:docPart w:val="85392106702549C4AC05DA7F7526D92C"/>
        </w:placeholder>
      </w:sdtPr>
      <w:sdtEndPr>
        <w:rPr>
          <w:rFonts w:ascii="宋体" w:hAnsi="宋体"/>
          <w:szCs w:val="24"/>
        </w:rPr>
      </w:sdtEndPr>
      <w:sdtContent>
        <w:p w:rsidR="004A3868" w:rsidRDefault="003F1AB5">
          <w:pPr>
            <w:pStyle w:val="Style12711"/>
            <w:numPr>
              <w:ilvl w:val="1"/>
              <w:numId w:val="64"/>
            </w:numPr>
          </w:pPr>
          <w:r>
            <w:t>主要税种及税率</w:t>
          </w:r>
        </w:p>
        <w:p w:rsidR="004A3868" w:rsidRDefault="003F1AB5">
          <w:r>
            <w:t>主要税种及税率</w:t>
          </w:r>
          <w:r>
            <w:rPr>
              <w:rFonts w:hint="eastAsia"/>
            </w:rPr>
            <w:t>情况</w:t>
          </w:r>
        </w:p>
        <w:sdt>
          <w:sdtPr>
            <w:alias w:val="是否适用：主要税种及税率情况 [双击切换]"/>
            <w:tag w:val="_GBC_f900f926144b41b9ba020b5a24aff3c0"/>
            <w:id w:val="-1226841782"/>
            <w:lock w:val="sdtLocked"/>
            <w:placeholder>
              <w:docPart w:val="85392106702549C4AC05DA7F7526D92C"/>
            </w:placeholder>
          </w:sdtPr>
          <w:sdtEndPr/>
          <w:sdtContent>
            <w:p w:rsidR="004A3868" w:rsidRDefault="003F1AB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4A3868">
            <w:sdt>
              <w:sdtPr>
                <w:tag w:val="_PLD_b5758c089ae1414f99b1cc36321c29a1"/>
                <w:id w:val="-1325352019"/>
                <w:lock w:val="sdtLocked"/>
              </w:sdtPr>
              <w:sdtEndPr/>
              <w:sdtContent>
                <w:tc>
                  <w:tcPr>
                    <w:tcW w:w="1537" w:type="pct"/>
                    <w:vAlign w:val="center"/>
                  </w:tcPr>
                  <w:p w:rsidR="004A3868" w:rsidRDefault="003F1AB5">
                    <w:pPr>
                      <w:pStyle w:val="afffb"/>
                    </w:pPr>
                    <w:r>
                      <w:t>税种</w:t>
                    </w:r>
                  </w:p>
                </w:tc>
              </w:sdtContent>
            </w:sdt>
            <w:sdt>
              <w:sdtPr>
                <w:tag w:val="_PLD_0e1599c84a4d47cc8f6f9b3d3069a1bd"/>
                <w:id w:val="1373881517"/>
                <w:lock w:val="sdtLocked"/>
              </w:sdtPr>
              <w:sdtEndPr/>
              <w:sdtContent>
                <w:tc>
                  <w:tcPr>
                    <w:tcW w:w="1738" w:type="pct"/>
                    <w:vAlign w:val="center"/>
                  </w:tcPr>
                  <w:p w:rsidR="004A3868" w:rsidRDefault="003F1AB5">
                    <w:pPr>
                      <w:pStyle w:val="afffb"/>
                    </w:pPr>
                    <w:r>
                      <w:t>计税依据</w:t>
                    </w:r>
                  </w:p>
                </w:tc>
              </w:sdtContent>
            </w:sdt>
            <w:sdt>
              <w:sdtPr>
                <w:tag w:val="_PLD_74e07bcec6714b078c64caa53447462a"/>
                <w:id w:val="-2144572671"/>
                <w:lock w:val="sdtLocked"/>
              </w:sdtPr>
              <w:sdtEndPr/>
              <w:sdtContent>
                <w:tc>
                  <w:tcPr>
                    <w:tcW w:w="1725" w:type="pct"/>
                    <w:vAlign w:val="center"/>
                  </w:tcPr>
                  <w:p w:rsidR="004A3868" w:rsidRDefault="003F1AB5">
                    <w:pPr>
                      <w:pStyle w:val="afffb"/>
                    </w:pPr>
                    <w:r>
                      <w:t>税率</w:t>
                    </w:r>
                  </w:p>
                </w:tc>
              </w:sdtContent>
            </w:sdt>
          </w:tr>
          <w:tr w:rsidR="004A3868">
            <w:tc>
              <w:tcPr>
                <w:tcW w:w="1537" w:type="pct"/>
                <w:vMerge w:val="restart"/>
              </w:tcPr>
              <w:p w:rsidR="004A3868" w:rsidRDefault="003F1AB5">
                <w:pPr>
                  <w:pStyle w:val="afff9"/>
                </w:pPr>
                <w:r>
                  <w:t>增值税</w:t>
                </w:r>
              </w:p>
            </w:tc>
            <w:tc>
              <w:tcPr>
                <w:tcW w:w="1738" w:type="pct"/>
                <w:vAlign w:val="center"/>
              </w:tcPr>
              <w:p w:rsidR="004A3868" w:rsidRDefault="003F1AB5">
                <w:pPr>
                  <w:pStyle w:val="afff9"/>
                </w:pPr>
                <w:r>
                  <w:t>境内销售：提供加工、修理修配劳务；以及提供有形动产租赁服务</w:t>
                </w:r>
              </w:p>
            </w:tc>
            <w:tc>
              <w:tcPr>
                <w:tcW w:w="1725" w:type="pct"/>
                <w:vAlign w:val="center"/>
              </w:tcPr>
              <w:p w:rsidR="004A3868" w:rsidRDefault="003F1AB5">
                <w:pPr>
                  <w:pStyle w:val="afff7"/>
                </w:pPr>
                <w:r>
                  <w:t>13%</w:t>
                </w:r>
              </w:p>
            </w:tc>
          </w:tr>
          <w:tr w:rsidR="004A3868">
            <w:tc>
              <w:tcPr>
                <w:tcW w:w="1537" w:type="pct"/>
                <w:vMerge/>
              </w:tcPr>
              <w:p w:rsidR="004A3868" w:rsidRDefault="004A3868">
                <w:pPr>
                  <w:pStyle w:val="afff9"/>
                </w:pPr>
              </w:p>
            </w:tc>
            <w:tc>
              <w:tcPr>
                <w:tcW w:w="1738" w:type="pct"/>
                <w:vAlign w:val="center"/>
              </w:tcPr>
              <w:p w:rsidR="004A3868" w:rsidRDefault="003F1AB5">
                <w:pPr>
                  <w:pStyle w:val="afff9"/>
                </w:pPr>
                <w:r>
                  <w:t>不动产租赁服务</w:t>
                </w:r>
              </w:p>
            </w:tc>
            <w:tc>
              <w:tcPr>
                <w:tcW w:w="1725" w:type="pct"/>
                <w:vAlign w:val="center"/>
              </w:tcPr>
              <w:p w:rsidR="004A3868" w:rsidRDefault="003F1AB5">
                <w:pPr>
                  <w:pStyle w:val="afff7"/>
                </w:pPr>
                <w:r>
                  <w:t>9%</w:t>
                </w:r>
              </w:p>
            </w:tc>
          </w:tr>
          <w:tr w:rsidR="004A3868">
            <w:tc>
              <w:tcPr>
                <w:tcW w:w="1537" w:type="pct"/>
                <w:vMerge/>
              </w:tcPr>
              <w:p w:rsidR="004A3868" w:rsidRDefault="004A3868">
                <w:pPr>
                  <w:pStyle w:val="afff9"/>
                </w:pPr>
              </w:p>
            </w:tc>
            <w:tc>
              <w:tcPr>
                <w:tcW w:w="1738" w:type="pct"/>
                <w:vAlign w:val="center"/>
              </w:tcPr>
              <w:p w:rsidR="004A3868" w:rsidRDefault="003F1AB5">
                <w:pPr>
                  <w:pStyle w:val="afff9"/>
                </w:pPr>
                <w:r>
                  <w:t>其他应税销售服务行为</w:t>
                </w:r>
              </w:p>
            </w:tc>
            <w:tc>
              <w:tcPr>
                <w:tcW w:w="1725" w:type="pct"/>
                <w:vAlign w:val="center"/>
              </w:tcPr>
              <w:p w:rsidR="004A3868" w:rsidRDefault="003F1AB5">
                <w:pPr>
                  <w:pStyle w:val="afff7"/>
                </w:pPr>
                <w:r>
                  <w:t>6%</w:t>
                </w:r>
              </w:p>
            </w:tc>
          </w:tr>
          <w:tr w:rsidR="004A3868">
            <w:tc>
              <w:tcPr>
                <w:tcW w:w="1537" w:type="pct"/>
              </w:tcPr>
              <w:p w:rsidR="004A3868" w:rsidRDefault="003F1AB5">
                <w:pPr>
                  <w:pStyle w:val="afff9"/>
                </w:pPr>
                <w:r>
                  <w:t>城市维护建设税</w:t>
                </w:r>
              </w:p>
            </w:tc>
            <w:tc>
              <w:tcPr>
                <w:tcW w:w="1738" w:type="pct"/>
              </w:tcPr>
              <w:p w:rsidR="004A3868" w:rsidRDefault="003F1AB5">
                <w:pPr>
                  <w:pStyle w:val="afff9"/>
                </w:pPr>
                <w:r>
                  <w:t>实缴流转税税额</w:t>
                </w:r>
              </w:p>
            </w:tc>
            <w:tc>
              <w:tcPr>
                <w:tcW w:w="1725" w:type="pct"/>
              </w:tcPr>
              <w:p w:rsidR="004A3868" w:rsidRDefault="003F1AB5">
                <w:pPr>
                  <w:pStyle w:val="afff7"/>
                </w:pPr>
                <w:r>
                  <w:t>7%</w:t>
                </w:r>
              </w:p>
            </w:tc>
          </w:tr>
          <w:tr w:rsidR="004A3868">
            <w:tc>
              <w:tcPr>
                <w:tcW w:w="1537" w:type="pct"/>
              </w:tcPr>
              <w:p w:rsidR="004A3868" w:rsidRDefault="003F1AB5">
                <w:pPr>
                  <w:pStyle w:val="afff9"/>
                </w:pPr>
                <w:r>
                  <w:t>企业所得税</w:t>
                </w:r>
              </w:p>
            </w:tc>
            <w:tc>
              <w:tcPr>
                <w:tcW w:w="1738" w:type="pct"/>
              </w:tcPr>
              <w:p w:rsidR="004A3868" w:rsidRDefault="003F1AB5">
                <w:pPr>
                  <w:pStyle w:val="afff9"/>
                </w:pPr>
                <w:r>
                  <w:t>应纳税所得额</w:t>
                </w:r>
              </w:p>
            </w:tc>
            <w:tc>
              <w:tcPr>
                <w:tcW w:w="1725" w:type="pct"/>
              </w:tcPr>
              <w:p w:rsidR="004A3868" w:rsidRDefault="003F1AB5">
                <w:pPr>
                  <w:pStyle w:val="afff7"/>
                </w:pPr>
                <w:r>
                  <w:t>15%、20%</w:t>
                </w:r>
              </w:p>
            </w:tc>
          </w:tr>
          <w:tr w:rsidR="004A3868">
            <w:tc>
              <w:tcPr>
                <w:tcW w:w="1537" w:type="pct"/>
              </w:tcPr>
              <w:p w:rsidR="004A3868" w:rsidRDefault="003F1AB5">
                <w:pPr>
                  <w:pStyle w:val="afff9"/>
                </w:pPr>
                <w:r>
                  <w:t>教育费附加</w:t>
                </w:r>
              </w:p>
            </w:tc>
            <w:tc>
              <w:tcPr>
                <w:tcW w:w="1738" w:type="pct"/>
              </w:tcPr>
              <w:p w:rsidR="004A3868" w:rsidRDefault="003F1AB5">
                <w:pPr>
                  <w:pStyle w:val="afff9"/>
                </w:pPr>
                <w:r>
                  <w:t>应交增值税</w:t>
                </w:r>
              </w:p>
            </w:tc>
            <w:tc>
              <w:tcPr>
                <w:tcW w:w="1725" w:type="pct"/>
              </w:tcPr>
              <w:p w:rsidR="004A3868" w:rsidRDefault="003F1AB5">
                <w:pPr>
                  <w:pStyle w:val="afff7"/>
                </w:pPr>
                <w:r>
                  <w:t>3%</w:t>
                </w:r>
              </w:p>
            </w:tc>
          </w:tr>
          <w:tr w:rsidR="004A3868">
            <w:tc>
              <w:tcPr>
                <w:tcW w:w="1537" w:type="pct"/>
              </w:tcPr>
              <w:p w:rsidR="004A3868" w:rsidRDefault="003F1AB5">
                <w:pPr>
                  <w:pStyle w:val="afff9"/>
                </w:pPr>
                <w:r>
                  <w:t>地方教育附加</w:t>
                </w:r>
              </w:p>
            </w:tc>
            <w:tc>
              <w:tcPr>
                <w:tcW w:w="1738" w:type="pct"/>
              </w:tcPr>
              <w:p w:rsidR="004A3868" w:rsidRDefault="003F1AB5">
                <w:pPr>
                  <w:pStyle w:val="afff9"/>
                </w:pPr>
                <w:r>
                  <w:t>应交增值税</w:t>
                </w:r>
              </w:p>
            </w:tc>
            <w:tc>
              <w:tcPr>
                <w:tcW w:w="1725" w:type="pct"/>
              </w:tcPr>
              <w:p w:rsidR="004A3868" w:rsidRDefault="003F1AB5">
                <w:pPr>
                  <w:pStyle w:val="afff7"/>
                </w:pPr>
                <w:r>
                  <w:t>2%</w:t>
                </w:r>
              </w:p>
            </w:tc>
          </w:tr>
          <w:tr w:rsidR="004A3868">
            <w:tc>
              <w:tcPr>
                <w:tcW w:w="1537" w:type="pct"/>
              </w:tcPr>
              <w:p w:rsidR="004A3868" w:rsidRDefault="003F1AB5">
                <w:pPr>
                  <w:pStyle w:val="afff9"/>
                </w:pPr>
                <w:r>
                  <w:t>房产税</w:t>
                </w:r>
              </w:p>
            </w:tc>
            <w:tc>
              <w:tcPr>
                <w:tcW w:w="1738" w:type="pct"/>
              </w:tcPr>
              <w:p w:rsidR="004A3868" w:rsidRDefault="003F1AB5">
                <w:pPr>
                  <w:pStyle w:val="afff9"/>
                </w:pPr>
                <w:r>
                  <w:t>按照房产原值的</w:t>
                </w:r>
                <w:r>
                  <w:t>70%</w:t>
                </w:r>
                <w:r>
                  <w:t>（或租金收入）为纳税基准</w:t>
                </w:r>
              </w:p>
            </w:tc>
            <w:tc>
              <w:tcPr>
                <w:tcW w:w="1725" w:type="pct"/>
              </w:tcPr>
              <w:p w:rsidR="004A3868" w:rsidRDefault="003F1AB5">
                <w:pPr>
                  <w:pStyle w:val="afff7"/>
                </w:pPr>
                <w:r>
                  <w:t>1.2%或12%</w:t>
                </w:r>
              </w:p>
            </w:tc>
          </w:tr>
        </w:tbl>
        <w:p w:rsidR="004A3868" w:rsidRDefault="004A3868"/>
        <w:p w:rsidR="004A3868" w:rsidRDefault="003F1AB5">
          <w:pPr>
            <w:rPr>
              <w:rStyle w:val="Char20"/>
            </w:rPr>
          </w:pPr>
          <w:r>
            <w:rPr>
              <w:rStyle w:val="Char20"/>
              <w:rFonts w:hint="eastAsia"/>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Locked"/>
            <w:placeholder>
              <w:docPart w:val="85392106702549C4AC05DA7F7526D92C"/>
            </w:placeholder>
          </w:sdtPr>
          <w:sdtEndPr/>
          <w:sdtContent>
            <w:p w:rsidR="004A3868" w:rsidRDefault="003F1AB5">
              <w:pPr>
                <w:rPr>
                  <w:szCs w:val="21"/>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87"/>
            <w:gridCol w:w="4336"/>
          </w:tblGrid>
          <w:tr w:rsidR="004A3868">
            <w:sdt>
              <w:sdtPr>
                <w:tag w:val="_PLD_45211f01b9764dbc9a13b86554731418"/>
                <w:id w:val="-945460703"/>
                <w:lock w:val="sdtLocked"/>
              </w:sdtPr>
              <w:sdtEndPr/>
              <w:sdtContent>
                <w:tc>
                  <w:tcPr>
                    <w:tcW w:w="2543" w:type="pct"/>
                    <w:shd w:val="clear" w:color="auto" w:fill="auto"/>
                    <w:vAlign w:val="center"/>
                  </w:tcPr>
                  <w:p w:rsidR="004A3868" w:rsidRDefault="003F1AB5">
                    <w:pPr>
                      <w:pStyle w:val="afff9"/>
                    </w:pPr>
                    <w:r>
                      <w:rPr>
                        <w:rFonts w:hint="eastAsia"/>
                      </w:rPr>
                      <w:t>纳税主体名称</w:t>
                    </w:r>
                  </w:p>
                </w:tc>
              </w:sdtContent>
            </w:sdt>
            <w:sdt>
              <w:sdtPr>
                <w:tag w:val="_PLD_f364076e1daa46149b120da21925a155"/>
                <w:id w:val="-1067876525"/>
                <w:lock w:val="sdtLocked"/>
              </w:sdtPr>
              <w:sdtEndPr/>
              <w:sdtContent>
                <w:tc>
                  <w:tcPr>
                    <w:tcW w:w="2457" w:type="pct"/>
                    <w:shd w:val="clear" w:color="auto" w:fill="auto"/>
                    <w:vAlign w:val="center"/>
                  </w:tcPr>
                  <w:p w:rsidR="004A3868" w:rsidRDefault="003F1AB5">
                    <w:pPr>
                      <w:pStyle w:val="afffb"/>
                    </w:pPr>
                    <w:r>
                      <w:rPr>
                        <w:rFonts w:hint="eastAsia"/>
                      </w:rPr>
                      <w:t>所得税税率（%）</w:t>
                    </w:r>
                  </w:p>
                </w:tc>
              </w:sdtContent>
            </w:sdt>
          </w:tr>
          <w:tr w:rsidR="004A3868">
            <w:tc>
              <w:tcPr>
                <w:tcW w:w="2543" w:type="pct"/>
                <w:shd w:val="clear" w:color="auto" w:fill="auto"/>
                <w:vAlign w:val="center"/>
              </w:tcPr>
              <w:p w:rsidR="004A3868" w:rsidRDefault="003F1AB5">
                <w:pPr>
                  <w:pStyle w:val="afff9"/>
                </w:pPr>
                <w:r>
                  <w:t>重庆望变电气（集团）股份有限公司</w:t>
                </w:r>
              </w:p>
            </w:tc>
            <w:tc>
              <w:tcPr>
                <w:tcW w:w="2457" w:type="pct"/>
                <w:shd w:val="clear" w:color="auto" w:fill="auto"/>
              </w:tcPr>
              <w:p w:rsidR="004A3868" w:rsidRDefault="003F1AB5">
                <w:pPr>
                  <w:pStyle w:val="afff7"/>
                </w:pPr>
                <w:r>
                  <w:t>15%</w:t>
                </w:r>
              </w:p>
            </w:tc>
          </w:tr>
          <w:tr w:rsidR="004A3868">
            <w:tc>
              <w:tcPr>
                <w:tcW w:w="2543" w:type="pct"/>
                <w:shd w:val="clear" w:color="auto" w:fill="auto"/>
                <w:vAlign w:val="center"/>
              </w:tcPr>
              <w:p w:rsidR="004A3868" w:rsidRDefault="003F1AB5">
                <w:pPr>
                  <w:pStyle w:val="afff9"/>
                </w:pPr>
                <w:r>
                  <w:t>重庆惠泽电器有限公司</w:t>
                </w:r>
              </w:p>
            </w:tc>
            <w:tc>
              <w:tcPr>
                <w:tcW w:w="2457" w:type="pct"/>
                <w:shd w:val="clear" w:color="auto" w:fill="auto"/>
              </w:tcPr>
              <w:p w:rsidR="004A3868" w:rsidRDefault="003F1AB5">
                <w:pPr>
                  <w:pStyle w:val="afff7"/>
                </w:pPr>
                <w:r>
                  <w:t>20%</w:t>
                </w:r>
              </w:p>
            </w:tc>
          </w:tr>
          <w:tr w:rsidR="004A3868">
            <w:tc>
              <w:tcPr>
                <w:tcW w:w="2543" w:type="pct"/>
                <w:shd w:val="clear" w:color="auto" w:fill="auto"/>
                <w:vAlign w:val="center"/>
              </w:tcPr>
              <w:p w:rsidR="004A3868" w:rsidRDefault="003F1AB5">
                <w:pPr>
                  <w:pStyle w:val="afff9"/>
                </w:pPr>
                <w:r>
                  <w:t>黔南望江变压器有限公司</w:t>
                </w:r>
              </w:p>
            </w:tc>
            <w:tc>
              <w:tcPr>
                <w:tcW w:w="2457" w:type="pct"/>
                <w:shd w:val="clear" w:color="auto" w:fill="auto"/>
              </w:tcPr>
              <w:p w:rsidR="004A3868" w:rsidRDefault="003F1AB5">
                <w:pPr>
                  <w:pStyle w:val="afff7"/>
                </w:pPr>
                <w:r>
                  <w:t>15%</w:t>
                </w:r>
              </w:p>
            </w:tc>
          </w:tr>
        </w:tbl>
        <w:p w:rsidR="004A3868" w:rsidRDefault="00B34370"/>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85392106702549C4AC05DA7F7526D92C"/>
        </w:placeholder>
      </w:sdtPr>
      <w:sdtEndPr>
        <w:rPr>
          <w:rFonts w:asciiTheme="minorEastAsia" w:eastAsiaTheme="minorEastAsia" w:hAnsiTheme="minorEastAsia" w:cs="Times New Roman" w:hint="eastAsia"/>
          <w:kern w:val="2"/>
          <w:szCs w:val="21"/>
        </w:rPr>
      </w:sdtEndPr>
      <w:sdtContent>
        <w:p w:rsidR="004A3868" w:rsidRDefault="003F1AB5">
          <w:pPr>
            <w:pStyle w:val="Style12711"/>
            <w:numPr>
              <w:ilvl w:val="1"/>
              <w:numId w:val="64"/>
            </w:numPr>
          </w:pPr>
          <w:r>
            <w:t>税收优惠</w:t>
          </w:r>
        </w:p>
        <w:sdt>
          <w:sdtPr>
            <w:rPr>
              <w:rFonts w:hint="eastAsia"/>
              <w:szCs w:val="21"/>
            </w:rPr>
            <w:alias w:val="是否适用：税收优惠[双击切换]"/>
            <w:tag w:val="_GBC_7b649dcf8ab54475bffc51edb3c33588"/>
            <w:id w:val="-1431038144"/>
            <w:lock w:val="sdtLocked"/>
            <w:placeholder>
              <w:docPart w:val="85392106702549C4AC05DA7F7526D92C"/>
            </w:placeholder>
          </w:sdtPr>
          <w:sdtEndPr/>
          <w:sdtContent>
            <w:p w:rsidR="004A3868" w:rsidRDefault="003F1AB5">
              <w:pPr>
                <w:rPr>
                  <w:szCs w:val="21"/>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Fonts w:hint="eastAsia"/>
            </w:rPr>
            <w:alias w:val="优惠税赋及批文"/>
            <w:tag w:val="_GBC_3bbdacdaa3ba421fb8a81b9bda047bb4"/>
            <w:id w:val="-1711325921"/>
            <w:lock w:val="sdtLocked"/>
            <w:placeholder>
              <w:docPart w:val="85392106702549C4AC05DA7F7526D92C"/>
            </w:placeholder>
          </w:sdtPr>
          <w:sdtEndPr/>
          <w:sdtContent>
            <w:p w:rsidR="004A3868" w:rsidRDefault="003F1AB5">
              <w:pPr>
                <w:pStyle w:val="afff1"/>
                <w:spacing w:before="156"/>
                <w:ind w:firstLine="420"/>
              </w:pPr>
              <w:r>
                <w:t>(1)根据《财政部、国家税务总局、国家发展改革委关于延续西部大开发企业所得税政策的公告》（2020年第23号），自2021年1月1日至2030年12月31日，设立在西部地区的鼓励类产业企业可享受减按15%的税率缴纳企业所得税。目前重庆望变电气（集团）股份有限公司、黔南望江变压器有限公司享受西部大开发所得税优惠政策，报告期内所得税减按15%税率征税。</w:t>
              </w:r>
            </w:p>
            <w:p w:rsidR="004A3868" w:rsidRDefault="003F1AB5">
              <w:pPr>
                <w:pStyle w:val="afff1"/>
                <w:spacing w:before="156"/>
                <w:ind w:firstLine="420"/>
              </w:pPr>
              <w:r>
                <w:t>(2) 根据《关于小微企业和个体工商户所得税优惠政策的公告》（ 财政部、税务总局公告2023年第6号）规定，自2023年1月1日至2024年12月31日，对小型微利企业年应纳税所得额不超过100万元的部分，减按25%计入应纳税所得额，按20%的税率缴纳企业所得税。2023年</w:t>
              </w:r>
              <w:r>
                <w:lastRenderedPageBreak/>
                <w:t>度重庆惠泽电器有限公司为小型微利企业，适用小微企业普惠性税收减免政策。</w:t>
              </w:r>
            </w:p>
            <w:p w:rsidR="004A3868" w:rsidRDefault="003F1AB5">
              <w:pPr>
                <w:pStyle w:val="afff1"/>
                <w:spacing w:before="156"/>
                <w:ind w:firstLine="420"/>
              </w:pPr>
              <w:r>
                <w:t xml:space="preserve">(3) </w:t>
              </w:r>
              <w:r>
                <w:rPr>
                  <w:rFonts w:hint="eastAsia"/>
                </w:rPr>
                <w:t>根据财政部税务总局公告</w:t>
              </w:r>
              <w:r>
                <w:t>2023年第7号《关于进一步完善研发费用税前加计扣除政策的公告》，企业开展研发活动中实际发生的研发费用，未形成无形资产计入当期损益的，在按规定据实扣除的基础上，自2023年1月1日起，再按照实际发生额的100%在税前加计扣除；形成无形资产的，自2023年1月1日起，按照无形资产成本的200%在税前摊销。</w:t>
              </w:r>
            </w:p>
            <w:p w:rsidR="004A3868" w:rsidRDefault="003F1AB5">
              <w:pPr>
                <w:pStyle w:val="afff1"/>
                <w:spacing w:before="156"/>
                <w:ind w:firstLine="420"/>
              </w:pPr>
              <w:r>
                <w:t>(4) 根据《财政部、税务总局关于设备器具扣除有关企业所得税政策的通知》（财税〔2018〕54号）规定，公司在2018年1月1日至2020年12月31日期间新购进的设备、器具，单位价值不超过500万元的，允许一次性计入当期成本费用在计算应纳税所得额时扣除；根据《财政部、税务总局关于延长部分税收优惠政策执行期限的公告》（2021年第6号），财税〔2018〕54号规定的税收优惠政策凡已经到期的，执行期限延长至2023年12月31日。。</w:t>
              </w:r>
            </w:p>
            <w:p w:rsidR="004A3868" w:rsidRDefault="003F1AB5">
              <w:pPr>
                <w:pStyle w:val="afff1"/>
                <w:spacing w:before="156"/>
                <w:ind w:firstLine="420"/>
              </w:pPr>
              <w:r>
                <w:t>(5) 根据《财政部、税务总局关于先进制造企业增值税加计抵减政策的公告》（公告 2023 年第 43 号）规定，自 2023 年 1月 1 日至 2027 年 12 月 31 日，允许先进制造企业按照当期可抵扣进项税额加计5%抵减应纳增值税税额。上述先进制造企业是指高新技术企业中的制造业一般纳税人，高新技术企业是指按照《科技部、财政部、国家税务总局关于修订印发〈高新技术企业认定管理办法〉的通知》（国科发火〔2016〕 32 号）规定认定的高新技术企业。先进制造业企业具体名单，由各省、自治区、直辖市、计划单列</w:t>
              </w:r>
              <w:r>
                <w:rPr>
                  <w:rFonts w:hint="eastAsia"/>
                </w:rPr>
                <w:t>市工业和信息化部门会同同级科技、财政、税务部门确定。根据相关规定，本公司按照当期可抵扣进项税额加计</w:t>
              </w:r>
              <w:r>
                <w:t xml:space="preserve"> 5%抵减应纳增值税税额。</w:t>
              </w:r>
            </w:p>
          </w:sdtContent>
        </w:sdt>
        <w:p w:rsidR="004A3868" w:rsidRDefault="00B34370">
          <w:pPr>
            <w:rPr>
              <w:rFonts w:asciiTheme="minorEastAsia" w:eastAsiaTheme="minorEastAsia" w:hAnsiTheme="minorEastAsia"/>
              <w:szCs w:val="21"/>
            </w:rPr>
          </w:pPr>
        </w:p>
      </w:sdtContent>
    </w:sdt>
    <w:sdt>
      <w:sdtPr>
        <w:rPr>
          <w:rFonts w:ascii="宋体" w:hAnsi="宋体" w:cs="宋体"/>
          <w:b w:val="0"/>
          <w:bCs w:val="0"/>
          <w:kern w:val="0"/>
          <w:sz w:val="24"/>
          <w:szCs w:val="24"/>
        </w:rPr>
        <w:alias w:val="模块:其他说明"/>
        <w:tag w:val="_GBC_9fdef48633e142f68e18dc5da08c2deb"/>
        <w:id w:val="-1527163541"/>
        <w:lock w:val="sdtLocked"/>
        <w:placeholder>
          <w:docPart w:val="85392106702549C4AC05DA7F7526D92C"/>
        </w:placeholder>
      </w:sdtPr>
      <w:sdtEndPr>
        <w:rPr>
          <w:rFonts w:ascii="Times New Roman" w:hAnsi="Times New Roman" w:hint="eastAsia"/>
        </w:rPr>
      </w:sdtEndPr>
      <w:sdtContent>
        <w:p w:rsidR="004A3868" w:rsidRDefault="003F1AB5">
          <w:pPr>
            <w:pStyle w:val="Style12711"/>
            <w:numPr>
              <w:ilvl w:val="1"/>
              <w:numId w:val="64"/>
            </w:numPr>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Locked"/>
            <w:placeholder>
              <w:docPart w:val="85392106702549C4AC05DA7F7526D92C"/>
            </w:placeholder>
          </w:sdtPr>
          <w:sdtEndPr/>
          <w:sdtContent>
            <w:p w:rsidR="004A3868" w:rsidRDefault="003F1AB5">
              <w:pPr>
                <w:rPr>
                  <w:szCs w:val="21"/>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sdtContent>
    </w:sdt>
    <w:p w:rsidR="004A3868" w:rsidRDefault="003F1AB5">
      <w:pPr>
        <w:pStyle w:val="Style954"/>
      </w:pPr>
      <w:bookmarkStart w:id="136" w:name="_Hlk164778400"/>
      <w:bookmarkEnd w:id="136"/>
      <w:r>
        <w:rPr>
          <w:rFonts w:hint="eastAsia"/>
        </w:rPr>
        <w:t>合并财务报表项目注释</w:t>
      </w:r>
    </w:p>
    <w:p w:rsidR="004A3868" w:rsidRDefault="003F1AB5">
      <w:pPr>
        <w:pStyle w:val="Style12711"/>
        <w:numPr>
          <w:ilvl w:val="1"/>
          <w:numId w:val="65"/>
        </w:numPr>
      </w:pPr>
      <w:r>
        <w:t>货币资金</w:t>
      </w:r>
    </w:p>
    <w:sdt>
      <w:sdtPr>
        <w:rPr>
          <w:rFonts w:hint="eastAsia"/>
          <w:sz w:val="21"/>
          <w:szCs w:val="21"/>
        </w:rPr>
        <w:alias w:val="是否适用：货币资金[双击切换]"/>
        <w:tag w:val="_GBC_7583a9a918ef405ba2d26448cc628ff5"/>
        <w:id w:val="464550046"/>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rStyle w:val="afff6"/>
          <w:sz w:val="21"/>
          <w:szCs w:val="21"/>
        </w:rPr>
      </w:pPr>
      <w:r>
        <w:rPr>
          <w:rStyle w:val="afffc"/>
          <w:rFonts w:hint="eastAsia"/>
        </w:rPr>
        <w:t>单位：</w:t>
      </w:r>
      <w:sdt>
        <w:sdtPr>
          <w:rPr>
            <w:rStyle w:val="afffc"/>
            <w:rFonts w:hint="eastAsia"/>
          </w:rPr>
          <w:alias w:val="单位：财务附注：货币资金"/>
          <w:tag w:val="_GBC_837f4fb04cac4b8aa6bed7dc457a1486"/>
          <w:id w:val="-1288581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afffc"/>
          </w:rPr>
        </w:sdtEndPr>
        <w:sdtContent>
          <w:r>
            <w:rPr>
              <w:rStyle w:val="afffc"/>
              <w:rFonts w:hint="eastAsia"/>
            </w:rPr>
            <w:t>元</w:t>
          </w:r>
        </w:sdtContent>
      </w:sdt>
      <w:r>
        <w:rPr>
          <w:rStyle w:val="afffc"/>
          <w:rFonts w:hint="eastAsia"/>
        </w:rPr>
        <w:t xml:space="preserve">  币种：</w:t>
      </w:r>
      <w:sdt>
        <w:sdtPr>
          <w:rPr>
            <w:rStyle w:val="afffc"/>
            <w:rFonts w:hint="eastAsia"/>
          </w:rPr>
          <w:alias w:val="币种：财务附注：货币资金"/>
          <w:tag w:val="_GBC_6a1d907ad1af44b1a90a92ac03d51b34"/>
          <w:id w:val="17576296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afffc"/>
          </w:rPr>
        </w:sdtEndPr>
        <w:sdtContent>
          <w:r>
            <w:rPr>
              <w:rStyle w:val="afffc"/>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71"/>
        <w:gridCol w:w="2977"/>
        <w:gridCol w:w="2875"/>
      </w:tblGrid>
      <w:tr w:rsidR="004A3868">
        <w:trPr>
          <w:cantSplit/>
          <w:trHeight w:val="397"/>
          <w:jc w:val="center"/>
        </w:trPr>
        <w:sdt>
          <w:sdtPr>
            <w:tag w:val="_PLD_640e7daf451b4f14ba49162bfbbd1e72"/>
            <w:id w:val="-310245752"/>
          </w:sdtPr>
          <w:sdtEndPr/>
          <w:sdtContent>
            <w:tc>
              <w:tcPr>
                <w:tcW w:w="1684" w:type="pct"/>
                <w:shd w:val="clear" w:color="auto" w:fill="auto"/>
                <w:vAlign w:val="center"/>
              </w:tcPr>
              <w:p w:rsidR="004A3868" w:rsidRDefault="003F1AB5">
                <w:pPr>
                  <w:pStyle w:val="afffb"/>
                </w:pPr>
                <w:r>
                  <w:rPr>
                    <w:rFonts w:hint="eastAsia"/>
                  </w:rPr>
                  <w:t>项目</w:t>
                </w:r>
              </w:p>
            </w:tc>
          </w:sdtContent>
        </w:sdt>
        <w:sdt>
          <w:sdtPr>
            <w:tag w:val="_PLD_79d1e78073b542bda1ea85bf8925b2cd"/>
            <w:id w:val="-771778547"/>
          </w:sdtPr>
          <w:sdtEndPr/>
          <w:sdtContent>
            <w:tc>
              <w:tcPr>
                <w:tcW w:w="1687" w:type="pct"/>
                <w:shd w:val="clear" w:color="auto" w:fill="auto"/>
                <w:vAlign w:val="center"/>
              </w:tcPr>
              <w:p w:rsidR="004A3868" w:rsidRDefault="003F1AB5">
                <w:pPr>
                  <w:pStyle w:val="afffb"/>
                </w:pPr>
                <w:r>
                  <w:rPr>
                    <w:rFonts w:hint="eastAsia"/>
                  </w:rPr>
                  <w:t>期末余额</w:t>
                </w:r>
              </w:p>
            </w:tc>
          </w:sdtContent>
        </w:sdt>
        <w:sdt>
          <w:sdtPr>
            <w:tag w:val="_PLD_725adef951424bb094850d632de69fd0"/>
            <w:id w:val="-1759819652"/>
          </w:sdtPr>
          <w:sdtEndPr/>
          <w:sdtContent>
            <w:tc>
              <w:tcPr>
                <w:tcW w:w="1629" w:type="pct"/>
                <w:shd w:val="clear" w:color="auto" w:fill="auto"/>
                <w:vAlign w:val="center"/>
              </w:tcPr>
              <w:p w:rsidR="004A3868" w:rsidRDefault="003F1AB5">
                <w:pPr>
                  <w:pStyle w:val="afffb"/>
                </w:pPr>
                <w:r>
                  <w:rPr>
                    <w:rFonts w:hint="eastAsia"/>
                  </w:rPr>
                  <w:t>期初余额</w:t>
                </w:r>
              </w:p>
            </w:tc>
          </w:sdtContent>
        </w:sdt>
      </w:tr>
      <w:tr w:rsidR="004A3868">
        <w:trPr>
          <w:cantSplit/>
          <w:trHeight w:val="397"/>
          <w:jc w:val="center"/>
        </w:trPr>
        <w:tc>
          <w:tcPr>
            <w:tcW w:w="1684" w:type="pct"/>
            <w:shd w:val="clear" w:color="auto" w:fill="auto"/>
          </w:tcPr>
          <w:p w:rsidR="004A3868" w:rsidRDefault="003F1AB5">
            <w:pPr>
              <w:rPr>
                <w:sz w:val="21"/>
                <w:szCs w:val="21"/>
              </w:rPr>
            </w:pPr>
            <w:r>
              <w:rPr>
                <w:rFonts w:hint="eastAsia"/>
                <w:sz w:val="21"/>
                <w:szCs w:val="21"/>
              </w:rPr>
              <w:t>库存现金</w:t>
            </w:r>
          </w:p>
        </w:tc>
        <w:tc>
          <w:tcPr>
            <w:tcW w:w="1687" w:type="pct"/>
            <w:shd w:val="clear" w:color="auto" w:fill="auto"/>
            <w:vAlign w:val="center"/>
          </w:tcPr>
          <w:p w:rsidR="004A3868" w:rsidRDefault="003F1AB5">
            <w:pPr>
              <w:pStyle w:val="afff7"/>
            </w:pPr>
            <w:r>
              <w:t>64,324.30</w:t>
            </w:r>
          </w:p>
        </w:tc>
        <w:tc>
          <w:tcPr>
            <w:tcW w:w="1629" w:type="pct"/>
            <w:shd w:val="clear" w:color="auto" w:fill="auto"/>
            <w:vAlign w:val="center"/>
          </w:tcPr>
          <w:p w:rsidR="004A3868" w:rsidRDefault="003F1AB5">
            <w:pPr>
              <w:pStyle w:val="afff7"/>
            </w:pPr>
            <w:r>
              <w:t>37,973.20</w:t>
            </w:r>
          </w:p>
        </w:tc>
      </w:tr>
      <w:tr w:rsidR="004A3868">
        <w:trPr>
          <w:cantSplit/>
          <w:trHeight w:val="397"/>
          <w:jc w:val="center"/>
        </w:trPr>
        <w:tc>
          <w:tcPr>
            <w:tcW w:w="1684" w:type="pct"/>
            <w:shd w:val="clear" w:color="auto" w:fill="auto"/>
          </w:tcPr>
          <w:p w:rsidR="004A3868" w:rsidRDefault="003F1AB5">
            <w:pPr>
              <w:rPr>
                <w:sz w:val="21"/>
                <w:szCs w:val="21"/>
              </w:rPr>
            </w:pPr>
            <w:r>
              <w:rPr>
                <w:rFonts w:hint="eastAsia"/>
                <w:sz w:val="21"/>
                <w:szCs w:val="21"/>
              </w:rPr>
              <w:t>银行存款</w:t>
            </w:r>
          </w:p>
        </w:tc>
        <w:tc>
          <w:tcPr>
            <w:tcW w:w="1687" w:type="pct"/>
            <w:shd w:val="clear" w:color="auto" w:fill="auto"/>
            <w:vAlign w:val="center"/>
          </w:tcPr>
          <w:p w:rsidR="004A3868" w:rsidRDefault="003F1AB5">
            <w:pPr>
              <w:pStyle w:val="afff7"/>
            </w:pPr>
            <w:r>
              <w:t>1,226,578,330.90</w:t>
            </w:r>
          </w:p>
        </w:tc>
        <w:tc>
          <w:tcPr>
            <w:tcW w:w="1629" w:type="pct"/>
            <w:shd w:val="clear" w:color="auto" w:fill="auto"/>
            <w:vAlign w:val="center"/>
          </w:tcPr>
          <w:p w:rsidR="004A3868" w:rsidRDefault="003F1AB5">
            <w:pPr>
              <w:pStyle w:val="afff7"/>
            </w:pPr>
            <w:r>
              <w:t>880,587,072.99</w:t>
            </w:r>
          </w:p>
        </w:tc>
      </w:tr>
      <w:tr w:rsidR="004A3868">
        <w:trPr>
          <w:cantSplit/>
          <w:trHeight w:val="397"/>
          <w:jc w:val="center"/>
        </w:trPr>
        <w:tc>
          <w:tcPr>
            <w:tcW w:w="1684" w:type="pct"/>
            <w:shd w:val="clear" w:color="auto" w:fill="auto"/>
          </w:tcPr>
          <w:p w:rsidR="004A3868" w:rsidRDefault="003F1AB5">
            <w:pPr>
              <w:rPr>
                <w:sz w:val="21"/>
                <w:szCs w:val="21"/>
              </w:rPr>
            </w:pPr>
            <w:r>
              <w:rPr>
                <w:rFonts w:hint="eastAsia"/>
                <w:sz w:val="21"/>
                <w:szCs w:val="21"/>
              </w:rPr>
              <w:t>其他货币资金</w:t>
            </w:r>
          </w:p>
        </w:tc>
        <w:tc>
          <w:tcPr>
            <w:tcW w:w="1687" w:type="pct"/>
            <w:shd w:val="clear" w:color="auto" w:fill="auto"/>
            <w:vAlign w:val="center"/>
          </w:tcPr>
          <w:p w:rsidR="004A3868" w:rsidRDefault="003F1AB5">
            <w:pPr>
              <w:pStyle w:val="afff7"/>
            </w:pPr>
            <w:r>
              <w:t>146,492,485.38</w:t>
            </w:r>
          </w:p>
        </w:tc>
        <w:tc>
          <w:tcPr>
            <w:tcW w:w="1629" w:type="pct"/>
            <w:shd w:val="clear" w:color="auto" w:fill="auto"/>
            <w:vAlign w:val="center"/>
          </w:tcPr>
          <w:p w:rsidR="004A3868" w:rsidRDefault="003F1AB5">
            <w:pPr>
              <w:pStyle w:val="afff7"/>
            </w:pPr>
            <w:r>
              <w:t>52,364,462.88</w:t>
            </w:r>
          </w:p>
        </w:tc>
      </w:tr>
      <w:tr w:rsidR="004A3868">
        <w:trPr>
          <w:cantSplit/>
          <w:trHeight w:val="397"/>
          <w:jc w:val="center"/>
        </w:trPr>
        <w:tc>
          <w:tcPr>
            <w:tcW w:w="1684" w:type="pct"/>
            <w:shd w:val="clear" w:color="auto" w:fill="auto"/>
            <w:vAlign w:val="center"/>
          </w:tcPr>
          <w:p w:rsidR="004A3868" w:rsidRDefault="003F1AB5">
            <w:pPr>
              <w:rPr>
                <w:sz w:val="21"/>
                <w:szCs w:val="21"/>
              </w:rPr>
            </w:pPr>
            <w:r>
              <w:rPr>
                <w:rFonts w:hint="eastAsia"/>
                <w:sz w:val="21"/>
                <w:szCs w:val="21"/>
              </w:rPr>
              <w:t>合计</w:t>
            </w:r>
          </w:p>
        </w:tc>
        <w:tc>
          <w:tcPr>
            <w:tcW w:w="1687" w:type="pct"/>
            <w:shd w:val="clear" w:color="auto" w:fill="auto"/>
            <w:vAlign w:val="center"/>
          </w:tcPr>
          <w:p w:rsidR="004A3868" w:rsidRDefault="003F1AB5">
            <w:pPr>
              <w:pStyle w:val="afff7"/>
            </w:pPr>
            <w:r>
              <w:t>1,373,135,140.58</w:t>
            </w:r>
          </w:p>
        </w:tc>
        <w:tc>
          <w:tcPr>
            <w:tcW w:w="1629" w:type="pct"/>
            <w:shd w:val="clear" w:color="auto" w:fill="auto"/>
            <w:vAlign w:val="center"/>
          </w:tcPr>
          <w:p w:rsidR="004A3868" w:rsidRDefault="003F1AB5">
            <w:pPr>
              <w:pStyle w:val="afff7"/>
            </w:pPr>
            <w:r>
              <w:t>932,989,509.07</w:t>
            </w:r>
          </w:p>
        </w:tc>
      </w:tr>
    </w:tbl>
    <w:p w:rsidR="004A3868" w:rsidRDefault="004A3868">
      <w:pPr>
        <w:pStyle w:val="Style124"/>
      </w:pPr>
    </w:p>
    <w:p w:rsidR="004A3868" w:rsidRDefault="003F1AB5">
      <w:pPr>
        <w:rPr>
          <w:sz w:val="21"/>
          <w:szCs w:val="21"/>
        </w:rPr>
      </w:pPr>
      <w:r>
        <w:rPr>
          <w:rFonts w:hint="eastAsia"/>
          <w:sz w:val="21"/>
          <w:szCs w:val="21"/>
        </w:rPr>
        <w:lastRenderedPageBreak/>
        <w:t>其他说明</w:t>
      </w:r>
    </w:p>
    <w:sdt>
      <w:sdtPr>
        <w:rPr>
          <w:sz w:val="21"/>
          <w:szCs w:val="21"/>
        </w:rPr>
        <w:alias w:val="货币资金的说明"/>
        <w:tag w:val="_GBC_672a863055084dfabbc1ba40f04a68b4"/>
        <w:id w:val="160443336"/>
        <w:lock w:val="sdtLocked"/>
        <w:placeholder>
          <w:docPart w:val="GBC22222222222222222222222222222"/>
        </w:placeholder>
      </w:sdtPr>
      <w:sdtEndPr/>
      <w:sdtContent>
        <w:p w:rsidR="004A3868" w:rsidRDefault="003F1AB5">
          <w:pPr>
            <w:rPr>
              <w:sz w:val="21"/>
              <w:szCs w:val="21"/>
            </w:rPr>
          </w:pPr>
          <w:r>
            <w:rPr>
              <w:rFonts w:hint="eastAsia"/>
              <w:sz w:val="21"/>
              <w:szCs w:val="21"/>
            </w:rPr>
            <w:t>其中受限资产明细如下：</w:t>
          </w:r>
        </w:p>
        <w:tbl>
          <w:tblPr>
            <w:tblStyle w:val="g13"/>
            <w:tblW w:w="5000" w:type="pct"/>
            <w:jc w:val="center"/>
            <w:tblInd w:w="0" w:type="dxa"/>
            <w:tblLayout w:type="fixed"/>
            <w:tblCellMar>
              <w:right w:w="28" w:type="dxa"/>
            </w:tblCellMar>
            <w:tblLook w:val="04A0" w:firstRow="1" w:lastRow="0" w:firstColumn="1" w:lastColumn="0" w:noHBand="0" w:noVBand="1"/>
          </w:tblPr>
          <w:tblGrid>
            <w:gridCol w:w="2941"/>
            <w:gridCol w:w="2941"/>
            <w:gridCol w:w="2941"/>
          </w:tblGrid>
          <w:tr w:rsidR="004A3868">
            <w:trPr>
              <w:trHeight w:val="397"/>
              <w:jc w:val="center"/>
            </w:trPr>
            <w:tc>
              <w:tcPr>
                <w:tcW w:w="2941" w:type="dxa"/>
                <w:vAlign w:val="center"/>
              </w:tcPr>
              <w:p w:rsidR="004A3868" w:rsidRDefault="003F1AB5">
                <w:pPr>
                  <w:pStyle w:val="afffb"/>
                </w:pPr>
                <w:r>
                  <w:rPr>
                    <w:rFonts w:hint="eastAsia"/>
                  </w:rPr>
                  <w:t>项目</w:t>
                </w:r>
              </w:p>
            </w:tc>
            <w:tc>
              <w:tcPr>
                <w:tcW w:w="2941" w:type="dxa"/>
                <w:vAlign w:val="center"/>
              </w:tcPr>
              <w:p w:rsidR="004A3868" w:rsidRDefault="003F1AB5">
                <w:pPr>
                  <w:pStyle w:val="afffb"/>
                </w:pPr>
                <w:r>
                  <w:rPr>
                    <w:rFonts w:hint="eastAsia"/>
                  </w:rPr>
                  <w:t>期末余额</w:t>
                </w:r>
              </w:p>
            </w:tc>
            <w:tc>
              <w:tcPr>
                <w:tcW w:w="2941" w:type="dxa"/>
                <w:vAlign w:val="center"/>
              </w:tcPr>
              <w:p w:rsidR="004A3868" w:rsidRDefault="003F1AB5">
                <w:pPr>
                  <w:pStyle w:val="afffb"/>
                </w:pPr>
                <w:r>
                  <w:rPr>
                    <w:rFonts w:hint="eastAsia"/>
                  </w:rPr>
                  <w:t>期初余额</w:t>
                </w:r>
              </w:p>
            </w:tc>
          </w:tr>
          <w:tr w:rsidR="004A3868">
            <w:trPr>
              <w:trHeight w:val="397"/>
              <w:jc w:val="center"/>
            </w:trPr>
            <w:tc>
              <w:tcPr>
                <w:tcW w:w="2941" w:type="dxa"/>
              </w:tcPr>
              <w:p w:rsidR="004A3868" w:rsidRDefault="003F1AB5">
                <w:pPr>
                  <w:rPr>
                    <w:sz w:val="21"/>
                    <w:szCs w:val="21"/>
                  </w:rPr>
                </w:pPr>
                <w:r>
                  <w:rPr>
                    <w:rFonts w:hint="eastAsia"/>
                    <w:sz w:val="21"/>
                    <w:szCs w:val="21"/>
                  </w:rPr>
                  <w:t>银行承兑汇票保证金</w:t>
                </w:r>
              </w:p>
            </w:tc>
            <w:tc>
              <w:tcPr>
                <w:tcW w:w="2941" w:type="dxa"/>
                <w:vAlign w:val="center"/>
              </w:tcPr>
              <w:p w:rsidR="004A3868" w:rsidRDefault="003F1AB5">
                <w:pPr>
                  <w:pStyle w:val="afff7"/>
                </w:pPr>
                <w:r>
                  <w:t>122,615,598.69</w:t>
                </w:r>
              </w:p>
            </w:tc>
            <w:tc>
              <w:tcPr>
                <w:tcW w:w="2941" w:type="dxa"/>
                <w:vAlign w:val="center"/>
              </w:tcPr>
              <w:p w:rsidR="004A3868" w:rsidRDefault="003F1AB5">
                <w:pPr>
                  <w:pStyle w:val="afff7"/>
                </w:pPr>
                <w:r>
                  <w:t>44,514,488.91</w:t>
                </w:r>
              </w:p>
            </w:tc>
          </w:tr>
          <w:tr w:rsidR="004A3868">
            <w:trPr>
              <w:trHeight w:val="397"/>
              <w:jc w:val="center"/>
            </w:trPr>
            <w:tc>
              <w:tcPr>
                <w:tcW w:w="2941" w:type="dxa"/>
              </w:tcPr>
              <w:p w:rsidR="004A3868" w:rsidRDefault="003F1AB5">
                <w:pPr>
                  <w:rPr>
                    <w:sz w:val="21"/>
                    <w:szCs w:val="21"/>
                  </w:rPr>
                </w:pPr>
                <w:r>
                  <w:rPr>
                    <w:rFonts w:hint="eastAsia"/>
                    <w:sz w:val="21"/>
                    <w:szCs w:val="21"/>
                  </w:rPr>
                  <w:t>保函保证金</w:t>
                </w:r>
              </w:p>
            </w:tc>
            <w:tc>
              <w:tcPr>
                <w:tcW w:w="2941" w:type="dxa"/>
                <w:vAlign w:val="center"/>
              </w:tcPr>
              <w:p w:rsidR="004A3868" w:rsidRDefault="003F1AB5">
                <w:pPr>
                  <w:pStyle w:val="afff7"/>
                </w:pPr>
                <w:r>
                  <w:t>11,807,177.26</w:t>
                </w:r>
              </w:p>
            </w:tc>
            <w:tc>
              <w:tcPr>
                <w:tcW w:w="2941" w:type="dxa"/>
                <w:vAlign w:val="center"/>
              </w:tcPr>
              <w:p w:rsidR="004A3868" w:rsidRDefault="003F1AB5">
                <w:pPr>
                  <w:pStyle w:val="afff7"/>
                </w:pPr>
                <w:r>
                  <w:t>7,849,973.97</w:t>
                </w:r>
              </w:p>
            </w:tc>
          </w:tr>
          <w:tr w:rsidR="004A3868">
            <w:trPr>
              <w:trHeight w:val="397"/>
              <w:jc w:val="center"/>
            </w:trPr>
            <w:tc>
              <w:tcPr>
                <w:tcW w:w="2941" w:type="dxa"/>
              </w:tcPr>
              <w:p w:rsidR="004A3868" w:rsidRDefault="003F1AB5">
                <w:pPr>
                  <w:rPr>
                    <w:sz w:val="21"/>
                    <w:szCs w:val="21"/>
                  </w:rPr>
                </w:pPr>
                <w:r>
                  <w:rPr>
                    <w:rFonts w:hint="eastAsia"/>
                    <w:sz w:val="21"/>
                    <w:szCs w:val="21"/>
                  </w:rPr>
                  <w:t>信用证保证金</w:t>
                </w:r>
              </w:p>
            </w:tc>
            <w:tc>
              <w:tcPr>
                <w:tcW w:w="2941" w:type="dxa"/>
                <w:vAlign w:val="center"/>
              </w:tcPr>
              <w:p w:rsidR="004A3868" w:rsidRDefault="003F1AB5">
                <w:pPr>
                  <w:pStyle w:val="afff7"/>
                </w:pPr>
                <w:r>
                  <w:t>12,069,709.43</w:t>
                </w:r>
              </w:p>
            </w:tc>
            <w:tc>
              <w:tcPr>
                <w:tcW w:w="2941" w:type="dxa"/>
                <w:vAlign w:val="center"/>
              </w:tcPr>
              <w:p w:rsidR="004A3868" w:rsidRDefault="003F1AB5">
                <w:pPr>
                  <w:pStyle w:val="afff7"/>
                </w:pPr>
                <w:r>
                  <w:t> </w:t>
                </w:r>
              </w:p>
            </w:tc>
          </w:tr>
          <w:tr w:rsidR="004A3868">
            <w:trPr>
              <w:trHeight w:val="397"/>
              <w:jc w:val="center"/>
            </w:trPr>
            <w:tc>
              <w:tcPr>
                <w:tcW w:w="2941" w:type="dxa"/>
              </w:tcPr>
              <w:p w:rsidR="004A3868" w:rsidRDefault="003F1AB5">
                <w:pPr>
                  <w:rPr>
                    <w:sz w:val="21"/>
                    <w:szCs w:val="21"/>
                  </w:rPr>
                </w:pPr>
                <w:r>
                  <w:rPr>
                    <w:rFonts w:hint="eastAsia"/>
                    <w:sz w:val="21"/>
                    <w:szCs w:val="21"/>
                  </w:rPr>
                  <w:t>被冻结的银行存款</w:t>
                </w:r>
              </w:p>
            </w:tc>
            <w:tc>
              <w:tcPr>
                <w:tcW w:w="2941" w:type="dxa"/>
                <w:vAlign w:val="center"/>
              </w:tcPr>
              <w:p w:rsidR="004A3868" w:rsidRDefault="003F1AB5">
                <w:pPr>
                  <w:pStyle w:val="afff7"/>
                </w:pPr>
                <w:r>
                  <w:t> </w:t>
                </w:r>
              </w:p>
            </w:tc>
            <w:tc>
              <w:tcPr>
                <w:tcW w:w="2941" w:type="dxa"/>
                <w:vAlign w:val="center"/>
              </w:tcPr>
              <w:p w:rsidR="004A3868" w:rsidRDefault="003F1AB5">
                <w:pPr>
                  <w:pStyle w:val="afff7"/>
                </w:pPr>
                <w:r>
                  <w:t>302,760.00</w:t>
                </w:r>
              </w:p>
            </w:tc>
          </w:tr>
          <w:tr w:rsidR="004A3868">
            <w:trPr>
              <w:trHeight w:val="397"/>
              <w:jc w:val="center"/>
            </w:trPr>
            <w:tc>
              <w:tcPr>
                <w:tcW w:w="2941" w:type="dxa"/>
              </w:tcPr>
              <w:p w:rsidR="004A3868" w:rsidRDefault="003F1AB5">
                <w:pPr>
                  <w:rPr>
                    <w:sz w:val="21"/>
                    <w:szCs w:val="21"/>
                  </w:rPr>
                </w:pPr>
                <w:r>
                  <w:rPr>
                    <w:rFonts w:hint="eastAsia"/>
                    <w:sz w:val="21"/>
                    <w:szCs w:val="21"/>
                  </w:rPr>
                  <w:t>合计</w:t>
                </w:r>
              </w:p>
            </w:tc>
            <w:tc>
              <w:tcPr>
                <w:tcW w:w="2941" w:type="dxa"/>
                <w:vAlign w:val="center"/>
              </w:tcPr>
              <w:p w:rsidR="004A3868" w:rsidRDefault="003F1AB5">
                <w:pPr>
                  <w:pStyle w:val="afff7"/>
                </w:pPr>
                <w:r>
                  <w:t>146,492,485.38</w:t>
                </w:r>
              </w:p>
            </w:tc>
            <w:tc>
              <w:tcPr>
                <w:tcW w:w="2941" w:type="dxa"/>
                <w:vAlign w:val="center"/>
              </w:tcPr>
              <w:p w:rsidR="004A3868" w:rsidRDefault="003F1AB5">
                <w:pPr>
                  <w:pStyle w:val="afff7"/>
                </w:pPr>
                <w:r>
                  <w:t>52,667,222.88</w:t>
                </w:r>
              </w:p>
            </w:tc>
          </w:tr>
        </w:tbl>
        <w:p w:rsidR="004A3868" w:rsidRDefault="00B34370">
          <w:pPr>
            <w:rPr>
              <w:sz w:val="21"/>
              <w:szCs w:val="21"/>
            </w:rPr>
          </w:pPr>
        </w:p>
      </w:sdtContent>
    </w:sdt>
    <w:p w:rsidR="004A3868" w:rsidRDefault="003F1AB5">
      <w:pPr>
        <w:pStyle w:val="Style12711"/>
      </w:pPr>
      <w:r>
        <w:rPr>
          <w:rFonts w:hint="eastAsia"/>
        </w:rPr>
        <w:t>交易性金融资产</w:t>
      </w:r>
    </w:p>
    <w:sdt>
      <w:sdtPr>
        <w:alias w:val="是否适用：交易性金融资产[双击切换]"/>
        <w:tag w:val="_GBC_c852c730c6fa4a3e8930f5cbbab9909f"/>
        <w:id w:val="-560866434"/>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 xml:space="preserve">  </w:t>
      </w:r>
      <w:r>
        <w:rPr>
          <w:sz w:val="21"/>
          <w:szCs w:val="21"/>
        </w:rPr>
        <w:t xml:space="preserve">  </w:t>
      </w:r>
      <w:r>
        <w:rPr>
          <w:rFonts w:hint="eastAsia"/>
          <w:sz w:val="21"/>
          <w:szCs w:val="21"/>
        </w:rPr>
        <w:t>单位：</w:t>
      </w:r>
      <w:sdt>
        <w:sdtPr>
          <w:rPr>
            <w:rFonts w:hint="eastAsia"/>
            <w:sz w:val="21"/>
            <w:szCs w:val="21"/>
          </w:rPr>
          <w:alias w:val="单位：财务附注：交易性金融资产"/>
          <w:tag w:val="_GBC_cba5007820a8401a8539607d9d055f75"/>
          <w:id w:val="-8992013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交易性金融资产"/>
          <w:tag w:val="_GBC_e8e3367ec5e14f73842c7a3ca8b264a2"/>
          <w:id w:val="1453821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738"/>
        <w:gridCol w:w="2017"/>
        <w:gridCol w:w="2035"/>
        <w:gridCol w:w="2033"/>
      </w:tblGrid>
      <w:tr w:rsidR="004A3868">
        <w:trPr>
          <w:trHeight w:val="397"/>
          <w:jc w:val="center"/>
        </w:trPr>
        <w:sdt>
          <w:sdtPr>
            <w:tag w:val="_PLD_3b99f59eccaa43478dfbfc184cd2ce48"/>
            <w:id w:val="-1049766447"/>
          </w:sdtPr>
          <w:sdtEndPr/>
          <w:sdtContent>
            <w:tc>
              <w:tcPr>
                <w:tcW w:w="1552" w:type="pct"/>
                <w:shd w:val="clear" w:color="auto" w:fill="auto"/>
                <w:vAlign w:val="center"/>
              </w:tcPr>
              <w:p w:rsidR="004A3868" w:rsidRDefault="003F1AB5">
                <w:pPr>
                  <w:pStyle w:val="afffb"/>
                </w:pPr>
                <w:r>
                  <w:rPr>
                    <w:rFonts w:hint="eastAsia"/>
                  </w:rPr>
                  <w:t>项目</w:t>
                </w:r>
              </w:p>
            </w:tc>
          </w:sdtContent>
        </w:sdt>
        <w:sdt>
          <w:sdtPr>
            <w:tag w:val="_PLD_caf9d9000b3e44c1817249ef4121d5db"/>
            <w:id w:val="473039834"/>
          </w:sdtPr>
          <w:sdtEndPr/>
          <w:sdtContent>
            <w:tc>
              <w:tcPr>
                <w:tcW w:w="1143" w:type="pct"/>
                <w:shd w:val="clear" w:color="auto" w:fill="auto"/>
                <w:vAlign w:val="center"/>
              </w:tcPr>
              <w:p w:rsidR="004A3868" w:rsidRDefault="003F1AB5">
                <w:pPr>
                  <w:pStyle w:val="afffb"/>
                </w:pPr>
                <w:r>
                  <w:rPr>
                    <w:rFonts w:hint="eastAsia"/>
                  </w:rPr>
                  <w:t>期末余额</w:t>
                </w:r>
              </w:p>
            </w:tc>
          </w:sdtContent>
        </w:sdt>
        <w:sdt>
          <w:sdtPr>
            <w:tag w:val="_PLD_fd58d8f4bb044aef9b5735371503f591"/>
            <w:id w:val="72011553"/>
          </w:sdtPr>
          <w:sdtEndPr/>
          <w:sdtContent>
            <w:tc>
              <w:tcPr>
                <w:tcW w:w="1153" w:type="pct"/>
                <w:shd w:val="clear" w:color="auto" w:fill="auto"/>
                <w:vAlign w:val="center"/>
              </w:tcPr>
              <w:p w:rsidR="004A3868" w:rsidRDefault="003F1AB5">
                <w:pPr>
                  <w:pStyle w:val="afffb"/>
                </w:pPr>
                <w:r>
                  <w:rPr>
                    <w:rFonts w:hint="eastAsia"/>
                  </w:rPr>
                  <w:t>期初余额</w:t>
                </w:r>
              </w:p>
            </w:tc>
          </w:sdtContent>
        </w:sdt>
        <w:tc>
          <w:tcPr>
            <w:tcW w:w="1152" w:type="pct"/>
            <w:vAlign w:val="center"/>
          </w:tcPr>
          <w:sdt>
            <w:sdtPr>
              <w:rPr>
                <w:rFonts w:hint="eastAsia"/>
              </w:rPr>
              <w:tag w:val="_PLD_e55b7f6937ab489e93d6d5561f99f11e"/>
              <w:id w:val="-1779715551"/>
            </w:sdtPr>
            <w:sdtEndPr/>
            <w:sdtContent>
              <w:p w:rsidR="004A3868" w:rsidRDefault="003F1AB5">
                <w:pPr>
                  <w:pStyle w:val="afffb"/>
                </w:pPr>
                <w:r>
                  <w:rPr>
                    <w:rFonts w:hint="eastAsia"/>
                  </w:rPr>
                  <w:t>指定理由和依据</w:t>
                </w:r>
              </w:p>
            </w:sdtContent>
          </w:sdt>
        </w:tc>
      </w:tr>
      <w:tr w:rsidR="004A3868">
        <w:trPr>
          <w:trHeight w:val="397"/>
          <w:jc w:val="center"/>
        </w:trPr>
        <w:tc>
          <w:tcPr>
            <w:tcW w:w="1552" w:type="pct"/>
            <w:shd w:val="clear" w:color="auto" w:fill="auto"/>
          </w:tcPr>
          <w:p w:rsidR="004A3868" w:rsidRDefault="003F1AB5">
            <w:pPr>
              <w:rPr>
                <w:sz w:val="21"/>
                <w:szCs w:val="21"/>
              </w:rPr>
            </w:pPr>
            <w:r>
              <w:rPr>
                <w:rFonts w:hint="eastAsia"/>
                <w:sz w:val="21"/>
                <w:szCs w:val="21"/>
              </w:rPr>
              <w:t>以公允价值计量且其变动计入当期损益的金融资产</w:t>
            </w:r>
          </w:p>
        </w:tc>
        <w:tc>
          <w:tcPr>
            <w:tcW w:w="1143" w:type="pct"/>
            <w:shd w:val="clear" w:color="auto" w:fill="auto"/>
            <w:vAlign w:val="center"/>
          </w:tcPr>
          <w:p w:rsidR="004A3868" w:rsidRDefault="004A3868">
            <w:pPr>
              <w:rPr>
                <w:sz w:val="21"/>
                <w:szCs w:val="21"/>
              </w:rPr>
            </w:pPr>
          </w:p>
        </w:tc>
        <w:tc>
          <w:tcPr>
            <w:tcW w:w="1153" w:type="pct"/>
            <w:shd w:val="clear" w:color="auto" w:fill="auto"/>
            <w:vAlign w:val="center"/>
          </w:tcPr>
          <w:p w:rsidR="004A3868" w:rsidRDefault="003F1AB5">
            <w:pPr>
              <w:pStyle w:val="afff7"/>
            </w:pPr>
            <w:r>
              <w:t>30,021,369.86</w:t>
            </w:r>
          </w:p>
        </w:tc>
        <w:tc>
          <w:tcPr>
            <w:tcW w:w="1152" w:type="pct"/>
            <w:vAlign w:val="center"/>
          </w:tcPr>
          <w:p w:rsidR="004A3868" w:rsidRDefault="003F1AB5">
            <w:pPr>
              <w:pStyle w:val="afff7"/>
            </w:pPr>
            <w:r>
              <w:rPr>
                <w:rFonts w:hint="eastAsia"/>
              </w:rPr>
              <w:t>/</w:t>
            </w:r>
          </w:p>
        </w:tc>
      </w:tr>
      <w:tr w:rsidR="004A3868">
        <w:trPr>
          <w:trHeight w:val="397"/>
          <w:jc w:val="center"/>
        </w:trPr>
        <w:sdt>
          <w:sdtPr>
            <w:rPr>
              <w:sz w:val="21"/>
              <w:szCs w:val="21"/>
            </w:rPr>
            <w:tag w:val="_PLD_147bedd0b80c463ab365e4b926d8c081"/>
            <w:id w:val="48733477"/>
          </w:sdtPr>
          <w:sdtEndPr/>
          <w:sdtContent>
            <w:tc>
              <w:tcPr>
                <w:tcW w:w="5000" w:type="pct"/>
                <w:gridSpan w:val="4"/>
                <w:shd w:val="clear" w:color="auto" w:fill="auto"/>
              </w:tcPr>
              <w:p w:rsidR="004A3868" w:rsidRDefault="003F1AB5">
                <w:pPr>
                  <w:rPr>
                    <w:sz w:val="21"/>
                    <w:szCs w:val="21"/>
                  </w:rPr>
                </w:pPr>
                <w:r>
                  <w:rPr>
                    <w:rFonts w:hint="eastAsia"/>
                    <w:sz w:val="21"/>
                    <w:szCs w:val="21"/>
                  </w:rPr>
                  <w:t>其中：</w:t>
                </w:r>
              </w:p>
            </w:tc>
          </w:sdtContent>
        </w:sdt>
      </w:tr>
      <w:tr w:rsidR="004A3868">
        <w:trPr>
          <w:trHeight w:val="397"/>
          <w:jc w:val="center"/>
        </w:trPr>
        <w:tc>
          <w:tcPr>
            <w:tcW w:w="1552" w:type="pct"/>
            <w:shd w:val="clear" w:color="auto" w:fill="auto"/>
          </w:tcPr>
          <w:p w:rsidR="004A3868" w:rsidRDefault="003F1AB5">
            <w:pPr>
              <w:rPr>
                <w:sz w:val="21"/>
                <w:szCs w:val="21"/>
              </w:rPr>
            </w:pPr>
            <w:r>
              <w:rPr>
                <w:rFonts w:hint="eastAsia"/>
                <w:sz w:val="21"/>
                <w:szCs w:val="21"/>
              </w:rPr>
              <w:t>结构性存款</w:t>
            </w:r>
          </w:p>
        </w:tc>
        <w:tc>
          <w:tcPr>
            <w:tcW w:w="1143" w:type="pct"/>
            <w:shd w:val="clear" w:color="auto" w:fill="auto"/>
            <w:vAlign w:val="center"/>
          </w:tcPr>
          <w:p w:rsidR="004A3868" w:rsidRDefault="004A3868">
            <w:pPr>
              <w:rPr>
                <w:sz w:val="21"/>
                <w:szCs w:val="21"/>
              </w:rPr>
            </w:pPr>
          </w:p>
        </w:tc>
        <w:tc>
          <w:tcPr>
            <w:tcW w:w="1153" w:type="pct"/>
            <w:shd w:val="clear" w:color="auto" w:fill="auto"/>
            <w:vAlign w:val="center"/>
          </w:tcPr>
          <w:p w:rsidR="004A3868" w:rsidRDefault="003F1AB5">
            <w:pPr>
              <w:pStyle w:val="afff7"/>
            </w:pPr>
            <w:r>
              <w:t>30,021,369.86</w:t>
            </w:r>
          </w:p>
        </w:tc>
        <w:tc>
          <w:tcPr>
            <w:tcW w:w="1152" w:type="pct"/>
            <w:vAlign w:val="center"/>
          </w:tcPr>
          <w:p w:rsidR="004A3868" w:rsidRDefault="003F1AB5">
            <w:pPr>
              <w:pStyle w:val="afff7"/>
            </w:pPr>
            <w:r>
              <w:rPr>
                <w:rFonts w:hint="eastAsia"/>
              </w:rPr>
              <w:t>/</w:t>
            </w:r>
          </w:p>
        </w:tc>
      </w:tr>
      <w:tr w:rsidR="004A3868">
        <w:trPr>
          <w:trHeight w:val="397"/>
          <w:jc w:val="center"/>
        </w:trPr>
        <w:tc>
          <w:tcPr>
            <w:tcW w:w="1552" w:type="pct"/>
            <w:shd w:val="clear" w:color="auto" w:fill="auto"/>
          </w:tcPr>
          <w:p w:rsidR="004A3868" w:rsidRDefault="003F1AB5">
            <w:pPr>
              <w:rPr>
                <w:sz w:val="21"/>
                <w:szCs w:val="21"/>
              </w:rPr>
            </w:pPr>
            <w:r>
              <w:rPr>
                <w:rFonts w:hint="eastAsia"/>
                <w:sz w:val="21"/>
                <w:szCs w:val="21"/>
              </w:rPr>
              <w:t>指定以公允价值计量且其变动计入当期损益的金融资产</w:t>
            </w:r>
          </w:p>
        </w:tc>
        <w:tc>
          <w:tcPr>
            <w:tcW w:w="1143" w:type="pct"/>
            <w:shd w:val="clear" w:color="auto" w:fill="auto"/>
            <w:vAlign w:val="center"/>
          </w:tcPr>
          <w:p w:rsidR="004A3868" w:rsidRDefault="004A3868">
            <w:pPr>
              <w:rPr>
                <w:sz w:val="21"/>
                <w:szCs w:val="21"/>
              </w:rPr>
            </w:pPr>
          </w:p>
        </w:tc>
        <w:tc>
          <w:tcPr>
            <w:tcW w:w="1153" w:type="pct"/>
            <w:shd w:val="clear" w:color="auto" w:fill="auto"/>
            <w:vAlign w:val="center"/>
          </w:tcPr>
          <w:p w:rsidR="004A3868" w:rsidRDefault="004A3868">
            <w:pPr>
              <w:rPr>
                <w:sz w:val="21"/>
                <w:szCs w:val="21"/>
              </w:rPr>
            </w:pPr>
          </w:p>
        </w:tc>
        <w:tc>
          <w:tcPr>
            <w:tcW w:w="1152" w:type="pct"/>
            <w:vAlign w:val="center"/>
          </w:tcPr>
          <w:p w:rsidR="004A3868" w:rsidRDefault="004A3868">
            <w:pPr>
              <w:rPr>
                <w:sz w:val="21"/>
                <w:szCs w:val="21"/>
              </w:rPr>
            </w:pPr>
          </w:p>
        </w:tc>
      </w:tr>
      <w:tr w:rsidR="004A3868">
        <w:trPr>
          <w:trHeight w:val="397"/>
          <w:jc w:val="center"/>
        </w:trPr>
        <w:sdt>
          <w:sdtPr>
            <w:rPr>
              <w:sz w:val="21"/>
              <w:szCs w:val="21"/>
            </w:rPr>
            <w:tag w:val="_PLD_f1663a7b621f4b3eb912bf6125dd9966"/>
            <w:id w:val="-248353117"/>
          </w:sdtPr>
          <w:sdtEndPr/>
          <w:sdtContent>
            <w:tc>
              <w:tcPr>
                <w:tcW w:w="5000" w:type="pct"/>
                <w:gridSpan w:val="4"/>
                <w:shd w:val="clear" w:color="auto" w:fill="auto"/>
              </w:tcPr>
              <w:p w:rsidR="004A3868" w:rsidRDefault="003F1AB5">
                <w:pPr>
                  <w:rPr>
                    <w:sz w:val="21"/>
                    <w:szCs w:val="21"/>
                  </w:rPr>
                </w:pPr>
                <w:r>
                  <w:rPr>
                    <w:rFonts w:hint="eastAsia"/>
                    <w:sz w:val="21"/>
                    <w:szCs w:val="21"/>
                  </w:rPr>
                  <w:t>其中：</w:t>
                </w:r>
              </w:p>
            </w:tc>
          </w:sdtContent>
        </w:sdt>
      </w:tr>
      <w:tr w:rsidR="004A3868">
        <w:trPr>
          <w:trHeight w:val="397"/>
          <w:jc w:val="center"/>
        </w:trPr>
        <w:tc>
          <w:tcPr>
            <w:tcW w:w="1552" w:type="pct"/>
            <w:shd w:val="clear" w:color="auto" w:fill="auto"/>
            <w:vAlign w:val="center"/>
          </w:tcPr>
          <w:p w:rsidR="004A3868" w:rsidRDefault="003F1AB5">
            <w:pPr>
              <w:rPr>
                <w:sz w:val="21"/>
                <w:szCs w:val="21"/>
              </w:rPr>
            </w:pPr>
            <w:r>
              <w:rPr>
                <w:rFonts w:hint="eastAsia"/>
                <w:sz w:val="21"/>
                <w:szCs w:val="21"/>
              </w:rPr>
              <w:t>合计</w:t>
            </w:r>
          </w:p>
        </w:tc>
        <w:tc>
          <w:tcPr>
            <w:tcW w:w="1143" w:type="pct"/>
            <w:shd w:val="clear" w:color="auto" w:fill="auto"/>
            <w:vAlign w:val="center"/>
          </w:tcPr>
          <w:p w:rsidR="004A3868" w:rsidRDefault="004A3868">
            <w:pPr>
              <w:rPr>
                <w:sz w:val="21"/>
                <w:szCs w:val="21"/>
              </w:rPr>
            </w:pPr>
          </w:p>
        </w:tc>
        <w:tc>
          <w:tcPr>
            <w:tcW w:w="1153" w:type="pct"/>
            <w:shd w:val="clear" w:color="auto" w:fill="auto"/>
            <w:vAlign w:val="center"/>
          </w:tcPr>
          <w:p w:rsidR="004A3868" w:rsidRDefault="003F1AB5">
            <w:pPr>
              <w:pStyle w:val="afff7"/>
            </w:pPr>
            <w:r>
              <w:t>30,021,369.86</w:t>
            </w:r>
          </w:p>
        </w:tc>
        <w:tc>
          <w:tcPr>
            <w:tcW w:w="1152" w:type="pct"/>
            <w:vAlign w:val="center"/>
          </w:tcPr>
          <w:p w:rsidR="004A3868" w:rsidRDefault="003F1AB5">
            <w:pPr>
              <w:pStyle w:val="afff7"/>
            </w:pPr>
            <w:r>
              <w:rPr>
                <w:rFonts w:hint="eastAsia"/>
              </w:rPr>
              <w:t>/</w:t>
            </w:r>
          </w:p>
        </w:tc>
      </w:tr>
    </w:tbl>
    <w:p w:rsidR="004A3868" w:rsidRDefault="003F1AB5">
      <w:pPr>
        <w:pStyle w:val="Style124"/>
      </w:pPr>
      <w:r>
        <w:rPr>
          <w:rFonts w:hint="eastAsia"/>
        </w:rPr>
        <w:t>其他</w:t>
      </w:r>
      <w:r>
        <w:t>说明</w:t>
      </w:r>
      <w:r>
        <w:rPr>
          <w:rFonts w:hint="eastAsia"/>
        </w:rPr>
        <w:t>：</w:t>
      </w:r>
    </w:p>
    <w:bookmarkStart w:id="137" w:name="_Hlk533595247" w:displacedByCustomXml="next"/>
    <w:bookmarkEnd w:id="137" w:displacedByCustomXml="next"/>
    <w:sdt>
      <w:sdtPr>
        <w:alias w:val="是否适用：交易性金融资产的说明[双击切换]"/>
        <w:tag w:val="_GBC_9bed9315a85147e7ac11c2b4bac78358"/>
        <w:id w:val="-136853044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衍生金融资产</w:t>
      </w:r>
    </w:p>
    <w:sdt>
      <w:sdtPr>
        <w:rPr>
          <w:sz w:val="21"/>
          <w:szCs w:val="21"/>
        </w:rPr>
        <w:alias w:val="是否适用：衍生金融资产[双击切换]"/>
        <w:tag w:val="_GBC_d17bfaab262c4a499d0afca62045c5e0"/>
        <w:id w:val="-112207006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应收票据</w:t>
      </w:r>
    </w:p>
    <w:p w:rsidR="004A3868" w:rsidRDefault="003F1AB5">
      <w:pPr>
        <w:pStyle w:val="Style128"/>
      </w:pPr>
      <w:r>
        <w:rPr>
          <w:rFonts w:hint="eastAsia"/>
        </w:rPr>
        <w:t>应收票据分类列示</w:t>
      </w:r>
    </w:p>
    <w:sdt>
      <w:sdtPr>
        <w:alias w:val="是否适用：应收票据分类列示[双击切换]"/>
        <w:tag w:val="_GBC_bdf010020d484a01ae60c52d7465a06a"/>
        <w:id w:val="-2133850222"/>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应收票据分类"/>
          <w:tag w:val="_GBC_4fa3399364a4449485326bfdb1de5245"/>
          <w:id w:val="-14233376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收票据分类"/>
          <w:tag w:val="_GBC_0daf818486924555b786788616dee3e7"/>
          <w:id w:val="-7080986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14"/>
        <w:gridCol w:w="3048"/>
        <w:gridCol w:w="2861"/>
      </w:tblGrid>
      <w:tr w:rsidR="004A3868">
        <w:trPr>
          <w:cantSplit/>
          <w:trHeight w:val="397"/>
          <w:jc w:val="center"/>
        </w:trPr>
        <w:sdt>
          <w:sdtPr>
            <w:tag w:val="_PLD_bd44f6beac5e4b8688c30e166c6780c8"/>
            <w:id w:val="2057663870"/>
          </w:sdtPr>
          <w:sdtEndPr/>
          <w:sdtContent>
            <w:tc>
              <w:tcPr>
                <w:tcW w:w="1651" w:type="pct"/>
                <w:vAlign w:val="center"/>
              </w:tcPr>
              <w:p w:rsidR="004A3868" w:rsidRDefault="003F1AB5">
                <w:pPr>
                  <w:pStyle w:val="afffb"/>
                </w:pPr>
                <w:r>
                  <w:rPr>
                    <w:rFonts w:hint="eastAsia"/>
                  </w:rPr>
                  <w:t>项目</w:t>
                </w:r>
              </w:p>
            </w:tc>
          </w:sdtContent>
        </w:sdt>
        <w:sdt>
          <w:sdtPr>
            <w:tag w:val="_PLD_dea2f5c6a1cb487287096a3435e5e8de"/>
            <w:id w:val="-1311239627"/>
          </w:sdtPr>
          <w:sdtEndPr/>
          <w:sdtContent>
            <w:tc>
              <w:tcPr>
                <w:tcW w:w="1727" w:type="pct"/>
                <w:vAlign w:val="center"/>
              </w:tcPr>
              <w:p w:rsidR="004A3868" w:rsidRDefault="003F1AB5">
                <w:pPr>
                  <w:pStyle w:val="afffb"/>
                </w:pPr>
                <w:r>
                  <w:rPr>
                    <w:rFonts w:hint="eastAsia"/>
                  </w:rPr>
                  <w:t>期末余额</w:t>
                </w:r>
              </w:p>
            </w:tc>
          </w:sdtContent>
        </w:sdt>
        <w:sdt>
          <w:sdtPr>
            <w:tag w:val="_PLD_5d16922842b04d10836d1bc80b3b3b4e"/>
            <w:id w:val="-691692253"/>
          </w:sdtPr>
          <w:sdtEndPr/>
          <w:sdtContent>
            <w:tc>
              <w:tcPr>
                <w:tcW w:w="1621" w:type="pct"/>
                <w:vAlign w:val="center"/>
              </w:tcPr>
              <w:p w:rsidR="004A3868" w:rsidRDefault="003F1AB5">
                <w:pPr>
                  <w:pStyle w:val="afffb"/>
                </w:pPr>
                <w:r>
                  <w:rPr>
                    <w:rFonts w:hint="eastAsia"/>
                  </w:rPr>
                  <w:t>期初余额</w:t>
                </w:r>
              </w:p>
            </w:tc>
          </w:sdtContent>
        </w:sdt>
      </w:tr>
      <w:tr w:rsidR="004A3868">
        <w:trPr>
          <w:cantSplit/>
          <w:trHeight w:val="397"/>
          <w:jc w:val="center"/>
        </w:trPr>
        <w:tc>
          <w:tcPr>
            <w:tcW w:w="1651" w:type="pct"/>
          </w:tcPr>
          <w:p w:rsidR="004A3868" w:rsidRDefault="003F1AB5">
            <w:pPr>
              <w:rPr>
                <w:sz w:val="21"/>
                <w:szCs w:val="21"/>
              </w:rPr>
            </w:pPr>
            <w:r>
              <w:rPr>
                <w:rFonts w:hint="eastAsia"/>
                <w:sz w:val="21"/>
                <w:szCs w:val="21"/>
              </w:rPr>
              <w:t>银行承兑票据</w:t>
            </w:r>
          </w:p>
        </w:tc>
        <w:tc>
          <w:tcPr>
            <w:tcW w:w="1727" w:type="pct"/>
            <w:vAlign w:val="center"/>
          </w:tcPr>
          <w:p w:rsidR="004A3868" w:rsidRDefault="003F1AB5">
            <w:pPr>
              <w:pStyle w:val="afff7"/>
            </w:pPr>
            <w:r>
              <w:t>120,343,404.82</w:t>
            </w:r>
          </w:p>
        </w:tc>
        <w:tc>
          <w:tcPr>
            <w:tcW w:w="1621" w:type="pct"/>
            <w:vAlign w:val="center"/>
          </w:tcPr>
          <w:p w:rsidR="004A3868" w:rsidRDefault="003F1AB5">
            <w:pPr>
              <w:pStyle w:val="afff7"/>
            </w:pPr>
            <w:r>
              <w:t>134,833,991.42</w:t>
            </w:r>
          </w:p>
        </w:tc>
      </w:tr>
      <w:tr w:rsidR="004A3868">
        <w:trPr>
          <w:cantSplit/>
          <w:trHeight w:val="397"/>
          <w:jc w:val="center"/>
        </w:trPr>
        <w:tc>
          <w:tcPr>
            <w:tcW w:w="1651" w:type="pct"/>
          </w:tcPr>
          <w:p w:rsidR="004A3868" w:rsidRDefault="003F1AB5">
            <w:pPr>
              <w:rPr>
                <w:sz w:val="21"/>
                <w:szCs w:val="21"/>
              </w:rPr>
            </w:pPr>
            <w:r>
              <w:rPr>
                <w:rFonts w:hint="eastAsia"/>
                <w:sz w:val="21"/>
                <w:szCs w:val="21"/>
              </w:rPr>
              <w:t>商业承兑票据</w:t>
            </w:r>
          </w:p>
        </w:tc>
        <w:tc>
          <w:tcPr>
            <w:tcW w:w="1727" w:type="pct"/>
            <w:vAlign w:val="center"/>
          </w:tcPr>
          <w:p w:rsidR="004A3868" w:rsidRDefault="003F1AB5">
            <w:pPr>
              <w:pStyle w:val="afff7"/>
            </w:pPr>
            <w:r>
              <w:t>2,154,031.05</w:t>
            </w:r>
          </w:p>
        </w:tc>
        <w:tc>
          <w:tcPr>
            <w:tcW w:w="1621" w:type="pct"/>
            <w:vAlign w:val="center"/>
          </w:tcPr>
          <w:p w:rsidR="004A3868" w:rsidRDefault="003F1AB5">
            <w:pPr>
              <w:pStyle w:val="afff7"/>
            </w:pPr>
            <w:r>
              <w:t>6,648,300.15</w:t>
            </w:r>
          </w:p>
        </w:tc>
      </w:tr>
      <w:tr w:rsidR="004A3868">
        <w:trPr>
          <w:cantSplit/>
          <w:trHeight w:val="397"/>
          <w:jc w:val="center"/>
        </w:trPr>
        <w:tc>
          <w:tcPr>
            <w:tcW w:w="1651" w:type="pct"/>
            <w:vAlign w:val="center"/>
          </w:tcPr>
          <w:p w:rsidR="004A3868" w:rsidRDefault="003F1AB5">
            <w:pPr>
              <w:rPr>
                <w:sz w:val="21"/>
                <w:szCs w:val="21"/>
              </w:rPr>
            </w:pPr>
            <w:r>
              <w:rPr>
                <w:rFonts w:hint="eastAsia"/>
                <w:sz w:val="21"/>
                <w:szCs w:val="21"/>
              </w:rPr>
              <w:t>合计</w:t>
            </w:r>
          </w:p>
        </w:tc>
        <w:tc>
          <w:tcPr>
            <w:tcW w:w="1727" w:type="pct"/>
            <w:vAlign w:val="center"/>
          </w:tcPr>
          <w:p w:rsidR="004A3868" w:rsidRDefault="003F1AB5">
            <w:pPr>
              <w:pStyle w:val="afff7"/>
            </w:pPr>
            <w:r>
              <w:t>122,497,435.87</w:t>
            </w:r>
          </w:p>
        </w:tc>
        <w:tc>
          <w:tcPr>
            <w:tcW w:w="1621" w:type="pct"/>
            <w:vAlign w:val="center"/>
          </w:tcPr>
          <w:p w:rsidR="004A3868" w:rsidRDefault="003F1AB5">
            <w:pPr>
              <w:pStyle w:val="afff7"/>
            </w:pPr>
            <w:r>
              <w:t>141,482,291.57</w:t>
            </w:r>
          </w:p>
        </w:tc>
      </w:tr>
    </w:tbl>
    <w:p w:rsidR="004A3868" w:rsidRDefault="004A3868">
      <w:pPr>
        <w:pStyle w:val="Style842"/>
      </w:pPr>
    </w:p>
    <w:p w:rsidR="004A3868" w:rsidRDefault="003F1AB5">
      <w:pPr>
        <w:pStyle w:val="Style128"/>
      </w:pPr>
      <w:r>
        <w:lastRenderedPageBreak/>
        <w:t>期末公司已</w:t>
      </w:r>
      <w:r>
        <w:rPr>
          <w:rFonts w:hint="eastAsia"/>
        </w:rPr>
        <w:t>质押</w:t>
      </w:r>
      <w:r>
        <w:t>的应收票据</w:t>
      </w:r>
    </w:p>
    <w:sdt>
      <w:sdtPr>
        <w:alias w:val="是否适用：期末公司已质押的应收票据[双击切换]"/>
        <w:tag w:val="_GBC_5281ffb2b9304a49a6db0c913bbaac53"/>
        <w:id w:val="-1510512263"/>
        <w:lock w:val="sdtLocked"/>
        <w:placeholder>
          <w:docPart w:val="GBC22222222222222222222222222222"/>
        </w:placeholder>
      </w:sdtPr>
      <w:sdtEndPr/>
      <w:sdtContent>
        <w:p w:rsidR="004A3868" w:rsidRDefault="003F1AB5">
          <w:pPr>
            <w:rPr>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79296763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期末公司已背书或贴现且在资产负债表日尚未到期的应收票据"/>
          <w:tag w:val="_GBC_bc7717964169410893520d1c7b6cffbc"/>
          <w:id w:val="5508136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12691267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06"/>
        <w:gridCol w:w="2973"/>
        <w:gridCol w:w="3044"/>
      </w:tblGrid>
      <w:tr w:rsidR="004A3868">
        <w:trPr>
          <w:trHeight w:val="397"/>
          <w:jc w:val="center"/>
        </w:trPr>
        <w:sdt>
          <w:sdtPr>
            <w:tag w:val="_PLD_76a87ff67e5b45fd8796a3a35ba8193e"/>
            <w:id w:val="1446346677"/>
          </w:sdtPr>
          <w:sdtEndPr/>
          <w:sdtContent>
            <w:tc>
              <w:tcPr>
                <w:tcW w:w="1590" w:type="pct"/>
                <w:shd w:val="clear" w:color="auto" w:fill="auto"/>
                <w:vAlign w:val="center"/>
              </w:tcPr>
              <w:p w:rsidR="004A3868" w:rsidRDefault="003F1AB5">
                <w:pPr>
                  <w:pStyle w:val="afffb"/>
                </w:pPr>
                <w:r>
                  <w:rPr>
                    <w:rFonts w:hint="eastAsia"/>
                  </w:rPr>
                  <w:t>项目</w:t>
                </w:r>
              </w:p>
            </w:tc>
          </w:sdtContent>
        </w:sdt>
        <w:sdt>
          <w:sdtPr>
            <w:tag w:val="_PLD_f9150e3257574b5dab33b7c7a9c74bd0"/>
            <w:id w:val="-1741167199"/>
          </w:sdtPr>
          <w:sdtEndPr/>
          <w:sdtContent>
            <w:tc>
              <w:tcPr>
                <w:tcW w:w="1685" w:type="pct"/>
                <w:shd w:val="clear" w:color="auto" w:fill="auto"/>
                <w:vAlign w:val="center"/>
              </w:tcPr>
              <w:p w:rsidR="004A3868" w:rsidRDefault="003F1AB5">
                <w:pPr>
                  <w:pStyle w:val="afffb"/>
                </w:pPr>
                <w:r>
                  <w:rPr>
                    <w:rFonts w:hint="eastAsia"/>
                  </w:rPr>
                  <w:t>期末终止确认金额</w:t>
                </w:r>
              </w:p>
            </w:tc>
          </w:sdtContent>
        </w:sdt>
        <w:sdt>
          <w:sdtPr>
            <w:tag w:val="_PLD_4f99e6fe1d4c4c57bab686890f8d0f57"/>
            <w:id w:val="-832064961"/>
          </w:sdtPr>
          <w:sdtEndPr/>
          <w:sdtContent>
            <w:tc>
              <w:tcPr>
                <w:tcW w:w="1725" w:type="pct"/>
                <w:shd w:val="clear" w:color="auto" w:fill="auto"/>
                <w:vAlign w:val="center"/>
              </w:tcPr>
              <w:p w:rsidR="004A3868" w:rsidRDefault="003F1AB5">
                <w:pPr>
                  <w:pStyle w:val="afffb"/>
                </w:pPr>
                <w:r>
                  <w:rPr>
                    <w:rFonts w:hint="eastAsia"/>
                  </w:rPr>
                  <w:t>期末未终止确认金额</w:t>
                </w:r>
              </w:p>
            </w:tc>
          </w:sdtContent>
        </w:sdt>
      </w:tr>
      <w:tr w:rsidR="004A3868">
        <w:trPr>
          <w:trHeight w:val="397"/>
          <w:jc w:val="center"/>
        </w:trPr>
        <w:tc>
          <w:tcPr>
            <w:tcW w:w="1590" w:type="pct"/>
            <w:shd w:val="clear" w:color="auto" w:fill="auto"/>
          </w:tcPr>
          <w:p w:rsidR="004A3868" w:rsidRDefault="003F1AB5">
            <w:pPr>
              <w:rPr>
                <w:sz w:val="21"/>
                <w:szCs w:val="21"/>
              </w:rPr>
            </w:pPr>
            <w:r>
              <w:rPr>
                <w:rFonts w:hint="eastAsia"/>
                <w:sz w:val="21"/>
                <w:szCs w:val="21"/>
              </w:rPr>
              <w:t>银行承兑票据</w:t>
            </w:r>
          </w:p>
        </w:tc>
        <w:tc>
          <w:tcPr>
            <w:tcW w:w="1685" w:type="pct"/>
            <w:shd w:val="clear" w:color="auto" w:fill="auto"/>
            <w:vAlign w:val="center"/>
          </w:tcPr>
          <w:p w:rsidR="004A3868" w:rsidRDefault="004A3868">
            <w:pPr>
              <w:rPr>
                <w:sz w:val="21"/>
                <w:szCs w:val="21"/>
              </w:rPr>
            </w:pPr>
          </w:p>
        </w:tc>
        <w:tc>
          <w:tcPr>
            <w:tcW w:w="1725" w:type="pct"/>
            <w:shd w:val="clear" w:color="auto" w:fill="auto"/>
            <w:vAlign w:val="center"/>
          </w:tcPr>
          <w:p w:rsidR="004A3868" w:rsidRDefault="003F1AB5">
            <w:pPr>
              <w:rPr>
                <w:sz w:val="21"/>
                <w:szCs w:val="21"/>
              </w:rPr>
            </w:pPr>
            <w:r>
              <w:rPr>
                <w:sz w:val="21"/>
                <w:szCs w:val="21"/>
              </w:rPr>
              <w:t>118,688,405.38</w:t>
            </w:r>
          </w:p>
        </w:tc>
      </w:tr>
      <w:tr w:rsidR="004A3868">
        <w:trPr>
          <w:trHeight w:val="397"/>
          <w:jc w:val="center"/>
        </w:trPr>
        <w:tc>
          <w:tcPr>
            <w:tcW w:w="1590" w:type="pct"/>
            <w:shd w:val="clear" w:color="auto" w:fill="auto"/>
          </w:tcPr>
          <w:p w:rsidR="004A3868" w:rsidRDefault="003F1AB5">
            <w:pPr>
              <w:pStyle w:val="Style124"/>
            </w:pPr>
            <w:r>
              <w:rPr>
                <w:rFonts w:hint="eastAsia"/>
              </w:rPr>
              <w:t>商业承兑票据</w:t>
            </w:r>
          </w:p>
        </w:tc>
        <w:tc>
          <w:tcPr>
            <w:tcW w:w="1685" w:type="pct"/>
            <w:shd w:val="clear" w:color="auto" w:fill="auto"/>
            <w:vAlign w:val="center"/>
          </w:tcPr>
          <w:p w:rsidR="004A3868" w:rsidRDefault="004A3868">
            <w:pPr>
              <w:rPr>
                <w:sz w:val="21"/>
                <w:szCs w:val="21"/>
              </w:rPr>
            </w:pPr>
          </w:p>
        </w:tc>
        <w:tc>
          <w:tcPr>
            <w:tcW w:w="1725" w:type="pct"/>
            <w:shd w:val="clear" w:color="auto" w:fill="auto"/>
            <w:vAlign w:val="center"/>
          </w:tcPr>
          <w:p w:rsidR="004A3868" w:rsidRDefault="003F1AB5">
            <w:pPr>
              <w:rPr>
                <w:sz w:val="21"/>
                <w:szCs w:val="21"/>
              </w:rPr>
            </w:pPr>
            <w:r>
              <w:rPr>
                <w:sz w:val="21"/>
                <w:szCs w:val="21"/>
              </w:rPr>
              <w:t>1,677,952.00</w:t>
            </w:r>
          </w:p>
        </w:tc>
      </w:tr>
      <w:tr w:rsidR="004A3868">
        <w:trPr>
          <w:trHeight w:val="397"/>
          <w:jc w:val="center"/>
        </w:trPr>
        <w:tc>
          <w:tcPr>
            <w:tcW w:w="1590" w:type="pct"/>
            <w:shd w:val="clear" w:color="auto" w:fill="auto"/>
            <w:vAlign w:val="center"/>
          </w:tcPr>
          <w:p w:rsidR="004A3868" w:rsidRDefault="003F1AB5">
            <w:pPr>
              <w:rPr>
                <w:sz w:val="21"/>
                <w:szCs w:val="21"/>
              </w:rPr>
            </w:pPr>
            <w:r>
              <w:rPr>
                <w:rFonts w:hint="eastAsia"/>
                <w:sz w:val="21"/>
                <w:szCs w:val="21"/>
              </w:rPr>
              <w:t>合计</w:t>
            </w:r>
          </w:p>
        </w:tc>
        <w:tc>
          <w:tcPr>
            <w:tcW w:w="1685" w:type="pct"/>
            <w:shd w:val="clear" w:color="auto" w:fill="auto"/>
            <w:vAlign w:val="center"/>
          </w:tcPr>
          <w:p w:rsidR="004A3868" w:rsidRDefault="004A3868">
            <w:pPr>
              <w:rPr>
                <w:sz w:val="21"/>
                <w:szCs w:val="21"/>
              </w:rPr>
            </w:pPr>
          </w:p>
        </w:tc>
        <w:tc>
          <w:tcPr>
            <w:tcW w:w="1725" w:type="pct"/>
            <w:shd w:val="clear" w:color="auto" w:fill="auto"/>
            <w:vAlign w:val="center"/>
          </w:tcPr>
          <w:p w:rsidR="004A3868" w:rsidRDefault="003F1AB5">
            <w:pPr>
              <w:rPr>
                <w:sz w:val="21"/>
                <w:szCs w:val="21"/>
              </w:rPr>
            </w:pPr>
            <w:r>
              <w:rPr>
                <w:sz w:val="21"/>
                <w:szCs w:val="21"/>
              </w:rPr>
              <w:t>120,366,357.38</w:t>
            </w:r>
          </w:p>
        </w:tc>
      </w:tr>
    </w:tbl>
    <w:p w:rsidR="004A3868" w:rsidRDefault="003F1AB5">
      <w:pPr>
        <w:pStyle w:val="Style128"/>
      </w:pPr>
      <w:r>
        <w:t>按坏账计提方法分类披露</w:t>
      </w:r>
    </w:p>
    <w:bookmarkStart w:id="138" w:name="_Hlk533596246" w:displacedByCustomXml="next"/>
    <w:sdt>
      <w:sdtPr>
        <w:alias w:val="是否适用：应收票据按坏账计提方法分类披露[双击切换]"/>
        <w:tag w:val="_GBC_806abc31b942462ba4b46f92c99312a5"/>
        <w:id w:val="1951436410"/>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应收票据按坏账计提方法分类披露"/>
          <w:tag w:val="_GBC_be165eaa47f341218b4ab4aaaa9f9b65"/>
          <w:id w:val="8649377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应收票据按坏账计提方法分类披露"/>
          <w:tag w:val="_GBC_601e6cb0999d4fd599cfcacf79d2aa28"/>
          <w:id w:val="384839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38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136"/>
        <w:gridCol w:w="1129"/>
        <w:gridCol w:w="568"/>
        <w:gridCol w:w="993"/>
        <w:gridCol w:w="423"/>
        <w:gridCol w:w="1135"/>
        <w:gridCol w:w="1135"/>
        <w:gridCol w:w="425"/>
        <w:gridCol w:w="991"/>
        <w:gridCol w:w="427"/>
        <w:gridCol w:w="1132"/>
      </w:tblGrid>
      <w:tr w:rsidR="004A3868">
        <w:trPr>
          <w:cantSplit/>
          <w:trHeight w:val="397"/>
          <w:jc w:val="center"/>
        </w:trPr>
        <w:bookmarkStart w:id="139" w:name="_Hlk533511527" w:displacedByCustomXml="next"/>
        <w:sdt>
          <w:sdtPr>
            <w:tag w:val="_PLD_694877484ae448bcbdceead91da15b38"/>
            <w:id w:val="1405570608"/>
          </w:sdtPr>
          <w:sdtEndPr/>
          <w:sdtContent>
            <w:tc>
              <w:tcPr>
                <w:tcW w:w="598" w:type="pct"/>
                <w:vMerge w:val="restart"/>
                <w:tcBorders>
                  <w:top w:val="single" w:sz="4" w:space="0" w:color="auto"/>
                  <w:left w:val="single" w:sz="4" w:space="0" w:color="auto"/>
                  <w:right w:val="single" w:sz="4" w:space="0" w:color="auto"/>
                </w:tcBorders>
                <w:vAlign w:val="center"/>
              </w:tcPr>
              <w:p w:rsidR="004A3868" w:rsidRDefault="003F1AB5">
                <w:pPr>
                  <w:pStyle w:val="afffb"/>
                </w:pPr>
                <w:r>
                  <w:rPr>
                    <w:rFonts w:hint="eastAsia"/>
                  </w:rPr>
                  <w:t>类别</w:t>
                </w:r>
              </w:p>
            </w:tc>
          </w:sdtContent>
        </w:sdt>
        <w:sdt>
          <w:sdtPr>
            <w:tag w:val="_PLD_fafb5208264e4d4bb8e6b267fb648c20"/>
            <w:id w:val="-897132607"/>
          </w:sdtPr>
          <w:sdtEndPr/>
          <w:sdtContent>
            <w:tc>
              <w:tcPr>
                <w:tcW w:w="2237" w:type="pct"/>
                <w:gridSpan w:val="5"/>
                <w:tcBorders>
                  <w:top w:val="single" w:sz="4" w:space="0" w:color="auto"/>
                  <w:left w:val="single" w:sz="4" w:space="0" w:color="auto"/>
                  <w:right w:val="single" w:sz="4" w:space="0" w:color="auto"/>
                </w:tcBorders>
                <w:vAlign w:val="center"/>
              </w:tcPr>
              <w:p w:rsidR="004A3868" w:rsidRDefault="003F1AB5">
                <w:pPr>
                  <w:pStyle w:val="afffb"/>
                </w:pPr>
                <w:r>
                  <w:rPr>
                    <w:rFonts w:hint="eastAsia"/>
                  </w:rPr>
                  <w:t>期末余额</w:t>
                </w:r>
              </w:p>
            </w:tc>
          </w:sdtContent>
        </w:sdt>
        <w:sdt>
          <w:sdtPr>
            <w:tag w:val="_PLD_8205b68975c546be850548a72e9a6054"/>
            <w:id w:val="-2087826977"/>
          </w:sdtPr>
          <w:sdtEndPr/>
          <w:sdtContent>
            <w:tc>
              <w:tcPr>
                <w:tcW w:w="2165" w:type="pct"/>
                <w:gridSpan w:val="5"/>
                <w:tcBorders>
                  <w:top w:val="single" w:sz="4" w:space="0" w:color="auto"/>
                  <w:left w:val="single" w:sz="4" w:space="0" w:color="auto"/>
                  <w:right w:val="single" w:sz="4" w:space="0" w:color="auto"/>
                </w:tcBorders>
                <w:vAlign w:val="center"/>
              </w:tcPr>
              <w:p w:rsidR="004A3868" w:rsidRDefault="003F1AB5">
                <w:pPr>
                  <w:pStyle w:val="afffb"/>
                </w:pPr>
                <w:r>
                  <w:rPr>
                    <w:rFonts w:hint="eastAsia"/>
                  </w:rPr>
                  <w:t>期初余额</w:t>
                </w:r>
              </w:p>
            </w:tc>
          </w:sdtContent>
        </w:sdt>
      </w:tr>
      <w:tr w:rsidR="004A3868">
        <w:trPr>
          <w:cantSplit/>
          <w:trHeight w:val="397"/>
          <w:jc w:val="center"/>
        </w:trPr>
        <w:tc>
          <w:tcPr>
            <w:tcW w:w="598" w:type="pct"/>
            <w:vMerge/>
            <w:tcBorders>
              <w:left w:val="single" w:sz="4" w:space="0" w:color="auto"/>
              <w:right w:val="single" w:sz="4" w:space="0" w:color="auto"/>
            </w:tcBorders>
            <w:vAlign w:val="center"/>
          </w:tcPr>
          <w:p w:rsidR="004A3868" w:rsidRDefault="004A3868">
            <w:pPr>
              <w:pStyle w:val="afffb"/>
            </w:pPr>
          </w:p>
        </w:tc>
        <w:sdt>
          <w:sdtPr>
            <w:tag w:val="_PLD_7056cf81ea5945de8de7b1a9d0e25fd7"/>
            <w:id w:val="1338583958"/>
          </w:sdtPr>
          <w:sdtEndPr/>
          <w:sdtContent>
            <w:tc>
              <w:tcPr>
                <w:tcW w:w="893"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账面余额</w:t>
                </w:r>
              </w:p>
            </w:tc>
          </w:sdtContent>
        </w:sdt>
        <w:sdt>
          <w:sdtPr>
            <w:tag w:val="_PLD_34f16de3fbfe4d57907bcde799e70cf5"/>
            <w:id w:val="1954512680"/>
          </w:sdtPr>
          <w:sdtEndPr/>
          <w:sdtContent>
            <w:tc>
              <w:tcPr>
                <w:tcW w:w="746"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坏账准备</w:t>
                </w:r>
              </w:p>
            </w:tc>
          </w:sdtContent>
        </w:sdt>
        <w:sdt>
          <w:sdtPr>
            <w:tag w:val="_PLD_cd77106f5f004386a9ab2d4ac038ed51"/>
            <w:id w:val="-2054458558"/>
          </w:sdtPr>
          <w:sdtEndPr/>
          <w:sdtContent>
            <w:tc>
              <w:tcPr>
                <w:tcW w:w="598" w:type="pct"/>
                <w:vMerge w:val="restart"/>
                <w:tcBorders>
                  <w:top w:val="single" w:sz="4" w:space="0" w:color="auto"/>
                  <w:left w:val="single" w:sz="4" w:space="0" w:color="auto"/>
                  <w:right w:val="single" w:sz="4" w:space="0" w:color="auto"/>
                </w:tcBorders>
                <w:vAlign w:val="center"/>
              </w:tcPr>
              <w:p w:rsidR="004A3868" w:rsidRDefault="003F1AB5">
                <w:pPr>
                  <w:pStyle w:val="afffb"/>
                </w:pPr>
                <w:r>
                  <w:rPr>
                    <w:rFonts w:hint="eastAsia"/>
                  </w:rPr>
                  <w:t>账面</w:t>
                </w:r>
              </w:p>
              <w:p w:rsidR="004A3868" w:rsidRDefault="003F1AB5">
                <w:pPr>
                  <w:pStyle w:val="afffb"/>
                </w:pPr>
                <w:r>
                  <w:rPr>
                    <w:rFonts w:hint="eastAsia"/>
                  </w:rPr>
                  <w:t>价值</w:t>
                </w:r>
              </w:p>
            </w:tc>
          </w:sdtContent>
        </w:sdt>
        <w:sdt>
          <w:sdtPr>
            <w:tag w:val="_PLD_f426e0de2bf0466d9f5f3a3cac025942"/>
            <w:id w:val="-11469575"/>
          </w:sdtPr>
          <w:sdtEndPr/>
          <w:sdtContent>
            <w:tc>
              <w:tcPr>
                <w:tcW w:w="822" w:type="pct"/>
                <w:gridSpan w:val="2"/>
                <w:tcBorders>
                  <w:top w:val="single" w:sz="4" w:space="0" w:color="auto"/>
                  <w:left w:val="single" w:sz="4" w:space="0" w:color="auto"/>
                  <w:right w:val="single" w:sz="4" w:space="0" w:color="auto"/>
                </w:tcBorders>
                <w:vAlign w:val="center"/>
              </w:tcPr>
              <w:p w:rsidR="004A3868" w:rsidRDefault="003F1AB5">
                <w:pPr>
                  <w:pStyle w:val="afffb"/>
                </w:pPr>
                <w:r>
                  <w:rPr>
                    <w:rFonts w:hint="eastAsia"/>
                  </w:rPr>
                  <w:t>账面余额</w:t>
                </w:r>
              </w:p>
            </w:tc>
          </w:sdtContent>
        </w:sdt>
        <w:sdt>
          <w:sdtPr>
            <w:tag w:val="_PLD_42ed37b6856f4ff3b7f03ee8855d758a"/>
            <w:id w:val="971632717"/>
          </w:sdtPr>
          <w:sdtEndPr/>
          <w:sdtContent>
            <w:tc>
              <w:tcPr>
                <w:tcW w:w="747" w:type="pct"/>
                <w:gridSpan w:val="2"/>
                <w:tcBorders>
                  <w:top w:val="single" w:sz="4" w:space="0" w:color="auto"/>
                  <w:left w:val="single" w:sz="4" w:space="0" w:color="auto"/>
                  <w:right w:val="single" w:sz="4" w:space="0" w:color="auto"/>
                </w:tcBorders>
                <w:vAlign w:val="center"/>
              </w:tcPr>
              <w:p w:rsidR="004A3868" w:rsidRDefault="003F1AB5">
                <w:pPr>
                  <w:pStyle w:val="afffb"/>
                </w:pPr>
                <w:r>
                  <w:rPr>
                    <w:rFonts w:hint="eastAsia"/>
                  </w:rPr>
                  <w:t>坏账准备</w:t>
                </w:r>
              </w:p>
            </w:tc>
          </w:sdtContent>
        </w:sdt>
        <w:sdt>
          <w:sdtPr>
            <w:tag w:val="_PLD_f82bf84717ad44b1847dfdc19cbcf7f8"/>
            <w:id w:val="604692392"/>
          </w:sdtPr>
          <w:sdtEndPr/>
          <w:sdtContent>
            <w:tc>
              <w:tcPr>
                <w:tcW w:w="596" w:type="pct"/>
                <w:vMerge w:val="restart"/>
                <w:tcBorders>
                  <w:top w:val="single" w:sz="4" w:space="0" w:color="auto"/>
                  <w:left w:val="single" w:sz="4" w:space="0" w:color="auto"/>
                  <w:right w:val="single" w:sz="4" w:space="0" w:color="auto"/>
                </w:tcBorders>
                <w:vAlign w:val="center"/>
              </w:tcPr>
              <w:p w:rsidR="004A3868" w:rsidRDefault="003F1AB5">
                <w:pPr>
                  <w:pStyle w:val="afffb"/>
                </w:pPr>
                <w:r>
                  <w:rPr>
                    <w:rFonts w:hint="eastAsia"/>
                  </w:rPr>
                  <w:t>账面</w:t>
                </w:r>
              </w:p>
              <w:p w:rsidR="004A3868" w:rsidRDefault="003F1AB5">
                <w:pPr>
                  <w:pStyle w:val="afffb"/>
                </w:pPr>
                <w:r>
                  <w:rPr>
                    <w:rFonts w:hint="eastAsia"/>
                  </w:rPr>
                  <w:t>价值</w:t>
                </w:r>
              </w:p>
            </w:tc>
          </w:sdtContent>
        </w:sdt>
      </w:tr>
      <w:tr w:rsidR="004A3868">
        <w:trPr>
          <w:cantSplit/>
          <w:trHeight w:val="397"/>
          <w:jc w:val="center"/>
        </w:trPr>
        <w:tc>
          <w:tcPr>
            <w:tcW w:w="598" w:type="pct"/>
            <w:vMerge/>
            <w:tcBorders>
              <w:left w:val="single" w:sz="4" w:space="0" w:color="auto"/>
              <w:bottom w:val="single" w:sz="4" w:space="0" w:color="auto"/>
              <w:right w:val="single" w:sz="4" w:space="0" w:color="auto"/>
            </w:tcBorders>
            <w:vAlign w:val="center"/>
          </w:tcPr>
          <w:p w:rsidR="004A3868" w:rsidRDefault="004A3868">
            <w:pPr>
              <w:rPr>
                <w:sz w:val="15"/>
                <w:szCs w:val="15"/>
              </w:rPr>
            </w:pPr>
          </w:p>
        </w:tc>
        <w:sdt>
          <w:sdtPr>
            <w:tag w:val="_PLD_aa10a65b20404088a51399b13bc1f8a5"/>
            <w:id w:val="-1567953635"/>
          </w:sdtPr>
          <w:sdtEndPr/>
          <w:sdtContent>
            <w:tc>
              <w:tcPr>
                <w:tcW w:w="594"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金额</w:t>
                </w:r>
              </w:p>
            </w:tc>
          </w:sdtContent>
        </w:sdt>
        <w:sdt>
          <w:sdtPr>
            <w:tag w:val="_PLD_5ca29603eb73434e9c2b6a938262bcf4"/>
            <w:id w:val="-468204830"/>
          </w:sdtPr>
          <w:sdtEndPr/>
          <w:sdtContent>
            <w:tc>
              <w:tcPr>
                <w:tcW w:w="299"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比例</w:t>
                </w:r>
                <w:r>
                  <w:t>(%)</w:t>
                </w:r>
              </w:p>
            </w:tc>
          </w:sdtContent>
        </w:sdt>
        <w:sdt>
          <w:sdtPr>
            <w:tag w:val="_PLD_6964d79d10954e17b7bb61b577242def"/>
            <w:id w:val="-1391261365"/>
          </w:sdtPr>
          <w:sdtEndPr/>
          <w:sdtContent>
            <w:tc>
              <w:tcPr>
                <w:tcW w:w="523"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金额</w:t>
                </w:r>
              </w:p>
            </w:tc>
          </w:sdtContent>
        </w:sdt>
        <w:sdt>
          <w:sdtPr>
            <w:tag w:val="_PLD_3b8eaa1922a244bea17eec1b5b1e71f7"/>
            <w:id w:val="-1081756097"/>
          </w:sdtPr>
          <w:sdtEndPr/>
          <w:sdtContent>
            <w:tc>
              <w:tcPr>
                <w:tcW w:w="223"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计提比例</w:t>
                </w:r>
                <w:r>
                  <w:t>(%)</w:t>
                </w:r>
              </w:p>
            </w:tc>
          </w:sdtContent>
        </w:sdt>
        <w:tc>
          <w:tcPr>
            <w:tcW w:w="598" w:type="pct"/>
            <w:vMerge/>
            <w:tcBorders>
              <w:left w:val="single" w:sz="4" w:space="0" w:color="auto"/>
              <w:bottom w:val="single" w:sz="4" w:space="0" w:color="auto"/>
              <w:right w:val="single" w:sz="4" w:space="0" w:color="auto"/>
            </w:tcBorders>
            <w:vAlign w:val="center"/>
          </w:tcPr>
          <w:p w:rsidR="004A3868" w:rsidRDefault="004A3868">
            <w:pPr>
              <w:rPr>
                <w:sz w:val="15"/>
                <w:szCs w:val="15"/>
              </w:rPr>
            </w:pPr>
          </w:p>
        </w:tc>
        <w:sdt>
          <w:sdtPr>
            <w:tag w:val="_PLD_2643b99ff0364343807a178f0f8dd5da"/>
            <w:id w:val="98462564"/>
          </w:sdtPr>
          <w:sdtEndPr/>
          <w:sdtContent>
            <w:tc>
              <w:tcPr>
                <w:tcW w:w="598"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金额</w:t>
                </w:r>
              </w:p>
            </w:tc>
          </w:sdtContent>
        </w:sdt>
        <w:sdt>
          <w:sdtPr>
            <w:tag w:val="_PLD_889230571c2941e88f231f43b4b8a99e"/>
            <w:id w:val="772516383"/>
          </w:sdtPr>
          <w:sdtEndPr/>
          <w:sdtContent>
            <w:tc>
              <w:tcPr>
                <w:tcW w:w="224"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比例</w:t>
                </w:r>
                <w:r>
                  <w:t>(%)</w:t>
                </w:r>
              </w:p>
            </w:tc>
          </w:sdtContent>
        </w:sdt>
        <w:sdt>
          <w:sdtPr>
            <w:tag w:val="_PLD_e1c946a6d26548c493697d23050b8325"/>
            <w:id w:val="-1069890223"/>
          </w:sdtPr>
          <w:sdtEndPr/>
          <w:sdtContent>
            <w:tc>
              <w:tcPr>
                <w:tcW w:w="522"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金额</w:t>
                </w:r>
              </w:p>
            </w:tc>
          </w:sdtContent>
        </w:sdt>
        <w:sdt>
          <w:sdtPr>
            <w:tag w:val="_PLD_8bfda0f6261147ccb519211fb86f82f6"/>
            <w:id w:val="676694995"/>
          </w:sdtPr>
          <w:sdtEndPr/>
          <w:sdtContent>
            <w:tc>
              <w:tcPr>
                <w:tcW w:w="225"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计提比例</w:t>
                </w:r>
                <w:r>
                  <w:t>(%)</w:t>
                </w:r>
              </w:p>
            </w:tc>
          </w:sdtContent>
        </w:sdt>
        <w:tc>
          <w:tcPr>
            <w:tcW w:w="596" w:type="pct"/>
            <w:vMerge/>
            <w:tcBorders>
              <w:left w:val="single" w:sz="4" w:space="0" w:color="auto"/>
              <w:bottom w:val="single" w:sz="4" w:space="0" w:color="auto"/>
              <w:right w:val="single" w:sz="4" w:space="0" w:color="auto"/>
            </w:tcBorders>
            <w:vAlign w:val="center"/>
          </w:tcPr>
          <w:p w:rsidR="004A3868" w:rsidRDefault="004A3868">
            <w:pPr>
              <w:rPr>
                <w:sz w:val="15"/>
                <w:szCs w:val="15"/>
              </w:rPr>
            </w:pPr>
          </w:p>
        </w:tc>
      </w:tr>
      <w:tr w:rsidR="004A3868">
        <w:trPr>
          <w:cantSplit/>
          <w:trHeight w:val="397"/>
          <w:jc w:val="center"/>
        </w:trPr>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按单项计提坏账准备</w:t>
            </w:r>
          </w:p>
        </w:tc>
        <w:tc>
          <w:tcPr>
            <w:tcW w:w="594"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29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523"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223"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149,700.00</w:t>
            </w:r>
          </w:p>
        </w:tc>
        <w:tc>
          <w:tcPr>
            <w:tcW w:w="22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0.10</w:t>
            </w:r>
          </w:p>
        </w:tc>
        <w:tc>
          <w:tcPr>
            <w:tcW w:w="5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74,850.00</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50.00</w:t>
            </w:r>
          </w:p>
        </w:tc>
        <w:tc>
          <w:tcPr>
            <w:tcW w:w="5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74,850.00</w:t>
            </w:r>
          </w:p>
        </w:tc>
      </w:tr>
      <w:tr w:rsidR="004A3868">
        <w:trPr>
          <w:cantSplit/>
          <w:trHeight w:val="397"/>
          <w:jc w:val="center"/>
        </w:trPr>
        <w:sdt>
          <w:sdtPr>
            <w:tag w:val="_PLD_13ffa512f1e549f7a3da978eb4046a04"/>
            <w:id w:val="-1911681075"/>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其中：</w:t>
                </w:r>
              </w:p>
            </w:tc>
          </w:sdtContent>
        </w:sdt>
      </w:tr>
      <w:tr w:rsidR="004A3868">
        <w:trPr>
          <w:cantSplit/>
          <w:trHeight w:val="397"/>
          <w:jc w:val="center"/>
        </w:trPr>
        <w:sdt>
          <w:sdtPr>
            <w:alias w:val="按单项计提坏账准备的应收票据明细-类别"/>
            <w:tag w:val="_GBC_c5229eb68d0d4143be028a8152e10cbe"/>
            <w:id w:val="1687550301"/>
            <w:showingPlcHdr/>
          </w:sdtPr>
          <w:sdtEndPr/>
          <w:sdtContent>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 xml:space="preserve">　</w:t>
                </w:r>
              </w:p>
            </w:tc>
          </w:sdtContent>
        </w:sdt>
        <w:tc>
          <w:tcPr>
            <w:tcW w:w="594"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29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523"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223"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224"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5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59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cantSplit/>
          <w:trHeight w:val="397"/>
          <w:jc w:val="center"/>
        </w:trPr>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按组合计提坏账准备</w:t>
            </w:r>
          </w:p>
        </w:tc>
        <w:tc>
          <w:tcPr>
            <w:tcW w:w="59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129,555,059.34</w:t>
            </w:r>
          </w:p>
        </w:tc>
        <w:tc>
          <w:tcPr>
            <w:tcW w:w="29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100.00</w:t>
            </w:r>
          </w:p>
        </w:tc>
        <w:tc>
          <w:tcPr>
            <w:tcW w:w="5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7,057,623.47</w:t>
            </w:r>
          </w:p>
        </w:tc>
        <w:tc>
          <w:tcPr>
            <w:tcW w:w="2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5.45</w:t>
            </w: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122,497,435.87</w:t>
            </w: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151,074,493.74</w:t>
            </w:r>
          </w:p>
        </w:tc>
        <w:tc>
          <w:tcPr>
            <w:tcW w:w="22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99.90</w:t>
            </w:r>
          </w:p>
        </w:tc>
        <w:tc>
          <w:tcPr>
            <w:tcW w:w="5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9,667,052.18</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6.40</w:t>
            </w:r>
          </w:p>
        </w:tc>
        <w:tc>
          <w:tcPr>
            <w:tcW w:w="5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141,407,441.57</w:t>
            </w:r>
          </w:p>
        </w:tc>
      </w:tr>
      <w:tr w:rsidR="004A3868">
        <w:trPr>
          <w:cantSplit/>
          <w:trHeight w:val="397"/>
          <w:jc w:val="center"/>
        </w:trPr>
        <w:sdt>
          <w:sdtPr>
            <w:tag w:val="_PLD_1b5e68cf63514e05be52ed5144827551"/>
            <w:id w:val="-577595336"/>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Style w:val="afffa"/>
                    <w:rFonts w:hint="eastAsia"/>
                    <w:kern w:val="0"/>
                    <w:szCs w:val="24"/>
                  </w:rPr>
                  <w:t>其中：</w:t>
                </w:r>
              </w:p>
            </w:tc>
          </w:sdtContent>
        </w:sdt>
      </w:tr>
      <w:tr w:rsidR="004A3868">
        <w:trPr>
          <w:cantSplit/>
          <w:trHeight w:val="397"/>
          <w:jc w:val="center"/>
        </w:trPr>
        <w:sdt>
          <w:sdtPr>
            <w:alias w:val="按组合计提坏账准备的应收票据明细-类别"/>
            <w:tag w:val="_GBC_ed7e56cbe7ea453aaa8bd5fc800408c8"/>
            <w:id w:val="193202024"/>
          </w:sdtPr>
          <w:sdtEndPr/>
          <w:sdtContent>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t>账龄组合</w:t>
                </w:r>
                <w:r>
                  <w:t>-</w:t>
                </w:r>
                <w:r>
                  <w:t>银行承兑汇票</w:t>
                </w:r>
              </w:p>
            </w:tc>
          </w:sdtContent>
        </w:sdt>
        <w:tc>
          <w:tcPr>
            <w:tcW w:w="59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127,177,107.34</w:t>
            </w:r>
          </w:p>
        </w:tc>
        <w:tc>
          <w:tcPr>
            <w:tcW w:w="29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98.16</w:t>
            </w:r>
          </w:p>
        </w:tc>
        <w:tc>
          <w:tcPr>
            <w:tcW w:w="5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6,833,702.52</w:t>
            </w:r>
          </w:p>
        </w:tc>
        <w:tc>
          <w:tcPr>
            <w:tcW w:w="2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5.37</w:t>
            </w: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120,343,404.82</w:t>
            </w: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143,650,779.31</w:t>
            </w:r>
          </w:p>
        </w:tc>
        <w:tc>
          <w:tcPr>
            <w:tcW w:w="22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94.99</w:t>
            </w:r>
          </w:p>
        </w:tc>
        <w:tc>
          <w:tcPr>
            <w:tcW w:w="5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8,966,487.89</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6.24</w:t>
            </w:r>
          </w:p>
        </w:tc>
        <w:tc>
          <w:tcPr>
            <w:tcW w:w="5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134,684,291.42</w:t>
            </w:r>
          </w:p>
        </w:tc>
      </w:tr>
      <w:tr w:rsidR="004A3868">
        <w:trPr>
          <w:cantSplit/>
          <w:trHeight w:val="397"/>
          <w:jc w:val="center"/>
        </w:trPr>
        <w:sdt>
          <w:sdtPr>
            <w:alias w:val="按组合计提坏账准备的应收票据明细-类别"/>
            <w:tag w:val="_GBC_ed7e56cbe7ea453aaa8bd5fc800408c8"/>
            <w:id w:val="2080862673"/>
          </w:sdtPr>
          <w:sdtEndPr/>
          <w:sdtContent>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t>账龄组合</w:t>
                </w:r>
                <w:r>
                  <w:t>-</w:t>
                </w:r>
                <w:r>
                  <w:t>商业承兑汇票</w:t>
                </w:r>
              </w:p>
            </w:tc>
          </w:sdtContent>
        </w:sdt>
        <w:tc>
          <w:tcPr>
            <w:tcW w:w="59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2,377,952.00</w:t>
            </w:r>
          </w:p>
        </w:tc>
        <w:tc>
          <w:tcPr>
            <w:tcW w:w="29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1.84</w:t>
            </w:r>
          </w:p>
        </w:tc>
        <w:tc>
          <w:tcPr>
            <w:tcW w:w="5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223,920.95</w:t>
            </w:r>
          </w:p>
        </w:tc>
        <w:tc>
          <w:tcPr>
            <w:tcW w:w="2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9.42</w:t>
            </w: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2,154,031.05</w:t>
            </w: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7,423,714.43</w:t>
            </w:r>
          </w:p>
        </w:tc>
        <w:tc>
          <w:tcPr>
            <w:tcW w:w="22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4.91</w:t>
            </w:r>
          </w:p>
        </w:tc>
        <w:tc>
          <w:tcPr>
            <w:tcW w:w="5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700,564.28</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9.44</w:t>
            </w:r>
          </w:p>
        </w:tc>
        <w:tc>
          <w:tcPr>
            <w:tcW w:w="5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6,723,150.15</w:t>
            </w:r>
          </w:p>
        </w:tc>
      </w:tr>
      <w:tr w:rsidR="004A3868">
        <w:trPr>
          <w:cantSplit/>
          <w:trHeight w:val="397"/>
          <w:jc w:val="center"/>
        </w:trPr>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rPr>
                <w:sz w:val="15"/>
                <w:szCs w:val="15"/>
              </w:rPr>
            </w:pPr>
            <w:r>
              <w:rPr>
                <w:rFonts w:hint="eastAsia"/>
                <w:sz w:val="15"/>
                <w:szCs w:val="15"/>
              </w:rPr>
              <w:t>合计</w:t>
            </w:r>
          </w:p>
        </w:tc>
        <w:tc>
          <w:tcPr>
            <w:tcW w:w="59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129,555,059.34</w:t>
            </w:r>
          </w:p>
        </w:tc>
        <w:tc>
          <w:tcPr>
            <w:tcW w:w="29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c>
          <w:tcPr>
            <w:tcW w:w="5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7,057,623.47</w:t>
            </w:r>
          </w:p>
        </w:tc>
        <w:tc>
          <w:tcPr>
            <w:tcW w:w="2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5.45</w:t>
            </w: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122,497,435.87</w:t>
            </w:r>
          </w:p>
        </w:tc>
        <w:tc>
          <w:tcPr>
            <w:tcW w:w="5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151,224,193.74</w:t>
            </w:r>
          </w:p>
        </w:tc>
        <w:tc>
          <w:tcPr>
            <w:tcW w:w="22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c>
          <w:tcPr>
            <w:tcW w:w="5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9,741,902.18</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6</w:t>
            </w:r>
            <w:r>
              <w:t>.44</w:t>
            </w:r>
          </w:p>
        </w:tc>
        <w:tc>
          <w:tcPr>
            <w:tcW w:w="5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141,482,291.57</w:t>
            </w:r>
          </w:p>
        </w:tc>
      </w:tr>
      <w:bookmarkEnd w:id="138"/>
    </w:tbl>
    <w:p w:rsidR="004A3868" w:rsidRDefault="004A3868">
      <w:pPr>
        <w:pStyle w:val="Style124"/>
      </w:pPr>
    </w:p>
    <w:p w:rsidR="004A3868" w:rsidRDefault="003F1AB5">
      <w:pPr>
        <w:pStyle w:val="Style124"/>
      </w:pPr>
      <w:r>
        <w:rPr>
          <w:rFonts w:hint="eastAsia"/>
        </w:rPr>
        <w:t>按单项计提坏账准备：</w:t>
      </w:r>
    </w:p>
    <w:bookmarkEnd w:id="139" w:displacedByCustomXml="next"/>
    <w:sdt>
      <w:sdtPr>
        <w:rPr>
          <w:rFonts w:hint="eastAsia"/>
        </w:rPr>
        <w:alias w:val="是否适用：按单项计提坏账准备的应收票据详细情况[双击切换]"/>
        <w:tag w:val="_GBC_9f41f638de8f4c42b9d00ca6755931fb"/>
        <w:id w:val="-1373921865"/>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rFonts w:hint="eastAsia"/>
          <w:sz w:val="21"/>
          <w:szCs w:val="21"/>
        </w:rPr>
        <w:tag w:val="_PLD_c5822df72e094b5083c45a32639c6995"/>
        <w:id w:val="-1007744037"/>
        <w:placeholder>
          <w:docPart w:val="GBC22222222222222222222222222222"/>
        </w:placeholder>
      </w:sdtPr>
      <w:sdtEndPr/>
      <w:sdtContent>
        <w:p w:rsidR="004A3868" w:rsidRDefault="003F1AB5">
          <w:pPr>
            <w:rPr>
              <w:sz w:val="21"/>
              <w:szCs w:val="21"/>
            </w:rPr>
          </w:pPr>
          <w:r>
            <w:rPr>
              <w:rFonts w:hint="eastAsia"/>
              <w:sz w:val="21"/>
              <w:szCs w:val="21"/>
            </w:rPr>
            <w:t>按组合计提坏账准备：</w:t>
          </w:r>
        </w:p>
      </w:sdtContent>
    </w:sdt>
    <w:sdt>
      <w:sdtPr>
        <w:rPr>
          <w:rFonts w:asciiTheme="minorHAnsi" w:hAnsiTheme="minorHAnsi" w:hint="eastAsia"/>
        </w:rPr>
        <w:alias w:val="是否适用：按组合计提坏账准备的应收票据详细情况[双击切换]"/>
        <w:tag w:val="_GBC_6007da8f43a241c5b804069722b7b005"/>
        <w:id w:val="629514814"/>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lastRenderedPageBreak/>
        <w:t>按预期信用损失一般模型计提坏账准备</w:t>
      </w:r>
    </w:p>
    <w:bookmarkStart w:id="140" w:name="_Hlk153356892" w:displacedByCustomXml="next"/>
    <w:sdt>
      <w:sdtPr>
        <w:rPr>
          <w:sz w:val="21"/>
          <w:szCs w:val="21"/>
        </w:rPr>
        <w:alias w:val="是否适用：按预期信用损失一般模型计提坏账准备[双击切换]"/>
        <w:tag w:val="_GBC_8365966006504a25b2c8db13d573e88d"/>
        <w:id w:val="-194707817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各阶段划分依据和坏账准备计提比例</w:t>
      </w:r>
    </w:p>
    <w:sdt>
      <w:sdtPr>
        <w:rPr>
          <w:sz w:val="21"/>
          <w:szCs w:val="21"/>
        </w:rPr>
        <w:alias w:val="各阶段划分依据和坏账准备计提比例"/>
        <w:tag w:val="_GBC_64b745b874a741e0959d6b23dbf1c56a"/>
        <w:id w:val="-541670031"/>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rPr>
          <w:sz w:val="21"/>
          <w:szCs w:val="21"/>
        </w:rPr>
      </w:pPr>
      <w:r>
        <w:rPr>
          <w:rFonts w:hint="eastAsia"/>
          <w:sz w:val="21"/>
          <w:szCs w:val="21"/>
        </w:rPr>
        <w:t>对本期发生损失准备变动的应收票据账面余额显著变动的情况说明：</w:t>
      </w:r>
    </w:p>
    <w:sdt>
      <w:sdtPr>
        <w:rPr>
          <w:sz w:val="21"/>
          <w:szCs w:val="21"/>
        </w:rPr>
        <w:alias w:val="是否适用：对本期发生损失准备变动的账面余额显著变动的情况说明[双击切换]"/>
        <w:tag w:val="_GBC_2f34fd35c9654c8fa0b6583125cc946c"/>
        <w:id w:val="-15145981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40"/>
    <w:p w:rsidR="004A3868" w:rsidRDefault="003F1AB5">
      <w:pPr>
        <w:pStyle w:val="Style128"/>
      </w:pPr>
      <w:r>
        <w:rPr>
          <w:rFonts w:hint="eastAsia"/>
        </w:rPr>
        <w:t>坏账准备坏账准备的情况</w:t>
      </w:r>
    </w:p>
    <w:sdt>
      <w:sdtPr>
        <w:rPr>
          <w:sz w:val="24"/>
          <w:szCs w:val="24"/>
        </w:rPr>
        <w:alias w:val="模块:坏账准备的情况"/>
        <w:tag w:val="_SEC_caca867eb24045a4a4728f8f98dd089e"/>
        <w:id w:val="706228307"/>
        <w:lock w:val="sdtLocked"/>
      </w:sdtPr>
      <w:sdtEndPr/>
      <w:sdtContent>
        <w:sdt>
          <w:sdtPr>
            <w:alias w:val="是否适用：应收票据坏账准备情况[双击切换]"/>
            <w:tag w:val="_GBC_3c7b44ae9e3b4aa6a67012163093206f"/>
            <w:id w:val="962310292"/>
            <w:lock w:val="sdtLocked"/>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应收票据坏账准备情况"/>
              <w:tag w:val="_GBC_369a6567da6f4681886799eccc7ce30e"/>
              <w:id w:val="-214580060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应收票据坏账准备情况"/>
              <w:tag w:val="_GBC_2ca7f0c4216640399e139055a5b3f6df"/>
              <w:id w:val="-5280194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185"/>
            <w:gridCol w:w="1366"/>
            <w:gridCol w:w="1673"/>
            <w:gridCol w:w="1433"/>
            <w:gridCol w:w="888"/>
            <w:gridCol w:w="808"/>
            <w:gridCol w:w="1470"/>
          </w:tblGrid>
          <w:tr w:rsidR="004A3868">
            <w:trPr>
              <w:trHeight w:val="397"/>
              <w:jc w:val="center"/>
            </w:trPr>
            <w:sdt>
              <w:sdtPr>
                <w:tag w:val="_PLD_5c2e077065ea4069947c5dad1aefe7c9"/>
                <w:id w:val="263815450"/>
                <w:lock w:val="sdtLocked"/>
              </w:sdtPr>
              <w:sdtEndPr/>
              <w:sdtContent>
                <w:tc>
                  <w:tcPr>
                    <w:tcW w:w="672" w:type="pct"/>
                    <w:vMerge w:val="restart"/>
                    <w:shd w:val="clear" w:color="auto" w:fill="FFFFFF"/>
                    <w:vAlign w:val="center"/>
                  </w:tcPr>
                  <w:p w:rsidR="004A3868" w:rsidRDefault="003F1AB5">
                    <w:pPr>
                      <w:pStyle w:val="afffb"/>
                    </w:pPr>
                    <w:r>
                      <w:t>类别</w:t>
                    </w:r>
                  </w:p>
                </w:tc>
              </w:sdtContent>
            </w:sdt>
            <w:sdt>
              <w:sdtPr>
                <w:tag w:val="_PLD_be42aed4ff82447ca43a862394d9d8b0"/>
                <w:id w:val="334417946"/>
                <w:lock w:val="sdtLocked"/>
              </w:sdtPr>
              <w:sdtEndPr/>
              <w:sdtContent>
                <w:tc>
                  <w:tcPr>
                    <w:tcW w:w="774" w:type="pct"/>
                    <w:vMerge w:val="restart"/>
                    <w:shd w:val="clear" w:color="auto" w:fill="FFFFFF"/>
                    <w:vAlign w:val="center"/>
                  </w:tcPr>
                  <w:p w:rsidR="004A3868" w:rsidRDefault="003F1AB5">
                    <w:pPr>
                      <w:pStyle w:val="afffb"/>
                    </w:pPr>
                    <w:r>
                      <w:t>期初余额</w:t>
                    </w:r>
                  </w:p>
                </w:tc>
              </w:sdtContent>
            </w:sdt>
            <w:sdt>
              <w:sdtPr>
                <w:tag w:val="_PLD_6aa2190a976944ebbcbd0551027474a9"/>
                <w:id w:val="-699780512"/>
                <w:lock w:val="sdtLocked"/>
              </w:sdtPr>
              <w:sdtEndPr/>
              <w:sdtContent>
                <w:tc>
                  <w:tcPr>
                    <w:tcW w:w="2721" w:type="pct"/>
                    <w:gridSpan w:val="4"/>
                    <w:shd w:val="clear" w:color="auto" w:fill="FFFFFF"/>
                    <w:vAlign w:val="center"/>
                  </w:tcPr>
                  <w:p w:rsidR="004A3868" w:rsidRDefault="003F1AB5">
                    <w:pPr>
                      <w:pStyle w:val="afffb"/>
                    </w:pPr>
                    <w:r>
                      <w:rPr>
                        <w:rFonts w:hint="eastAsia"/>
                      </w:rPr>
                      <w:t>本期变动</w:t>
                    </w:r>
                    <w:r>
                      <w:t>金额</w:t>
                    </w:r>
                  </w:p>
                </w:tc>
              </w:sdtContent>
            </w:sdt>
            <w:sdt>
              <w:sdtPr>
                <w:tag w:val="_PLD_b9edf7d7d59c4a92b06644af7a055d81"/>
                <w:id w:val="-629479092"/>
                <w:lock w:val="sdtLocked"/>
              </w:sdtPr>
              <w:sdtEndPr/>
              <w:sdtContent>
                <w:tc>
                  <w:tcPr>
                    <w:tcW w:w="833" w:type="pct"/>
                    <w:shd w:val="clear" w:color="auto" w:fill="FFFFFF"/>
                    <w:vAlign w:val="center"/>
                  </w:tcPr>
                  <w:p w:rsidR="004A3868" w:rsidRDefault="003F1AB5">
                    <w:pPr>
                      <w:pStyle w:val="afffb"/>
                    </w:pPr>
                    <w:r>
                      <w:t>期末余额</w:t>
                    </w:r>
                  </w:p>
                </w:tc>
              </w:sdtContent>
            </w:sdt>
          </w:tr>
          <w:tr w:rsidR="004A3868">
            <w:trPr>
              <w:trHeight w:val="397"/>
              <w:jc w:val="center"/>
            </w:trPr>
            <w:tc>
              <w:tcPr>
                <w:tcW w:w="672" w:type="pct"/>
                <w:vMerge/>
                <w:shd w:val="clear" w:color="auto" w:fill="FFFFFF"/>
                <w:vAlign w:val="center"/>
              </w:tcPr>
              <w:p w:rsidR="004A3868" w:rsidRDefault="004A3868">
                <w:pPr>
                  <w:pStyle w:val="afffb"/>
                </w:pPr>
              </w:p>
            </w:tc>
            <w:tc>
              <w:tcPr>
                <w:tcW w:w="774" w:type="pct"/>
                <w:vMerge/>
                <w:shd w:val="clear" w:color="auto" w:fill="FFFFFF"/>
                <w:vAlign w:val="center"/>
              </w:tcPr>
              <w:p w:rsidR="004A3868" w:rsidRDefault="004A3868">
                <w:pPr>
                  <w:pStyle w:val="afffb"/>
                </w:pPr>
              </w:p>
            </w:tc>
            <w:sdt>
              <w:sdtPr>
                <w:tag w:val="_PLD_36062efa6f854d3c8eee6ca1e0b72bca"/>
                <w:id w:val="1746528322"/>
                <w:lock w:val="sdtLocked"/>
              </w:sdtPr>
              <w:sdtEndPr/>
              <w:sdtContent>
                <w:tc>
                  <w:tcPr>
                    <w:tcW w:w="948" w:type="pct"/>
                    <w:shd w:val="clear" w:color="auto" w:fill="FFFFFF"/>
                    <w:vAlign w:val="center"/>
                  </w:tcPr>
                  <w:p w:rsidR="004A3868" w:rsidRDefault="003F1AB5">
                    <w:pPr>
                      <w:pStyle w:val="afffb"/>
                    </w:pPr>
                    <w:r>
                      <w:t>计提</w:t>
                    </w:r>
                  </w:p>
                </w:tc>
              </w:sdtContent>
            </w:sdt>
            <w:sdt>
              <w:sdtPr>
                <w:tag w:val="_PLD_0b4224d18fad47e08fa90eb4f8c7e612"/>
                <w:id w:val="-1769152157"/>
                <w:lock w:val="sdtLocked"/>
              </w:sdtPr>
              <w:sdtEndPr/>
              <w:sdtContent>
                <w:tc>
                  <w:tcPr>
                    <w:tcW w:w="812" w:type="pct"/>
                    <w:shd w:val="clear" w:color="auto" w:fill="FFFFFF"/>
                    <w:vAlign w:val="center"/>
                  </w:tcPr>
                  <w:p w:rsidR="004A3868" w:rsidRDefault="003F1AB5">
                    <w:pPr>
                      <w:pStyle w:val="afffb"/>
                    </w:pPr>
                    <w:r>
                      <w:rPr>
                        <w:rFonts w:hint="eastAsia"/>
                      </w:rPr>
                      <w:t>收回或转回</w:t>
                    </w:r>
                  </w:p>
                </w:tc>
              </w:sdtContent>
            </w:sdt>
            <w:tc>
              <w:tcPr>
                <w:tcW w:w="503" w:type="pct"/>
                <w:shd w:val="clear" w:color="auto" w:fill="FFFFFF"/>
                <w:vAlign w:val="center"/>
              </w:tcPr>
              <w:sdt>
                <w:sdtPr>
                  <w:rPr>
                    <w:rFonts w:hint="eastAsia"/>
                  </w:rPr>
                  <w:tag w:val="_PLD_dff8ef418de94a2b8e2615f6e297e890"/>
                  <w:id w:val="133221470"/>
                  <w:lock w:val="sdtLocked"/>
                </w:sdtPr>
                <w:sdtEndPr/>
                <w:sdtContent>
                  <w:p w:rsidR="004A3868" w:rsidRDefault="003F1AB5">
                    <w:pPr>
                      <w:pStyle w:val="afffb"/>
                    </w:pPr>
                    <w:r>
                      <w:rPr>
                        <w:rFonts w:hint="eastAsia"/>
                      </w:rPr>
                      <w:t>转销或核销</w:t>
                    </w:r>
                  </w:p>
                </w:sdtContent>
              </w:sdt>
            </w:tc>
            <w:tc>
              <w:tcPr>
                <w:tcW w:w="454" w:type="pct"/>
                <w:shd w:val="clear" w:color="auto" w:fill="FFFFFF"/>
                <w:vAlign w:val="center"/>
              </w:tcPr>
              <w:sdt>
                <w:sdtPr>
                  <w:rPr>
                    <w:rFonts w:hint="eastAsia"/>
                  </w:rPr>
                  <w:tag w:val="_PLD_529e6104ed0640fcab7db5615e37639f"/>
                  <w:id w:val="-1465501252"/>
                  <w:lock w:val="sdtLocked"/>
                </w:sdtPr>
                <w:sdtEndPr/>
                <w:sdtContent>
                  <w:p w:rsidR="004A3868" w:rsidRDefault="003F1AB5">
                    <w:pPr>
                      <w:pStyle w:val="afffb"/>
                    </w:pPr>
                    <w:r>
                      <w:rPr>
                        <w:rFonts w:hint="eastAsia"/>
                      </w:rPr>
                      <w:t>其他变动</w:t>
                    </w:r>
                  </w:p>
                </w:sdtContent>
              </w:sdt>
            </w:tc>
            <w:tc>
              <w:tcPr>
                <w:tcW w:w="837" w:type="pct"/>
                <w:shd w:val="clear" w:color="auto" w:fill="FFFFFF"/>
                <w:vAlign w:val="center"/>
              </w:tcPr>
              <w:p w:rsidR="004A3868" w:rsidRDefault="004A3868">
                <w:pPr>
                  <w:pStyle w:val="afffb"/>
                </w:pPr>
              </w:p>
            </w:tc>
          </w:tr>
          <w:tr w:rsidR="004A3868">
            <w:trPr>
              <w:trHeight w:val="397"/>
              <w:jc w:val="center"/>
            </w:trPr>
            <w:tc>
              <w:tcPr>
                <w:tcW w:w="672" w:type="pct"/>
                <w:shd w:val="clear" w:color="auto" w:fill="auto"/>
                <w:vAlign w:val="center"/>
              </w:tcPr>
              <w:p w:rsidR="004A3868" w:rsidRDefault="003F1AB5">
                <w:pPr>
                  <w:pStyle w:val="afff9"/>
                </w:pPr>
                <w:r>
                  <w:rPr>
                    <w:rFonts w:hint="eastAsia"/>
                  </w:rPr>
                  <w:t>单项计提预期信用损失的应收票据</w:t>
                </w:r>
              </w:p>
            </w:tc>
            <w:tc>
              <w:tcPr>
                <w:tcW w:w="774" w:type="pct"/>
                <w:shd w:val="clear" w:color="auto" w:fill="auto"/>
                <w:vAlign w:val="center"/>
              </w:tcPr>
              <w:p w:rsidR="004A3868" w:rsidRDefault="003F1AB5">
                <w:pPr>
                  <w:pStyle w:val="afff7"/>
                </w:pPr>
                <w:r>
                  <w:rPr>
                    <w:rFonts w:hint="eastAsia"/>
                  </w:rPr>
                  <w:t>74,850.00</w:t>
                </w:r>
              </w:p>
            </w:tc>
            <w:tc>
              <w:tcPr>
                <w:tcW w:w="948" w:type="pct"/>
                <w:shd w:val="clear" w:color="auto" w:fill="auto"/>
                <w:vAlign w:val="center"/>
              </w:tcPr>
              <w:p w:rsidR="004A3868" w:rsidRDefault="004A3868">
                <w:pPr>
                  <w:pStyle w:val="afff7"/>
                </w:pPr>
              </w:p>
            </w:tc>
            <w:tc>
              <w:tcPr>
                <w:tcW w:w="812" w:type="pct"/>
                <w:shd w:val="clear" w:color="auto" w:fill="auto"/>
                <w:vAlign w:val="center"/>
              </w:tcPr>
              <w:p w:rsidR="004A3868" w:rsidRDefault="003F1AB5">
                <w:pPr>
                  <w:pStyle w:val="afff7"/>
                </w:pPr>
                <w:r>
                  <w:rPr>
                    <w:rFonts w:hint="eastAsia"/>
                  </w:rPr>
                  <w:t>74,850.00</w:t>
                </w:r>
              </w:p>
            </w:tc>
            <w:tc>
              <w:tcPr>
                <w:tcW w:w="503" w:type="pct"/>
                <w:vAlign w:val="center"/>
              </w:tcPr>
              <w:p w:rsidR="004A3868" w:rsidRDefault="004A3868">
                <w:pPr>
                  <w:pStyle w:val="afff7"/>
                </w:pPr>
              </w:p>
            </w:tc>
            <w:tc>
              <w:tcPr>
                <w:tcW w:w="454" w:type="pct"/>
                <w:vAlign w:val="center"/>
              </w:tcPr>
              <w:p w:rsidR="004A3868" w:rsidRDefault="004A3868">
                <w:pPr>
                  <w:pStyle w:val="afff7"/>
                </w:pPr>
              </w:p>
            </w:tc>
            <w:tc>
              <w:tcPr>
                <w:tcW w:w="837" w:type="pct"/>
                <w:shd w:val="clear" w:color="auto" w:fill="auto"/>
                <w:vAlign w:val="center"/>
              </w:tcPr>
              <w:p w:rsidR="004A3868" w:rsidRDefault="004A3868">
                <w:pPr>
                  <w:pStyle w:val="afff7"/>
                </w:pPr>
              </w:p>
            </w:tc>
          </w:tr>
          <w:tr w:rsidR="004A3868">
            <w:trPr>
              <w:trHeight w:val="397"/>
              <w:jc w:val="center"/>
            </w:trPr>
            <w:tc>
              <w:tcPr>
                <w:tcW w:w="672" w:type="pct"/>
                <w:shd w:val="clear" w:color="auto" w:fill="auto"/>
                <w:vAlign w:val="center"/>
              </w:tcPr>
              <w:p w:rsidR="004A3868" w:rsidRDefault="003F1AB5">
                <w:pPr>
                  <w:pStyle w:val="afff9"/>
                </w:pPr>
                <w:r>
                  <w:rPr>
                    <w:rFonts w:hint="eastAsia"/>
                  </w:rPr>
                  <w:t>按组合计提预期信用损失的应收票据</w:t>
                </w:r>
              </w:p>
            </w:tc>
            <w:tc>
              <w:tcPr>
                <w:tcW w:w="774" w:type="pct"/>
                <w:shd w:val="clear" w:color="auto" w:fill="auto"/>
                <w:vAlign w:val="center"/>
              </w:tcPr>
              <w:p w:rsidR="004A3868" w:rsidRDefault="003F1AB5">
                <w:pPr>
                  <w:pStyle w:val="afff7"/>
                </w:pPr>
                <w:r>
                  <w:rPr>
                    <w:rFonts w:hint="eastAsia"/>
                  </w:rPr>
                  <w:t>9,667,052.18</w:t>
                </w:r>
              </w:p>
            </w:tc>
            <w:tc>
              <w:tcPr>
                <w:tcW w:w="948" w:type="pct"/>
                <w:shd w:val="clear" w:color="auto" w:fill="auto"/>
                <w:vAlign w:val="center"/>
              </w:tcPr>
              <w:p w:rsidR="004A3868" w:rsidRDefault="003F1AB5">
                <w:pPr>
                  <w:pStyle w:val="afff7"/>
                </w:pPr>
                <w:r>
                  <w:t>-2,609,428.69</w:t>
                </w:r>
              </w:p>
            </w:tc>
            <w:tc>
              <w:tcPr>
                <w:tcW w:w="812" w:type="pct"/>
                <w:shd w:val="clear" w:color="auto" w:fill="auto"/>
                <w:vAlign w:val="center"/>
              </w:tcPr>
              <w:p w:rsidR="004A3868" w:rsidRDefault="004A3868">
                <w:pPr>
                  <w:pStyle w:val="afff7"/>
                </w:pPr>
              </w:p>
            </w:tc>
            <w:tc>
              <w:tcPr>
                <w:tcW w:w="503" w:type="pct"/>
                <w:vAlign w:val="center"/>
              </w:tcPr>
              <w:p w:rsidR="004A3868" w:rsidRDefault="004A3868">
                <w:pPr>
                  <w:pStyle w:val="afff7"/>
                </w:pPr>
              </w:p>
            </w:tc>
            <w:tc>
              <w:tcPr>
                <w:tcW w:w="454" w:type="pct"/>
                <w:vAlign w:val="center"/>
              </w:tcPr>
              <w:p w:rsidR="004A3868" w:rsidRDefault="004A3868">
                <w:pPr>
                  <w:pStyle w:val="afff7"/>
                </w:pPr>
              </w:p>
            </w:tc>
            <w:tc>
              <w:tcPr>
                <w:tcW w:w="837" w:type="pct"/>
                <w:shd w:val="clear" w:color="auto" w:fill="auto"/>
                <w:vAlign w:val="center"/>
              </w:tcPr>
              <w:p w:rsidR="004A3868" w:rsidRDefault="003F1AB5">
                <w:pPr>
                  <w:pStyle w:val="afff7"/>
                </w:pPr>
                <w:r>
                  <w:t>7,057,623.47</w:t>
                </w:r>
              </w:p>
            </w:tc>
          </w:tr>
          <w:tr w:rsidR="004A3868">
            <w:trPr>
              <w:trHeight w:val="397"/>
              <w:jc w:val="center"/>
            </w:trPr>
            <w:tc>
              <w:tcPr>
                <w:tcW w:w="672" w:type="pct"/>
                <w:shd w:val="clear" w:color="auto" w:fill="auto"/>
                <w:vAlign w:val="center"/>
              </w:tcPr>
              <w:p w:rsidR="004A3868" w:rsidRDefault="003F1AB5">
                <w:pPr>
                  <w:pStyle w:val="afff9"/>
                </w:pPr>
                <w:r>
                  <w:rPr>
                    <w:rFonts w:hint="eastAsia"/>
                  </w:rPr>
                  <w:t>合计</w:t>
                </w:r>
              </w:p>
            </w:tc>
            <w:tc>
              <w:tcPr>
                <w:tcW w:w="774" w:type="pct"/>
                <w:shd w:val="clear" w:color="auto" w:fill="auto"/>
                <w:vAlign w:val="center"/>
              </w:tcPr>
              <w:p w:rsidR="004A3868" w:rsidRDefault="003F1AB5">
                <w:pPr>
                  <w:pStyle w:val="afff7"/>
                </w:pPr>
                <w:r>
                  <w:t>9,741,902.18</w:t>
                </w:r>
              </w:p>
            </w:tc>
            <w:tc>
              <w:tcPr>
                <w:tcW w:w="948" w:type="pct"/>
                <w:shd w:val="clear" w:color="auto" w:fill="auto"/>
                <w:vAlign w:val="center"/>
              </w:tcPr>
              <w:p w:rsidR="004A3868" w:rsidRDefault="003F1AB5">
                <w:pPr>
                  <w:pStyle w:val="afff7"/>
                </w:pPr>
                <w:r>
                  <w:t>-2,609,428.69</w:t>
                </w:r>
              </w:p>
            </w:tc>
            <w:tc>
              <w:tcPr>
                <w:tcW w:w="812" w:type="pct"/>
                <w:shd w:val="clear" w:color="auto" w:fill="auto"/>
                <w:vAlign w:val="center"/>
              </w:tcPr>
              <w:p w:rsidR="004A3868" w:rsidRDefault="003F1AB5">
                <w:pPr>
                  <w:pStyle w:val="afff7"/>
                </w:pPr>
                <w:r>
                  <w:t>74,850.00</w:t>
                </w:r>
              </w:p>
            </w:tc>
            <w:tc>
              <w:tcPr>
                <w:tcW w:w="503" w:type="pct"/>
                <w:vAlign w:val="center"/>
              </w:tcPr>
              <w:p w:rsidR="004A3868" w:rsidRDefault="003F1AB5">
                <w:pPr>
                  <w:pStyle w:val="afff7"/>
                </w:pPr>
                <w:r>
                  <w:t>0.00</w:t>
                </w:r>
              </w:p>
            </w:tc>
            <w:tc>
              <w:tcPr>
                <w:tcW w:w="454" w:type="pct"/>
                <w:vAlign w:val="center"/>
              </w:tcPr>
              <w:p w:rsidR="004A3868" w:rsidRDefault="003F1AB5">
                <w:pPr>
                  <w:pStyle w:val="afff7"/>
                </w:pPr>
                <w:r>
                  <w:t>0.00</w:t>
                </w:r>
              </w:p>
            </w:tc>
            <w:tc>
              <w:tcPr>
                <w:tcW w:w="837" w:type="pct"/>
                <w:shd w:val="clear" w:color="auto" w:fill="auto"/>
                <w:vAlign w:val="center"/>
              </w:tcPr>
              <w:p w:rsidR="004A3868" w:rsidRDefault="003F1AB5">
                <w:pPr>
                  <w:pStyle w:val="afff7"/>
                </w:pPr>
                <w:r>
                  <w:t>7,057,623.47</w:t>
                </w:r>
              </w:p>
            </w:tc>
          </w:tr>
        </w:tbl>
        <w:p w:rsidR="004A3868" w:rsidRDefault="00B34370">
          <w:pPr>
            <w:rPr>
              <w:sz w:val="21"/>
              <w:szCs w:val="21"/>
            </w:rPr>
          </w:pPr>
        </w:p>
      </w:sdtContent>
    </w:sdt>
    <w:sdt>
      <w:sdtPr>
        <w:rPr>
          <w:rFonts w:hint="eastAsia"/>
          <w:sz w:val="24"/>
          <w:szCs w:val="24"/>
        </w:rPr>
        <w:alias w:val="模块:应收票据本期坏账准备收回或转回金额重要的"/>
        <w:tag w:val="_SEC_642bf29a6c5b49448cfc79e2be6d3561"/>
        <w:id w:val="814689529"/>
      </w:sdtPr>
      <w:sdtEndPr>
        <w:rPr>
          <w:rFonts w:hint="default"/>
        </w:rPr>
      </w:sdtEndPr>
      <w:sdtContent>
        <w:p w:rsidR="004A3868" w:rsidRDefault="003F1AB5">
          <w:pPr>
            <w:pStyle w:val="Style124"/>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981351135"/>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rPr>
              <w:sz w:val="21"/>
              <w:szCs w:val="21"/>
            </w:rPr>
            <w:alias w:val="应收票据坏账准备的其他说明"/>
            <w:tag w:val="_GBC_861db5fd771c449390c4ea436bc9ad1e"/>
            <w:id w:val="-870066781"/>
          </w:sdtPr>
          <w:sdtEndPr/>
          <w:sdtContent>
            <w:p w:rsidR="004A3868" w:rsidRDefault="003F1AB5">
              <w:pPr>
                <w:rPr>
                  <w:sz w:val="21"/>
                  <w:szCs w:val="21"/>
                </w:rPr>
              </w:pPr>
              <w:r>
                <w:rPr>
                  <w:rFonts w:hint="eastAsia"/>
                  <w:sz w:val="21"/>
                  <w:szCs w:val="21"/>
                </w:rPr>
                <w:t>无</w:t>
              </w:r>
            </w:p>
          </w:sdtContent>
        </w:sdt>
      </w:sdtContent>
    </w:sdt>
    <w:p w:rsidR="004A3868" w:rsidRDefault="003F1AB5">
      <w:pPr>
        <w:pStyle w:val="Style128"/>
      </w:pPr>
      <w:r>
        <w:rPr>
          <w:rFonts w:hint="eastAsia"/>
        </w:rPr>
        <w:t>本期实际核销的应收票据情况</w:t>
      </w:r>
    </w:p>
    <w:sdt>
      <w:sdtPr>
        <w:alias w:val="模块:实际核销的应收票据情况"/>
        <w:tag w:val="_SEC_702080f170e54ee8a3e764f27d111699"/>
        <w:id w:val="1779068022"/>
      </w:sdtPr>
      <w:sdtEndPr/>
      <w:sdtContent>
        <w:sdt>
          <w:sdtPr>
            <w:alias w:val="是否适用：实际核销的应收票据[双击切换]"/>
            <w:tag w:val="_GBC_a0d8af67abfc4a1698fd198064d3b108"/>
            <w:id w:val="-1633084897"/>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 w:val="21"/>
          <w:szCs w:val="21"/>
        </w:rPr>
        <w:alias w:val="模块:其中重要的应收票据核销情况"/>
        <w:tag w:val="_SEC_c940a1b5325645e482955cca8623892c"/>
        <w:id w:val="-365453279"/>
      </w:sdtPr>
      <w:sdtEndPr>
        <w:rPr>
          <w:rFonts w:hint="default"/>
        </w:rPr>
      </w:sdtEndPr>
      <w:sdtContent>
        <w:p w:rsidR="004A3868" w:rsidRDefault="003F1AB5">
          <w:pPr>
            <w:rPr>
              <w:sz w:val="21"/>
              <w:szCs w:val="21"/>
            </w:rPr>
          </w:pPr>
          <w:r>
            <w:rPr>
              <w:rFonts w:hint="eastAsia"/>
              <w:sz w:val="21"/>
              <w:szCs w:val="21"/>
            </w:rPr>
            <w:t>其中重要的应收票据核销情况：</w:t>
          </w:r>
        </w:p>
        <w:sdt>
          <w:sdtPr>
            <w:rPr>
              <w:sz w:val="21"/>
              <w:szCs w:val="21"/>
            </w:rPr>
            <w:alias w:val="是否适用：重要的应收票据核销[双击切换]"/>
            <w:tag w:val="_GBC_8a4eb0fe2cd044db955869f172508ff4"/>
            <w:id w:val="1242914794"/>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Content>
    </w:sdt>
    <w:sdt>
      <w:sdtPr>
        <w:rPr>
          <w:rFonts w:hint="eastAsia"/>
          <w:sz w:val="21"/>
          <w:szCs w:val="21"/>
        </w:rPr>
        <w:alias w:val="模块:应收票据核销说明"/>
        <w:tag w:val="_SEC_4a33cc6960a64fcbbafd40858c824320"/>
        <w:id w:val="-1692911623"/>
        <w:lock w:val="sdtLocked"/>
      </w:sdtPr>
      <w:sdtEndPr>
        <w:rPr>
          <w:rFonts w:hint="default"/>
          <w:b/>
        </w:rPr>
      </w:sdtEndPr>
      <w:sdtContent>
        <w:p w:rsidR="004A3868" w:rsidRDefault="003F1AB5">
          <w:pPr>
            <w:rPr>
              <w:sz w:val="21"/>
              <w:szCs w:val="21"/>
            </w:rPr>
          </w:pPr>
          <w:r>
            <w:rPr>
              <w:rFonts w:hint="eastAsia"/>
              <w:sz w:val="21"/>
              <w:szCs w:val="21"/>
            </w:rPr>
            <w:t>应收票据核销说明：</w:t>
          </w:r>
        </w:p>
        <w:sdt>
          <w:sdtPr>
            <w:rPr>
              <w:rFonts w:asciiTheme="minorHAnsi" w:hAnsiTheme="minorHAnsi"/>
              <w:sz w:val="21"/>
              <w:szCs w:val="21"/>
            </w:rPr>
            <w:alias w:val="是否适用：应收票据核销说明[双击切换]"/>
            <w:tag w:val="_GBC_8e9a6863f024409f96d0d85cebbd362b"/>
            <w:id w:val="1935702398"/>
            <w:lock w:val="sdtLocked"/>
          </w:sdtPr>
          <w:sdtEndPr/>
          <w:sdtContent>
            <w:p w:rsidR="004A3868" w:rsidRDefault="003F1AB5">
              <w:pPr>
                <w:rPr>
                  <w:rFonts w:asciiTheme="minorHAnsi" w:hAnsiTheme="minorHAnsi"/>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应收票据核销说明"/>
            <w:tag w:val="_GBC_542fbc9216a44963b402ab304e9e7ba0"/>
            <w:id w:val="1067841797"/>
            <w:lock w:val="sdtLocked"/>
          </w:sdtPr>
          <w:sdtEndPr/>
          <w:sdtContent>
            <w:p w:rsidR="004A3868" w:rsidRDefault="003F1AB5">
              <w:pPr>
                <w:rPr>
                  <w:sz w:val="21"/>
                  <w:szCs w:val="21"/>
                </w:rPr>
              </w:pPr>
              <w:r>
                <w:rPr>
                  <w:rFonts w:hint="eastAsia"/>
                  <w:sz w:val="21"/>
                  <w:szCs w:val="21"/>
                </w:rPr>
                <w:t>无</w:t>
              </w:r>
            </w:p>
          </w:sdtContent>
        </w:sdt>
      </w:sdtContent>
    </w:sdt>
    <w:sdt>
      <w:sdtPr>
        <w:rPr>
          <w:rFonts w:asciiTheme="minorHAnsi" w:hAnsiTheme="minorHAnsi" w:cstheme="minorBidi" w:hint="eastAsia"/>
          <w:b/>
          <w:bCs/>
          <w:sz w:val="24"/>
          <w:szCs w:val="24"/>
        </w:rPr>
        <w:alias w:val="模块:应收票据其他说明"/>
        <w:tag w:val="_SEC_9045c8983bbe475395a63669d8f42a68"/>
        <w:id w:val="-1957939709"/>
        <w:lock w:val="sdtLocked"/>
      </w:sdtPr>
      <w:sdtEndPr>
        <w:rPr>
          <w:rFonts w:ascii="Times New Roman" w:hAnsi="Times New Roman" w:cs="Times New Roman" w:hint="default"/>
          <w:b w:val="0"/>
          <w:bCs w:val="0"/>
        </w:rPr>
      </w:sdtEndPr>
      <w:sdtContent>
        <w:p w:rsidR="004A3868" w:rsidRDefault="003F1AB5">
          <w:pPr>
            <w:pStyle w:val="Style124"/>
          </w:pPr>
          <w:r>
            <w:rPr>
              <w:rFonts w:hint="eastAsia"/>
            </w:rPr>
            <w:t>其他说明</w:t>
          </w:r>
        </w:p>
        <w:sdt>
          <w:sdtPr>
            <w:alias w:val="是否适用：应收票据的说明[双击切换]"/>
            <w:tag w:val="_GBC_dc21e09520924a5db7020ba029631550"/>
            <w:id w:val="-1896426740"/>
            <w:lock w:val="sdtLocked"/>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sz w:val="21"/>
              <w:szCs w:val="21"/>
            </w:rPr>
            <w:alias w:val="应收票据的说明"/>
            <w:tag w:val="_GBC_9abe8a1fd85940d8829ea46a28b4dc94"/>
            <w:id w:val="-348178746"/>
            <w:lock w:val="sdtLocked"/>
          </w:sdtPr>
          <w:sdtEndPr/>
          <w:sdtContent>
            <w:p w:rsidR="004A3868" w:rsidRDefault="003F1AB5">
              <w:pPr>
                <w:rPr>
                  <w:sz w:val="21"/>
                  <w:szCs w:val="21"/>
                </w:rPr>
              </w:pPr>
              <w:r>
                <w:rPr>
                  <w:rFonts w:hint="eastAsia"/>
                  <w:sz w:val="21"/>
                  <w:szCs w:val="21"/>
                </w:rPr>
                <w:t>无</w:t>
              </w:r>
            </w:p>
          </w:sdtContent>
        </w:sdt>
      </w:sdtContent>
    </w:sdt>
    <w:p w:rsidR="004A3868" w:rsidRDefault="003F1AB5">
      <w:pPr>
        <w:pStyle w:val="Style12711"/>
      </w:pPr>
      <w:r>
        <w:rPr>
          <w:rFonts w:hint="eastAsia"/>
        </w:rPr>
        <w:lastRenderedPageBreak/>
        <w:t>应收账款</w:t>
      </w:r>
    </w:p>
    <w:p w:rsidR="004A3868" w:rsidRDefault="003F1AB5">
      <w:pPr>
        <w:pStyle w:val="Style128"/>
        <w:numPr>
          <w:ilvl w:val="3"/>
          <w:numId w:val="66"/>
        </w:numPr>
      </w:pPr>
      <w:r>
        <w:rPr>
          <w:rFonts w:hint="eastAsia"/>
        </w:rPr>
        <w:t>按账龄披露</w:t>
      </w:r>
    </w:p>
    <w:sdt>
      <w:sdtPr>
        <w:rPr>
          <w:rFonts w:hint="eastAsia"/>
          <w:sz w:val="21"/>
          <w:szCs w:val="21"/>
        </w:rPr>
        <w:alias w:val="是否适用：组合中，按账龄分析法计提坏账准备的应收账款[双击切换]"/>
        <w:tag w:val="_GBC_f6086903419d448ab27bc2735b69674a"/>
        <w:id w:val="1926068258"/>
        <w:placeholder>
          <w:docPart w:val="GBC22222222222222222222222222222"/>
        </w:placeholder>
      </w:sdtPr>
      <w:sdtEndPr/>
      <w:sdtContent>
        <w:p w:rsidR="004A3868" w:rsidRDefault="003F1AB5">
          <w:pPr>
            <w:rPr>
              <w:sz w:val="21"/>
              <w:szCs w:val="21"/>
            </w:rPr>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单项金额不重大但按信用风险特征组合后该组合的风险较大的应收账款"/>
          <w:tag w:val="_GBC_eeeef14b591e4a8d839681ee71744810"/>
          <w:id w:val="4042647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单项金额不重大但按信用风险特征组合后该组合的风险较大的应收账款"/>
          <w:tag w:val="_GBC_380b2c118777445781c47a562212f944"/>
          <w:id w:val="-17531905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73"/>
        <w:gridCol w:w="2975"/>
        <w:gridCol w:w="2975"/>
      </w:tblGrid>
      <w:tr w:rsidR="004A3868">
        <w:trPr>
          <w:cantSplit/>
          <w:trHeight w:val="397"/>
          <w:jc w:val="center"/>
        </w:trPr>
        <w:sdt>
          <w:sdtPr>
            <w:tag w:val="_PLD_987827fb8f754c15801979884cb78127"/>
            <w:id w:val="1779825336"/>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账龄</w:t>
                </w:r>
              </w:p>
            </w:tc>
          </w:sdtContent>
        </w:sdt>
        <w:sdt>
          <w:sdtPr>
            <w:tag w:val="_PLD_53a2def126e844eabd4ea223442a8a87"/>
            <w:id w:val="-529790969"/>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期末账面余额</w:t>
                </w:r>
              </w:p>
            </w:tc>
          </w:sdtContent>
        </w:sdt>
        <w:sdt>
          <w:sdtPr>
            <w:rPr>
              <w:rFonts w:hint="eastAsia"/>
            </w:rPr>
            <w:tag w:val="_PLD_a827d93406c24ad3bf1a17438f1117c1"/>
            <w:id w:val="826869546"/>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期初账面余额</w:t>
                </w:r>
              </w:p>
            </w:tc>
          </w:sdtContent>
        </w:sdt>
      </w:tr>
      <w:tr w:rsidR="004A3868">
        <w:trPr>
          <w:cantSplit/>
          <w:trHeight w:val="397"/>
          <w:jc w:val="center"/>
        </w:trPr>
        <w:sdt>
          <w:sdtPr>
            <w:tag w:val="_PLD_311560db02fd4399b97a79d7c7fe4ca3"/>
            <w:id w:val="628519041"/>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4A3868" w:rsidRDefault="003F1AB5">
                <w:pPr>
                  <w:pStyle w:val="afff9"/>
                  <w:rPr>
                    <w:color w:val="FF0000"/>
                  </w:rPr>
                </w:pPr>
                <w:r>
                  <w:rPr>
                    <w:rFonts w:hint="eastAsia"/>
                  </w:rPr>
                  <w:t>1</w:t>
                </w:r>
                <w:r>
                  <w:rPr>
                    <w:rFonts w:hint="eastAsia"/>
                  </w:rPr>
                  <w:t>年以内</w:t>
                </w:r>
              </w:p>
            </w:tc>
          </w:sdtContent>
        </w:sdt>
      </w:tr>
      <w:tr w:rsidR="004A3868">
        <w:trPr>
          <w:cantSplit/>
          <w:trHeight w:val="397"/>
          <w:jc w:val="center"/>
        </w:trPr>
        <w:sdt>
          <w:sdtPr>
            <w:tag w:val="_PLD_785750c92d5d486990596d8d5b2f4a1f"/>
            <w:id w:val="1495135295"/>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其中：</w:t>
                </w:r>
                <w:r>
                  <w:rPr>
                    <w:rFonts w:hint="eastAsia"/>
                  </w:rPr>
                  <w:t>1</w:t>
                </w:r>
                <w:r>
                  <w:rPr>
                    <w:rFonts w:hint="eastAsia"/>
                  </w:rPr>
                  <w:t>年以内分项</w:t>
                </w:r>
              </w:p>
            </w:tc>
          </w:sdtContent>
        </w:sdt>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1</w:t>
            </w:r>
            <w:r>
              <w:rPr>
                <w:rFonts w:hint="eastAsia"/>
              </w:rPr>
              <w:t>年以内</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816,518,624.11</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584,227,421.40</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4A3868">
            <w:pPr>
              <w:pStyle w:val="afff9"/>
            </w:pP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1</w:t>
            </w:r>
            <w:r>
              <w:rPr>
                <w:rFonts w:hint="eastAsia"/>
              </w:rPr>
              <w:t>年以内小计</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816,518,624.11</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584,227,421.40</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1</w:t>
            </w:r>
            <w:r>
              <w:rPr>
                <w:rFonts w:hint="eastAsia"/>
              </w:rPr>
              <w:t>至</w:t>
            </w:r>
            <w:r>
              <w:rPr>
                <w:rFonts w:hint="eastAsia"/>
              </w:rPr>
              <w:t>2</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140,096,874.61</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128,816,623.16</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2</w:t>
            </w:r>
            <w:r>
              <w:rPr>
                <w:rFonts w:hint="eastAsia"/>
              </w:rPr>
              <w:t>至</w:t>
            </w:r>
            <w:r>
              <w:rPr>
                <w:rFonts w:hint="eastAsia"/>
              </w:rPr>
              <w:t>3</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51,474,167.07</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60,628,931.08</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3</w:t>
            </w:r>
            <w:r>
              <w:rPr>
                <w:rFonts w:hint="eastAsia"/>
              </w:rPr>
              <w:t>年以上</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3</w:t>
            </w:r>
            <w:r>
              <w:rPr>
                <w:rFonts w:hint="eastAsia"/>
              </w:rPr>
              <w:t>至</w:t>
            </w:r>
            <w:r>
              <w:rPr>
                <w:rFonts w:hint="eastAsia"/>
              </w:rPr>
              <w:t>4</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38,017,112.46</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30,419,770.96</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4</w:t>
            </w:r>
            <w:r>
              <w:rPr>
                <w:rFonts w:hint="eastAsia"/>
              </w:rPr>
              <w:t>至</w:t>
            </w:r>
            <w:r>
              <w:rPr>
                <w:rFonts w:hint="eastAsia"/>
              </w:rPr>
              <w:t>5</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13,094,331.20</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12,653,942.36</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5</w:t>
            </w:r>
            <w:r>
              <w:rPr>
                <w:rFonts w:hint="eastAsia"/>
              </w:rPr>
              <w:t>年以上</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19,798,257.16</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11,512,781.83</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合计</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1,078,999,366.61</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828,259,470.79</w:t>
            </w:r>
          </w:p>
        </w:tc>
      </w:tr>
    </w:tbl>
    <w:p w:rsidR="004A3868" w:rsidRDefault="004A3868">
      <w:pPr>
        <w:pStyle w:val="Style124"/>
      </w:pPr>
    </w:p>
    <w:p w:rsidR="004A3868" w:rsidRDefault="003F1AB5">
      <w:pPr>
        <w:pStyle w:val="Style128"/>
        <w:numPr>
          <w:ilvl w:val="3"/>
          <w:numId w:val="66"/>
        </w:numPr>
      </w:pPr>
      <w:r>
        <w:rPr>
          <w:rFonts w:hint="eastAsia"/>
        </w:rPr>
        <w:t>按坏账计提方法分类披露</w:t>
      </w:r>
    </w:p>
    <w:bookmarkStart w:id="141" w:name="_Hlk533601584" w:displacedByCustomXml="next"/>
    <w:sdt>
      <w:sdtPr>
        <w:alias w:val="是否适用：应收账款分类披露[双击切换]"/>
        <w:tag w:val="_GBC_5532cbb0484a40fcb185be4bb8709d46"/>
        <w:id w:val="-1912917049"/>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应收账款按种类披露"/>
          <w:tag w:val="_GBC_9672a88fa94c441f9769b560659b37f6"/>
          <w:id w:val="-14839180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收账款按种类披露"/>
          <w:tag w:val="_GBC_45ed90b2e73740bfa8c1f5d7d12ff35e"/>
          <w:id w:val="2265851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46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931"/>
        <w:gridCol w:w="1333"/>
        <w:gridCol w:w="439"/>
        <w:gridCol w:w="1133"/>
        <w:gridCol w:w="428"/>
        <w:gridCol w:w="1120"/>
        <w:gridCol w:w="1141"/>
        <w:gridCol w:w="426"/>
        <w:gridCol w:w="1127"/>
        <w:gridCol w:w="434"/>
        <w:gridCol w:w="1123"/>
      </w:tblGrid>
      <w:tr w:rsidR="004A3868">
        <w:trPr>
          <w:cantSplit/>
          <w:trHeight w:val="397"/>
          <w:jc w:val="center"/>
        </w:trPr>
        <w:bookmarkEnd w:id="141" w:displacedByCustomXml="next"/>
        <w:bookmarkStart w:id="142" w:name="_Hlk533606785" w:displacedByCustomXml="next"/>
        <w:sdt>
          <w:sdtPr>
            <w:tag w:val="_PLD_f8d5a19b9b724da98e30475a6df20be9"/>
            <w:id w:val="-2029090373"/>
            <w:lock w:val="sdtLocked"/>
          </w:sdtPr>
          <w:sdtEndPr/>
          <w:sdtContent>
            <w:tc>
              <w:tcPr>
                <w:tcW w:w="483" w:type="pct"/>
                <w:vMerge w:val="restart"/>
                <w:tcBorders>
                  <w:top w:val="single" w:sz="4" w:space="0" w:color="auto"/>
                  <w:left w:val="single" w:sz="4" w:space="0" w:color="auto"/>
                  <w:right w:val="single" w:sz="4" w:space="0" w:color="auto"/>
                </w:tcBorders>
                <w:vAlign w:val="center"/>
              </w:tcPr>
              <w:p w:rsidR="004A3868" w:rsidRDefault="003F1AB5">
                <w:pPr>
                  <w:pStyle w:val="afffb"/>
                </w:pPr>
                <w:r>
                  <w:rPr>
                    <w:rFonts w:hint="eastAsia"/>
                  </w:rPr>
                  <w:t>类别</w:t>
                </w:r>
              </w:p>
            </w:tc>
          </w:sdtContent>
        </w:sdt>
        <w:sdt>
          <w:sdtPr>
            <w:tag w:val="_PLD_8e6cd64a5cc84d259bab748be3f49169"/>
            <w:id w:val="431551008"/>
            <w:lock w:val="sdtLocked"/>
          </w:sdtPr>
          <w:sdtEndPr/>
          <w:sdtContent>
            <w:tc>
              <w:tcPr>
                <w:tcW w:w="2310" w:type="pct"/>
                <w:gridSpan w:val="5"/>
                <w:tcBorders>
                  <w:top w:val="single" w:sz="4" w:space="0" w:color="auto"/>
                  <w:left w:val="single" w:sz="4" w:space="0" w:color="auto"/>
                  <w:right w:val="single" w:sz="4" w:space="0" w:color="auto"/>
                </w:tcBorders>
                <w:vAlign w:val="center"/>
              </w:tcPr>
              <w:p w:rsidR="004A3868" w:rsidRDefault="003F1AB5">
                <w:pPr>
                  <w:pStyle w:val="afffb"/>
                </w:pPr>
                <w:r>
                  <w:rPr>
                    <w:rFonts w:hint="eastAsia"/>
                  </w:rPr>
                  <w:t>期末余额</w:t>
                </w:r>
              </w:p>
            </w:tc>
          </w:sdtContent>
        </w:sdt>
        <w:sdt>
          <w:sdtPr>
            <w:tag w:val="_PLD_f3718624b866493ab3b8d8edadf10560"/>
            <w:id w:val="627363619"/>
            <w:lock w:val="sdtLocked"/>
          </w:sdtPr>
          <w:sdtEndPr/>
          <w:sdtContent>
            <w:tc>
              <w:tcPr>
                <w:tcW w:w="2207" w:type="pct"/>
                <w:gridSpan w:val="5"/>
                <w:tcBorders>
                  <w:top w:val="single" w:sz="4" w:space="0" w:color="auto"/>
                  <w:left w:val="single" w:sz="4" w:space="0" w:color="auto"/>
                  <w:right w:val="single" w:sz="4" w:space="0" w:color="auto"/>
                </w:tcBorders>
                <w:vAlign w:val="center"/>
              </w:tcPr>
              <w:p w:rsidR="004A3868" w:rsidRDefault="003F1AB5">
                <w:pPr>
                  <w:pStyle w:val="afffb"/>
                </w:pPr>
                <w:r>
                  <w:rPr>
                    <w:rFonts w:hint="eastAsia"/>
                  </w:rPr>
                  <w:t>期初余额</w:t>
                </w:r>
              </w:p>
            </w:tc>
          </w:sdtContent>
        </w:sdt>
      </w:tr>
      <w:tr w:rsidR="004A3868">
        <w:trPr>
          <w:cantSplit/>
          <w:trHeight w:val="397"/>
          <w:jc w:val="center"/>
        </w:trPr>
        <w:tc>
          <w:tcPr>
            <w:tcW w:w="483" w:type="pct"/>
            <w:vMerge/>
            <w:tcBorders>
              <w:left w:val="single" w:sz="4" w:space="0" w:color="auto"/>
              <w:right w:val="single" w:sz="4" w:space="0" w:color="auto"/>
            </w:tcBorders>
            <w:vAlign w:val="center"/>
          </w:tcPr>
          <w:p w:rsidR="004A3868" w:rsidRDefault="004A3868">
            <w:pPr>
              <w:pStyle w:val="afffb"/>
            </w:pPr>
          </w:p>
        </w:tc>
        <w:sdt>
          <w:sdtPr>
            <w:tag w:val="_PLD_696c52ce758e49deb616a7fb8df8ee20"/>
            <w:id w:val="-599410039"/>
            <w:lock w:val="sdtLocked"/>
          </w:sdtPr>
          <w:sdtEndPr/>
          <w:sdtContent>
            <w:tc>
              <w:tcPr>
                <w:tcW w:w="920"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账面余额</w:t>
                </w:r>
              </w:p>
            </w:tc>
          </w:sdtContent>
        </w:sdt>
        <w:sdt>
          <w:sdtPr>
            <w:tag w:val="_PLD_1ca261fa1763424688ba2be8550f43e1"/>
            <w:id w:val="1899637411"/>
            <w:lock w:val="sdtLocked"/>
          </w:sdtPr>
          <w:sdtEndPr/>
          <w:sdtContent>
            <w:tc>
              <w:tcPr>
                <w:tcW w:w="809"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坏账准备</w:t>
                </w:r>
              </w:p>
            </w:tc>
          </w:sdtContent>
        </w:sdt>
        <w:sdt>
          <w:sdtPr>
            <w:tag w:val="_PLD_caaf7fb85a4a432890635f2eb9c38cd5"/>
            <w:id w:val="196675833"/>
            <w:lock w:val="sdtLocked"/>
          </w:sdtPr>
          <w:sdtEndPr/>
          <w:sdtContent>
            <w:tc>
              <w:tcPr>
                <w:tcW w:w="581" w:type="pct"/>
                <w:vMerge w:val="restart"/>
                <w:tcBorders>
                  <w:top w:val="single" w:sz="4" w:space="0" w:color="auto"/>
                  <w:left w:val="single" w:sz="4" w:space="0" w:color="auto"/>
                  <w:right w:val="single" w:sz="4" w:space="0" w:color="auto"/>
                </w:tcBorders>
                <w:vAlign w:val="center"/>
              </w:tcPr>
              <w:p w:rsidR="004A3868" w:rsidRDefault="003F1AB5">
                <w:pPr>
                  <w:pStyle w:val="afffb"/>
                </w:pPr>
                <w:r>
                  <w:rPr>
                    <w:rFonts w:hint="eastAsia"/>
                  </w:rPr>
                  <w:t>账面</w:t>
                </w:r>
              </w:p>
              <w:p w:rsidR="004A3868" w:rsidRDefault="003F1AB5">
                <w:pPr>
                  <w:pStyle w:val="afffb"/>
                </w:pPr>
                <w:r>
                  <w:rPr>
                    <w:rFonts w:hint="eastAsia"/>
                  </w:rPr>
                  <w:t>价值</w:t>
                </w:r>
              </w:p>
            </w:tc>
          </w:sdtContent>
        </w:sdt>
        <w:sdt>
          <w:sdtPr>
            <w:tag w:val="_PLD_f01498a5d6634d7ab63dd393e266902a"/>
            <w:id w:val="1880736365"/>
            <w:lock w:val="sdtLocked"/>
          </w:sdtPr>
          <w:sdtEndPr/>
          <w:sdtContent>
            <w:tc>
              <w:tcPr>
                <w:tcW w:w="813" w:type="pct"/>
                <w:gridSpan w:val="2"/>
                <w:tcBorders>
                  <w:top w:val="single" w:sz="4" w:space="0" w:color="auto"/>
                  <w:left w:val="single" w:sz="4" w:space="0" w:color="auto"/>
                  <w:right w:val="single" w:sz="4" w:space="0" w:color="auto"/>
                </w:tcBorders>
                <w:vAlign w:val="center"/>
              </w:tcPr>
              <w:p w:rsidR="004A3868" w:rsidRDefault="003F1AB5">
                <w:pPr>
                  <w:pStyle w:val="afffb"/>
                </w:pPr>
                <w:r>
                  <w:rPr>
                    <w:rFonts w:hint="eastAsia"/>
                  </w:rPr>
                  <w:t>账面余额</w:t>
                </w:r>
              </w:p>
            </w:tc>
          </w:sdtContent>
        </w:sdt>
        <w:sdt>
          <w:sdtPr>
            <w:tag w:val="_PLD_e9336373677a4e1781b6e81f705c1bec"/>
            <w:id w:val="975952115"/>
            <w:lock w:val="sdtLocked"/>
          </w:sdtPr>
          <w:sdtEndPr/>
          <w:sdtContent>
            <w:tc>
              <w:tcPr>
                <w:tcW w:w="810" w:type="pct"/>
                <w:gridSpan w:val="2"/>
                <w:tcBorders>
                  <w:top w:val="single" w:sz="4" w:space="0" w:color="auto"/>
                  <w:left w:val="single" w:sz="4" w:space="0" w:color="auto"/>
                  <w:right w:val="single" w:sz="4" w:space="0" w:color="auto"/>
                </w:tcBorders>
                <w:vAlign w:val="center"/>
              </w:tcPr>
              <w:p w:rsidR="004A3868" w:rsidRDefault="003F1AB5">
                <w:pPr>
                  <w:pStyle w:val="afffb"/>
                </w:pPr>
                <w:r>
                  <w:rPr>
                    <w:rFonts w:hint="eastAsia"/>
                  </w:rPr>
                  <w:t>坏账准备</w:t>
                </w:r>
              </w:p>
            </w:tc>
          </w:sdtContent>
        </w:sdt>
        <w:sdt>
          <w:sdtPr>
            <w:tag w:val="_PLD_09bacc527e7b4910a0c82606fe4a5754"/>
            <w:id w:val="1214543264"/>
            <w:lock w:val="sdtLocked"/>
          </w:sdtPr>
          <w:sdtEndPr/>
          <w:sdtContent>
            <w:tc>
              <w:tcPr>
                <w:tcW w:w="584" w:type="pct"/>
                <w:vMerge w:val="restart"/>
                <w:tcBorders>
                  <w:top w:val="single" w:sz="4" w:space="0" w:color="auto"/>
                  <w:left w:val="single" w:sz="4" w:space="0" w:color="auto"/>
                  <w:right w:val="single" w:sz="4" w:space="0" w:color="auto"/>
                </w:tcBorders>
                <w:vAlign w:val="center"/>
              </w:tcPr>
              <w:p w:rsidR="004A3868" w:rsidRDefault="003F1AB5">
                <w:pPr>
                  <w:pStyle w:val="afffb"/>
                </w:pPr>
                <w:r>
                  <w:rPr>
                    <w:rFonts w:hint="eastAsia"/>
                  </w:rPr>
                  <w:t>账面</w:t>
                </w:r>
              </w:p>
              <w:p w:rsidR="004A3868" w:rsidRDefault="003F1AB5">
                <w:pPr>
                  <w:pStyle w:val="afffb"/>
                </w:pPr>
                <w:r>
                  <w:rPr>
                    <w:rFonts w:hint="eastAsia"/>
                  </w:rPr>
                  <w:t>价值</w:t>
                </w:r>
              </w:p>
            </w:tc>
          </w:sdtContent>
        </w:sdt>
      </w:tr>
      <w:tr w:rsidR="004A3868">
        <w:trPr>
          <w:cantSplit/>
          <w:trHeight w:val="397"/>
          <w:jc w:val="center"/>
        </w:trPr>
        <w:tc>
          <w:tcPr>
            <w:tcW w:w="483" w:type="pct"/>
            <w:vMerge/>
            <w:tcBorders>
              <w:left w:val="single" w:sz="4" w:space="0" w:color="auto"/>
              <w:bottom w:val="single" w:sz="4" w:space="0" w:color="auto"/>
              <w:right w:val="single" w:sz="4" w:space="0" w:color="auto"/>
            </w:tcBorders>
            <w:vAlign w:val="center"/>
          </w:tcPr>
          <w:p w:rsidR="004A3868" w:rsidRDefault="004A3868">
            <w:pPr>
              <w:pStyle w:val="afffb"/>
            </w:pPr>
          </w:p>
        </w:tc>
        <w:sdt>
          <w:sdtPr>
            <w:tag w:val="_PLD_9a908e63a38c4885ae2f80c1b860b93a"/>
            <w:id w:val="-488643125"/>
            <w:lock w:val="sdtLocked"/>
          </w:sdtPr>
          <w:sdtEndPr/>
          <w:sdtContent>
            <w:tc>
              <w:tcPr>
                <w:tcW w:w="692"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金额</w:t>
                </w:r>
              </w:p>
            </w:tc>
          </w:sdtContent>
        </w:sdt>
        <w:sdt>
          <w:sdtPr>
            <w:tag w:val="_PLD_df211ff0344e48aa8266bff852c13d4a"/>
            <w:id w:val="131223834"/>
            <w:lock w:val="sdtLocked"/>
          </w:sdtPr>
          <w:sdtEndPr/>
          <w:sdtContent>
            <w:tc>
              <w:tcPr>
                <w:tcW w:w="228"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比例</w:t>
                </w:r>
                <w:r>
                  <w:t>(%)</w:t>
                </w:r>
              </w:p>
            </w:tc>
          </w:sdtContent>
        </w:sdt>
        <w:sdt>
          <w:sdtPr>
            <w:tag w:val="_PLD_bc7278fbd5c542a3abfb9a55090a49e0"/>
            <w:id w:val="-1401058086"/>
            <w:lock w:val="sdtLocked"/>
          </w:sdtPr>
          <w:sdtEndPr/>
          <w:sdtContent>
            <w:tc>
              <w:tcPr>
                <w:tcW w:w="588"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金额</w:t>
                </w:r>
              </w:p>
            </w:tc>
          </w:sdtContent>
        </w:sdt>
        <w:sdt>
          <w:sdtPr>
            <w:tag w:val="_PLD_98f107e07b5b44938d61d6b0984d9e2b"/>
            <w:id w:val="-250345000"/>
            <w:lock w:val="sdtLocked"/>
          </w:sdtPr>
          <w:sdtEndPr/>
          <w:sdtContent>
            <w:tc>
              <w:tcPr>
                <w:tcW w:w="222"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计提比例</w:t>
                </w:r>
                <w:r>
                  <w:t>(%)</w:t>
                </w:r>
              </w:p>
            </w:tc>
          </w:sdtContent>
        </w:sdt>
        <w:tc>
          <w:tcPr>
            <w:tcW w:w="581" w:type="pct"/>
            <w:vMerge/>
            <w:tcBorders>
              <w:left w:val="single" w:sz="4" w:space="0" w:color="auto"/>
              <w:bottom w:val="single" w:sz="4" w:space="0" w:color="auto"/>
              <w:right w:val="single" w:sz="4" w:space="0" w:color="auto"/>
            </w:tcBorders>
            <w:vAlign w:val="center"/>
          </w:tcPr>
          <w:p w:rsidR="004A3868" w:rsidRDefault="004A3868">
            <w:pPr>
              <w:pStyle w:val="afffb"/>
            </w:pPr>
          </w:p>
        </w:tc>
        <w:sdt>
          <w:sdtPr>
            <w:tag w:val="_PLD_27c35a851bfc461b93652bdd1c4da46e"/>
            <w:id w:val="-338466510"/>
            <w:lock w:val="sdtLocked"/>
          </w:sdtPr>
          <w:sdtEndPr/>
          <w:sdtContent>
            <w:tc>
              <w:tcPr>
                <w:tcW w:w="592"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金额</w:t>
                </w:r>
              </w:p>
            </w:tc>
          </w:sdtContent>
        </w:sdt>
        <w:sdt>
          <w:sdtPr>
            <w:tag w:val="_PLD_8cdcb4d0cfc74ea299eeda00998b7eed"/>
            <w:id w:val="151498104"/>
            <w:lock w:val="sdtLocked"/>
          </w:sdtPr>
          <w:sdtEndPr/>
          <w:sdtContent>
            <w:tc>
              <w:tcPr>
                <w:tcW w:w="221"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比例</w:t>
                </w:r>
                <w:r>
                  <w:t>(%)</w:t>
                </w:r>
              </w:p>
            </w:tc>
          </w:sdtContent>
        </w:sdt>
        <w:sdt>
          <w:sdtPr>
            <w:tag w:val="_PLD_205ec069d7004eaba20d3af25a7dfeda"/>
            <w:id w:val="680936653"/>
            <w:lock w:val="sdtLocked"/>
          </w:sdtPr>
          <w:sdtEndPr/>
          <w:sdtContent>
            <w:tc>
              <w:tcPr>
                <w:tcW w:w="585"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金额</w:t>
                </w:r>
              </w:p>
            </w:tc>
          </w:sdtContent>
        </w:sdt>
        <w:sdt>
          <w:sdtPr>
            <w:tag w:val="_PLD_cee6517bce154e26a5f2a917cc143a54"/>
            <w:id w:val="-1013829251"/>
            <w:lock w:val="sdtLocked"/>
          </w:sdtPr>
          <w:sdtEndPr/>
          <w:sdtContent>
            <w:tc>
              <w:tcPr>
                <w:tcW w:w="225"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计提比例</w:t>
                </w:r>
                <w:r>
                  <w:t>(%)</w:t>
                </w:r>
              </w:p>
            </w:tc>
          </w:sdtContent>
        </w:sdt>
        <w:tc>
          <w:tcPr>
            <w:tcW w:w="584" w:type="pct"/>
            <w:vMerge/>
            <w:tcBorders>
              <w:left w:val="single" w:sz="4" w:space="0" w:color="auto"/>
              <w:bottom w:val="single" w:sz="4" w:space="0" w:color="auto"/>
              <w:right w:val="single" w:sz="4" w:space="0" w:color="auto"/>
            </w:tcBorders>
          </w:tcPr>
          <w:p w:rsidR="004A3868" w:rsidRDefault="004A3868">
            <w:pPr>
              <w:pStyle w:val="afffb"/>
            </w:pPr>
          </w:p>
        </w:tc>
      </w:tr>
      <w:tr w:rsidR="004A3868">
        <w:trPr>
          <w:cantSplit/>
          <w:trHeight w:val="397"/>
          <w:jc w:val="center"/>
        </w:trPr>
        <w:tc>
          <w:tcPr>
            <w:tcW w:w="4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按单项计提坏账准备</w:t>
            </w:r>
          </w:p>
        </w:tc>
        <w:tc>
          <w:tcPr>
            <w:tcW w:w="69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36,886,962.48</w:t>
            </w:r>
          </w:p>
        </w:tc>
        <w:tc>
          <w:tcPr>
            <w:tcW w:w="2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3.42</w:t>
            </w:r>
          </w:p>
        </w:tc>
        <w:tc>
          <w:tcPr>
            <w:tcW w:w="5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27,440,816.44</w:t>
            </w:r>
          </w:p>
        </w:tc>
        <w:tc>
          <w:tcPr>
            <w:tcW w:w="2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74.39</w:t>
            </w:r>
          </w:p>
        </w:tc>
        <w:tc>
          <w:tcPr>
            <w:tcW w:w="58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9,446,146.04</w:t>
            </w:r>
          </w:p>
        </w:tc>
        <w:tc>
          <w:tcPr>
            <w:tcW w:w="59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29,031,704.02</w:t>
            </w:r>
          </w:p>
        </w:tc>
        <w:tc>
          <w:tcPr>
            <w:tcW w:w="2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3.51</w:t>
            </w:r>
          </w:p>
        </w:tc>
        <w:tc>
          <w:tcPr>
            <w:tcW w:w="58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22,783,908.57</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78.48</w:t>
            </w:r>
          </w:p>
        </w:tc>
        <w:tc>
          <w:tcPr>
            <w:tcW w:w="5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6,247,795.45</w:t>
            </w:r>
          </w:p>
        </w:tc>
      </w:tr>
      <w:tr w:rsidR="004A3868">
        <w:trPr>
          <w:cantSplit/>
          <w:trHeight w:val="397"/>
          <w:jc w:val="center"/>
        </w:trPr>
        <w:sdt>
          <w:sdtPr>
            <w:tag w:val="_PLD_2843924a07e24276b2592afce851b5fd"/>
            <w:id w:val="-63972866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其中：</w:t>
                </w:r>
              </w:p>
            </w:tc>
          </w:sdtContent>
        </w:sdt>
      </w:tr>
      <w:tr w:rsidR="004A3868">
        <w:trPr>
          <w:cantSplit/>
          <w:trHeight w:val="397"/>
          <w:jc w:val="center"/>
        </w:trPr>
        <w:tc>
          <w:tcPr>
            <w:tcW w:w="4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按组合计提坏账准备</w:t>
            </w:r>
          </w:p>
        </w:tc>
        <w:tc>
          <w:tcPr>
            <w:tcW w:w="69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1,042,112,404.13</w:t>
            </w:r>
          </w:p>
        </w:tc>
        <w:tc>
          <w:tcPr>
            <w:tcW w:w="2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96.58</w:t>
            </w:r>
          </w:p>
        </w:tc>
        <w:tc>
          <w:tcPr>
            <w:tcW w:w="5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84,776,389.73</w:t>
            </w:r>
          </w:p>
        </w:tc>
        <w:tc>
          <w:tcPr>
            <w:tcW w:w="2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8.14</w:t>
            </w:r>
          </w:p>
        </w:tc>
        <w:tc>
          <w:tcPr>
            <w:tcW w:w="58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957,336,014.41</w:t>
            </w:r>
          </w:p>
        </w:tc>
        <w:tc>
          <w:tcPr>
            <w:tcW w:w="59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799,227,766.77</w:t>
            </w:r>
          </w:p>
        </w:tc>
        <w:tc>
          <w:tcPr>
            <w:tcW w:w="2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96.49</w:t>
            </w:r>
          </w:p>
        </w:tc>
        <w:tc>
          <w:tcPr>
            <w:tcW w:w="58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66,339,337.80</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8.3</w:t>
            </w:r>
          </w:p>
        </w:tc>
        <w:tc>
          <w:tcPr>
            <w:tcW w:w="5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732,888,428.97</w:t>
            </w:r>
          </w:p>
        </w:tc>
      </w:tr>
      <w:tr w:rsidR="004A3868">
        <w:trPr>
          <w:cantSplit/>
          <w:trHeight w:val="397"/>
          <w:jc w:val="center"/>
        </w:trPr>
        <w:sdt>
          <w:sdtPr>
            <w:tag w:val="_PLD_ce0cfa8fc80147608db7db4b7ce1db69"/>
            <w:id w:val="-170524961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其中：</w:t>
                </w:r>
              </w:p>
            </w:tc>
          </w:sdtContent>
        </w:sdt>
      </w:tr>
      <w:tr w:rsidR="004A3868">
        <w:trPr>
          <w:cantSplit/>
          <w:trHeight w:val="397"/>
          <w:jc w:val="center"/>
        </w:trPr>
        <w:sdt>
          <w:sdtPr>
            <w:alias w:val="按组合计提坏账准备的应收账款明细-组合名称"/>
            <w:tag w:val="_GBC_a216a551f9d54c89b88dad6bcecd942d"/>
            <w:id w:val="810373368"/>
            <w:lock w:val="sdtLocked"/>
          </w:sdtPr>
          <w:sdtEndPr/>
          <w:sdtContent>
            <w:tc>
              <w:tcPr>
                <w:tcW w:w="4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t>账龄组合</w:t>
                </w:r>
              </w:p>
            </w:tc>
          </w:sdtContent>
        </w:sdt>
        <w:tc>
          <w:tcPr>
            <w:tcW w:w="69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1,042,112,404.13</w:t>
            </w:r>
          </w:p>
        </w:tc>
        <w:tc>
          <w:tcPr>
            <w:tcW w:w="2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96.58</w:t>
            </w:r>
          </w:p>
        </w:tc>
        <w:tc>
          <w:tcPr>
            <w:tcW w:w="5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84,776,389.73</w:t>
            </w:r>
          </w:p>
        </w:tc>
        <w:tc>
          <w:tcPr>
            <w:tcW w:w="2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8.14</w:t>
            </w:r>
          </w:p>
        </w:tc>
        <w:tc>
          <w:tcPr>
            <w:tcW w:w="58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957,336,014.41</w:t>
            </w:r>
          </w:p>
        </w:tc>
        <w:tc>
          <w:tcPr>
            <w:tcW w:w="59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799,227,766.77</w:t>
            </w:r>
          </w:p>
        </w:tc>
        <w:tc>
          <w:tcPr>
            <w:tcW w:w="2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96.49</w:t>
            </w:r>
          </w:p>
        </w:tc>
        <w:tc>
          <w:tcPr>
            <w:tcW w:w="58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66,339,337.80</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8.3</w:t>
            </w:r>
          </w:p>
        </w:tc>
        <w:tc>
          <w:tcPr>
            <w:tcW w:w="5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732,888,428.97</w:t>
            </w:r>
          </w:p>
        </w:tc>
      </w:tr>
      <w:tr w:rsidR="004A3868">
        <w:trPr>
          <w:cantSplit/>
          <w:trHeight w:val="397"/>
          <w:jc w:val="center"/>
        </w:trPr>
        <w:sdt>
          <w:sdtPr>
            <w:rPr>
              <w:sz w:val="15"/>
              <w:szCs w:val="15"/>
            </w:rPr>
            <w:alias w:val="按组合计提坏账准备的应收账款明细-组合名称"/>
            <w:tag w:val="_GBC_a216a551f9d54c89b88dad6bcecd942d"/>
            <w:id w:val="-1670864070"/>
            <w:lock w:val="sdtLocked"/>
            <w:showingPlcHdr/>
          </w:sdtPr>
          <w:sdtEndPr/>
          <w:sdtContent>
            <w:tc>
              <w:tcPr>
                <w:tcW w:w="483" w:type="pct"/>
                <w:tcBorders>
                  <w:top w:val="single" w:sz="4" w:space="0" w:color="auto"/>
                  <w:left w:val="single" w:sz="4" w:space="0" w:color="auto"/>
                  <w:bottom w:val="single" w:sz="4" w:space="0" w:color="auto"/>
                  <w:right w:val="single" w:sz="4" w:space="0" w:color="auto"/>
                </w:tcBorders>
              </w:tcPr>
              <w:p w:rsidR="004A3868" w:rsidRDefault="003F1AB5">
                <w:pPr>
                  <w:rPr>
                    <w:color w:val="808080"/>
                    <w:sz w:val="15"/>
                    <w:szCs w:val="15"/>
                  </w:rPr>
                </w:pPr>
                <w:r>
                  <w:rPr>
                    <w:rFonts w:hint="eastAsia"/>
                    <w:sz w:val="15"/>
                    <w:szCs w:val="15"/>
                  </w:rPr>
                  <w:t xml:space="preserve">　</w:t>
                </w:r>
              </w:p>
            </w:tc>
          </w:sdtContent>
        </w:sdt>
        <w:tc>
          <w:tcPr>
            <w:tcW w:w="692"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228"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588"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222"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581"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592"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221"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585"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c>
          <w:tcPr>
            <w:tcW w:w="584"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15"/>
                <w:szCs w:val="15"/>
              </w:rPr>
            </w:pPr>
          </w:p>
        </w:tc>
      </w:tr>
      <w:tr w:rsidR="004A3868">
        <w:trPr>
          <w:cantSplit/>
          <w:trHeight w:val="397"/>
          <w:jc w:val="center"/>
        </w:trPr>
        <w:tc>
          <w:tcPr>
            <w:tcW w:w="483" w:type="pct"/>
            <w:tcBorders>
              <w:top w:val="single" w:sz="4" w:space="0" w:color="auto"/>
              <w:left w:val="single" w:sz="4" w:space="0" w:color="auto"/>
              <w:bottom w:val="single" w:sz="4" w:space="0" w:color="auto"/>
              <w:right w:val="single" w:sz="4" w:space="0" w:color="auto"/>
            </w:tcBorders>
            <w:vAlign w:val="center"/>
          </w:tcPr>
          <w:p w:rsidR="004A3868" w:rsidRDefault="003F1AB5">
            <w:pPr>
              <w:rPr>
                <w:sz w:val="15"/>
                <w:szCs w:val="15"/>
              </w:rPr>
            </w:pPr>
            <w:r>
              <w:rPr>
                <w:rFonts w:hint="eastAsia"/>
                <w:sz w:val="15"/>
                <w:szCs w:val="15"/>
              </w:rPr>
              <w:t>合计</w:t>
            </w:r>
          </w:p>
        </w:tc>
        <w:tc>
          <w:tcPr>
            <w:tcW w:w="69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1,078,999,366.61</w:t>
            </w:r>
          </w:p>
        </w:tc>
        <w:tc>
          <w:tcPr>
            <w:tcW w:w="2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c>
          <w:tcPr>
            <w:tcW w:w="5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112,217,206.16</w:t>
            </w:r>
          </w:p>
        </w:tc>
        <w:tc>
          <w:tcPr>
            <w:tcW w:w="2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10.4</w:t>
            </w:r>
          </w:p>
        </w:tc>
        <w:tc>
          <w:tcPr>
            <w:tcW w:w="58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966,782,160.45</w:t>
            </w:r>
          </w:p>
        </w:tc>
        <w:tc>
          <w:tcPr>
            <w:tcW w:w="59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828,259,470.79</w:t>
            </w:r>
          </w:p>
        </w:tc>
        <w:tc>
          <w:tcPr>
            <w:tcW w:w="2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w:t>
            </w:r>
          </w:p>
        </w:tc>
        <w:tc>
          <w:tcPr>
            <w:tcW w:w="58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89,123,246.37</w:t>
            </w:r>
          </w:p>
        </w:tc>
        <w:tc>
          <w:tcPr>
            <w:tcW w:w="22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10.76</w:t>
            </w:r>
          </w:p>
        </w:tc>
        <w:tc>
          <w:tcPr>
            <w:tcW w:w="5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739,136,224.42</w:t>
            </w:r>
          </w:p>
        </w:tc>
      </w:tr>
    </w:tbl>
    <w:p w:rsidR="004A3868" w:rsidRDefault="004A3868">
      <w:pPr>
        <w:pStyle w:val="Style124"/>
      </w:pPr>
    </w:p>
    <w:p w:rsidR="004A3868" w:rsidRDefault="003F1AB5">
      <w:pPr>
        <w:rPr>
          <w:sz w:val="15"/>
          <w:szCs w:val="15"/>
        </w:rPr>
      </w:pPr>
      <w:r>
        <w:rPr>
          <w:rFonts w:hint="eastAsia"/>
          <w:sz w:val="15"/>
          <w:szCs w:val="15"/>
        </w:rPr>
        <w:t>按单项计提坏账准备：</w:t>
      </w:r>
    </w:p>
    <w:sdt>
      <w:sdtPr>
        <w:rPr>
          <w:rFonts w:hint="eastAsia"/>
        </w:rPr>
        <w:alias w:val="是否适用：按单项计提坏账准备的应收账款详细情况[双击切换]"/>
        <w:tag w:val="_GBC_1add32cead514597854ff8ba7f5bf59e"/>
        <w:id w:val="1285309865"/>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按单项计提坏账准备的应收账款详细情况"/>
          <w:tag w:val="_GBC_895a0edb0a3a4e12b8b3c0e2c547284e"/>
          <w:id w:val="-10634879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单项计提坏账准备的应收账款详细情况"/>
          <w:tag w:val="_GBC_ceb9b753925d4115a51bdbcf043dc1b2"/>
          <w:id w:val="7204789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977"/>
        <w:gridCol w:w="1775"/>
        <w:gridCol w:w="1775"/>
        <w:gridCol w:w="1560"/>
        <w:gridCol w:w="1736"/>
      </w:tblGrid>
      <w:tr w:rsidR="004A3868">
        <w:trPr>
          <w:trHeight w:val="397"/>
          <w:jc w:val="center"/>
        </w:trPr>
        <w:sdt>
          <w:sdtPr>
            <w:tag w:val="_PLD_97fa41067b8749859d9b8b001dab9dde"/>
            <w:id w:val="1666434221"/>
            <w:lock w:val="sdtLocked"/>
          </w:sdtPr>
          <w:sdtEndPr/>
          <w:sdtContent>
            <w:tc>
              <w:tcPr>
                <w:tcW w:w="1120" w:type="pct"/>
                <w:vMerge w:val="restart"/>
                <w:vAlign w:val="center"/>
              </w:tcPr>
              <w:p w:rsidR="004A3868" w:rsidRDefault="003F1AB5">
                <w:pPr>
                  <w:pStyle w:val="afffb"/>
                </w:pPr>
                <w:r>
                  <w:rPr>
                    <w:rFonts w:hint="eastAsia"/>
                  </w:rPr>
                  <w:t>名称</w:t>
                </w:r>
              </w:p>
            </w:tc>
          </w:sdtContent>
        </w:sdt>
        <w:sdt>
          <w:sdtPr>
            <w:tag w:val="_PLD_53121e07f76046af9290059d0b8136d4"/>
            <w:id w:val="-1862194483"/>
            <w:lock w:val="sdtLocked"/>
          </w:sdtPr>
          <w:sdtEndPr/>
          <w:sdtContent>
            <w:tc>
              <w:tcPr>
                <w:tcW w:w="3880" w:type="pct"/>
                <w:gridSpan w:val="4"/>
                <w:vAlign w:val="center"/>
              </w:tcPr>
              <w:p w:rsidR="004A3868" w:rsidRDefault="003F1AB5">
                <w:pPr>
                  <w:pStyle w:val="afffb"/>
                </w:pPr>
                <w:r>
                  <w:rPr>
                    <w:rFonts w:hint="eastAsia"/>
                  </w:rPr>
                  <w:t>期末余额</w:t>
                </w:r>
              </w:p>
            </w:tc>
          </w:sdtContent>
        </w:sdt>
      </w:tr>
      <w:tr w:rsidR="004A3868">
        <w:trPr>
          <w:trHeight w:val="397"/>
          <w:jc w:val="center"/>
        </w:trPr>
        <w:tc>
          <w:tcPr>
            <w:tcW w:w="1120" w:type="pct"/>
            <w:vMerge/>
            <w:vAlign w:val="center"/>
          </w:tcPr>
          <w:p w:rsidR="004A3868" w:rsidRDefault="004A3868">
            <w:pPr>
              <w:pStyle w:val="afffb"/>
            </w:pPr>
          </w:p>
        </w:tc>
        <w:sdt>
          <w:sdtPr>
            <w:tag w:val="_PLD_89b2d64d2083464fae141734d17523d3"/>
            <w:id w:val="965240458"/>
            <w:lock w:val="sdtLocked"/>
          </w:sdtPr>
          <w:sdtEndPr/>
          <w:sdtContent>
            <w:tc>
              <w:tcPr>
                <w:tcW w:w="1006" w:type="pct"/>
                <w:vAlign w:val="center"/>
              </w:tcPr>
              <w:p w:rsidR="004A3868" w:rsidRDefault="003F1AB5">
                <w:pPr>
                  <w:pStyle w:val="afffb"/>
                </w:pPr>
                <w:r>
                  <w:rPr>
                    <w:rFonts w:hint="eastAsia"/>
                  </w:rPr>
                  <w:t>账面余额</w:t>
                </w:r>
              </w:p>
            </w:tc>
          </w:sdtContent>
        </w:sdt>
        <w:sdt>
          <w:sdtPr>
            <w:tag w:val="_PLD_ace529544c544606915552a352f0e13b"/>
            <w:id w:val="475258299"/>
            <w:lock w:val="sdtLocked"/>
          </w:sdtPr>
          <w:sdtEndPr/>
          <w:sdtContent>
            <w:tc>
              <w:tcPr>
                <w:tcW w:w="1006" w:type="pct"/>
                <w:vAlign w:val="center"/>
              </w:tcPr>
              <w:p w:rsidR="004A3868" w:rsidRDefault="003F1AB5">
                <w:pPr>
                  <w:pStyle w:val="afffb"/>
                </w:pPr>
                <w:r>
                  <w:rPr>
                    <w:rFonts w:hint="eastAsia"/>
                  </w:rPr>
                  <w:t>坏账准备</w:t>
                </w:r>
              </w:p>
            </w:tc>
          </w:sdtContent>
        </w:sdt>
        <w:sdt>
          <w:sdtPr>
            <w:tag w:val="_PLD_8fd7658c68a540cf9892f97231c626d7"/>
            <w:id w:val="-1187907382"/>
            <w:lock w:val="sdtLocked"/>
          </w:sdtPr>
          <w:sdtEndPr/>
          <w:sdtContent>
            <w:tc>
              <w:tcPr>
                <w:tcW w:w="884" w:type="pct"/>
                <w:vAlign w:val="center"/>
              </w:tcPr>
              <w:p w:rsidR="004A3868" w:rsidRDefault="003F1AB5">
                <w:pPr>
                  <w:pStyle w:val="afffb"/>
                </w:pPr>
                <w:r>
                  <w:t>计提比例</w:t>
                </w:r>
                <w:r>
                  <w:rPr>
                    <w:rFonts w:hint="eastAsia"/>
                  </w:rPr>
                  <w:t>（%）</w:t>
                </w:r>
              </w:p>
            </w:tc>
          </w:sdtContent>
        </w:sdt>
        <w:sdt>
          <w:sdtPr>
            <w:tag w:val="_PLD_e9726e8171bb463ba9719bc643c14988"/>
            <w:id w:val="-1137259745"/>
            <w:lock w:val="sdtLocked"/>
          </w:sdtPr>
          <w:sdtEndPr/>
          <w:sdtContent>
            <w:tc>
              <w:tcPr>
                <w:tcW w:w="984" w:type="pct"/>
                <w:vAlign w:val="center"/>
              </w:tcPr>
              <w:p w:rsidR="004A3868" w:rsidRDefault="003F1AB5">
                <w:pPr>
                  <w:pStyle w:val="afffb"/>
                </w:pPr>
                <w:r>
                  <w:rPr>
                    <w:rFonts w:hint="eastAsia"/>
                  </w:rPr>
                  <w:t>计提理由</w:t>
                </w:r>
              </w:p>
            </w:tc>
          </w:sdtContent>
        </w:sdt>
      </w:tr>
      <w:tr w:rsidR="004A3868">
        <w:trPr>
          <w:trHeight w:val="397"/>
          <w:jc w:val="center"/>
        </w:trPr>
        <w:tc>
          <w:tcPr>
            <w:tcW w:w="1120" w:type="pct"/>
          </w:tcPr>
          <w:p w:rsidR="004A3868" w:rsidRDefault="003F1AB5">
            <w:pPr>
              <w:pStyle w:val="afff9"/>
            </w:pPr>
            <w:r>
              <w:rPr>
                <w:rFonts w:hint="eastAsia"/>
              </w:rPr>
              <w:t>应收账款单项计提单位</w:t>
            </w:r>
            <w:r>
              <w:t>1</w:t>
            </w:r>
          </w:p>
        </w:tc>
        <w:tc>
          <w:tcPr>
            <w:tcW w:w="1006" w:type="pct"/>
            <w:vAlign w:val="center"/>
          </w:tcPr>
          <w:p w:rsidR="004A3868" w:rsidRDefault="003F1AB5">
            <w:pPr>
              <w:pStyle w:val="afff7"/>
            </w:pPr>
            <w:r>
              <w:t>4,978,410.00</w:t>
            </w:r>
          </w:p>
        </w:tc>
        <w:tc>
          <w:tcPr>
            <w:tcW w:w="1006" w:type="pct"/>
            <w:vAlign w:val="center"/>
          </w:tcPr>
          <w:p w:rsidR="004A3868" w:rsidRDefault="003F1AB5">
            <w:pPr>
              <w:pStyle w:val="afff7"/>
            </w:pPr>
            <w:r>
              <w:t>4,978,410.00</w:t>
            </w:r>
          </w:p>
        </w:tc>
        <w:tc>
          <w:tcPr>
            <w:tcW w:w="884" w:type="pct"/>
            <w:vAlign w:val="center"/>
          </w:tcPr>
          <w:p w:rsidR="004A3868" w:rsidRDefault="003F1AB5">
            <w:pPr>
              <w:pStyle w:val="afff7"/>
            </w:pPr>
            <w:r>
              <w:t>100.00</w:t>
            </w:r>
          </w:p>
        </w:tc>
        <w:tc>
          <w:tcPr>
            <w:tcW w:w="984" w:type="pct"/>
            <w:vAlign w:val="center"/>
          </w:tcPr>
          <w:p w:rsidR="004A3868" w:rsidRDefault="003F1AB5">
            <w:pPr>
              <w:pStyle w:val="afffb"/>
            </w:pPr>
            <w:r>
              <w:t>对方资金困难，预计款项无法收回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2</w:t>
            </w:r>
          </w:p>
        </w:tc>
        <w:tc>
          <w:tcPr>
            <w:tcW w:w="1006" w:type="pct"/>
            <w:vAlign w:val="center"/>
          </w:tcPr>
          <w:p w:rsidR="004A3868" w:rsidRDefault="003F1AB5">
            <w:pPr>
              <w:pStyle w:val="afff7"/>
            </w:pPr>
            <w:r>
              <w:t>4,200,000.00</w:t>
            </w:r>
          </w:p>
        </w:tc>
        <w:tc>
          <w:tcPr>
            <w:tcW w:w="1006" w:type="pct"/>
            <w:vAlign w:val="center"/>
          </w:tcPr>
          <w:p w:rsidR="004A3868" w:rsidRDefault="003F1AB5">
            <w:pPr>
              <w:pStyle w:val="afff7"/>
            </w:pPr>
            <w:r>
              <w:t>4,200,000.00</w:t>
            </w:r>
          </w:p>
        </w:tc>
        <w:tc>
          <w:tcPr>
            <w:tcW w:w="884" w:type="pct"/>
            <w:vAlign w:val="center"/>
          </w:tcPr>
          <w:p w:rsidR="004A3868" w:rsidRDefault="003F1AB5">
            <w:pPr>
              <w:pStyle w:val="afff7"/>
            </w:pPr>
            <w:r>
              <w:t>100.00</w:t>
            </w:r>
          </w:p>
        </w:tc>
        <w:tc>
          <w:tcPr>
            <w:tcW w:w="984" w:type="pct"/>
            <w:vAlign w:val="center"/>
          </w:tcPr>
          <w:p w:rsidR="004A3868" w:rsidRDefault="003F1AB5">
            <w:pPr>
              <w:pStyle w:val="afffb"/>
            </w:pPr>
            <w:r>
              <w:t>对方资金困难，预计款项无法收回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3</w:t>
            </w:r>
          </w:p>
        </w:tc>
        <w:tc>
          <w:tcPr>
            <w:tcW w:w="1006" w:type="pct"/>
            <w:vAlign w:val="center"/>
          </w:tcPr>
          <w:p w:rsidR="004A3868" w:rsidRDefault="003F1AB5">
            <w:pPr>
              <w:pStyle w:val="afff7"/>
            </w:pPr>
            <w:r>
              <w:t>4,621,530.09</w:t>
            </w:r>
          </w:p>
        </w:tc>
        <w:tc>
          <w:tcPr>
            <w:tcW w:w="1006" w:type="pct"/>
            <w:vAlign w:val="center"/>
          </w:tcPr>
          <w:p w:rsidR="004A3868" w:rsidRDefault="003F1AB5">
            <w:pPr>
              <w:pStyle w:val="afff7"/>
            </w:pPr>
            <w:r>
              <w:t>2,772,918.05</w:t>
            </w:r>
          </w:p>
        </w:tc>
        <w:tc>
          <w:tcPr>
            <w:tcW w:w="884" w:type="pct"/>
            <w:vAlign w:val="center"/>
          </w:tcPr>
          <w:p w:rsidR="004A3868" w:rsidRDefault="003F1AB5">
            <w:pPr>
              <w:pStyle w:val="afff7"/>
            </w:pPr>
            <w:r>
              <w:t>60.00</w:t>
            </w:r>
          </w:p>
        </w:tc>
        <w:tc>
          <w:tcPr>
            <w:tcW w:w="984" w:type="pct"/>
            <w:vAlign w:val="center"/>
          </w:tcPr>
          <w:p w:rsidR="004A3868" w:rsidRDefault="003F1AB5">
            <w:pPr>
              <w:pStyle w:val="afffb"/>
            </w:pPr>
            <w:r>
              <w:rPr>
                <w:rFonts w:hint="eastAsia"/>
              </w:rPr>
              <w:t>对方资金困难，预计款项无法收回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4</w:t>
            </w:r>
          </w:p>
        </w:tc>
        <w:tc>
          <w:tcPr>
            <w:tcW w:w="1006" w:type="pct"/>
            <w:vAlign w:val="center"/>
          </w:tcPr>
          <w:p w:rsidR="004A3868" w:rsidRDefault="003F1AB5">
            <w:pPr>
              <w:pStyle w:val="afff7"/>
            </w:pPr>
            <w:r>
              <w:t>4,170,310.42</w:t>
            </w:r>
          </w:p>
        </w:tc>
        <w:tc>
          <w:tcPr>
            <w:tcW w:w="1006" w:type="pct"/>
            <w:vAlign w:val="center"/>
          </w:tcPr>
          <w:p w:rsidR="004A3868" w:rsidRDefault="003F1AB5">
            <w:pPr>
              <w:pStyle w:val="afff7"/>
            </w:pPr>
            <w:r>
              <w:t>2,502,186.25</w:t>
            </w:r>
          </w:p>
        </w:tc>
        <w:tc>
          <w:tcPr>
            <w:tcW w:w="884" w:type="pct"/>
            <w:vAlign w:val="center"/>
          </w:tcPr>
          <w:p w:rsidR="004A3868" w:rsidRDefault="003F1AB5">
            <w:pPr>
              <w:pStyle w:val="afff7"/>
            </w:pPr>
            <w:r>
              <w:t>60.00</w:t>
            </w:r>
          </w:p>
        </w:tc>
        <w:tc>
          <w:tcPr>
            <w:tcW w:w="984" w:type="pct"/>
            <w:vAlign w:val="center"/>
          </w:tcPr>
          <w:p w:rsidR="004A3868" w:rsidRDefault="003F1AB5">
            <w:pPr>
              <w:pStyle w:val="afffb"/>
            </w:pPr>
            <w:r>
              <w:rPr>
                <w:rFonts w:hint="eastAsia"/>
              </w:rPr>
              <w:t>对方资金困难，预计款项无法收回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5</w:t>
            </w:r>
          </w:p>
        </w:tc>
        <w:tc>
          <w:tcPr>
            <w:tcW w:w="1006" w:type="pct"/>
            <w:vAlign w:val="center"/>
          </w:tcPr>
          <w:p w:rsidR="004A3868" w:rsidRDefault="003F1AB5">
            <w:pPr>
              <w:pStyle w:val="afff7"/>
            </w:pPr>
            <w:r>
              <w:t>1,437,350.00</w:t>
            </w:r>
          </w:p>
        </w:tc>
        <w:tc>
          <w:tcPr>
            <w:tcW w:w="1006" w:type="pct"/>
            <w:vAlign w:val="center"/>
          </w:tcPr>
          <w:p w:rsidR="004A3868" w:rsidRDefault="003F1AB5">
            <w:pPr>
              <w:pStyle w:val="afff7"/>
            </w:pPr>
            <w:r>
              <w:t>1,437,350.00</w:t>
            </w:r>
          </w:p>
        </w:tc>
        <w:tc>
          <w:tcPr>
            <w:tcW w:w="884" w:type="pct"/>
            <w:vAlign w:val="center"/>
          </w:tcPr>
          <w:p w:rsidR="004A3868" w:rsidRDefault="003F1AB5">
            <w:pPr>
              <w:pStyle w:val="afff7"/>
            </w:pPr>
            <w:r>
              <w:t>100.00</w:t>
            </w:r>
          </w:p>
        </w:tc>
        <w:tc>
          <w:tcPr>
            <w:tcW w:w="984" w:type="pct"/>
            <w:vAlign w:val="center"/>
          </w:tcPr>
          <w:p w:rsidR="004A3868" w:rsidRDefault="003F1AB5">
            <w:pPr>
              <w:pStyle w:val="afffb"/>
            </w:pPr>
            <w:r>
              <w:t>对方资金困难，预计款项无法收回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6</w:t>
            </w:r>
          </w:p>
        </w:tc>
        <w:tc>
          <w:tcPr>
            <w:tcW w:w="1006" w:type="pct"/>
            <w:vAlign w:val="center"/>
          </w:tcPr>
          <w:p w:rsidR="004A3868" w:rsidRDefault="003F1AB5">
            <w:pPr>
              <w:pStyle w:val="afff7"/>
            </w:pPr>
            <w:r>
              <w:t>1,993,200.00</w:t>
            </w:r>
          </w:p>
        </w:tc>
        <w:tc>
          <w:tcPr>
            <w:tcW w:w="1006" w:type="pct"/>
            <w:vAlign w:val="center"/>
          </w:tcPr>
          <w:p w:rsidR="004A3868" w:rsidRDefault="003F1AB5">
            <w:pPr>
              <w:pStyle w:val="afff7"/>
            </w:pPr>
            <w:r>
              <w:t>1,195,920.00</w:t>
            </w:r>
          </w:p>
        </w:tc>
        <w:tc>
          <w:tcPr>
            <w:tcW w:w="884" w:type="pct"/>
            <w:vAlign w:val="center"/>
          </w:tcPr>
          <w:p w:rsidR="004A3868" w:rsidRDefault="003F1AB5">
            <w:pPr>
              <w:pStyle w:val="afff7"/>
            </w:pPr>
            <w:r>
              <w:t>60.00</w:t>
            </w:r>
          </w:p>
        </w:tc>
        <w:tc>
          <w:tcPr>
            <w:tcW w:w="984" w:type="pct"/>
            <w:vAlign w:val="center"/>
          </w:tcPr>
          <w:p w:rsidR="004A3868" w:rsidRDefault="003F1AB5">
            <w:pPr>
              <w:pStyle w:val="afffb"/>
            </w:pPr>
            <w:r>
              <w:t>已发起诉讼，预计部分款项无法收回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7</w:t>
            </w:r>
          </w:p>
        </w:tc>
        <w:tc>
          <w:tcPr>
            <w:tcW w:w="1006" w:type="pct"/>
            <w:vAlign w:val="center"/>
          </w:tcPr>
          <w:p w:rsidR="004A3868" w:rsidRDefault="003F1AB5">
            <w:pPr>
              <w:pStyle w:val="afff7"/>
            </w:pPr>
            <w:r>
              <w:t>1,524,746.20</w:t>
            </w:r>
          </w:p>
        </w:tc>
        <w:tc>
          <w:tcPr>
            <w:tcW w:w="1006" w:type="pct"/>
            <w:vAlign w:val="center"/>
          </w:tcPr>
          <w:p w:rsidR="004A3868" w:rsidRDefault="003F1AB5">
            <w:pPr>
              <w:pStyle w:val="afff7"/>
            </w:pPr>
            <w:r>
              <w:t>914,847.72</w:t>
            </w:r>
          </w:p>
        </w:tc>
        <w:tc>
          <w:tcPr>
            <w:tcW w:w="884" w:type="pct"/>
            <w:vAlign w:val="center"/>
          </w:tcPr>
          <w:p w:rsidR="004A3868" w:rsidRDefault="003F1AB5">
            <w:pPr>
              <w:pStyle w:val="afff7"/>
            </w:pPr>
            <w:r>
              <w:t>60.00</w:t>
            </w:r>
          </w:p>
        </w:tc>
        <w:tc>
          <w:tcPr>
            <w:tcW w:w="984" w:type="pct"/>
            <w:vAlign w:val="center"/>
          </w:tcPr>
          <w:p w:rsidR="004A3868" w:rsidRDefault="003F1AB5">
            <w:pPr>
              <w:pStyle w:val="afffb"/>
            </w:pPr>
            <w:r>
              <w:t>对方资金困难，预计款项无法收回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8</w:t>
            </w:r>
          </w:p>
        </w:tc>
        <w:tc>
          <w:tcPr>
            <w:tcW w:w="1006" w:type="pct"/>
            <w:vAlign w:val="center"/>
          </w:tcPr>
          <w:p w:rsidR="004A3868" w:rsidRDefault="003F1AB5">
            <w:pPr>
              <w:pStyle w:val="afff7"/>
            </w:pPr>
            <w:r>
              <w:t>1,349,680.00</w:t>
            </w:r>
          </w:p>
        </w:tc>
        <w:tc>
          <w:tcPr>
            <w:tcW w:w="1006" w:type="pct"/>
            <w:vAlign w:val="center"/>
          </w:tcPr>
          <w:p w:rsidR="004A3868" w:rsidRDefault="003F1AB5">
            <w:pPr>
              <w:pStyle w:val="afff7"/>
            </w:pPr>
            <w:r>
              <w:t>809,808.00</w:t>
            </w:r>
          </w:p>
        </w:tc>
        <w:tc>
          <w:tcPr>
            <w:tcW w:w="884" w:type="pct"/>
            <w:vAlign w:val="center"/>
          </w:tcPr>
          <w:p w:rsidR="004A3868" w:rsidRDefault="003F1AB5">
            <w:pPr>
              <w:pStyle w:val="afff7"/>
            </w:pPr>
            <w:r>
              <w:t>60.00</w:t>
            </w:r>
          </w:p>
        </w:tc>
        <w:tc>
          <w:tcPr>
            <w:tcW w:w="984" w:type="pct"/>
            <w:vAlign w:val="center"/>
          </w:tcPr>
          <w:p w:rsidR="004A3868" w:rsidRDefault="003F1AB5">
            <w:pPr>
              <w:pStyle w:val="afffb"/>
            </w:pPr>
            <w:r>
              <w:rPr>
                <w:rFonts w:hint="eastAsia"/>
              </w:rPr>
              <w:t>对方资金困难，预计款项无法收回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9</w:t>
            </w:r>
          </w:p>
        </w:tc>
        <w:tc>
          <w:tcPr>
            <w:tcW w:w="1006" w:type="pct"/>
            <w:vAlign w:val="center"/>
          </w:tcPr>
          <w:p w:rsidR="004A3868" w:rsidRDefault="003F1AB5">
            <w:pPr>
              <w:pStyle w:val="afff7"/>
            </w:pPr>
            <w:r>
              <w:t>1,290,764.00</w:t>
            </w:r>
          </w:p>
        </w:tc>
        <w:tc>
          <w:tcPr>
            <w:tcW w:w="1006" w:type="pct"/>
            <w:vAlign w:val="center"/>
          </w:tcPr>
          <w:p w:rsidR="004A3868" w:rsidRDefault="003F1AB5">
            <w:pPr>
              <w:pStyle w:val="afff7"/>
            </w:pPr>
            <w:r>
              <w:t>774,458.40</w:t>
            </w:r>
          </w:p>
        </w:tc>
        <w:tc>
          <w:tcPr>
            <w:tcW w:w="884" w:type="pct"/>
            <w:vAlign w:val="center"/>
          </w:tcPr>
          <w:p w:rsidR="004A3868" w:rsidRDefault="003F1AB5">
            <w:pPr>
              <w:pStyle w:val="afff7"/>
            </w:pPr>
            <w:r>
              <w:t>60.00</w:t>
            </w:r>
          </w:p>
        </w:tc>
        <w:tc>
          <w:tcPr>
            <w:tcW w:w="984" w:type="pct"/>
            <w:vAlign w:val="center"/>
          </w:tcPr>
          <w:p w:rsidR="004A3868" w:rsidRDefault="003F1AB5">
            <w:pPr>
              <w:pStyle w:val="afffb"/>
            </w:pPr>
            <w:r>
              <w:rPr>
                <w:rFonts w:hint="eastAsia"/>
              </w:rPr>
              <w:t>对方资金困难，预计款项无法收回</w:t>
            </w:r>
          </w:p>
        </w:tc>
      </w:tr>
      <w:tr w:rsidR="004A3868">
        <w:trPr>
          <w:trHeight w:val="397"/>
          <w:jc w:val="center"/>
        </w:trPr>
        <w:tc>
          <w:tcPr>
            <w:tcW w:w="1120" w:type="pct"/>
          </w:tcPr>
          <w:p w:rsidR="004A3868" w:rsidRDefault="003F1AB5">
            <w:pPr>
              <w:pStyle w:val="afff9"/>
            </w:pPr>
            <w:r>
              <w:rPr>
                <w:rFonts w:hint="eastAsia"/>
              </w:rPr>
              <w:t>应收账款单项计提单位</w:t>
            </w:r>
            <w:r>
              <w:t>10</w:t>
            </w:r>
          </w:p>
        </w:tc>
        <w:tc>
          <w:tcPr>
            <w:tcW w:w="1006" w:type="pct"/>
            <w:vAlign w:val="center"/>
          </w:tcPr>
          <w:p w:rsidR="004A3868" w:rsidRDefault="003F1AB5">
            <w:pPr>
              <w:pStyle w:val="afff7"/>
            </w:pPr>
            <w:r>
              <w:t>1,190,933.00</w:t>
            </w:r>
          </w:p>
        </w:tc>
        <w:tc>
          <w:tcPr>
            <w:tcW w:w="1006" w:type="pct"/>
            <w:vAlign w:val="center"/>
          </w:tcPr>
          <w:p w:rsidR="004A3868" w:rsidRDefault="003F1AB5">
            <w:pPr>
              <w:pStyle w:val="afff7"/>
            </w:pPr>
            <w:r>
              <w:t>714,559.80</w:t>
            </w:r>
          </w:p>
        </w:tc>
        <w:tc>
          <w:tcPr>
            <w:tcW w:w="884" w:type="pct"/>
            <w:vAlign w:val="center"/>
          </w:tcPr>
          <w:p w:rsidR="004A3868" w:rsidRDefault="003F1AB5">
            <w:pPr>
              <w:pStyle w:val="afff7"/>
            </w:pPr>
            <w:r>
              <w:t>60.00</w:t>
            </w:r>
          </w:p>
        </w:tc>
        <w:tc>
          <w:tcPr>
            <w:tcW w:w="984" w:type="pct"/>
            <w:vAlign w:val="center"/>
          </w:tcPr>
          <w:p w:rsidR="004A3868" w:rsidRDefault="003F1AB5">
            <w:pPr>
              <w:pStyle w:val="afffb"/>
            </w:pPr>
            <w:r>
              <w:rPr>
                <w:rFonts w:hint="eastAsia"/>
              </w:rPr>
              <w:t>对方资金困难，预计款项无法收回</w:t>
            </w:r>
          </w:p>
        </w:tc>
      </w:tr>
      <w:tr w:rsidR="004A3868">
        <w:trPr>
          <w:trHeight w:val="397"/>
          <w:jc w:val="center"/>
        </w:trPr>
        <w:tc>
          <w:tcPr>
            <w:tcW w:w="1120" w:type="pct"/>
            <w:vAlign w:val="center"/>
          </w:tcPr>
          <w:p w:rsidR="004A3868" w:rsidRDefault="003F1AB5">
            <w:pPr>
              <w:pStyle w:val="afff9"/>
            </w:pPr>
            <w:r>
              <w:t>其他低于</w:t>
            </w:r>
            <w:r>
              <w:t>100</w:t>
            </w:r>
            <w:r>
              <w:t>万单项计提的单位</w:t>
            </w:r>
          </w:p>
        </w:tc>
        <w:tc>
          <w:tcPr>
            <w:tcW w:w="1006" w:type="pct"/>
            <w:vAlign w:val="center"/>
          </w:tcPr>
          <w:p w:rsidR="004A3868" w:rsidRDefault="003F1AB5">
            <w:pPr>
              <w:pStyle w:val="afff7"/>
            </w:pPr>
            <w:r>
              <w:t>10,130,038.77</w:t>
            </w:r>
          </w:p>
        </w:tc>
        <w:tc>
          <w:tcPr>
            <w:tcW w:w="1006" w:type="pct"/>
            <w:vAlign w:val="center"/>
          </w:tcPr>
          <w:p w:rsidR="004A3868" w:rsidRDefault="003F1AB5">
            <w:pPr>
              <w:pStyle w:val="afff7"/>
            </w:pPr>
            <w:r>
              <w:t>7,140,358.2</w:t>
            </w:r>
            <w:r>
              <w:rPr>
                <w:rFonts w:hint="eastAsia"/>
              </w:rPr>
              <w:t>2</w:t>
            </w:r>
          </w:p>
        </w:tc>
        <w:tc>
          <w:tcPr>
            <w:tcW w:w="884" w:type="pct"/>
            <w:vAlign w:val="center"/>
          </w:tcPr>
          <w:p w:rsidR="004A3868" w:rsidRDefault="003F1AB5">
            <w:pPr>
              <w:pStyle w:val="afff7"/>
            </w:pPr>
            <w:r>
              <w:t>70.49</w:t>
            </w:r>
          </w:p>
        </w:tc>
        <w:tc>
          <w:tcPr>
            <w:tcW w:w="984" w:type="pct"/>
            <w:vAlign w:val="center"/>
          </w:tcPr>
          <w:p w:rsidR="004A3868" w:rsidRDefault="003F1AB5">
            <w:pPr>
              <w:pStyle w:val="afffb"/>
            </w:pPr>
            <w:r>
              <w:t>对方资金困难，预计款项无法收回等</w:t>
            </w:r>
          </w:p>
        </w:tc>
      </w:tr>
      <w:tr w:rsidR="004A3868">
        <w:trPr>
          <w:trHeight w:val="397"/>
          <w:jc w:val="center"/>
        </w:trPr>
        <w:tc>
          <w:tcPr>
            <w:tcW w:w="1120" w:type="pct"/>
            <w:vAlign w:val="center"/>
          </w:tcPr>
          <w:p w:rsidR="004A3868" w:rsidRDefault="003F1AB5">
            <w:pPr>
              <w:pStyle w:val="afff9"/>
            </w:pPr>
            <w:r>
              <w:rPr>
                <w:rFonts w:hint="eastAsia"/>
              </w:rPr>
              <w:t>合计</w:t>
            </w:r>
          </w:p>
        </w:tc>
        <w:tc>
          <w:tcPr>
            <w:tcW w:w="1006" w:type="pct"/>
            <w:vAlign w:val="center"/>
          </w:tcPr>
          <w:p w:rsidR="004A3868" w:rsidRDefault="003F1AB5">
            <w:pPr>
              <w:pStyle w:val="afff7"/>
            </w:pPr>
            <w:r>
              <w:t>36,886,962.48</w:t>
            </w:r>
          </w:p>
        </w:tc>
        <w:tc>
          <w:tcPr>
            <w:tcW w:w="1006" w:type="pct"/>
            <w:vAlign w:val="center"/>
          </w:tcPr>
          <w:p w:rsidR="004A3868" w:rsidRDefault="003F1AB5">
            <w:pPr>
              <w:pStyle w:val="afff7"/>
            </w:pPr>
            <w:r>
              <w:t>27,440,816.44</w:t>
            </w:r>
          </w:p>
        </w:tc>
        <w:tc>
          <w:tcPr>
            <w:tcW w:w="884" w:type="pct"/>
            <w:vAlign w:val="center"/>
          </w:tcPr>
          <w:p w:rsidR="004A3868" w:rsidRDefault="003F1AB5">
            <w:pPr>
              <w:pStyle w:val="afff7"/>
            </w:pPr>
            <w:r>
              <w:t>74.39</w:t>
            </w:r>
          </w:p>
        </w:tc>
        <w:tc>
          <w:tcPr>
            <w:tcW w:w="984" w:type="pct"/>
            <w:vAlign w:val="center"/>
          </w:tcPr>
          <w:p w:rsidR="004A3868" w:rsidRDefault="003F1AB5">
            <w:pPr>
              <w:pStyle w:val="afffb"/>
            </w:pPr>
            <w:r>
              <w:rPr>
                <w:rFonts w:hint="eastAsia"/>
              </w:rPr>
              <w:t>/</w:t>
            </w:r>
          </w:p>
        </w:tc>
      </w:tr>
    </w:tbl>
    <w:p w:rsidR="004A3868" w:rsidRDefault="004A3868">
      <w:pPr>
        <w:pStyle w:val="Style124"/>
      </w:pPr>
    </w:p>
    <w:p w:rsidR="004A3868" w:rsidRDefault="003F1AB5">
      <w:pPr>
        <w:rPr>
          <w:sz w:val="21"/>
          <w:szCs w:val="21"/>
        </w:rPr>
      </w:pPr>
      <w:r>
        <w:rPr>
          <w:rFonts w:hint="eastAsia"/>
          <w:sz w:val="21"/>
          <w:szCs w:val="21"/>
        </w:rPr>
        <w:t>按单项计提坏账准备的说明：</w:t>
      </w:r>
    </w:p>
    <w:sdt>
      <w:sdtPr>
        <w:alias w:val="是否适用：按单项计提坏账准备的应收账款说明[双击切换]"/>
        <w:tag w:val="_GBC_e665d0e996124f458355f06bf32118ca"/>
        <w:id w:val="-1044216858"/>
        <w:lock w:val="sdtLocked"/>
        <w:placeholder>
          <w:docPart w:val="GBC22222222222222222222222222222"/>
        </w:placeholder>
      </w:sdtPr>
      <w:sdtEndPr/>
      <w:sdtContent>
        <w:p w:rsidR="004A3868" w:rsidRDefault="003F1AB5">
          <w:pPr>
            <w:pStyle w:val="Style842"/>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42" w:displacedByCustomXml="next"/>
    <w:sdt>
      <w:sdtPr>
        <w:rPr>
          <w:rFonts w:hint="eastAsia"/>
        </w:rPr>
        <w:tag w:val="_PLD_21b31dda4e9f44bd901ccb9e126e1392"/>
        <w:id w:val="2084182898"/>
        <w:placeholder>
          <w:docPart w:val="GBC22222222222222222222222222222"/>
        </w:placeholder>
      </w:sdtPr>
      <w:sdtEndPr/>
      <w:sdtContent>
        <w:p w:rsidR="004A3868" w:rsidRDefault="003F1AB5">
          <w:pPr>
            <w:pStyle w:val="Style842"/>
          </w:pPr>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544260898"/>
        <w:lock w:val="conten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842"/>
      </w:pPr>
      <w:r>
        <w:rPr>
          <w:rFonts w:hint="eastAsia"/>
          <w:sz w:val="21"/>
          <w:szCs w:val="21"/>
        </w:rPr>
        <w:t>组合计提项目：</w:t>
      </w:r>
      <w:sdt>
        <w:sdtPr>
          <w:rPr>
            <w:rFonts w:hint="eastAsia"/>
            <w:sz w:val="21"/>
            <w:szCs w:val="21"/>
          </w:rPr>
          <w:alias w:val="按组合计提坏账准备的应收账款明细-组合名称"/>
          <w:tag w:val="_GBC_a99af83acd7e492a99d5eed2536b8adb"/>
          <w:id w:val="1420987088"/>
          <w:lock w:val="sdtLocked"/>
          <w:placeholder>
            <w:docPart w:val="GBC22222222222222222222222222222"/>
          </w:placeholder>
          <w:comboBox>
            <w:listItem w:displayText="账龄组合" w:value="账龄组合"/>
          </w:comboBox>
        </w:sdtPr>
        <w:sdtEndPr/>
        <w:sdtContent>
          <w:r>
            <w:rPr>
              <w:rFonts w:hint="eastAsia"/>
              <w:sz w:val="21"/>
              <w:szCs w:val="21"/>
            </w:rPr>
            <w:t>账龄组合</w:t>
          </w:r>
        </w:sdtContent>
      </w:sdt>
    </w:p>
    <w:p w:rsidR="004A3868" w:rsidRDefault="003F1AB5">
      <w:pPr>
        <w:pStyle w:val="afff5"/>
      </w:pPr>
      <w:r>
        <w:rPr>
          <w:rFonts w:hint="eastAsia"/>
        </w:rPr>
        <w:t>单位：</w:t>
      </w:r>
      <w:sdt>
        <w:sdtPr>
          <w:rPr>
            <w:rFonts w:hint="eastAsia"/>
          </w:rPr>
          <w:alias w:val="单位：按组合计提坏账准备的应收账款详细情况"/>
          <w:tag w:val="_GBC_048426f3fbc6488d9ff13660d47dce88"/>
          <w:id w:val="-13352309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986710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043"/>
        <w:gridCol w:w="2252"/>
        <w:gridCol w:w="2292"/>
        <w:gridCol w:w="2236"/>
      </w:tblGrid>
      <w:tr w:rsidR="004A3868">
        <w:trPr>
          <w:trHeight w:val="397"/>
          <w:jc w:val="center"/>
        </w:trPr>
        <w:sdt>
          <w:sdtPr>
            <w:tag w:val="_PLD_76fac25a376f4d4b884d95c8c8b4cdbd"/>
            <w:id w:val="-1698220109"/>
          </w:sdtPr>
          <w:sdtEndPr/>
          <w:sdtContent>
            <w:tc>
              <w:tcPr>
                <w:tcW w:w="1158" w:type="pct"/>
                <w:vMerge w:val="restart"/>
                <w:vAlign w:val="center"/>
              </w:tcPr>
              <w:p w:rsidR="004A3868" w:rsidRDefault="003F1AB5">
                <w:pPr>
                  <w:pStyle w:val="afffb"/>
                </w:pPr>
                <w:r>
                  <w:rPr>
                    <w:rFonts w:hint="eastAsia"/>
                  </w:rPr>
                  <w:t>名称</w:t>
                </w:r>
              </w:p>
            </w:tc>
          </w:sdtContent>
        </w:sdt>
        <w:sdt>
          <w:sdtPr>
            <w:tag w:val="_PLD_2ea73da2ba22410090605fad4228c06a"/>
            <w:id w:val="453452274"/>
          </w:sdtPr>
          <w:sdtEndPr/>
          <w:sdtContent>
            <w:tc>
              <w:tcPr>
                <w:tcW w:w="3842" w:type="pct"/>
                <w:gridSpan w:val="3"/>
                <w:vAlign w:val="center"/>
              </w:tcPr>
              <w:p w:rsidR="004A3868" w:rsidRDefault="003F1AB5">
                <w:pPr>
                  <w:pStyle w:val="afffb"/>
                </w:pPr>
                <w:r>
                  <w:rPr>
                    <w:rFonts w:hint="eastAsia"/>
                  </w:rPr>
                  <w:t>期末余额</w:t>
                </w:r>
              </w:p>
            </w:tc>
          </w:sdtContent>
        </w:sdt>
      </w:tr>
      <w:tr w:rsidR="004A3868">
        <w:trPr>
          <w:trHeight w:val="397"/>
          <w:jc w:val="center"/>
        </w:trPr>
        <w:tc>
          <w:tcPr>
            <w:tcW w:w="1158" w:type="pct"/>
            <w:vMerge/>
            <w:vAlign w:val="center"/>
          </w:tcPr>
          <w:p w:rsidR="004A3868" w:rsidRDefault="004A3868">
            <w:pPr>
              <w:pStyle w:val="afffb"/>
            </w:pPr>
          </w:p>
        </w:tc>
        <w:sdt>
          <w:sdtPr>
            <w:tag w:val="_PLD_841eb33e3b60464dbe6b3cefac602503"/>
            <w:id w:val="-1681882067"/>
          </w:sdtPr>
          <w:sdtEndPr/>
          <w:sdtContent>
            <w:tc>
              <w:tcPr>
                <w:tcW w:w="1276" w:type="pct"/>
                <w:vAlign w:val="center"/>
              </w:tcPr>
              <w:p w:rsidR="004A3868" w:rsidRDefault="003F1AB5">
                <w:pPr>
                  <w:pStyle w:val="afffb"/>
                </w:pPr>
                <w:r>
                  <w:rPr>
                    <w:rFonts w:hint="eastAsia"/>
                  </w:rPr>
                  <w:t>应收账款</w:t>
                </w:r>
              </w:p>
            </w:tc>
          </w:sdtContent>
        </w:sdt>
        <w:sdt>
          <w:sdtPr>
            <w:tag w:val="_PLD_b28da65f0aac478c80ab20a817d350ac"/>
            <w:id w:val="336426923"/>
          </w:sdtPr>
          <w:sdtEndPr/>
          <w:sdtContent>
            <w:tc>
              <w:tcPr>
                <w:tcW w:w="1299" w:type="pct"/>
                <w:vAlign w:val="center"/>
              </w:tcPr>
              <w:p w:rsidR="004A3868" w:rsidRDefault="003F1AB5">
                <w:pPr>
                  <w:pStyle w:val="afffb"/>
                </w:pPr>
                <w:r>
                  <w:rPr>
                    <w:rFonts w:hint="eastAsia"/>
                  </w:rPr>
                  <w:t>坏账准备</w:t>
                </w:r>
              </w:p>
            </w:tc>
          </w:sdtContent>
        </w:sdt>
        <w:sdt>
          <w:sdtPr>
            <w:tag w:val="_PLD_98321f537bf94701b17705eae6c543e2"/>
            <w:id w:val="1207992462"/>
          </w:sdtPr>
          <w:sdtEndPr/>
          <w:sdtContent>
            <w:tc>
              <w:tcPr>
                <w:tcW w:w="1267" w:type="pct"/>
                <w:vAlign w:val="center"/>
              </w:tcPr>
              <w:p w:rsidR="004A3868" w:rsidRDefault="003F1AB5">
                <w:pPr>
                  <w:pStyle w:val="afffb"/>
                </w:pPr>
                <w:r>
                  <w:t>计提比例</w:t>
                </w:r>
                <w:r>
                  <w:rPr>
                    <w:rFonts w:hint="eastAsia"/>
                  </w:rPr>
                  <w:t>（%）</w:t>
                </w:r>
              </w:p>
            </w:tc>
          </w:sdtContent>
        </w:sdt>
      </w:tr>
      <w:tr w:rsidR="004A3868">
        <w:trPr>
          <w:trHeight w:val="397"/>
          <w:jc w:val="center"/>
        </w:trPr>
        <w:tc>
          <w:tcPr>
            <w:tcW w:w="1158" w:type="pct"/>
            <w:vAlign w:val="center"/>
          </w:tcPr>
          <w:p w:rsidR="004A3868" w:rsidRDefault="003F1AB5">
            <w:pPr>
              <w:pStyle w:val="afff9"/>
            </w:pPr>
            <w:r>
              <w:t>1</w:t>
            </w:r>
            <w:r>
              <w:t>年以内</w:t>
            </w:r>
          </w:p>
        </w:tc>
        <w:tc>
          <w:tcPr>
            <w:tcW w:w="1276" w:type="pct"/>
            <w:vAlign w:val="center"/>
          </w:tcPr>
          <w:p w:rsidR="004A3868" w:rsidRDefault="003F1AB5">
            <w:pPr>
              <w:pStyle w:val="afff7"/>
            </w:pPr>
            <w:r>
              <w:t>813,505,605.02</w:t>
            </w:r>
          </w:p>
        </w:tc>
        <w:tc>
          <w:tcPr>
            <w:tcW w:w="1299" w:type="pct"/>
            <w:vAlign w:val="center"/>
          </w:tcPr>
          <w:p w:rsidR="004A3868" w:rsidRDefault="003F1AB5">
            <w:pPr>
              <w:pStyle w:val="afff7"/>
            </w:pPr>
            <w:r>
              <w:t>40,675,280.25</w:t>
            </w:r>
          </w:p>
        </w:tc>
        <w:tc>
          <w:tcPr>
            <w:tcW w:w="1267" w:type="pct"/>
            <w:vAlign w:val="center"/>
          </w:tcPr>
          <w:p w:rsidR="004A3868" w:rsidRDefault="003F1AB5">
            <w:pPr>
              <w:pStyle w:val="afff7"/>
            </w:pPr>
            <w:r>
              <w:t>5</w:t>
            </w:r>
          </w:p>
        </w:tc>
      </w:tr>
      <w:tr w:rsidR="004A3868">
        <w:trPr>
          <w:trHeight w:val="397"/>
          <w:jc w:val="center"/>
        </w:trPr>
        <w:tc>
          <w:tcPr>
            <w:tcW w:w="1158" w:type="pct"/>
            <w:vAlign w:val="center"/>
          </w:tcPr>
          <w:p w:rsidR="004A3868" w:rsidRDefault="003F1AB5">
            <w:pPr>
              <w:pStyle w:val="afff9"/>
            </w:pPr>
            <w:r>
              <w:t>1</w:t>
            </w:r>
            <w:r>
              <w:t>－</w:t>
            </w:r>
            <w:r>
              <w:t>2</w:t>
            </w:r>
            <w:r>
              <w:t>年</w:t>
            </w:r>
          </w:p>
        </w:tc>
        <w:tc>
          <w:tcPr>
            <w:tcW w:w="1276" w:type="pct"/>
            <w:vAlign w:val="center"/>
          </w:tcPr>
          <w:p w:rsidR="004A3868" w:rsidRDefault="003F1AB5">
            <w:pPr>
              <w:pStyle w:val="afff7"/>
            </w:pPr>
            <w:r>
              <w:t>135,499,823.69</w:t>
            </w:r>
          </w:p>
        </w:tc>
        <w:tc>
          <w:tcPr>
            <w:tcW w:w="1299" w:type="pct"/>
            <w:vAlign w:val="center"/>
          </w:tcPr>
          <w:p w:rsidR="004A3868" w:rsidRDefault="003F1AB5">
            <w:pPr>
              <w:pStyle w:val="afff7"/>
            </w:pPr>
            <w:r>
              <w:t>13,549,982.37</w:t>
            </w:r>
          </w:p>
        </w:tc>
        <w:tc>
          <w:tcPr>
            <w:tcW w:w="1267" w:type="pct"/>
            <w:vAlign w:val="center"/>
          </w:tcPr>
          <w:p w:rsidR="004A3868" w:rsidRDefault="003F1AB5">
            <w:pPr>
              <w:pStyle w:val="afff7"/>
            </w:pPr>
            <w:r>
              <w:t>10</w:t>
            </w:r>
          </w:p>
        </w:tc>
      </w:tr>
      <w:tr w:rsidR="004A3868">
        <w:trPr>
          <w:trHeight w:val="397"/>
          <w:jc w:val="center"/>
        </w:trPr>
        <w:tc>
          <w:tcPr>
            <w:tcW w:w="1158" w:type="pct"/>
            <w:vAlign w:val="center"/>
          </w:tcPr>
          <w:p w:rsidR="004A3868" w:rsidRDefault="003F1AB5">
            <w:pPr>
              <w:pStyle w:val="afff9"/>
            </w:pPr>
            <w:r>
              <w:t>2</w:t>
            </w:r>
            <w:r>
              <w:t>－</w:t>
            </w:r>
            <w:r>
              <w:t>3</w:t>
            </w:r>
            <w:r>
              <w:t>年</w:t>
            </w:r>
          </w:p>
        </w:tc>
        <w:tc>
          <w:tcPr>
            <w:tcW w:w="1276" w:type="pct"/>
            <w:vAlign w:val="center"/>
          </w:tcPr>
          <w:p w:rsidR="004A3868" w:rsidRDefault="003F1AB5">
            <w:pPr>
              <w:pStyle w:val="afff7"/>
            </w:pPr>
            <w:r>
              <w:t>47,416,163.29</w:t>
            </w:r>
          </w:p>
        </w:tc>
        <w:tc>
          <w:tcPr>
            <w:tcW w:w="1299" w:type="pct"/>
            <w:vAlign w:val="center"/>
          </w:tcPr>
          <w:p w:rsidR="004A3868" w:rsidRDefault="003F1AB5">
            <w:pPr>
              <w:pStyle w:val="afff7"/>
            </w:pPr>
            <w:r>
              <w:t>9,483,232.66</w:t>
            </w:r>
          </w:p>
        </w:tc>
        <w:tc>
          <w:tcPr>
            <w:tcW w:w="1267" w:type="pct"/>
            <w:vAlign w:val="center"/>
          </w:tcPr>
          <w:p w:rsidR="004A3868" w:rsidRDefault="003F1AB5">
            <w:pPr>
              <w:pStyle w:val="afff7"/>
            </w:pPr>
            <w:r>
              <w:t>20</w:t>
            </w:r>
          </w:p>
        </w:tc>
      </w:tr>
      <w:tr w:rsidR="004A3868">
        <w:trPr>
          <w:trHeight w:val="397"/>
          <w:jc w:val="center"/>
        </w:trPr>
        <w:tc>
          <w:tcPr>
            <w:tcW w:w="1158" w:type="pct"/>
            <w:vAlign w:val="center"/>
          </w:tcPr>
          <w:p w:rsidR="004A3868" w:rsidRDefault="003F1AB5">
            <w:pPr>
              <w:pStyle w:val="afff9"/>
            </w:pPr>
            <w:r>
              <w:t>3</w:t>
            </w:r>
            <w:r>
              <w:t>－</w:t>
            </w:r>
            <w:r>
              <w:t>4</w:t>
            </w:r>
            <w:r>
              <w:t>年</w:t>
            </w:r>
          </w:p>
        </w:tc>
        <w:tc>
          <w:tcPr>
            <w:tcW w:w="1276" w:type="pct"/>
            <w:vAlign w:val="center"/>
          </w:tcPr>
          <w:p w:rsidR="004A3868" w:rsidRDefault="003F1AB5">
            <w:pPr>
              <w:pStyle w:val="afff7"/>
            </w:pPr>
            <w:r>
              <w:t>28,258,244.51</w:t>
            </w:r>
          </w:p>
        </w:tc>
        <w:tc>
          <w:tcPr>
            <w:tcW w:w="1299" w:type="pct"/>
            <w:vAlign w:val="center"/>
          </w:tcPr>
          <w:p w:rsidR="004A3868" w:rsidRDefault="003F1AB5">
            <w:pPr>
              <w:pStyle w:val="afff7"/>
            </w:pPr>
            <w:r>
              <w:t>8,477,473.35</w:t>
            </w:r>
          </w:p>
        </w:tc>
        <w:tc>
          <w:tcPr>
            <w:tcW w:w="1267" w:type="pct"/>
            <w:vAlign w:val="center"/>
          </w:tcPr>
          <w:p w:rsidR="004A3868" w:rsidRDefault="003F1AB5">
            <w:pPr>
              <w:pStyle w:val="afff7"/>
            </w:pPr>
            <w:r>
              <w:t>30</w:t>
            </w:r>
          </w:p>
        </w:tc>
      </w:tr>
      <w:tr w:rsidR="004A3868">
        <w:trPr>
          <w:trHeight w:val="397"/>
          <w:jc w:val="center"/>
        </w:trPr>
        <w:tc>
          <w:tcPr>
            <w:tcW w:w="1158" w:type="pct"/>
            <w:vAlign w:val="center"/>
          </w:tcPr>
          <w:p w:rsidR="004A3868" w:rsidRDefault="003F1AB5">
            <w:pPr>
              <w:pStyle w:val="afff9"/>
            </w:pPr>
            <w:r>
              <w:t>4</w:t>
            </w:r>
            <w:r>
              <w:t>－</w:t>
            </w:r>
            <w:r>
              <w:t>5</w:t>
            </w:r>
            <w:r>
              <w:t>年</w:t>
            </w:r>
          </w:p>
        </w:tc>
        <w:tc>
          <w:tcPr>
            <w:tcW w:w="1276" w:type="pct"/>
            <w:vAlign w:val="center"/>
          </w:tcPr>
          <w:p w:rsidR="004A3868" w:rsidRDefault="003F1AB5">
            <w:pPr>
              <w:pStyle w:val="afff7"/>
            </w:pPr>
            <w:r>
              <w:t>9,684,293.05</w:t>
            </w:r>
          </w:p>
        </w:tc>
        <w:tc>
          <w:tcPr>
            <w:tcW w:w="1299" w:type="pct"/>
            <w:vAlign w:val="center"/>
          </w:tcPr>
          <w:p w:rsidR="004A3868" w:rsidRDefault="003F1AB5">
            <w:pPr>
              <w:pStyle w:val="afff7"/>
            </w:pPr>
            <w:r>
              <w:t>4,842,146.53</w:t>
            </w:r>
          </w:p>
        </w:tc>
        <w:tc>
          <w:tcPr>
            <w:tcW w:w="1267" w:type="pct"/>
            <w:vAlign w:val="center"/>
          </w:tcPr>
          <w:p w:rsidR="004A3868" w:rsidRDefault="003F1AB5">
            <w:pPr>
              <w:pStyle w:val="afff7"/>
            </w:pPr>
            <w:r>
              <w:t>50</w:t>
            </w:r>
          </w:p>
        </w:tc>
      </w:tr>
      <w:tr w:rsidR="004A3868">
        <w:trPr>
          <w:trHeight w:val="397"/>
          <w:jc w:val="center"/>
        </w:trPr>
        <w:tc>
          <w:tcPr>
            <w:tcW w:w="1158" w:type="pct"/>
            <w:vAlign w:val="center"/>
          </w:tcPr>
          <w:p w:rsidR="004A3868" w:rsidRDefault="003F1AB5">
            <w:pPr>
              <w:pStyle w:val="afff9"/>
            </w:pPr>
            <w:r>
              <w:t>5</w:t>
            </w:r>
            <w:r>
              <w:t>年以上</w:t>
            </w:r>
          </w:p>
        </w:tc>
        <w:tc>
          <w:tcPr>
            <w:tcW w:w="1276" w:type="pct"/>
            <w:vAlign w:val="center"/>
          </w:tcPr>
          <w:p w:rsidR="004A3868" w:rsidRDefault="003F1AB5">
            <w:pPr>
              <w:pStyle w:val="afff7"/>
            </w:pPr>
            <w:r>
              <w:t>7,748,274.57</w:t>
            </w:r>
          </w:p>
        </w:tc>
        <w:tc>
          <w:tcPr>
            <w:tcW w:w="1299" w:type="pct"/>
            <w:vAlign w:val="center"/>
          </w:tcPr>
          <w:p w:rsidR="004A3868" w:rsidRDefault="003F1AB5">
            <w:pPr>
              <w:pStyle w:val="afff7"/>
            </w:pPr>
            <w:r>
              <w:t>7,748,274.57</w:t>
            </w:r>
          </w:p>
        </w:tc>
        <w:tc>
          <w:tcPr>
            <w:tcW w:w="1267" w:type="pct"/>
            <w:vAlign w:val="center"/>
          </w:tcPr>
          <w:p w:rsidR="004A3868" w:rsidRDefault="003F1AB5">
            <w:pPr>
              <w:pStyle w:val="afff7"/>
            </w:pPr>
            <w:r>
              <w:t>100</w:t>
            </w:r>
          </w:p>
        </w:tc>
      </w:tr>
      <w:tr w:rsidR="004A3868">
        <w:trPr>
          <w:trHeight w:val="397"/>
          <w:jc w:val="center"/>
        </w:trPr>
        <w:tc>
          <w:tcPr>
            <w:tcW w:w="1158" w:type="pct"/>
            <w:vAlign w:val="center"/>
          </w:tcPr>
          <w:p w:rsidR="004A3868" w:rsidRDefault="003F1AB5">
            <w:pPr>
              <w:pStyle w:val="afff9"/>
            </w:pPr>
            <w:r>
              <w:rPr>
                <w:rFonts w:hint="eastAsia"/>
              </w:rPr>
              <w:t>合计</w:t>
            </w:r>
          </w:p>
        </w:tc>
        <w:tc>
          <w:tcPr>
            <w:tcW w:w="1276" w:type="pct"/>
            <w:vAlign w:val="center"/>
          </w:tcPr>
          <w:p w:rsidR="004A3868" w:rsidRDefault="003F1AB5">
            <w:pPr>
              <w:pStyle w:val="afff7"/>
            </w:pPr>
            <w:r>
              <w:t>1,042,112,404.13</w:t>
            </w:r>
          </w:p>
        </w:tc>
        <w:tc>
          <w:tcPr>
            <w:tcW w:w="1299" w:type="pct"/>
            <w:vAlign w:val="center"/>
          </w:tcPr>
          <w:p w:rsidR="004A3868" w:rsidRDefault="003F1AB5">
            <w:pPr>
              <w:pStyle w:val="afff7"/>
            </w:pPr>
            <w:r>
              <w:t>84,776,389.73</w:t>
            </w:r>
          </w:p>
        </w:tc>
        <w:tc>
          <w:tcPr>
            <w:tcW w:w="1267" w:type="pct"/>
            <w:vAlign w:val="center"/>
          </w:tcPr>
          <w:p w:rsidR="004A3868" w:rsidRDefault="003F1AB5">
            <w:pPr>
              <w:pStyle w:val="afff7"/>
            </w:pPr>
            <w:r>
              <w:t>8.14</w:t>
            </w:r>
          </w:p>
        </w:tc>
      </w:tr>
    </w:tbl>
    <w:p w:rsidR="004A3868" w:rsidRDefault="004A3868">
      <w:pPr>
        <w:pStyle w:val="Style124"/>
      </w:pPr>
    </w:p>
    <w:p w:rsidR="004A3868" w:rsidRDefault="003F1AB5">
      <w:pPr>
        <w:rPr>
          <w:sz w:val="18"/>
          <w:szCs w:val="18"/>
        </w:rPr>
      </w:pPr>
      <w:r>
        <w:rPr>
          <w:rFonts w:hint="eastAsia"/>
          <w:sz w:val="18"/>
          <w:szCs w:val="18"/>
        </w:rPr>
        <w:t>按组合计提坏账准备的说明：</w:t>
      </w:r>
    </w:p>
    <w:sdt>
      <w:sdtPr>
        <w:alias w:val="是否适用：按组合计提坏账准备的应收账款确认标准[双击切换]"/>
        <w:tag w:val="_GBC_d256dc36994548098f599f5c34cca3f5"/>
        <w:id w:val="471791403"/>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按预期信用损失一般模型计提坏账准备</w:t>
      </w:r>
    </w:p>
    <w:bookmarkStart w:id="143" w:name="_Hlk153357523" w:displacedByCustomXml="next"/>
    <w:bookmarkStart w:id="144" w:name="_Hlk154134618" w:displacedByCustomXml="next"/>
    <w:sdt>
      <w:sdtPr>
        <w:rPr>
          <w:sz w:val="21"/>
          <w:szCs w:val="21"/>
        </w:rPr>
        <w:alias w:val="是否适用：按预期信用损失一般模型计提坏账准备[双击切换]"/>
        <w:tag w:val="_GBC_8d4cb2336033407eaff135a13955b32a"/>
        <w:id w:val="-201135775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各阶段划分依据和坏账准备计提比例</w:t>
      </w:r>
    </w:p>
    <w:sdt>
      <w:sdtPr>
        <w:rPr>
          <w:sz w:val="21"/>
          <w:szCs w:val="21"/>
        </w:rPr>
        <w:alias w:val="各阶段划分依据和坏账准备计提比例"/>
        <w:tag w:val="_GBC_fefa2e57cd9349fba804e9f0aa553bb9"/>
        <w:id w:val="500787307"/>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80"/>
        <w:rPr>
          <w:sz w:val="21"/>
          <w:szCs w:val="21"/>
        </w:rPr>
      </w:pPr>
      <w:r>
        <w:rPr>
          <w:rFonts w:hint="eastAsia"/>
          <w:sz w:val="21"/>
          <w:szCs w:val="21"/>
        </w:rPr>
        <w:t>对本期发生损失准备变动的应收账款账面余额显著变动的情况说明：</w:t>
      </w:r>
    </w:p>
    <w:sdt>
      <w:sdtPr>
        <w:rPr>
          <w:sz w:val="21"/>
          <w:szCs w:val="21"/>
        </w:rPr>
        <w:alias w:val="是否适用：对本期发生损失准备变动的账面余额显著变动的情况说明[双击切换]"/>
        <w:tag w:val="_GBC_253db3108f924621ad49e8a14b359867"/>
        <w:id w:val="61618594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3"/>
          <w:numId w:val="66"/>
        </w:numPr>
      </w:pPr>
      <w:bookmarkStart w:id="145" w:name="_Hlk532991911"/>
      <w:bookmarkEnd w:id="144"/>
      <w:bookmarkEnd w:id="143"/>
      <w:r>
        <w:rPr>
          <w:rFonts w:hint="eastAsia"/>
        </w:rPr>
        <w:t>坏账准备的情况</w:t>
      </w:r>
    </w:p>
    <w:sdt>
      <w:sdtPr>
        <w:alias w:val="是否适用：应收账款坏账准备[双击切换]"/>
        <w:tag w:val="_GBC_9f417fa21150444abc4efab15ee99d53"/>
        <w:id w:val="1530986355"/>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应收账款坏账准备"/>
          <w:tag w:val="_GBC_c27d9b760b54449682d5a777e36369c3"/>
          <w:id w:val="13869880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应收账款坏账准备"/>
          <w:tag w:val="_GBC_0ea3ceddf10d4313a5111e5088ac98cf"/>
          <w:id w:val="-11094301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844"/>
        <w:gridCol w:w="1419"/>
        <w:gridCol w:w="1558"/>
        <w:gridCol w:w="1419"/>
        <w:gridCol w:w="1276"/>
        <w:gridCol w:w="708"/>
        <w:gridCol w:w="1599"/>
      </w:tblGrid>
      <w:tr w:rsidR="004A3868">
        <w:trPr>
          <w:trHeight w:val="397"/>
          <w:jc w:val="center"/>
        </w:trPr>
        <w:sdt>
          <w:sdtPr>
            <w:tag w:val="_PLD_4744c2787819466dad3d228aea9d34a1"/>
            <w:id w:val="554830356"/>
            <w:lock w:val="sdtLocked"/>
          </w:sdtPr>
          <w:sdtEndPr/>
          <w:sdtContent>
            <w:tc>
              <w:tcPr>
                <w:tcW w:w="479" w:type="pct"/>
                <w:vMerge w:val="restart"/>
                <w:shd w:val="clear" w:color="auto" w:fill="FFFFFF"/>
                <w:vAlign w:val="center"/>
              </w:tcPr>
              <w:p w:rsidR="004A3868" w:rsidRDefault="003F1AB5">
                <w:pPr>
                  <w:pStyle w:val="afffb"/>
                </w:pPr>
                <w:r>
                  <w:t>类别</w:t>
                </w:r>
              </w:p>
            </w:tc>
          </w:sdtContent>
        </w:sdt>
        <w:sdt>
          <w:sdtPr>
            <w:tag w:val="_PLD_c730e797b90345869cdb1a0f449d27c4"/>
            <w:id w:val="-301001080"/>
            <w:lock w:val="sdtLocked"/>
          </w:sdtPr>
          <w:sdtEndPr/>
          <w:sdtContent>
            <w:tc>
              <w:tcPr>
                <w:tcW w:w="804" w:type="pct"/>
                <w:vMerge w:val="restart"/>
                <w:shd w:val="clear" w:color="auto" w:fill="FFFFFF"/>
                <w:vAlign w:val="center"/>
              </w:tcPr>
              <w:p w:rsidR="004A3868" w:rsidRDefault="003F1AB5">
                <w:pPr>
                  <w:pStyle w:val="afffb"/>
                </w:pPr>
                <w:r>
                  <w:t>期初余额</w:t>
                </w:r>
              </w:p>
            </w:tc>
          </w:sdtContent>
        </w:sdt>
        <w:sdt>
          <w:sdtPr>
            <w:tag w:val="_PLD_b648ee5a72ff43aabfa5e5467354f612"/>
            <w:id w:val="-1635318542"/>
            <w:lock w:val="sdtLocked"/>
          </w:sdtPr>
          <w:sdtEndPr/>
          <w:sdtContent>
            <w:tc>
              <w:tcPr>
                <w:tcW w:w="2811" w:type="pct"/>
                <w:gridSpan w:val="4"/>
                <w:shd w:val="clear" w:color="auto" w:fill="FFFFFF"/>
                <w:vAlign w:val="center"/>
              </w:tcPr>
              <w:p w:rsidR="004A3868" w:rsidRDefault="003F1AB5">
                <w:pPr>
                  <w:pStyle w:val="afffb"/>
                </w:pPr>
                <w:r>
                  <w:rPr>
                    <w:rFonts w:hint="eastAsia"/>
                  </w:rPr>
                  <w:t>本期变动</w:t>
                </w:r>
                <w:r>
                  <w:t>金额</w:t>
                </w:r>
              </w:p>
            </w:tc>
          </w:sdtContent>
        </w:sdt>
        <w:sdt>
          <w:sdtPr>
            <w:tag w:val="_PLD_670842119a0446778c0343318379e7bb"/>
            <w:id w:val="-81690388"/>
            <w:lock w:val="sdtLocked"/>
          </w:sdtPr>
          <w:sdtEndPr>
            <w:rPr>
              <w:rStyle w:val="afffc"/>
              <w:rFonts w:cs="宋体"/>
              <w:sz w:val="18"/>
              <w:szCs w:val="18"/>
            </w:rPr>
          </w:sdtEndPr>
          <w:sdtContent>
            <w:tc>
              <w:tcPr>
                <w:tcW w:w="906" w:type="pct"/>
                <w:vMerge w:val="restart"/>
                <w:shd w:val="clear" w:color="auto" w:fill="FFFFFF"/>
                <w:vAlign w:val="center"/>
              </w:tcPr>
              <w:p w:rsidR="004A3868" w:rsidRDefault="003F1AB5">
                <w:pPr>
                  <w:pStyle w:val="afffb"/>
                </w:pPr>
                <w:r>
                  <w:rPr>
                    <w:rStyle w:val="afffc"/>
                    <w:sz w:val="18"/>
                    <w:szCs w:val="18"/>
                  </w:rPr>
                  <w:t>期末余额</w:t>
                </w:r>
              </w:p>
            </w:tc>
          </w:sdtContent>
        </w:sdt>
      </w:tr>
      <w:tr w:rsidR="004A3868">
        <w:trPr>
          <w:trHeight w:val="397"/>
          <w:jc w:val="center"/>
        </w:trPr>
        <w:tc>
          <w:tcPr>
            <w:tcW w:w="479" w:type="pct"/>
            <w:vMerge/>
            <w:shd w:val="clear" w:color="auto" w:fill="FFFFFF"/>
            <w:vAlign w:val="center"/>
          </w:tcPr>
          <w:p w:rsidR="004A3868" w:rsidRDefault="004A3868">
            <w:pPr>
              <w:pStyle w:val="afffb"/>
            </w:pPr>
          </w:p>
        </w:tc>
        <w:tc>
          <w:tcPr>
            <w:tcW w:w="804" w:type="pct"/>
            <w:vMerge/>
            <w:shd w:val="clear" w:color="auto" w:fill="FFFFFF"/>
            <w:vAlign w:val="center"/>
          </w:tcPr>
          <w:p w:rsidR="004A3868" w:rsidRDefault="004A3868">
            <w:pPr>
              <w:pStyle w:val="afffb"/>
            </w:pPr>
          </w:p>
        </w:tc>
        <w:sdt>
          <w:sdtPr>
            <w:tag w:val="_PLD_9f89b7b6eb974ea9b6438eecb96ab8d7"/>
            <w:id w:val="1090506959"/>
            <w:lock w:val="sdtLocked"/>
          </w:sdtPr>
          <w:sdtEndPr/>
          <w:sdtContent>
            <w:tc>
              <w:tcPr>
                <w:tcW w:w="883" w:type="pct"/>
                <w:shd w:val="clear" w:color="auto" w:fill="FFFFFF"/>
                <w:vAlign w:val="center"/>
              </w:tcPr>
              <w:p w:rsidR="004A3868" w:rsidRDefault="003F1AB5">
                <w:pPr>
                  <w:pStyle w:val="afffb"/>
                </w:pPr>
                <w:r>
                  <w:t>计提</w:t>
                </w:r>
              </w:p>
            </w:tc>
          </w:sdtContent>
        </w:sdt>
        <w:sdt>
          <w:sdtPr>
            <w:tag w:val="_PLD_d83025520e1c49cb905bac81a5fe67a9"/>
            <w:id w:val="-323661708"/>
            <w:lock w:val="sdtLocked"/>
          </w:sdtPr>
          <w:sdtEndPr/>
          <w:sdtContent>
            <w:tc>
              <w:tcPr>
                <w:tcW w:w="804" w:type="pct"/>
                <w:shd w:val="clear" w:color="auto" w:fill="FFFFFF"/>
                <w:vAlign w:val="center"/>
              </w:tcPr>
              <w:p w:rsidR="004A3868" w:rsidRDefault="003F1AB5">
                <w:pPr>
                  <w:pStyle w:val="afffb"/>
                </w:pPr>
                <w:r>
                  <w:rPr>
                    <w:rFonts w:hint="eastAsia"/>
                  </w:rPr>
                  <w:t>收回或转回</w:t>
                </w:r>
              </w:p>
            </w:tc>
          </w:sdtContent>
        </w:sdt>
        <w:tc>
          <w:tcPr>
            <w:tcW w:w="723" w:type="pct"/>
            <w:shd w:val="clear" w:color="auto" w:fill="FFFFFF"/>
            <w:vAlign w:val="center"/>
          </w:tcPr>
          <w:sdt>
            <w:sdtPr>
              <w:rPr>
                <w:rFonts w:hint="eastAsia"/>
              </w:rPr>
              <w:tag w:val="_PLD_43341cdf094c434589f9f5a4eeb8fb4a"/>
              <w:id w:val="-1023480233"/>
              <w:lock w:val="sdtLocked"/>
            </w:sdtPr>
            <w:sdtEndPr/>
            <w:sdtContent>
              <w:p w:rsidR="004A3868" w:rsidRDefault="003F1AB5">
                <w:pPr>
                  <w:pStyle w:val="afffb"/>
                </w:pPr>
                <w:r>
                  <w:rPr>
                    <w:rFonts w:hint="eastAsia"/>
                  </w:rPr>
                  <w:t>转销或核销</w:t>
                </w:r>
              </w:p>
            </w:sdtContent>
          </w:sdt>
        </w:tc>
        <w:tc>
          <w:tcPr>
            <w:tcW w:w="401" w:type="pct"/>
            <w:shd w:val="clear" w:color="auto" w:fill="FFFFFF"/>
            <w:vAlign w:val="center"/>
          </w:tcPr>
          <w:sdt>
            <w:sdtPr>
              <w:rPr>
                <w:rFonts w:hint="eastAsia"/>
              </w:rPr>
              <w:tag w:val="_PLD_4105509cd7cf412981897dd91879a014"/>
              <w:id w:val="-254219262"/>
              <w:lock w:val="sdtLocked"/>
            </w:sdtPr>
            <w:sdtEndPr/>
            <w:sdtContent>
              <w:p w:rsidR="004A3868" w:rsidRDefault="003F1AB5">
                <w:pPr>
                  <w:pStyle w:val="afffb"/>
                </w:pPr>
                <w:r>
                  <w:rPr>
                    <w:rFonts w:hint="eastAsia"/>
                  </w:rPr>
                  <w:t>其他变动</w:t>
                </w:r>
              </w:p>
            </w:sdtContent>
          </w:sdt>
        </w:tc>
        <w:tc>
          <w:tcPr>
            <w:tcW w:w="906" w:type="pct"/>
            <w:vMerge/>
            <w:shd w:val="clear" w:color="auto" w:fill="FFFFFF"/>
            <w:vAlign w:val="center"/>
          </w:tcPr>
          <w:p w:rsidR="004A3868" w:rsidRDefault="004A3868">
            <w:pPr>
              <w:rPr>
                <w:sz w:val="18"/>
                <w:szCs w:val="18"/>
              </w:rPr>
            </w:pPr>
          </w:p>
        </w:tc>
      </w:tr>
      <w:tr w:rsidR="004A3868">
        <w:trPr>
          <w:trHeight w:val="397"/>
          <w:jc w:val="center"/>
        </w:trPr>
        <w:tc>
          <w:tcPr>
            <w:tcW w:w="479" w:type="pct"/>
            <w:shd w:val="clear" w:color="auto" w:fill="auto"/>
            <w:vAlign w:val="center"/>
          </w:tcPr>
          <w:p w:rsidR="004A3868" w:rsidRDefault="003F1AB5">
            <w:pPr>
              <w:pStyle w:val="afff9"/>
            </w:pPr>
            <w:r>
              <w:t>按单项计提坏账准备</w:t>
            </w:r>
          </w:p>
        </w:tc>
        <w:tc>
          <w:tcPr>
            <w:tcW w:w="804" w:type="pct"/>
            <w:shd w:val="clear" w:color="auto" w:fill="auto"/>
            <w:vAlign w:val="center"/>
          </w:tcPr>
          <w:p w:rsidR="004A3868" w:rsidRDefault="003F1AB5">
            <w:pPr>
              <w:pStyle w:val="afff7"/>
            </w:pPr>
            <w:r>
              <w:t>22,783,908.57</w:t>
            </w:r>
          </w:p>
        </w:tc>
        <w:tc>
          <w:tcPr>
            <w:tcW w:w="883" w:type="pct"/>
            <w:shd w:val="clear" w:color="auto" w:fill="auto"/>
            <w:vAlign w:val="center"/>
          </w:tcPr>
          <w:p w:rsidR="004A3868" w:rsidRDefault="003F1AB5">
            <w:pPr>
              <w:pStyle w:val="afff7"/>
            </w:pPr>
            <w:r>
              <w:t>7,620,877.24</w:t>
            </w:r>
          </w:p>
        </w:tc>
        <w:tc>
          <w:tcPr>
            <w:tcW w:w="804" w:type="pct"/>
            <w:shd w:val="clear" w:color="auto" w:fill="auto"/>
            <w:vAlign w:val="center"/>
          </w:tcPr>
          <w:p w:rsidR="004A3868" w:rsidRDefault="003F1AB5">
            <w:pPr>
              <w:pStyle w:val="afff7"/>
            </w:pPr>
            <w:r>
              <w:t>2,600,630.94</w:t>
            </w:r>
          </w:p>
        </w:tc>
        <w:tc>
          <w:tcPr>
            <w:tcW w:w="723" w:type="pct"/>
            <w:vAlign w:val="center"/>
          </w:tcPr>
          <w:p w:rsidR="004A3868" w:rsidRDefault="003F1AB5">
            <w:pPr>
              <w:pStyle w:val="afff7"/>
            </w:pPr>
            <w:r>
              <w:t>363,338.43</w:t>
            </w:r>
          </w:p>
        </w:tc>
        <w:tc>
          <w:tcPr>
            <w:tcW w:w="401" w:type="pct"/>
            <w:vAlign w:val="center"/>
          </w:tcPr>
          <w:p w:rsidR="004A3868" w:rsidRDefault="003F1AB5">
            <w:pPr>
              <w:pStyle w:val="afff7"/>
            </w:pPr>
            <w:r>
              <w:t xml:space="preserve">　</w:t>
            </w:r>
          </w:p>
        </w:tc>
        <w:tc>
          <w:tcPr>
            <w:tcW w:w="906" w:type="pct"/>
            <w:shd w:val="clear" w:color="auto" w:fill="auto"/>
            <w:vAlign w:val="center"/>
          </w:tcPr>
          <w:p w:rsidR="004A3868" w:rsidRDefault="003F1AB5">
            <w:pPr>
              <w:pStyle w:val="afff7"/>
            </w:pPr>
            <w:r>
              <w:t>27,440,816.44</w:t>
            </w:r>
          </w:p>
        </w:tc>
      </w:tr>
      <w:tr w:rsidR="004A3868">
        <w:trPr>
          <w:trHeight w:val="397"/>
          <w:jc w:val="center"/>
        </w:trPr>
        <w:tc>
          <w:tcPr>
            <w:tcW w:w="479" w:type="pct"/>
            <w:shd w:val="clear" w:color="auto" w:fill="auto"/>
            <w:vAlign w:val="center"/>
          </w:tcPr>
          <w:p w:rsidR="004A3868" w:rsidRDefault="003F1AB5">
            <w:pPr>
              <w:pStyle w:val="afff9"/>
            </w:pPr>
            <w:r>
              <w:t>按组合计提坏账准备</w:t>
            </w:r>
          </w:p>
        </w:tc>
        <w:tc>
          <w:tcPr>
            <w:tcW w:w="804" w:type="pct"/>
            <w:shd w:val="clear" w:color="auto" w:fill="auto"/>
            <w:vAlign w:val="center"/>
          </w:tcPr>
          <w:p w:rsidR="004A3868" w:rsidRDefault="003F1AB5">
            <w:pPr>
              <w:pStyle w:val="afff7"/>
            </w:pPr>
            <w:r>
              <w:t>66,339,337.80</w:t>
            </w:r>
          </w:p>
        </w:tc>
        <w:tc>
          <w:tcPr>
            <w:tcW w:w="883" w:type="pct"/>
            <w:shd w:val="clear" w:color="auto" w:fill="auto"/>
            <w:vAlign w:val="center"/>
          </w:tcPr>
          <w:p w:rsidR="004A3868" w:rsidRDefault="003F1AB5">
            <w:pPr>
              <w:pStyle w:val="afff7"/>
            </w:pPr>
            <w:r>
              <w:t>18,663,484.92</w:t>
            </w:r>
          </w:p>
        </w:tc>
        <w:tc>
          <w:tcPr>
            <w:tcW w:w="804" w:type="pct"/>
            <w:shd w:val="clear" w:color="auto" w:fill="auto"/>
            <w:vAlign w:val="center"/>
          </w:tcPr>
          <w:p w:rsidR="004A3868" w:rsidRDefault="004A3868">
            <w:pPr>
              <w:pStyle w:val="afff7"/>
            </w:pPr>
          </w:p>
        </w:tc>
        <w:tc>
          <w:tcPr>
            <w:tcW w:w="723" w:type="pct"/>
            <w:vAlign w:val="center"/>
          </w:tcPr>
          <w:p w:rsidR="004A3868" w:rsidRDefault="003F1AB5">
            <w:pPr>
              <w:pStyle w:val="afff7"/>
            </w:pPr>
            <w:r>
              <w:t>226,433.00</w:t>
            </w:r>
          </w:p>
        </w:tc>
        <w:tc>
          <w:tcPr>
            <w:tcW w:w="401" w:type="pct"/>
            <w:vAlign w:val="center"/>
          </w:tcPr>
          <w:p w:rsidR="004A3868" w:rsidRDefault="004A3868">
            <w:pPr>
              <w:pStyle w:val="afff7"/>
            </w:pPr>
          </w:p>
        </w:tc>
        <w:tc>
          <w:tcPr>
            <w:tcW w:w="906" w:type="pct"/>
            <w:shd w:val="clear" w:color="auto" w:fill="auto"/>
            <w:vAlign w:val="center"/>
          </w:tcPr>
          <w:p w:rsidR="004A3868" w:rsidRDefault="003F1AB5">
            <w:pPr>
              <w:pStyle w:val="afff7"/>
            </w:pPr>
            <w:r>
              <w:t>84,776,389.72</w:t>
            </w:r>
          </w:p>
        </w:tc>
      </w:tr>
      <w:tr w:rsidR="004A3868">
        <w:trPr>
          <w:trHeight w:val="397"/>
          <w:jc w:val="center"/>
        </w:trPr>
        <w:tc>
          <w:tcPr>
            <w:tcW w:w="479" w:type="pct"/>
            <w:shd w:val="clear" w:color="auto" w:fill="auto"/>
            <w:vAlign w:val="center"/>
          </w:tcPr>
          <w:p w:rsidR="004A3868" w:rsidRDefault="003F1AB5">
            <w:pPr>
              <w:pStyle w:val="afff9"/>
            </w:pPr>
            <w:r>
              <w:rPr>
                <w:rFonts w:hint="eastAsia"/>
              </w:rPr>
              <w:t>合计</w:t>
            </w:r>
          </w:p>
        </w:tc>
        <w:tc>
          <w:tcPr>
            <w:tcW w:w="804" w:type="pct"/>
            <w:shd w:val="clear" w:color="auto" w:fill="auto"/>
            <w:vAlign w:val="center"/>
          </w:tcPr>
          <w:p w:rsidR="004A3868" w:rsidRDefault="003F1AB5">
            <w:pPr>
              <w:pStyle w:val="afff7"/>
            </w:pPr>
            <w:r>
              <w:t>89,123,246.37</w:t>
            </w:r>
          </w:p>
        </w:tc>
        <w:tc>
          <w:tcPr>
            <w:tcW w:w="883" w:type="pct"/>
            <w:shd w:val="clear" w:color="auto" w:fill="auto"/>
            <w:vAlign w:val="center"/>
          </w:tcPr>
          <w:p w:rsidR="004A3868" w:rsidRDefault="003F1AB5">
            <w:pPr>
              <w:pStyle w:val="afff7"/>
            </w:pPr>
            <w:r>
              <w:t>26,284,362.16</w:t>
            </w:r>
          </w:p>
        </w:tc>
        <w:tc>
          <w:tcPr>
            <w:tcW w:w="804" w:type="pct"/>
            <w:shd w:val="clear" w:color="auto" w:fill="auto"/>
            <w:vAlign w:val="center"/>
          </w:tcPr>
          <w:p w:rsidR="004A3868" w:rsidRDefault="003F1AB5">
            <w:pPr>
              <w:pStyle w:val="afff7"/>
            </w:pPr>
            <w:r>
              <w:t>2,600,630.94</w:t>
            </w:r>
          </w:p>
        </w:tc>
        <w:tc>
          <w:tcPr>
            <w:tcW w:w="723" w:type="pct"/>
            <w:vAlign w:val="center"/>
          </w:tcPr>
          <w:p w:rsidR="004A3868" w:rsidRDefault="003F1AB5">
            <w:pPr>
              <w:pStyle w:val="afff7"/>
            </w:pPr>
            <w:r>
              <w:t>589,771.43</w:t>
            </w:r>
          </w:p>
        </w:tc>
        <w:tc>
          <w:tcPr>
            <w:tcW w:w="401" w:type="pct"/>
            <w:vAlign w:val="center"/>
          </w:tcPr>
          <w:p w:rsidR="004A3868" w:rsidRDefault="004A3868">
            <w:pPr>
              <w:pStyle w:val="afff7"/>
            </w:pPr>
          </w:p>
        </w:tc>
        <w:tc>
          <w:tcPr>
            <w:tcW w:w="906" w:type="pct"/>
            <w:shd w:val="clear" w:color="auto" w:fill="auto"/>
            <w:vAlign w:val="center"/>
          </w:tcPr>
          <w:p w:rsidR="004A3868" w:rsidRDefault="003F1AB5">
            <w:pPr>
              <w:pStyle w:val="afff7"/>
            </w:pPr>
            <w:r>
              <w:t>112,217,206.16</w:t>
            </w:r>
          </w:p>
        </w:tc>
      </w:tr>
    </w:tbl>
    <w:p w:rsidR="004A3868" w:rsidRDefault="004A3868">
      <w:pPr>
        <w:pStyle w:val="Style124"/>
      </w:pPr>
    </w:p>
    <w:p w:rsidR="004A3868" w:rsidRDefault="003F1AB5">
      <w:pPr>
        <w:pStyle w:val="Style124"/>
      </w:pPr>
      <w:r>
        <w:rPr>
          <w:rFonts w:hint="eastAsia"/>
        </w:rPr>
        <w:t>其中本期坏账准备收回或转回金额重要的：</w:t>
      </w:r>
    </w:p>
    <w:bookmarkEnd w:id="145" w:displacedByCustomXml="next"/>
    <w:sdt>
      <w:sdtPr>
        <w:alias w:val="是否适用：其中本期坏账准备收回或转回金额重要的[双击切换]"/>
        <w:tag w:val="_GBC_6da74212535e450f9d1465f00dddd00b"/>
        <w:id w:val="1767657772"/>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highlight w:val="yellow"/>
        </w:rPr>
      </w:pPr>
      <w:r>
        <w:rPr>
          <w:rFonts w:hint="eastAsia"/>
        </w:rPr>
        <w:t>单位：</w:t>
      </w:r>
      <w:sdt>
        <w:sdtPr>
          <w:rPr>
            <w:rFonts w:hint="eastAsia"/>
          </w:rPr>
          <w:alias w:val="单位：本期转回或收回情况"/>
          <w:tag w:val="_GBC_d588682760704c0f914665020e456f9b"/>
          <w:id w:val="16866364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本期转回或收回情况"/>
          <w:tag w:val="_GBC_0588275b11e047d4acf6f4fdf22f587d"/>
          <w:id w:val="4883810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902"/>
        <w:gridCol w:w="1902"/>
        <w:gridCol w:w="1902"/>
        <w:gridCol w:w="1900"/>
      </w:tblGrid>
      <w:tr w:rsidR="004A3868">
        <w:sdt>
          <w:sdtPr>
            <w:tag w:val="_PLD_ac3fcb90eaea4da4aed0cb4c8e82e51b"/>
            <w:id w:val="1023058086"/>
            <w:lock w:val="sdtLocked"/>
          </w:sdtPr>
          <w:sdtEndPr/>
          <w:sdtContent>
            <w:tc>
              <w:tcPr>
                <w:tcW w:w="689" w:type="pct"/>
                <w:vAlign w:val="center"/>
              </w:tcPr>
              <w:p w:rsidR="004A3868" w:rsidRDefault="003F1AB5">
                <w:pPr>
                  <w:pStyle w:val="afffb"/>
                </w:pPr>
                <w:r>
                  <w:rPr>
                    <w:rFonts w:hint="eastAsia"/>
                  </w:rPr>
                  <w:t>单位名称</w:t>
                </w:r>
              </w:p>
            </w:tc>
          </w:sdtContent>
        </w:sdt>
        <w:sdt>
          <w:sdtPr>
            <w:tag w:val="_PLD_8e81b94af6544906a6a1ac7a3035f951"/>
            <w:id w:val="1954826925"/>
            <w:lock w:val="sdtLocked"/>
          </w:sdtPr>
          <w:sdtEndPr/>
          <w:sdtContent>
            <w:tc>
              <w:tcPr>
                <w:tcW w:w="1078" w:type="pct"/>
                <w:vAlign w:val="center"/>
              </w:tcPr>
              <w:p w:rsidR="004A3868" w:rsidRDefault="003F1AB5">
                <w:pPr>
                  <w:pStyle w:val="afffb"/>
                </w:pPr>
                <w:r>
                  <w:rPr>
                    <w:rFonts w:hint="eastAsia"/>
                  </w:rPr>
                  <w:t>收回或转回金额</w:t>
                </w:r>
              </w:p>
            </w:tc>
          </w:sdtContent>
        </w:sdt>
        <w:tc>
          <w:tcPr>
            <w:tcW w:w="1078" w:type="pct"/>
            <w:vAlign w:val="center"/>
          </w:tcPr>
          <w:sdt>
            <w:sdtPr>
              <w:rPr>
                <w:rFonts w:hint="eastAsia"/>
              </w:rPr>
              <w:tag w:val="_PLD_383e321a288848f8b8a5c1acefda2f15"/>
              <w:id w:val="290711579"/>
              <w:lock w:val="sdtLocked"/>
            </w:sdtPr>
            <w:sdtEndPr/>
            <w:sdtContent>
              <w:p w:rsidR="004A3868" w:rsidRDefault="003F1AB5">
                <w:pPr>
                  <w:pStyle w:val="afffb"/>
                </w:pPr>
                <w:r>
                  <w:rPr>
                    <w:rFonts w:hint="eastAsia"/>
                  </w:rPr>
                  <w:t>转回原因</w:t>
                </w:r>
              </w:p>
            </w:sdtContent>
          </w:sdt>
        </w:tc>
        <w:sdt>
          <w:sdtPr>
            <w:tag w:val="_PLD_07d37e8b445546679009ed599f886725"/>
            <w:id w:val="-1283344387"/>
            <w:lock w:val="sdtLocked"/>
          </w:sdtPr>
          <w:sdtEndPr/>
          <w:sdtContent>
            <w:tc>
              <w:tcPr>
                <w:tcW w:w="1078" w:type="pct"/>
                <w:vAlign w:val="center"/>
              </w:tcPr>
              <w:p w:rsidR="004A3868" w:rsidRDefault="003F1AB5">
                <w:pPr>
                  <w:pStyle w:val="afffb"/>
                </w:pPr>
                <w:r>
                  <w:rPr>
                    <w:rFonts w:hint="eastAsia"/>
                  </w:rPr>
                  <w:t>收回方式</w:t>
                </w:r>
              </w:p>
            </w:tc>
          </w:sdtContent>
        </w:sdt>
        <w:tc>
          <w:tcPr>
            <w:tcW w:w="1078" w:type="pct"/>
            <w:vAlign w:val="center"/>
          </w:tcPr>
          <w:sdt>
            <w:sdtPr>
              <w:rPr>
                <w:rFonts w:hint="eastAsia"/>
              </w:rPr>
              <w:tag w:val="_PLD_23c949a176bb47ddb9f8ceb88bea03b5"/>
              <w:id w:val="-813947514"/>
              <w:lock w:val="sdtLocked"/>
            </w:sdtPr>
            <w:sdtEndPr/>
            <w:sdtContent>
              <w:p w:rsidR="004A3868" w:rsidRDefault="003F1AB5">
                <w:pPr>
                  <w:pStyle w:val="afffb"/>
                </w:pPr>
                <w:r>
                  <w:rPr>
                    <w:rFonts w:hint="eastAsia"/>
                  </w:rPr>
                  <w:t>确定原坏账准备计提比例的依据及其合理性</w:t>
                </w:r>
              </w:p>
            </w:sdtContent>
          </w:sdt>
        </w:tc>
      </w:tr>
      <w:tr w:rsidR="004A3868">
        <w:tc>
          <w:tcPr>
            <w:tcW w:w="689" w:type="pct"/>
            <w:vAlign w:val="center"/>
          </w:tcPr>
          <w:p w:rsidR="004A3868" w:rsidRDefault="003F1AB5">
            <w:pPr>
              <w:pStyle w:val="afff9"/>
            </w:pPr>
            <w:r>
              <w:rPr>
                <w:rFonts w:hint="eastAsia"/>
              </w:rPr>
              <w:lastRenderedPageBreak/>
              <w:t>应收账款坏账转回或转销单位</w:t>
            </w:r>
            <w:r>
              <w:t>1</w:t>
            </w:r>
          </w:p>
        </w:tc>
        <w:tc>
          <w:tcPr>
            <w:tcW w:w="1078" w:type="pct"/>
            <w:vAlign w:val="center"/>
          </w:tcPr>
          <w:p w:rsidR="004A3868" w:rsidRDefault="003F1AB5">
            <w:pPr>
              <w:pStyle w:val="afffb"/>
            </w:pPr>
            <w:r>
              <w:t>1,610,000.00</w:t>
            </w:r>
          </w:p>
        </w:tc>
        <w:tc>
          <w:tcPr>
            <w:tcW w:w="1078" w:type="pct"/>
            <w:vAlign w:val="center"/>
          </w:tcPr>
          <w:p w:rsidR="004A3868" w:rsidRDefault="003F1AB5">
            <w:pPr>
              <w:pStyle w:val="afffb"/>
            </w:pPr>
            <w:r>
              <w:t>双方和解</w:t>
            </w:r>
          </w:p>
        </w:tc>
        <w:tc>
          <w:tcPr>
            <w:tcW w:w="1078" w:type="pct"/>
            <w:vAlign w:val="center"/>
          </w:tcPr>
          <w:p w:rsidR="004A3868" w:rsidRDefault="003F1AB5">
            <w:pPr>
              <w:pStyle w:val="afffb"/>
            </w:pPr>
            <w:r>
              <w:t>现金收回</w:t>
            </w:r>
          </w:p>
        </w:tc>
        <w:tc>
          <w:tcPr>
            <w:tcW w:w="1078" w:type="pct"/>
            <w:vAlign w:val="center"/>
          </w:tcPr>
          <w:p w:rsidR="004A3868" w:rsidRDefault="004A3868">
            <w:pPr>
              <w:pStyle w:val="afffb"/>
            </w:pPr>
          </w:p>
        </w:tc>
      </w:tr>
      <w:tr w:rsidR="004A3868">
        <w:tc>
          <w:tcPr>
            <w:tcW w:w="689" w:type="pct"/>
            <w:vAlign w:val="center"/>
          </w:tcPr>
          <w:p w:rsidR="004A3868" w:rsidRDefault="003F1AB5">
            <w:pPr>
              <w:pStyle w:val="afff9"/>
            </w:pPr>
            <w:r>
              <w:t>合计</w:t>
            </w:r>
          </w:p>
        </w:tc>
        <w:tc>
          <w:tcPr>
            <w:tcW w:w="1078" w:type="pct"/>
            <w:vAlign w:val="center"/>
          </w:tcPr>
          <w:p w:rsidR="004A3868" w:rsidRDefault="003F1AB5">
            <w:pPr>
              <w:pStyle w:val="afffb"/>
            </w:pPr>
            <w:r>
              <w:t>1,610,000.00</w:t>
            </w:r>
          </w:p>
        </w:tc>
        <w:tc>
          <w:tcPr>
            <w:tcW w:w="1078" w:type="pct"/>
          </w:tcPr>
          <w:p w:rsidR="004A3868" w:rsidRDefault="003F1AB5">
            <w:pPr>
              <w:pStyle w:val="afffb"/>
            </w:pPr>
            <w:r>
              <w:t>/</w:t>
            </w:r>
          </w:p>
        </w:tc>
        <w:tc>
          <w:tcPr>
            <w:tcW w:w="1078" w:type="pct"/>
          </w:tcPr>
          <w:p w:rsidR="004A3868" w:rsidRDefault="003F1AB5">
            <w:pPr>
              <w:pStyle w:val="afffb"/>
            </w:pPr>
            <w:r>
              <w:rPr>
                <w:rFonts w:hint="eastAsia"/>
              </w:rPr>
              <w:t>/</w:t>
            </w:r>
          </w:p>
        </w:tc>
        <w:tc>
          <w:tcPr>
            <w:tcW w:w="1078" w:type="pct"/>
          </w:tcPr>
          <w:p w:rsidR="004A3868" w:rsidRDefault="003F1AB5">
            <w:pPr>
              <w:pStyle w:val="afffb"/>
            </w:pPr>
            <w:r>
              <w:t>/</w:t>
            </w:r>
          </w:p>
        </w:tc>
      </w:tr>
    </w:tbl>
    <w:p w:rsidR="004A3868" w:rsidRDefault="004A3868">
      <w:pPr>
        <w:pStyle w:val="Style124"/>
      </w:pPr>
    </w:p>
    <w:p w:rsidR="004A3868" w:rsidRDefault="003F1AB5">
      <w:pPr>
        <w:pStyle w:val="Style124"/>
      </w:pPr>
      <w:r>
        <w:rPr>
          <w:rFonts w:hint="eastAsia"/>
        </w:rPr>
        <w:t>其他说明：</w:t>
      </w:r>
    </w:p>
    <w:sdt>
      <w:sdtPr>
        <w:alias w:val="应收账款坏账准备情况的说明"/>
        <w:tag w:val="_GBC_497841b0d4bf4697928b74836200c0fa"/>
        <w:id w:val="-881246998"/>
        <w:placeholder>
          <w:docPart w:val="GBC22222222222222222222222222222"/>
        </w:placeholder>
      </w:sdtPr>
      <w:sdtEndPr>
        <w:rPr>
          <w:sz w:val="21"/>
          <w:szCs w:val="21"/>
        </w:rPr>
      </w:sdtEndPr>
      <w:sdtContent>
        <w:p w:rsidR="004A3868" w:rsidRDefault="003F1AB5">
          <w:pPr>
            <w:rPr>
              <w:sz w:val="21"/>
              <w:szCs w:val="21"/>
            </w:rPr>
          </w:pPr>
          <w:r>
            <w:rPr>
              <w:rFonts w:hint="eastAsia"/>
              <w:sz w:val="21"/>
              <w:szCs w:val="21"/>
            </w:rPr>
            <w:t>无</w:t>
          </w:r>
        </w:p>
      </w:sdtContent>
    </w:sdt>
    <w:p w:rsidR="004A3868" w:rsidRDefault="003F1AB5">
      <w:pPr>
        <w:pStyle w:val="Style128"/>
        <w:numPr>
          <w:ilvl w:val="3"/>
          <w:numId w:val="66"/>
        </w:numPr>
      </w:pPr>
      <w:r>
        <w:t>本期实际核销的应收</w:t>
      </w:r>
      <w:r>
        <w:rPr>
          <w:rFonts w:hint="eastAsia"/>
        </w:rPr>
        <w:t>账款</w:t>
      </w:r>
      <w:r>
        <w:t>情况</w:t>
      </w:r>
    </w:p>
    <w:sdt>
      <w:sdtPr>
        <w:alias w:val="是否适用：本期实际核销的应收账款情况[双击切换]"/>
        <w:tag w:val="_GBC_a6ff40b990b34b00968a4938eac82a74"/>
        <w:id w:val="93155606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本报告期实际核销的应收款项情况"/>
          <w:tag w:val="_GBC_120829dd17474bb7a477e3113cdeaa92"/>
          <w:id w:val="-38228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本报告期实际核销的应收款项情况"/>
          <w:tag w:val="_GBC_23c46b534069436795b165d258eb279c"/>
          <w:id w:val="-7133404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4247"/>
        <w:gridCol w:w="4576"/>
      </w:tblGrid>
      <w:tr w:rsidR="004A3868">
        <w:trPr>
          <w:trHeight w:val="397"/>
          <w:jc w:val="center"/>
        </w:trPr>
        <w:sdt>
          <w:sdtPr>
            <w:tag w:val="_PLD_b31b4d2de9bc4878bfaf030b4ac7f864"/>
            <w:id w:val="-1948836245"/>
          </w:sdtPr>
          <w:sdtEndPr/>
          <w:sdtContent>
            <w:tc>
              <w:tcPr>
                <w:tcW w:w="2407" w:type="pct"/>
                <w:vAlign w:val="center"/>
              </w:tcPr>
              <w:p w:rsidR="004A3868" w:rsidRDefault="003F1AB5">
                <w:pPr>
                  <w:pStyle w:val="afffb"/>
                </w:pPr>
                <w:r>
                  <w:rPr>
                    <w:rFonts w:hint="eastAsia"/>
                  </w:rPr>
                  <w:t>项目</w:t>
                </w:r>
              </w:p>
            </w:tc>
          </w:sdtContent>
        </w:sdt>
        <w:sdt>
          <w:sdtPr>
            <w:tag w:val="_PLD_8157ba5967c14e4e821de564c4546b40"/>
            <w:id w:val="821540646"/>
          </w:sdtPr>
          <w:sdtEndPr/>
          <w:sdtContent>
            <w:tc>
              <w:tcPr>
                <w:tcW w:w="2593" w:type="pct"/>
                <w:vAlign w:val="center"/>
              </w:tcPr>
              <w:p w:rsidR="004A3868" w:rsidRDefault="003F1AB5">
                <w:pPr>
                  <w:pStyle w:val="afffb"/>
                </w:pPr>
                <w:r>
                  <w:rPr>
                    <w:rFonts w:hint="eastAsia"/>
                  </w:rPr>
                  <w:t>核销金额</w:t>
                </w:r>
              </w:p>
            </w:tc>
          </w:sdtContent>
        </w:sdt>
      </w:tr>
      <w:tr w:rsidR="004A3868">
        <w:trPr>
          <w:trHeight w:val="397"/>
          <w:jc w:val="center"/>
        </w:trPr>
        <w:tc>
          <w:tcPr>
            <w:tcW w:w="2407" w:type="pct"/>
            <w:vAlign w:val="center"/>
          </w:tcPr>
          <w:p w:rsidR="004A3868" w:rsidRDefault="003F1AB5">
            <w:pPr>
              <w:pStyle w:val="afffb"/>
            </w:pPr>
            <w:r>
              <w:rPr>
                <w:rFonts w:hint="eastAsia"/>
              </w:rPr>
              <w:t>实际核销的应收账款</w:t>
            </w:r>
          </w:p>
        </w:tc>
        <w:tc>
          <w:tcPr>
            <w:tcW w:w="2593" w:type="pct"/>
            <w:vAlign w:val="center"/>
          </w:tcPr>
          <w:p w:rsidR="004A3868" w:rsidRDefault="003F1AB5">
            <w:pPr>
              <w:pStyle w:val="afffb"/>
            </w:pPr>
            <w:r>
              <w:t>589,771.43</w:t>
            </w:r>
          </w:p>
        </w:tc>
      </w:tr>
    </w:tbl>
    <w:p w:rsidR="004A3868" w:rsidRDefault="004A3868">
      <w:pPr>
        <w:pStyle w:val="Style842"/>
      </w:pPr>
    </w:p>
    <w:p w:rsidR="004A3868" w:rsidRDefault="003F1AB5">
      <w:pPr>
        <w:rPr>
          <w:sz w:val="21"/>
          <w:szCs w:val="21"/>
        </w:rPr>
      </w:pPr>
      <w:r>
        <w:rPr>
          <w:rFonts w:hint="eastAsia"/>
          <w:sz w:val="21"/>
          <w:szCs w:val="21"/>
        </w:rPr>
        <w:t>其中重要的应收账款核销情况</w:t>
      </w:r>
    </w:p>
    <w:sdt>
      <w:sdtPr>
        <w:rPr>
          <w:sz w:val="21"/>
          <w:szCs w:val="21"/>
        </w:rPr>
        <w:alias w:val="是否适用：其中重要的应收账款核销情况[双击切换]"/>
        <w:tag w:val="_GBC_3c12c3e5b4fd4acda2beb7a5cacacd97"/>
        <w:id w:val="-210726129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应收账款核销说明：</w:t>
      </w:r>
    </w:p>
    <w:sdt>
      <w:sdtPr>
        <w:rPr>
          <w:sz w:val="21"/>
          <w:szCs w:val="21"/>
        </w:rPr>
        <w:alias w:val="是否适用：应收账款核销说明[双击切换]"/>
        <w:tag w:val="_GBC_e00d0b458c1b4b5f99d670e3f2a2b2e2"/>
        <w:id w:val="-111482253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3"/>
          <w:numId w:val="66"/>
        </w:numPr>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384d0a1c7eac41bb9693117cbe9c7e5b"/>
        <w:id w:val="912584592"/>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sz w:val="21"/>
          <w:szCs w:val="21"/>
        </w:rPr>
      </w:pPr>
      <w:r>
        <w:rPr>
          <w:rFonts w:hint="eastAsia"/>
          <w:sz w:val="21"/>
          <w:szCs w:val="21"/>
        </w:rPr>
        <w:t>单位：</w:t>
      </w:r>
      <w:sdt>
        <w:sdtPr>
          <w:rPr>
            <w:sz w:val="21"/>
            <w:szCs w:val="21"/>
          </w:rPr>
          <w:alias w:val="单位：财务附注：应收账款前五名欠款情况"/>
          <w:tag w:val="_GBC_95040abe54a0489f8b830082545a50f5"/>
          <w:id w:val="-9444647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应收账款前五名欠款情况"/>
          <w:tag w:val="_GBC_2e7ff062f76c406d86d744597244f24c"/>
          <w:id w:val="-9919539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849"/>
        <w:gridCol w:w="1181"/>
        <w:gridCol w:w="1775"/>
        <w:gridCol w:w="1181"/>
        <w:gridCol w:w="1655"/>
      </w:tblGrid>
      <w:tr w:rsidR="004A3868">
        <w:trPr>
          <w:cantSplit/>
        </w:trPr>
        <w:sdt>
          <w:sdtPr>
            <w:rPr>
              <w:rFonts w:hint="eastAsia"/>
            </w:rPr>
            <w:tag w:val="_PLD_393da722a1e6440ebfe654baf23b690e"/>
            <w:id w:val="-622856986"/>
            <w:lock w:val="sdtLocked"/>
          </w:sdtPr>
          <w:sdtEndPr/>
          <w:sdtContent>
            <w:tc>
              <w:tcPr>
                <w:tcW w:w="670" w:type="pct"/>
                <w:vAlign w:val="center"/>
              </w:tcPr>
              <w:p w:rsidR="004A3868" w:rsidRDefault="003F1AB5">
                <w:pPr>
                  <w:pStyle w:val="afffb"/>
                </w:pPr>
                <w:r>
                  <w:rPr>
                    <w:rFonts w:hint="eastAsia"/>
                  </w:rPr>
                  <w:t>单位名称</w:t>
                </w:r>
              </w:p>
            </w:tc>
          </w:sdtContent>
        </w:sdt>
        <w:sdt>
          <w:sdtPr>
            <w:rPr>
              <w:rFonts w:hint="eastAsia"/>
            </w:rPr>
            <w:tag w:val="_PLD_e14b89c8ccbc4e1fbb83ed437d4f7c27"/>
            <w:id w:val="-2019846928"/>
            <w:lock w:val="sdtLocked"/>
          </w:sdtPr>
          <w:sdtEndPr/>
          <w:sdtContent>
            <w:tc>
              <w:tcPr>
                <w:tcW w:w="1048" w:type="pct"/>
                <w:vAlign w:val="center"/>
              </w:tcPr>
              <w:p w:rsidR="004A3868" w:rsidRDefault="003F1AB5">
                <w:pPr>
                  <w:pStyle w:val="afffb"/>
                </w:pPr>
                <w:r>
                  <w:rPr>
                    <w:rFonts w:hint="eastAsia"/>
                  </w:rPr>
                  <w:t>应收账款期末余额</w:t>
                </w:r>
              </w:p>
            </w:tc>
          </w:sdtContent>
        </w:sdt>
        <w:sdt>
          <w:sdtPr>
            <w:rPr>
              <w:rFonts w:hint="eastAsia"/>
            </w:rPr>
            <w:tag w:val="_PLD_9e781bfbeaa241238adba8f92d150259"/>
            <w:id w:val="626132039"/>
            <w:lock w:val="sdtLocked"/>
          </w:sdtPr>
          <w:sdtEndPr/>
          <w:sdtContent>
            <w:tc>
              <w:tcPr>
                <w:tcW w:w="669" w:type="pct"/>
                <w:vAlign w:val="center"/>
              </w:tcPr>
              <w:p w:rsidR="004A3868" w:rsidRDefault="003F1AB5">
                <w:pPr>
                  <w:pStyle w:val="afffb"/>
                </w:pPr>
                <w:r>
                  <w:rPr>
                    <w:rFonts w:hint="eastAsia"/>
                  </w:rPr>
                  <w:t>合同资产期末余额</w:t>
                </w:r>
              </w:p>
            </w:tc>
          </w:sdtContent>
        </w:sdt>
        <w:sdt>
          <w:sdtPr>
            <w:rPr>
              <w:rFonts w:hint="eastAsia"/>
            </w:rPr>
            <w:tag w:val="_PLD_666c0ccb3f21467e9e36a3c674bf8485"/>
            <w:id w:val="1529450725"/>
            <w:lock w:val="sdtLocked"/>
          </w:sdtPr>
          <w:sdtEndPr/>
          <w:sdtContent>
            <w:tc>
              <w:tcPr>
                <w:tcW w:w="1006" w:type="pct"/>
                <w:vAlign w:val="center"/>
              </w:tcPr>
              <w:p w:rsidR="004A3868" w:rsidRDefault="003F1AB5">
                <w:pPr>
                  <w:pStyle w:val="afffb"/>
                </w:pPr>
                <w:r>
                  <w:rPr>
                    <w:rFonts w:hint="eastAsia"/>
                  </w:rPr>
                  <w:t>应收账款和合同资产期末余额</w:t>
                </w:r>
              </w:p>
            </w:tc>
          </w:sdtContent>
        </w:sdt>
        <w:sdt>
          <w:sdtPr>
            <w:rPr>
              <w:rFonts w:hint="eastAsia"/>
            </w:rPr>
            <w:tag w:val="_PLD_8b734501e3a344dda6644cb9d228c237"/>
            <w:id w:val="-203177691"/>
            <w:lock w:val="sdtLocked"/>
          </w:sdtPr>
          <w:sdtEndPr/>
          <w:sdtContent>
            <w:tc>
              <w:tcPr>
                <w:tcW w:w="669" w:type="pct"/>
                <w:vAlign w:val="center"/>
              </w:tcPr>
              <w:p w:rsidR="004A3868" w:rsidRDefault="003F1AB5">
                <w:pPr>
                  <w:pStyle w:val="afffb"/>
                </w:pPr>
                <w:r>
                  <w:rPr>
                    <w:rFonts w:hint="eastAsia"/>
                  </w:rPr>
                  <w:t>占应收账款和合同资产期末余额合计数的比例（%）</w:t>
                </w:r>
              </w:p>
            </w:tc>
          </w:sdtContent>
        </w:sdt>
        <w:sdt>
          <w:sdtPr>
            <w:rPr>
              <w:rFonts w:hint="eastAsia"/>
            </w:rPr>
            <w:tag w:val="_PLD_e198f1b6108c4fccacfc45ea46e8ff41"/>
            <w:id w:val="455154569"/>
            <w:lock w:val="sdtLocked"/>
          </w:sdtPr>
          <w:sdtEndPr/>
          <w:sdtContent>
            <w:tc>
              <w:tcPr>
                <w:tcW w:w="938" w:type="pct"/>
                <w:vAlign w:val="center"/>
              </w:tcPr>
              <w:p w:rsidR="004A3868" w:rsidRDefault="003F1AB5">
                <w:pPr>
                  <w:pStyle w:val="afffb"/>
                </w:pPr>
                <w:r>
                  <w:rPr>
                    <w:rFonts w:hint="eastAsia"/>
                  </w:rPr>
                  <w:t>坏账准备期末余额</w:t>
                </w:r>
              </w:p>
            </w:tc>
          </w:sdtContent>
        </w:sdt>
      </w:tr>
      <w:tr w:rsidR="004A3868">
        <w:trPr>
          <w:cantSplit/>
        </w:trPr>
        <w:tc>
          <w:tcPr>
            <w:tcW w:w="670" w:type="pct"/>
          </w:tcPr>
          <w:p w:rsidR="004A3868" w:rsidRDefault="003F1AB5">
            <w:pPr>
              <w:pStyle w:val="afff9"/>
            </w:pPr>
            <w:r>
              <w:rPr>
                <w:rFonts w:hint="eastAsia"/>
              </w:rPr>
              <w:t>应收账款余额前五名单位</w:t>
            </w:r>
            <w:r>
              <w:t>1</w:t>
            </w:r>
          </w:p>
        </w:tc>
        <w:tc>
          <w:tcPr>
            <w:tcW w:w="1048" w:type="pct"/>
            <w:vAlign w:val="center"/>
          </w:tcPr>
          <w:p w:rsidR="004A3868" w:rsidRDefault="003F1AB5">
            <w:pPr>
              <w:pStyle w:val="afff7"/>
            </w:pPr>
            <w:r>
              <w:t>39,173,263.65</w:t>
            </w:r>
          </w:p>
        </w:tc>
        <w:tc>
          <w:tcPr>
            <w:tcW w:w="669" w:type="pct"/>
            <w:vAlign w:val="center"/>
          </w:tcPr>
          <w:p w:rsidR="004A3868" w:rsidRDefault="003F1AB5">
            <w:pPr>
              <w:pStyle w:val="afff7"/>
            </w:pPr>
            <w:r>
              <w:t xml:space="preserve">　</w:t>
            </w:r>
          </w:p>
        </w:tc>
        <w:tc>
          <w:tcPr>
            <w:tcW w:w="1006" w:type="pct"/>
            <w:vAlign w:val="center"/>
          </w:tcPr>
          <w:p w:rsidR="004A3868" w:rsidRDefault="003F1AB5">
            <w:pPr>
              <w:pStyle w:val="afff7"/>
            </w:pPr>
            <w:r>
              <w:t>39,173,263.65</w:t>
            </w:r>
          </w:p>
        </w:tc>
        <w:tc>
          <w:tcPr>
            <w:tcW w:w="669" w:type="pct"/>
            <w:vAlign w:val="center"/>
          </w:tcPr>
          <w:p w:rsidR="004A3868" w:rsidRDefault="003F1AB5">
            <w:pPr>
              <w:pStyle w:val="afff7"/>
            </w:pPr>
            <w:r>
              <w:t>3.63</w:t>
            </w:r>
          </w:p>
        </w:tc>
        <w:tc>
          <w:tcPr>
            <w:tcW w:w="938" w:type="pct"/>
            <w:vAlign w:val="center"/>
          </w:tcPr>
          <w:p w:rsidR="004A3868" w:rsidRDefault="003F1AB5">
            <w:pPr>
              <w:pStyle w:val="afff7"/>
            </w:pPr>
            <w:r>
              <w:t>1,958,663.18</w:t>
            </w:r>
          </w:p>
        </w:tc>
      </w:tr>
      <w:tr w:rsidR="004A3868">
        <w:trPr>
          <w:cantSplit/>
        </w:trPr>
        <w:tc>
          <w:tcPr>
            <w:tcW w:w="670" w:type="pct"/>
          </w:tcPr>
          <w:p w:rsidR="004A3868" w:rsidRDefault="003F1AB5">
            <w:pPr>
              <w:pStyle w:val="afff9"/>
            </w:pPr>
            <w:r>
              <w:rPr>
                <w:rFonts w:hint="eastAsia"/>
              </w:rPr>
              <w:t>应收账款余额前五名单位</w:t>
            </w:r>
            <w:r>
              <w:t>2</w:t>
            </w:r>
          </w:p>
        </w:tc>
        <w:tc>
          <w:tcPr>
            <w:tcW w:w="1048" w:type="pct"/>
            <w:vAlign w:val="center"/>
          </w:tcPr>
          <w:p w:rsidR="004A3868" w:rsidRDefault="003F1AB5">
            <w:pPr>
              <w:pStyle w:val="afff7"/>
            </w:pPr>
            <w:r>
              <w:t>18,211,116.73</w:t>
            </w:r>
          </w:p>
        </w:tc>
        <w:tc>
          <w:tcPr>
            <w:tcW w:w="669" w:type="pct"/>
            <w:vAlign w:val="center"/>
          </w:tcPr>
          <w:p w:rsidR="004A3868" w:rsidRDefault="003F1AB5">
            <w:pPr>
              <w:pStyle w:val="afff7"/>
            </w:pPr>
            <w:r>
              <w:t xml:space="preserve">　</w:t>
            </w:r>
          </w:p>
        </w:tc>
        <w:tc>
          <w:tcPr>
            <w:tcW w:w="1006" w:type="pct"/>
            <w:vAlign w:val="center"/>
          </w:tcPr>
          <w:p w:rsidR="004A3868" w:rsidRDefault="003F1AB5">
            <w:pPr>
              <w:pStyle w:val="afff7"/>
            </w:pPr>
            <w:r>
              <w:t>18,211,116.73</w:t>
            </w:r>
          </w:p>
        </w:tc>
        <w:tc>
          <w:tcPr>
            <w:tcW w:w="669" w:type="pct"/>
            <w:vAlign w:val="center"/>
          </w:tcPr>
          <w:p w:rsidR="004A3868" w:rsidRDefault="003F1AB5">
            <w:pPr>
              <w:pStyle w:val="afff7"/>
            </w:pPr>
            <w:r>
              <w:t>1.69</w:t>
            </w:r>
          </w:p>
        </w:tc>
        <w:tc>
          <w:tcPr>
            <w:tcW w:w="938" w:type="pct"/>
            <w:vAlign w:val="center"/>
          </w:tcPr>
          <w:p w:rsidR="004A3868" w:rsidRDefault="003F1AB5">
            <w:pPr>
              <w:pStyle w:val="afff7"/>
            </w:pPr>
            <w:r>
              <w:t>1,669,924.35</w:t>
            </w:r>
          </w:p>
        </w:tc>
      </w:tr>
      <w:tr w:rsidR="004A3868">
        <w:trPr>
          <w:cantSplit/>
        </w:trPr>
        <w:tc>
          <w:tcPr>
            <w:tcW w:w="670" w:type="pct"/>
          </w:tcPr>
          <w:p w:rsidR="004A3868" w:rsidRDefault="003F1AB5">
            <w:pPr>
              <w:pStyle w:val="afff9"/>
            </w:pPr>
            <w:r>
              <w:rPr>
                <w:rFonts w:hint="eastAsia"/>
              </w:rPr>
              <w:t>应收账款余额前五名单位</w:t>
            </w:r>
            <w:r>
              <w:t>3</w:t>
            </w:r>
          </w:p>
        </w:tc>
        <w:tc>
          <w:tcPr>
            <w:tcW w:w="1048" w:type="pct"/>
            <w:vAlign w:val="center"/>
          </w:tcPr>
          <w:p w:rsidR="004A3868" w:rsidRDefault="003F1AB5">
            <w:pPr>
              <w:pStyle w:val="afff7"/>
            </w:pPr>
            <w:r>
              <w:t>17,892,818.97</w:t>
            </w:r>
          </w:p>
        </w:tc>
        <w:tc>
          <w:tcPr>
            <w:tcW w:w="669" w:type="pct"/>
            <w:vAlign w:val="center"/>
          </w:tcPr>
          <w:p w:rsidR="004A3868" w:rsidRDefault="003F1AB5">
            <w:pPr>
              <w:pStyle w:val="afff7"/>
            </w:pPr>
            <w:r>
              <w:t xml:space="preserve">　</w:t>
            </w:r>
          </w:p>
        </w:tc>
        <w:tc>
          <w:tcPr>
            <w:tcW w:w="1006" w:type="pct"/>
            <w:vAlign w:val="center"/>
          </w:tcPr>
          <w:p w:rsidR="004A3868" w:rsidRDefault="003F1AB5">
            <w:pPr>
              <w:pStyle w:val="afff7"/>
            </w:pPr>
            <w:r>
              <w:t>17,892,818.97</w:t>
            </w:r>
          </w:p>
        </w:tc>
        <w:tc>
          <w:tcPr>
            <w:tcW w:w="669" w:type="pct"/>
            <w:vAlign w:val="center"/>
          </w:tcPr>
          <w:p w:rsidR="004A3868" w:rsidRDefault="003F1AB5">
            <w:pPr>
              <w:pStyle w:val="afff7"/>
            </w:pPr>
            <w:r>
              <w:t>1.66</w:t>
            </w:r>
          </w:p>
        </w:tc>
        <w:tc>
          <w:tcPr>
            <w:tcW w:w="938" w:type="pct"/>
            <w:vAlign w:val="center"/>
          </w:tcPr>
          <w:p w:rsidR="004A3868" w:rsidRDefault="003F1AB5">
            <w:pPr>
              <w:pStyle w:val="afff7"/>
            </w:pPr>
            <w:r>
              <w:t>965,322.80</w:t>
            </w:r>
          </w:p>
        </w:tc>
      </w:tr>
      <w:tr w:rsidR="004A3868">
        <w:trPr>
          <w:cantSplit/>
        </w:trPr>
        <w:tc>
          <w:tcPr>
            <w:tcW w:w="670" w:type="pct"/>
          </w:tcPr>
          <w:p w:rsidR="004A3868" w:rsidRDefault="003F1AB5">
            <w:pPr>
              <w:pStyle w:val="afff9"/>
            </w:pPr>
            <w:r>
              <w:rPr>
                <w:rFonts w:hint="eastAsia"/>
              </w:rPr>
              <w:t>应收账款余额前五名单位</w:t>
            </w:r>
            <w:r>
              <w:t>4</w:t>
            </w:r>
          </w:p>
        </w:tc>
        <w:tc>
          <w:tcPr>
            <w:tcW w:w="1048" w:type="pct"/>
            <w:vAlign w:val="center"/>
          </w:tcPr>
          <w:p w:rsidR="004A3868" w:rsidRDefault="003F1AB5">
            <w:pPr>
              <w:pStyle w:val="afff7"/>
            </w:pPr>
            <w:r>
              <w:t>16,681,795.90</w:t>
            </w:r>
          </w:p>
        </w:tc>
        <w:tc>
          <w:tcPr>
            <w:tcW w:w="669" w:type="pct"/>
            <w:vAlign w:val="center"/>
          </w:tcPr>
          <w:p w:rsidR="004A3868" w:rsidRDefault="003F1AB5">
            <w:pPr>
              <w:pStyle w:val="afff7"/>
            </w:pPr>
            <w:r>
              <w:t xml:space="preserve">　</w:t>
            </w:r>
          </w:p>
        </w:tc>
        <w:tc>
          <w:tcPr>
            <w:tcW w:w="1006" w:type="pct"/>
            <w:vAlign w:val="center"/>
          </w:tcPr>
          <w:p w:rsidR="004A3868" w:rsidRDefault="003F1AB5">
            <w:pPr>
              <w:pStyle w:val="afff7"/>
            </w:pPr>
            <w:r>
              <w:t>16,681,795.90</w:t>
            </w:r>
          </w:p>
        </w:tc>
        <w:tc>
          <w:tcPr>
            <w:tcW w:w="669" w:type="pct"/>
            <w:vAlign w:val="center"/>
          </w:tcPr>
          <w:p w:rsidR="004A3868" w:rsidRDefault="003F1AB5">
            <w:pPr>
              <w:pStyle w:val="afff7"/>
            </w:pPr>
            <w:r>
              <w:t>1.55</w:t>
            </w:r>
          </w:p>
        </w:tc>
        <w:tc>
          <w:tcPr>
            <w:tcW w:w="938" w:type="pct"/>
            <w:vAlign w:val="center"/>
          </w:tcPr>
          <w:p w:rsidR="004A3868" w:rsidRDefault="003F1AB5">
            <w:pPr>
              <w:pStyle w:val="afff7"/>
            </w:pPr>
            <w:r>
              <w:t>1,326,979.40</w:t>
            </w:r>
          </w:p>
        </w:tc>
      </w:tr>
      <w:tr w:rsidR="004A3868">
        <w:trPr>
          <w:cantSplit/>
        </w:trPr>
        <w:tc>
          <w:tcPr>
            <w:tcW w:w="670" w:type="pct"/>
          </w:tcPr>
          <w:p w:rsidR="004A3868" w:rsidRDefault="003F1AB5">
            <w:pPr>
              <w:pStyle w:val="afff9"/>
            </w:pPr>
            <w:r>
              <w:rPr>
                <w:rFonts w:hint="eastAsia"/>
              </w:rPr>
              <w:lastRenderedPageBreak/>
              <w:t>应收账款余额前五名单位</w:t>
            </w:r>
            <w:r>
              <w:t>5</w:t>
            </w:r>
          </w:p>
        </w:tc>
        <w:tc>
          <w:tcPr>
            <w:tcW w:w="1048" w:type="pct"/>
            <w:vAlign w:val="center"/>
          </w:tcPr>
          <w:p w:rsidR="004A3868" w:rsidRDefault="003F1AB5">
            <w:pPr>
              <w:pStyle w:val="afff7"/>
            </w:pPr>
            <w:r>
              <w:t>16,550,832.82</w:t>
            </w:r>
          </w:p>
        </w:tc>
        <w:tc>
          <w:tcPr>
            <w:tcW w:w="669" w:type="pct"/>
            <w:vAlign w:val="center"/>
          </w:tcPr>
          <w:p w:rsidR="004A3868" w:rsidRDefault="003F1AB5">
            <w:pPr>
              <w:pStyle w:val="afff7"/>
            </w:pPr>
            <w:r>
              <w:t xml:space="preserve">　</w:t>
            </w:r>
          </w:p>
        </w:tc>
        <w:tc>
          <w:tcPr>
            <w:tcW w:w="1006" w:type="pct"/>
            <w:vAlign w:val="center"/>
          </w:tcPr>
          <w:p w:rsidR="004A3868" w:rsidRDefault="003F1AB5">
            <w:pPr>
              <w:pStyle w:val="afff7"/>
            </w:pPr>
            <w:r>
              <w:t>16,550,832.82</w:t>
            </w:r>
          </w:p>
        </w:tc>
        <w:tc>
          <w:tcPr>
            <w:tcW w:w="669" w:type="pct"/>
            <w:vAlign w:val="center"/>
          </w:tcPr>
          <w:p w:rsidR="004A3868" w:rsidRDefault="003F1AB5">
            <w:pPr>
              <w:pStyle w:val="afff7"/>
            </w:pPr>
            <w:r>
              <w:t>1.53</w:t>
            </w:r>
          </w:p>
        </w:tc>
        <w:tc>
          <w:tcPr>
            <w:tcW w:w="938" w:type="pct"/>
            <w:vAlign w:val="center"/>
          </w:tcPr>
          <w:p w:rsidR="004A3868" w:rsidRDefault="003F1AB5">
            <w:pPr>
              <w:pStyle w:val="afff7"/>
            </w:pPr>
            <w:r>
              <w:t>1,269,178.89</w:t>
            </w:r>
          </w:p>
        </w:tc>
      </w:tr>
      <w:tr w:rsidR="004A3868">
        <w:trPr>
          <w:cantSplit/>
        </w:trPr>
        <w:tc>
          <w:tcPr>
            <w:tcW w:w="670" w:type="pct"/>
          </w:tcPr>
          <w:p w:rsidR="004A3868" w:rsidRDefault="003F1AB5">
            <w:pPr>
              <w:pStyle w:val="afff9"/>
            </w:pPr>
            <w:r>
              <w:rPr>
                <w:rFonts w:hint="eastAsia"/>
              </w:rPr>
              <w:t>合计</w:t>
            </w:r>
          </w:p>
        </w:tc>
        <w:tc>
          <w:tcPr>
            <w:tcW w:w="1048" w:type="pct"/>
            <w:vAlign w:val="center"/>
          </w:tcPr>
          <w:p w:rsidR="004A3868" w:rsidRDefault="003F1AB5">
            <w:pPr>
              <w:pStyle w:val="afff7"/>
            </w:pPr>
            <w:r>
              <w:t>108,509,828.07</w:t>
            </w:r>
          </w:p>
        </w:tc>
        <w:tc>
          <w:tcPr>
            <w:tcW w:w="669" w:type="pct"/>
            <w:vAlign w:val="center"/>
          </w:tcPr>
          <w:p w:rsidR="004A3868" w:rsidRDefault="003F1AB5">
            <w:pPr>
              <w:pStyle w:val="afff7"/>
            </w:pPr>
            <w:r>
              <w:t>0.00</w:t>
            </w:r>
          </w:p>
        </w:tc>
        <w:tc>
          <w:tcPr>
            <w:tcW w:w="1006" w:type="pct"/>
            <w:vAlign w:val="center"/>
          </w:tcPr>
          <w:p w:rsidR="004A3868" w:rsidRDefault="003F1AB5">
            <w:pPr>
              <w:pStyle w:val="afff7"/>
            </w:pPr>
            <w:r>
              <w:t>108,509,828.07</w:t>
            </w:r>
          </w:p>
        </w:tc>
        <w:tc>
          <w:tcPr>
            <w:tcW w:w="669" w:type="pct"/>
            <w:vAlign w:val="center"/>
          </w:tcPr>
          <w:p w:rsidR="004A3868" w:rsidRDefault="003F1AB5">
            <w:pPr>
              <w:pStyle w:val="afff7"/>
            </w:pPr>
            <w:r>
              <w:t>10.06</w:t>
            </w:r>
          </w:p>
        </w:tc>
        <w:tc>
          <w:tcPr>
            <w:tcW w:w="938" w:type="pct"/>
            <w:vAlign w:val="center"/>
          </w:tcPr>
          <w:p w:rsidR="004A3868" w:rsidRDefault="003F1AB5">
            <w:pPr>
              <w:pStyle w:val="afff7"/>
            </w:pPr>
            <w:r>
              <w:t>7,190,068.62</w:t>
            </w:r>
          </w:p>
        </w:tc>
      </w:tr>
    </w:tbl>
    <w:p w:rsidR="004A3868" w:rsidRDefault="004A3868">
      <w:pPr>
        <w:pStyle w:val="Style124"/>
      </w:pPr>
    </w:p>
    <w:p w:rsidR="004A3868" w:rsidRDefault="003F1AB5">
      <w:pPr>
        <w:rPr>
          <w:sz w:val="21"/>
          <w:szCs w:val="21"/>
        </w:rPr>
      </w:pPr>
      <w:r>
        <w:rPr>
          <w:rFonts w:hint="eastAsia"/>
          <w:sz w:val="21"/>
          <w:szCs w:val="21"/>
        </w:rPr>
        <w:t>其他说明</w:t>
      </w:r>
    </w:p>
    <w:sdt>
      <w:sdtPr>
        <w:rPr>
          <w:sz w:val="21"/>
          <w:szCs w:val="21"/>
        </w:rPr>
        <w:alias w:val="按欠款方归集的期末余额前五名的应收账款情况的说明"/>
        <w:tag w:val="_GBC_c00993263f034b6b95498635f166760d"/>
        <w:id w:val="-1675020544"/>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rPr>
          <w:sz w:val="21"/>
          <w:szCs w:val="21"/>
        </w:rPr>
      </w:pPr>
      <w:r>
        <w:rPr>
          <w:rFonts w:hint="eastAsia"/>
          <w:sz w:val="21"/>
          <w:szCs w:val="21"/>
        </w:rPr>
        <w:t>其他</w:t>
      </w:r>
      <w:r>
        <w:rPr>
          <w:sz w:val="21"/>
          <w:szCs w:val="21"/>
        </w:rPr>
        <w:t>说明：</w:t>
      </w:r>
    </w:p>
    <w:sdt>
      <w:sdtPr>
        <w:rPr>
          <w:rFonts w:hint="eastAsia"/>
          <w:sz w:val="21"/>
          <w:szCs w:val="21"/>
        </w:rPr>
        <w:alias w:val="是否适用：应收账款其他说明[双击切换]"/>
        <w:tag w:val="_GBC_c8da833d28234be8913330da9ab8f46c"/>
        <w:id w:val="148041826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合同资产</w:t>
      </w:r>
    </w:p>
    <w:p w:rsidR="004A3868" w:rsidRDefault="003F1AB5">
      <w:pPr>
        <w:pStyle w:val="Style128"/>
        <w:numPr>
          <w:ilvl w:val="3"/>
          <w:numId w:val="67"/>
        </w:numPr>
      </w:pPr>
      <w:bookmarkStart w:id="146" w:name="_Hlk532992678"/>
      <w:r>
        <w:rPr>
          <w:rFonts w:hint="eastAsia"/>
        </w:rPr>
        <w:t>合同资产情况</w:t>
      </w:r>
    </w:p>
    <w:bookmarkStart w:id="147" w:name="_Hlk533409560" w:displacedByCustomXml="next"/>
    <w:sdt>
      <w:sdtPr>
        <w:alias w:val="是否适用：合同资产情况[双击切换]"/>
        <w:tag w:val="_GBC_71da29cd2c0f4ec4a2849d6760e0ec90"/>
        <w:id w:val="-86730419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3"/>
          <w:numId w:val="67"/>
        </w:numPr>
      </w:pPr>
      <w:r>
        <w:rPr>
          <w:rFonts w:hint="eastAsia"/>
        </w:rPr>
        <w:t>报告期内账面价值发生重大变动的金额和原因</w:t>
      </w:r>
    </w:p>
    <w:bookmarkEnd w:id="147" w:displacedByCustomXml="next"/>
    <w:bookmarkEnd w:id="146" w:displacedByCustomXml="next"/>
    <w:bookmarkStart w:id="148" w:name="_Hlk532993169" w:displacedByCustomXml="next"/>
    <w:sdt>
      <w:sdtPr>
        <w:alias w:val="是否适用：合同资产账面价值发生重大变动[双击切换]"/>
        <w:tag w:val="_GBC_d707053a57f34cbab810279b617bfcc7"/>
        <w:id w:val="166473186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3"/>
          <w:numId w:val="67"/>
        </w:numPr>
      </w:pPr>
      <w:r>
        <w:rPr>
          <w:rFonts w:hint="eastAsia"/>
        </w:rPr>
        <w:t>按</w:t>
      </w:r>
      <w:r>
        <w:t>坏账计提方法分类披露</w:t>
      </w:r>
    </w:p>
    <w:bookmarkStart w:id="149" w:name="_Hlk153378989" w:displacedByCustomXml="next"/>
    <w:sdt>
      <w:sdtPr>
        <w:alias w:val="是否适用：按坏账计提方法分类披露[双击切换]"/>
        <w:tag w:val="_GBC_6dd4a97ab67f497ba65822d927d1d29e"/>
        <w:id w:val="95999610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按单项计提坏账准备：</w:t>
      </w:r>
    </w:p>
    <w:sdt>
      <w:sdtPr>
        <w:alias w:val="是否适用：按单项计提坏账准备的详细情况[双击切换]"/>
        <w:tag w:val="_GBC_0ab170ec63fb435387c8b835e9d77a54"/>
        <w:id w:val="739063225"/>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按单项计提坏账准备的说明：</w:t>
      </w:r>
    </w:p>
    <w:sdt>
      <w:sdtPr>
        <w:rPr>
          <w:sz w:val="21"/>
          <w:szCs w:val="21"/>
        </w:rPr>
        <w:alias w:val="是否适用：按单项计提坏账准备的说明[双击切换]"/>
        <w:tag w:val="_GBC_0aa7517d534e4bfeae4b430fe21b3412"/>
        <w:id w:val="143894738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按组合计提坏账准备：</w:t>
      </w:r>
    </w:p>
    <w:sdt>
      <w:sdtPr>
        <w:rPr>
          <w:rFonts w:ascii="Calibri" w:hAnsi="Calibri"/>
        </w:rPr>
        <w:alias w:val="是否适用：按组合计提坏账准备的详细情况[双击切换]"/>
        <w:tag w:val="_GBC_dd62dad60e90472bb2ac73e80b2edb97"/>
        <w:id w:val="-953093940"/>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49"/>
    <w:p w:rsidR="004A3868" w:rsidRDefault="003F1AB5">
      <w:pPr>
        <w:rPr>
          <w:sz w:val="21"/>
          <w:szCs w:val="21"/>
        </w:rPr>
      </w:pPr>
      <w:r>
        <w:rPr>
          <w:rFonts w:hint="eastAsia"/>
          <w:sz w:val="21"/>
          <w:szCs w:val="21"/>
        </w:rPr>
        <w:t>按预期信用损失一般模型计提坏账准备</w:t>
      </w:r>
    </w:p>
    <w:bookmarkStart w:id="150" w:name="_Hlk153379126" w:displacedByCustomXml="next"/>
    <w:bookmarkStart w:id="151" w:name="_Hlk154135145" w:displacedByCustomXml="next"/>
    <w:sdt>
      <w:sdtPr>
        <w:rPr>
          <w:sz w:val="21"/>
          <w:szCs w:val="21"/>
        </w:rPr>
        <w:alias w:val="是否适用：按预期信用损失一般模型计提坏账准备[双击切换]"/>
        <w:tag w:val="_GBC_af66bce1fada4aaa845a8f566731a4cf"/>
        <w:id w:val="94026265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各阶段划分依据和坏账准备计提比例</w:t>
      </w:r>
    </w:p>
    <w:sdt>
      <w:sdtPr>
        <w:rPr>
          <w:sz w:val="21"/>
          <w:szCs w:val="21"/>
        </w:rPr>
        <w:alias w:val="各阶段划分依据和坏账准备计提比例"/>
        <w:tag w:val="_GBC_a54eb55cbb24473b8392e013b4be1c8a"/>
        <w:id w:val="695501840"/>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80"/>
        <w:rPr>
          <w:sz w:val="21"/>
          <w:szCs w:val="21"/>
        </w:rPr>
      </w:pPr>
      <w:r>
        <w:rPr>
          <w:rFonts w:hint="eastAsia"/>
          <w:sz w:val="21"/>
          <w:szCs w:val="21"/>
        </w:rPr>
        <w:t>对本期发生损失准备变动的合同资产账面余额显著变动的情况说明：</w:t>
      </w:r>
    </w:p>
    <w:sdt>
      <w:sdtPr>
        <w:rPr>
          <w:sz w:val="21"/>
          <w:szCs w:val="21"/>
        </w:rPr>
        <w:alias w:val="是否适用：对本期发生损失准备变动的账面余额显著变动的情况说明[双击切换]"/>
        <w:tag w:val="_GBC_5d2109eaa8194f47bcc2f4bbd6c081ae"/>
        <w:id w:val="-93242712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48"/>
    <w:bookmarkEnd w:id="151"/>
    <w:bookmarkEnd w:id="150"/>
    <w:p w:rsidR="004A3868" w:rsidRDefault="003F1AB5">
      <w:pPr>
        <w:pStyle w:val="Style128"/>
        <w:numPr>
          <w:ilvl w:val="3"/>
          <w:numId w:val="67"/>
        </w:numPr>
      </w:pPr>
      <w:r>
        <w:rPr>
          <w:rFonts w:hint="eastAsia"/>
        </w:rPr>
        <w:t>本期合同资产计提坏账准备情况</w:t>
      </w:r>
    </w:p>
    <w:sdt>
      <w:sdtPr>
        <w:rPr>
          <w:sz w:val="21"/>
          <w:szCs w:val="21"/>
        </w:rPr>
        <w:alias w:val="是否适用：合同资产减值准备[双击切换]"/>
        <w:tag w:val="_GBC_7a32a2cf2788460d8c760b8ac21cef48"/>
        <w:id w:val="-98593502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4"/>
      </w:pPr>
      <w:r>
        <w:rPr>
          <w:rFonts w:hint="eastAsia"/>
        </w:rPr>
        <w:t>其中本期坏账准备收回或转回金额重要的：</w:t>
      </w:r>
    </w:p>
    <w:bookmarkStart w:id="152" w:name="_Hlk153379287" w:displacedByCustomXml="next"/>
    <w:sdt>
      <w:sdtPr>
        <w:alias w:val="是否适用：本期坏账准备收回或转回金额重要的[双击切换]"/>
        <w:tag w:val="_GBC_40c6e5cd3d9b48fa9d8ddf51159f73e3"/>
        <w:id w:val="173472691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rPr>
          <w:sz w:val="21"/>
          <w:szCs w:val="21"/>
        </w:rPr>
        <w:alias w:val="坏账准备情况的说明"/>
        <w:tag w:val="_GBC_eaa032ce9f4b4651bc1d170afdd0f594"/>
        <w:id w:val="711844929"/>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8"/>
        <w:numPr>
          <w:ilvl w:val="3"/>
          <w:numId w:val="67"/>
        </w:numPr>
      </w:pPr>
      <w:r>
        <w:t>本期实际核销的</w:t>
      </w:r>
      <w:r>
        <w:rPr>
          <w:rFonts w:hint="eastAsia"/>
        </w:rPr>
        <w:t>合同资产</w:t>
      </w:r>
      <w:r>
        <w:t>情况</w:t>
      </w:r>
    </w:p>
    <w:bookmarkEnd w:id="152" w:displacedByCustomXml="next"/>
    <w:bookmarkStart w:id="153" w:name="_Hlk153379426" w:displacedByCustomXml="next"/>
    <w:sdt>
      <w:sdtPr>
        <w:rPr>
          <w:sz w:val="21"/>
          <w:szCs w:val="21"/>
        </w:rPr>
        <w:alias w:val="是否适用：实际核销的情况[双击切换]"/>
        <w:tag w:val="_GBC_d2036f8632c6441bbae156d4fcc0a1bb"/>
        <w:id w:val="5166346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lastRenderedPageBreak/>
        <w:t>其中重要的合同资产核销情况</w:t>
      </w:r>
    </w:p>
    <w:sdt>
      <w:sdtPr>
        <w:rPr>
          <w:rFonts w:hint="eastAsia"/>
          <w:sz w:val="21"/>
          <w:szCs w:val="21"/>
        </w:rPr>
        <w:alias w:val="是否适用：重要的核销情况[双击切换]"/>
        <w:tag w:val="_GBC_a32f8e56eb4941f98078bbae5f9968b0"/>
        <w:id w:val="192191143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合同资产核销说明：</w:t>
      </w:r>
    </w:p>
    <w:sdt>
      <w:sdtPr>
        <w:rPr>
          <w:sz w:val="21"/>
          <w:szCs w:val="21"/>
        </w:rPr>
        <w:alias w:val="是否适用：核销说明[双击切换]"/>
        <w:tag w:val="_GBC_837b8448d70d489b99f47e83a77e0bef"/>
        <w:id w:val="-71072259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其他说明：</w:t>
      </w:r>
    </w:p>
    <w:bookmarkEnd w:id="153" w:displacedByCustomXml="next"/>
    <w:sdt>
      <w:sdtPr>
        <w:alias w:val="是否适用：合同资产其他说明[双击切换]"/>
        <w:tag w:val="_GBC_92ce0006559b479d93e7dbde6e8efca4"/>
        <w:id w:val="102290803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应收款项融资</w:t>
      </w:r>
    </w:p>
    <w:p w:rsidR="004A3868" w:rsidRDefault="003F1AB5">
      <w:pPr>
        <w:pStyle w:val="Style128"/>
        <w:numPr>
          <w:ilvl w:val="0"/>
          <w:numId w:val="68"/>
        </w:numPr>
      </w:pPr>
      <w:r>
        <w:rPr>
          <w:rFonts w:hint="eastAsia"/>
        </w:rPr>
        <w:t>应收款项融资分类列示</w:t>
      </w:r>
    </w:p>
    <w:sdt>
      <w:sdtPr>
        <w:rPr>
          <w:sz w:val="21"/>
          <w:szCs w:val="21"/>
        </w:rPr>
        <w:alias w:val="是否适用：应收款项融资[双击切换]"/>
        <w:tag w:val="_GBC_e38b7d767cdd4e9f8dd5f7f6ea2330da"/>
        <w:id w:val="-1748333198"/>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pPr>
      <w:r>
        <w:rPr>
          <w:rFonts w:hint="eastAsia"/>
        </w:rPr>
        <w:t xml:space="preserve">  </w:t>
      </w:r>
      <w:r>
        <w:rPr>
          <w:rFonts w:hint="eastAsia"/>
        </w:rPr>
        <w:t>单位：</w:t>
      </w:r>
      <w:sdt>
        <w:sdtPr>
          <w:rPr>
            <w:rFonts w:hint="eastAsia"/>
          </w:rPr>
          <w:alias w:val="单位：应收款项融资"/>
          <w:tag w:val="_GBC_718fb908b95f48ec84742dfac4338fd4"/>
          <w:id w:val="-15517593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应收款项融资"/>
          <w:tag w:val="_GBC_e0c43db94ecc4e51b884c86496138ea2"/>
          <w:id w:val="20530302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64"/>
        <w:gridCol w:w="2825"/>
        <w:gridCol w:w="2834"/>
      </w:tblGrid>
      <w:tr w:rsidR="004A3868">
        <w:trPr>
          <w:trHeight w:val="397"/>
          <w:jc w:val="center"/>
        </w:trPr>
        <w:bookmarkStart w:id="154" w:name="_Hlk13057555" w:displacedByCustomXml="next"/>
        <w:bookmarkStart w:id="155" w:name="_Hlk12969247" w:displacedByCustomXml="next"/>
        <w:sdt>
          <w:sdtPr>
            <w:tag w:val="_PLD_03e528ffb61e4b53acdd40b3208f06a9"/>
            <w:id w:val="113950864"/>
            <w:lock w:val="sdtLocked"/>
          </w:sdtPr>
          <w:sdtEndPr/>
          <w:sdtContent>
            <w:tc>
              <w:tcPr>
                <w:tcW w:w="1793" w:type="pct"/>
                <w:shd w:val="clear" w:color="auto" w:fill="auto"/>
                <w:vAlign w:val="center"/>
              </w:tcPr>
              <w:p w:rsidR="004A3868" w:rsidRDefault="003F1AB5">
                <w:pPr>
                  <w:pStyle w:val="afffb"/>
                </w:pPr>
                <w:r>
                  <w:rPr>
                    <w:rFonts w:hint="eastAsia"/>
                  </w:rPr>
                  <w:t>项目</w:t>
                </w:r>
              </w:p>
            </w:tc>
          </w:sdtContent>
        </w:sdt>
        <w:sdt>
          <w:sdtPr>
            <w:tag w:val="_PLD_8d81c1822e774f6081deb29ea5466dc8"/>
            <w:id w:val="-910234728"/>
            <w:lock w:val="sdtLocked"/>
          </w:sdtPr>
          <w:sdtEndPr/>
          <w:sdtContent>
            <w:tc>
              <w:tcPr>
                <w:tcW w:w="1601" w:type="pct"/>
                <w:shd w:val="clear" w:color="auto" w:fill="auto"/>
                <w:vAlign w:val="center"/>
              </w:tcPr>
              <w:p w:rsidR="004A3868" w:rsidRDefault="003F1AB5">
                <w:pPr>
                  <w:pStyle w:val="afffb"/>
                </w:pPr>
                <w:r>
                  <w:rPr>
                    <w:rFonts w:hint="eastAsia"/>
                  </w:rPr>
                  <w:t>期末余额</w:t>
                </w:r>
              </w:p>
            </w:tc>
          </w:sdtContent>
        </w:sdt>
        <w:sdt>
          <w:sdtPr>
            <w:tag w:val="_PLD_c1ad8d0386f942b4b74733e3287ad275"/>
            <w:id w:val="-1849008234"/>
            <w:lock w:val="sdtLocked"/>
          </w:sdtPr>
          <w:sdtEndPr/>
          <w:sdtContent>
            <w:tc>
              <w:tcPr>
                <w:tcW w:w="1606"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793" w:type="pct"/>
            <w:shd w:val="clear" w:color="auto" w:fill="auto"/>
          </w:tcPr>
          <w:p w:rsidR="004A3868" w:rsidRDefault="003F1AB5">
            <w:pPr>
              <w:rPr>
                <w:sz w:val="21"/>
                <w:szCs w:val="21"/>
              </w:rPr>
            </w:pPr>
            <w:r>
              <w:rPr>
                <w:sz w:val="21"/>
                <w:szCs w:val="21"/>
              </w:rPr>
              <w:t>应收票据</w:t>
            </w:r>
          </w:p>
        </w:tc>
        <w:tc>
          <w:tcPr>
            <w:tcW w:w="1601" w:type="pct"/>
            <w:shd w:val="clear" w:color="auto" w:fill="auto"/>
            <w:vAlign w:val="center"/>
          </w:tcPr>
          <w:p w:rsidR="004A3868" w:rsidRDefault="003F1AB5">
            <w:pPr>
              <w:pStyle w:val="afff7"/>
            </w:pPr>
            <w:r>
              <w:t>12,244,653.97</w:t>
            </w:r>
          </w:p>
        </w:tc>
        <w:tc>
          <w:tcPr>
            <w:tcW w:w="1606" w:type="pct"/>
            <w:shd w:val="clear" w:color="auto" w:fill="auto"/>
            <w:vAlign w:val="center"/>
          </w:tcPr>
          <w:p w:rsidR="004A3868" w:rsidRDefault="003F1AB5">
            <w:pPr>
              <w:pStyle w:val="afff7"/>
            </w:pPr>
            <w:r>
              <w:t>16,434,665.10</w:t>
            </w:r>
          </w:p>
        </w:tc>
      </w:tr>
      <w:tr w:rsidR="004A3868">
        <w:trPr>
          <w:trHeight w:val="397"/>
          <w:jc w:val="center"/>
        </w:trPr>
        <w:tc>
          <w:tcPr>
            <w:tcW w:w="1793" w:type="pct"/>
            <w:shd w:val="clear" w:color="auto" w:fill="auto"/>
            <w:vAlign w:val="center"/>
          </w:tcPr>
          <w:p w:rsidR="004A3868" w:rsidRDefault="003F1AB5">
            <w:pPr>
              <w:rPr>
                <w:sz w:val="21"/>
                <w:szCs w:val="21"/>
              </w:rPr>
            </w:pPr>
            <w:r>
              <w:rPr>
                <w:rFonts w:hint="eastAsia"/>
                <w:sz w:val="21"/>
                <w:szCs w:val="21"/>
              </w:rPr>
              <w:t>合计</w:t>
            </w:r>
          </w:p>
        </w:tc>
        <w:tc>
          <w:tcPr>
            <w:tcW w:w="1601" w:type="pct"/>
            <w:shd w:val="clear" w:color="auto" w:fill="auto"/>
            <w:vAlign w:val="center"/>
          </w:tcPr>
          <w:p w:rsidR="004A3868" w:rsidRDefault="003F1AB5">
            <w:pPr>
              <w:pStyle w:val="afff7"/>
            </w:pPr>
            <w:r>
              <w:t>12,244,653.97</w:t>
            </w:r>
          </w:p>
        </w:tc>
        <w:tc>
          <w:tcPr>
            <w:tcW w:w="1606" w:type="pct"/>
            <w:shd w:val="clear" w:color="auto" w:fill="auto"/>
            <w:vAlign w:val="center"/>
          </w:tcPr>
          <w:p w:rsidR="004A3868" w:rsidRDefault="003F1AB5">
            <w:pPr>
              <w:pStyle w:val="afff7"/>
            </w:pPr>
            <w:r>
              <w:t>16,434,665.10</w:t>
            </w:r>
          </w:p>
        </w:tc>
      </w:tr>
    </w:tbl>
    <w:p w:rsidR="004A3868" w:rsidRDefault="003F1AB5">
      <w:pPr>
        <w:pStyle w:val="Style128"/>
        <w:numPr>
          <w:ilvl w:val="0"/>
          <w:numId w:val="68"/>
        </w:numPr>
      </w:pPr>
      <w:r>
        <w:t>期末公司已</w:t>
      </w:r>
      <w:r>
        <w:rPr>
          <w:rFonts w:hint="eastAsia"/>
        </w:rPr>
        <w:t>质押</w:t>
      </w:r>
      <w:r>
        <w:t>的应收款项融资</w:t>
      </w:r>
    </w:p>
    <w:sdt>
      <w:sdtPr>
        <w:alias w:val="是否适用：期末公司已质押的应收款项融资[双击切换]"/>
        <w:tag w:val="_GBC_31b898cd43844d68932063bb1e6347a8"/>
        <w:id w:val="1717233959"/>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68"/>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594319552"/>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期末公司已背书或贴现且在资产负债表日尚未到期的应收款项融资"/>
          <w:tag w:val="_GBC_93228107c43a481da9506f790cd8af92"/>
          <w:id w:val="12821517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期末公司已背书或贴现且在资产负债表日尚未到期的应收款项融资"/>
          <w:tag w:val="_GBC_321f16b9d20241dd9a8da269a46b1e36"/>
          <w:id w:val="-3770991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05"/>
        <w:gridCol w:w="2974"/>
        <w:gridCol w:w="3044"/>
      </w:tblGrid>
      <w:tr w:rsidR="004A3868">
        <w:trPr>
          <w:trHeight w:val="397"/>
          <w:jc w:val="center"/>
        </w:trPr>
        <w:sdt>
          <w:sdtPr>
            <w:rPr>
              <w:rFonts w:hint="eastAsia"/>
            </w:rPr>
            <w:tag w:val="_PLD_33b7f0ccb35e48099a6f7696604b4e21"/>
            <w:id w:val="1457449972"/>
            <w:lock w:val="sdtLocked"/>
          </w:sdtPr>
          <w:sdtEndPr/>
          <w:sdtContent>
            <w:tc>
              <w:tcPr>
                <w:tcW w:w="2877" w:type="dxa"/>
                <w:shd w:val="clear" w:color="auto" w:fill="auto"/>
                <w:vAlign w:val="center"/>
              </w:tcPr>
              <w:p w:rsidR="004A3868" w:rsidRDefault="003F1AB5">
                <w:pPr>
                  <w:pStyle w:val="afffb"/>
                </w:pPr>
                <w:r>
                  <w:rPr>
                    <w:rFonts w:hint="eastAsia"/>
                  </w:rPr>
                  <w:t>项目</w:t>
                </w:r>
              </w:p>
            </w:tc>
          </w:sdtContent>
        </w:sdt>
        <w:sdt>
          <w:sdtPr>
            <w:rPr>
              <w:rFonts w:hint="eastAsia"/>
            </w:rPr>
            <w:tag w:val="_PLD_149743054c254feca84017182a25be7d"/>
            <w:id w:val="1751391284"/>
            <w:lock w:val="sdtLocked"/>
          </w:sdtPr>
          <w:sdtEndPr/>
          <w:sdtContent>
            <w:tc>
              <w:tcPr>
                <w:tcW w:w="3050" w:type="dxa"/>
                <w:shd w:val="clear" w:color="auto" w:fill="auto"/>
                <w:vAlign w:val="center"/>
              </w:tcPr>
              <w:p w:rsidR="004A3868" w:rsidRDefault="003F1AB5">
                <w:pPr>
                  <w:pStyle w:val="afffb"/>
                </w:pPr>
                <w:r>
                  <w:rPr>
                    <w:rFonts w:hint="eastAsia"/>
                  </w:rPr>
                  <w:t>期末终止确认金额</w:t>
                </w:r>
              </w:p>
            </w:tc>
          </w:sdtContent>
        </w:sdt>
        <w:sdt>
          <w:sdtPr>
            <w:rPr>
              <w:rFonts w:hint="eastAsia"/>
            </w:rPr>
            <w:tag w:val="_PLD_9f59617eec3d4ee4b21512d75b778f97"/>
            <w:id w:val="1414666010"/>
            <w:lock w:val="sdtLocked"/>
          </w:sdtPr>
          <w:sdtEndPr/>
          <w:sdtContent>
            <w:tc>
              <w:tcPr>
                <w:tcW w:w="3122" w:type="dxa"/>
                <w:shd w:val="clear" w:color="auto" w:fill="auto"/>
                <w:vAlign w:val="center"/>
              </w:tcPr>
              <w:p w:rsidR="004A3868" w:rsidRDefault="003F1AB5">
                <w:pPr>
                  <w:pStyle w:val="afffb"/>
                </w:pPr>
                <w:r>
                  <w:rPr>
                    <w:rFonts w:hint="eastAsia"/>
                  </w:rPr>
                  <w:t>期末未终止确认金额</w:t>
                </w:r>
              </w:p>
            </w:tc>
          </w:sdtContent>
        </w:sdt>
      </w:tr>
      <w:tr w:rsidR="004A3868">
        <w:trPr>
          <w:trHeight w:val="397"/>
          <w:jc w:val="center"/>
        </w:trPr>
        <w:tc>
          <w:tcPr>
            <w:tcW w:w="2877" w:type="dxa"/>
            <w:shd w:val="clear" w:color="auto" w:fill="auto"/>
          </w:tcPr>
          <w:p w:rsidR="004A3868" w:rsidRDefault="003F1AB5">
            <w:pPr>
              <w:rPr>
                <w:sz w:val="21"/>
                <w:szCs w:val="21"/>
              </w:rPr>
            </w:pPr>
            <w:r>
              <w:rPr>
                <w:rFonts w:hint="eastAsia"/>
                <w:sz w:val="21"/>
                <w:szCs w:val="21"/>
              </w:rPr>
              <w:t>应收票据</w:t>
            </w:r>
          </w:p>
        </w:tc>
        <w:tc>
          <w:tcPr>
            <w:tcW w:w="3050" w:type="dxa"/>
            <w:shd w:val="clear" w:color="auto" w:fill="auto"/>
            <w:vAlign w:val="center"/>
          </w:tcPr>
          <w:p w:rsidR="004A3868" w:rsidRDefault="003F1AB5">
            <w:pPr>
              <w:pStyle w:val="afff7"/>
            </w:pPr>
            <w:r>
              <w:t>134,573,299.05</w:t>
            </w:r>
          </w:p>
        </w:tc>
        <w:tc>
          <w:tcPr>
            <w:tcW w:w="3122" w:type="dxa"/>
            <w:shd w:val="clear" w:color="auto" w:fill="auto"/>
            <w:vAlign w:val="center"/>
          </w:tcPr>
          <w:p w:rsidR="004A3868" w:rsidRDefault="004A3868">
            <w:pPr>
              <w:pStyle w:val="afff7"/>
            </w:pPr>
          </w:p>
        </w:tc>
      </w:tr>
      <w:tr w:rsidR="004A3868">
        <w:trPr>
          <w:trHeight w:val="397"/>
          <w:jc w:val="center"/>
        </w:trPr>
        <w:tc>
          <w:tcPr>
            <w:tcW w:w="2877" w:type="dxa"/>
            <w:shd w:val="clear" w:color="auto" w:fill="auto"/>
            <w:vAlign w:val="center"/>
          </w:tcPr>
          <w:p w:rsidR="004A3868" w:rsidRDefault="003F1AB5">
            <w:pPr>
              <w:rPr>
                <w:sz w:val="21"/>
                <w:szCs w:val="21"/>
              </w:rPr>
            </w:pPr>
            <w:r>
              <w:rPr>
                <w:rFonts w:hint="eastAsia"/>
                <w:sz w:val="21"/>
                <w:szCs w:val="21"/>
              </w:rPr>
              <w:t>合计</w:t>
            </w:r>
          </w:p>
        </w:tc>
        <w:tc>
          <w:tcPr>
            <w:tcW w:w="3050" w:type="dxa"/>
            <w:shd w:val="clear" w:color="auto" w:fill="auto"/>
            <w:vAlign w:val="center"/>
          </w:tcPr>
          <w:p w:rsidR="004A3868" w:rsidRDefault="003F1AB5">
            <w:pPr>
              <w:pStyle w:val="afff7"/>
            </w:pPr>
            <w:r>
              <w:t>134,573,299.05</w:t>
            </w:r>
          </w:p>
        </w:tc>
        <w:tc>
          <w:tcPr>
            <w:tcW w:w="3122" w:type="dxa"/>
            <w:shd w:val="clear" w:color="auto" w:fill="auto"/>
            <w:vAlign w:val="center"/>
          </w:tcPr>
          <w:p w:rsidR="004A3868" w:rsidRDefault="004A3868">
            <w:pPr>
              <w:pStyle w:val="afff7"/>
            </w:pPr>
          </w:p>
        </w:tc>
      </w:tr>
    </w:tbl>
    <w:p w:rsidR="004A3868" w:rsidRDefault="004A3868">
      <w:pPr>
        <w:pStyle w:val="Style124"/>
      </w:pPr>
    </w:p>
    <w:p w:rsidR="004A3868" w:rsidRDefault="003F1AB5">
      <w:pPr>
        <w:pStyle w:val="Style128"/>
        <w:numPr>
          <w:ilvl w:val="0"/>
          <w:numId w:val="68"/>
        </w:numPr>
      </w:pPr>
      <w:r>
        <w:rPr>
          <w:rFonts w:hint="eastAsia"/>
        </w:rPr>
        <w:t>按</w:t>
      </w:r>
      <w:r>
        <w:t>坏账计提方法分类披露</w:t>
      </w:r>
    </w:p>
    <w:sdt>
      <w:sdtPr>
        <w:alias w:val="是否适用：按坏账计提方法分类披露[双击切换]"/>
        <w:tag w:val="_GBC_bb62f97adc6849f2b3d956a701e7fa7d"/>
        <w:id w:val="-65529295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7"/>
        <w:autoSpaceDE w:val="0"/>
        <w:autoSpaceDN w:val="0"/>
        <w:adjustRightInd w:val="0"/>
        <w:ind w:left="425" w:right="105" w:firstLine="0"/>
        <w:jc w:val="right"/>
        <w:rPr>
          <w:sz w:val="21"/>
          <w:szCs w:val="21"/>
        </w:rPr>
      </w:pPr>
      <w:r>
        <w:rPr>
          <w:rFonts w:hint="eastAsia"/>
          <w:sz w:val="21"/>
          <w:szCs w:val="21"/>
        </w:rPr>
        <w:t>单位：</w:t>
      </w:r>
      <w:sdt>
        <w:sdtPr>
          <w:rPr>
            <w:rFonts w:hint="eastAsia"/>
            <w:sz w:val="21"/>
            <w:szCs w:val="21"/>
          </w:rPr>
          <w:alias w:val="单位：按坏账计提方法分类披露"/>
          <w:tag w:val="_GBC_afce95625fb54d649db4504416f97993"/>
          <w:id w:val="-840227932"/>
          <w:lock w:val="sdtLocked"/>
          <w:placeholder>
            <w:docPart w:val="DE1F664FBB794E9ABBCBBAC41724405F"/>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 w:val="21"/>
              <w:szCs w:val="21"/>
            </w:rPr>
            <w:t>元</w:t>
          </w:r>
        </w:sdtContent>
      </w:sdt>
      <w:r>
        <w:rPr>
          <w:rFonts w:hint="eastAsia"/>
          <w:sz w:val="21"/>
          <w:szCs w:val="21"/>
        </w:rPr>
        <w:t xml:space="preserve">  币种：</w:t>
      </w:r>
      <w:sdt>
        <w:sdtPr>
          <w:rPr>
            <w:rFonts w:hint="eastAsia"/>
            <w:sz w:val="21"/>
            <w:szCs w:val="21"/>
          </w:rPr>
          <w:alias w:val="币种：按坏账计提方法分类披露"/>
          <w:tag w:val="_GBC_91522fb58fac49f98a70383ae037ccb1"/>
          <w:id w:val="-1941213960"/>
          <w:lock w:val="sdtLocked"/>
          <w:placeholder>
            <w:docPart w:val="DE1F664FBB794E9ABBCBBAC41724405F"/>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 w:val="21"/>
              <w:szCs w:val="21"/>
            </w:rPr>
            <w:t>人民币</w:t>
          </w:r>
        </w:sdtContent>
      </w:sdt>
    </w:p>
    <w:tbl>
      <w:tblPr>
        <w:tblStyle w:val="g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1107"/>
        <w:gridCol w:w="628"/>
        <w:gridCol w:w="902"/>
        <w:gridCol w:w="490"/>
        <w:gridCol w:w="1108"/>
        <w:gridCol w:w="1108"/>
        <w:gridCol w:w="628"/>
        <w:gridCol w:w="902"/>
        <w:gridCol w:w="490"/>
        <w:gridCol w:w="1108"/>
      </w:tblGrid>
      <w:tr w:rsidR="004A3868">
        <w:trPr>
          <w:cantSplit/>
          <w:trHeight w:val="259"/>
        </w:trPr>
        <w:sdt>
          <w:sdtPr>
            <w:rPr>
              <w:rFonts w:hint="eastAsia"/>
              <w:sz w:val="21"/>
              <w:szCs w:val="21"/>
            </w:rPr>
            <w:tag w:val="_PLD_f68e676fc6a84daca677728fb4846d5c"/>
            <w:id w:val="-864286973"/>
            <w:lock w:val="sdtLocked"/>
          </w:sdtPr>
          <w:sdtEndPr/>
          <w:sdtContent>
            <w:tc>
              <w:tcPr>
                <w:tcW w:w="207" w:type="pct"/>
                <w:vMerge w:val="restart"/>
                <w:tcBorders>
                  <w:top w:val="single" w:sz="4" w:space="0" w:color="auto"/>
                  <w:left w:val="single" w:sz="4" w:space="0" w:color="auto"/>
                  <w:right w:val="single" w:sz="4" w:space="0" w:color="auto"/>
                </w:tcBorders>
                <w:vAlign w:val="center"/>
              </w:tcPr>
              <w:p w:rsidR="004A3868" w:rsidRDefault="003F1AB5">
                <w:pPr>
                  <w:jc w:val="center"/>
                  <w:rPr>
                    <w:sz w:val="21"/>
                    <w:szCs w:val="21"/>
                  </w:rPr>
                </w:pPr>
                <w:r>
                  <w:rPr>
                    <w:rFonts w:hint="eastAsia"/>
                    <w:sz w:val="21"/>
                    <w:szCs w:val="21"/>
                  </w:rPr>
                  <w:t>类别</w:t>
                </w:r>
              </w:p>
            </w:tc>
          </w:sdtContent>
        </w:sdt>
        <w:sdt>
          <w:sdtPr>
            <w:rPr>
              <w:rFonts w:hint="eastAsia"/>
              <w:sz w:val="21"/>
              <w:szCs w:val="21"/>
            </w:rPr>
            <w:tag w:val="_PLD_7526fe6d315d4e1792a06a3a20f7c8a7"/>
            <w:id w:val="1061056140"/>
            <w:lock w:val="sdtLocked"/>
          </w:sdtPr>
          <w:sdtEndPr/>
          <w:sdtContent>
            <w:tc>
              <w:tcPr>
                <w:tcW w:w="2439" w:type="pct"/>
                <w:gridSpan w:val="5"/>
                <w:tcBorders>
                  <w:top w:val="single" w:sz="4" w:space="0" w:color="auto"/>
                  <w:left w:val="single" w:sz="4" w:space="0" w:color="auto"/>
                  <w:right w:val="single" w:sz="4" w:space="0" w:color="auto"/>
                </w:tcBorders>
                <w:vAlign w:val="center"/>
              </w:tcPr>
              <w:p w:rsidR="004A3868" w:rsidRDefault="003F1AB5">
                <w:pPr>
                  <w:autoSpaceDE w:val="0"/>
                  <w:autoSpaceDN w:val="0"/>
                  <w:adjustRightInd w:val="0"/>
                  <w:snapToGrid w:val="0"/>
                  <w:spacing w:line="240" w:lineRule="atLeast"/>
                  <w:jc w:val="center"/>
                  <w:rPr>
                    <w:sz w:val="21"/>
                    <w:szCs w:val="21"/>
                  </w:rPr>
                </w:pPr>
                <w:r>
                  <w:rPr>
                    <w:rFonts w:hint="eastAsia"/>
                    <w:sz w:val="21"/>
                    <w:szCs w:val="21"/>
                  </w:rPr>
                  <w:t>期末余额</w:t>
                </w:r>
              </w:p>
            </w:tc>
          </w:sdtContent>
        </w:sdt>
        <w:sdt>
          <w:sdtPr>
            <w:rPr>
              <w:rFonts w:hint="eastAsia"/>
              <w:sz w:val="21"/>
              <w:szCs w:val="21"/>
            </w:rPr>
            <w:tag w:val="_PLD_ad93e5a9447e498e88df26e20997a4fa"/>
            <w:id w:val="1067778639"/>
            <w:lock w:val="sdtLocked"/>
          </w:sdtPr>
          <w:sdtEndPr/>
          <w:sdtContent>
            <w:tc>
              <w:tcPr>
                <w:tcW w:w="2355" w:type="pct"/>
                <w:gridSpan w:val="5"/>
                <w:tcBorders>
                  <w:top w:val="single" w:sz="4" w:space="0" w:color="auto"/>
                  <w:left w:val="single" w:sz="4" w:space="0" w:color="auto"/>
                  <w:right w:val="single" w:sz="4" w:space="0" w:color="auto"/>
                </w:tcBorders>
                <w:vAlign w:val="center"/>
              </w:tcPr>
              <w:p w:rsidR="004A3868" w:rsidRDefault="003F1AB5">
                <w:pPr>
                  <w:autoSpaceDE w:val="0"/>
                  <w:autoSpaceDN w:val="0"/>
                  <w:adjustRightInd w:val="0"/>
                  <w:snapToGrid w:val="0"/>
                  <w:spacing w:line="240" w:lineRule="atLeast"/>
                  <w:jc w:val="center"/>
                  <w:rPr>
                    <w:sz w:val="21"/>
                    <w:szCs w:val="21"/>
                  </w:rPr>
                </w:pPr>
                <w:r>
                  <w:rPr>
                    <w:rFonts w:hint="eastAsia"/>
                    <w:sz w:val="21"/>
                    <w:szCs w:val="21"/>
                  </w:rPr>
                  <w:t>期初余额</w:t>
                </w:r>
              </w:p>
            </w:tc>
          </w:sdtContent>
        </w:sdt>
      </w:tr>
      <w:tr w:rsidR="004A3868">
        <w:trPr>
          <w:cantSplit/>
          <w:trHeight w:val="227"/>
        </w:trPr>
        <w:tc>
          <w:tcPr>
            <w:tcW w:w="207" w:type="pct"/>
            <w:vMerge/>
            <w:tcBorders>
              <w:left w:val="single" w:sz="4" w:space="0" w:color="auto"/>
              <w:right w:val="single" w:sz="4" w:space="0" w:color="auto"/>
            </w:tcBorders>
            <w:vAlign w:val="center"/>
          </w:tcPr>
          <w:p w:rsidR="004A3868" w:rsidRDefault="004A3868">
            <w:pPr>
              <w:rPr>
                <w:sz w:val="21"/>
                <w:szCs w:val="21"/>
              </w:rPr>
            </w:pPr>
          </w:p>
        </w:tc>
        <w:sdt>
          <w:sdtPr>
            <w:rPr>
              <w:rFonts w:hint="eastAsia"/>
              <w:sz w:val="21"/>
              <w:szCs w:val="21"/>
            </w:rPr>
            <w:tag w:val="_PLD_efeb6e8fd2c848db89000a127165017d"/>
            <w:id w:val="-454637624"/>
            <w:lock w:val="sdtLocked"/>
          </w:sdtPr>
          <w:sdtEndPr/>
          <w:sdtContent>
            <w:tc>
              <w:tcPr>
                <w:tcW w:w="924"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账面余额</w:t>
                </w:r>
              </w:p>
            </w:tc>
          </w:sdtContent>
        </w:sdt>
        <w:sdt>
          <w:sdtPr>
            <w:rPr>
              <w:rFonts w:hint="eastAsia"/>
              <w:sz w:val="21"/>
              <w:szCs w:val="21"/>
            </w:rPr>
            <w:tag w:val="_PLD_074820a140e444569b9c31ba456d445d"/>
            <w:id w:val="-1591455534"/>
            <w:lock w:val="sdtLocked"/>
          </w:sdtPr>
          <w:sdtEndPr/>
          <w:sdtContent>
            <w:tc>
              <w:tcPr>
                <w:tcW w:w="840"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坏账准备</w:t>
                </w:r>
              </w:p>
            </w:tc>
          </w:sdtContent>
        </w:sdt>
        <w:sdt>
          <w:sdtPr>
            <w:rPr>
              <w:rFonts w:hint="eastAsia"/>
              <w:sz w:val="21"/>
              <w:szCs w:val="21"/>
            </w:rPr>
            <w:tag w:val="_PLD_0e73feade6b64ffea4c07ceb4c74c990"/>
            <w:id w:val="-654998107"/>
            <w:lock w:val="sdtLocked"/>
          </w:sdtPr>
          <w:sdtEndPr/>
          <w:sdtContent>
            <w:tc>
              <w:tcPr>
                <w:tcW w:w="675" w:type="pct"/>
                <w:vMerge w:val="restart"/>
                <w:tcBorders>
                  <w:top w:val="single" w:sz="4" w:space="0" w:color="auto"/>
                  <w:left w:val="single" w:sz="4" w:space="0" w:color="auto"/>
                  <w:right w:val="single" w:sz="4" w:space="0" w:color="auto"/>
                </w:tcBorders>
                <w:vAlign w:val="center"/>
              </w:tcPr>
              <w:p w:rsidR="004A3868" w:rsidRDefault="003F1AB5">
                <w:pPr>
                  <w:jc w:val="center"/>
                  <w:rPr>
                    <w:sz w:val="21"/>
                    <w:szCs w:val="21"/>
                  </w:rPr>
                </w:pPr>
                <w:r>
                  <w:rPr>
                    <w:rFonts w:hint="eastAsia"/>
                    <w:sz w:val="21"/>
                    <w:szCs w:val="21"/>
                  </w:rPr>
                  <w:t>账面</w:t>
                </w:r>
              </w:p>
              <w:p w:rsidR="004A3868" w:rsidRDefault="003F1AB5">
                <w:pPr>
                  <w:jc w:val="center"/>
                  <w:rPr>
                    <w:sz w:val="21"/>
                    <w:szCs w:val="21"/>
                  </w:rPr>
                </w:pPr>
                <w:r>
                  <w:rPr>
                    <w:rFonts w:hint="eastAsia"/>
                    <w:sz w:val="21"/>
                    <w:szCs w:val="21"/>
                  </w:rPr>
                  <w:t>价值</w:t>
                </w:r>
              </w:p>
            </w:tc>
          </w:sdtContent>
        </w:sdt>
        <w:sdt>
          <w:sdtPr>
            <w:rPr>
              <w:rFonts w:hint="eastAsia"/>
              <w:sz w:val="21"/>
              <w:szCs w:val="21"/>
            </w:rPr>
            <w:tag w:val="_PLD_b0785464053b4ca089cada115404fd73"/>
            <w:id w:val="1907022224"/>
            <w:lock w:val="sdtLocked"/>
          </w:sdtPr>
          <w:sdtEndPr/>
          <w:sdtContent>
            <w:tc>
              <w:tcPr>
                <w:tcW w:w="967" w:type="pct"/>
                <w:gridSpan w:val="2"/>
                <w:tcBorders>
                  <w:top w:val="single" w:sz="4" w:space="0" w:color="auto"/>
                  <w:left w:val="single" w:sz="4" w:space="0" w:color="auto"/>
                  <w:right w:val="single" w:sz="4" w:space="0" w:color="auto"/>
                </w:tcBorders>
                <w:vAlign w:val="center"/>
              </w:tcPr>
              <w:p w:rsidR="004A3868" w:rsidRDefault="003F1AB5">
                <w:pPr>
                  <w:jc w:val="center"/>
                  <w:rPr>
                    <w:sz w:val="21"/>
                    <w:szCs w:val="21"/>
                  </w:rPr>
                </w:pPr>
                <w:r>
                  <w:rPr>
                    <w:rFonts w:hint="eastAsia"/>
                    <w:sz w:val="21"/>
                    <w:szCs w:val="21"/>
                  </w:rPr>
                  <w:t>账面余额</w:t>
                </w:r>
              </w:p>
            </w:tc>
          </w:sdtContent>
        </w:sdt>
        <w:sdt>
          <w:sdtPr>
            <w:rPr>
              <w:rFonts w:hint="eastAsia"/>
              <w:sz w:val="21"/>
              <w:szCs w:val="21"/>
            </w:rPr>
            <w:tag w:val="_PLD_88d1fec2235e4be89a414fbcacbf61e6"/>
            <w:id w:val="-674038736"/>
            <w:lock w:val="sdtLocked"/>
          </w:sdtPr>
          <w:sdtEndPr/>
          <w:sdtContent>
            <w:tc>
              <w:tcPr>
                <w:tcW w:w="797" w:type="pct"/>
                <w:gridSpan w:val="2"/>
                <w:tcBorders>
                  <w:top w:val="single" w:sz="4" w:space="0" w:color="auto"/>
                  <w:left w:val="single" w:sz="4" w:space="0" w:color="auto"/>
                  <w:right w:val="single" w:sz="4" w:space="0" w:color="auto"/>
                </w:tcBorders>
                <w:vAlign w:val="center"/>
              </w:tcPr>
              <w:p w:rsidR="004A3868" w:rsidRDefault="003F1AB5">
                <w:pPr>
                  <w:jc w:val="center"/>
                  <w:rPr>
                    <w:sz w:val="21"/>
                    <w:szCs w:val="21"/>
                  </w:rPr>
                </w:pPr>
                <w:r>
                  <w:rPr>
                    <w:rFonts w:hint="eastAsia"/>
                    <w:sz w:val="21"/>
                    <w:szCs w:val="21"/>
                  </w:rPr>
                  <w:t>坏账准备</w:t>
                </w:r>
              </w:p>
            </w:tc>
          </w:sdtContent>
        </w:sdt>
        <w:sdt>
          <w:sdtPr>
            <w:rPr>
              <w:rFonts w:hint="eastAsia"/>
              <w:sz w:val="21"/>
              <w:szCs w:val="21"/>
            </w:rPr>
            <w:tag w:val="_PLD_b24eaddf2f8b49b5875ad2ce73e5a025"/>
            <w:id w:val="478584485"/>
            <w:lock w:val="sdtLocked"/>
          </w:sdtPr>
          <w:sdtEndPr/>
          <w:sdtContent>
            <w:tc>
              <w:tcPr>
                <w:tcW w:w="590" w:type="pct"/>
                <w:vMerge w:val="restart"/>
                <w:tcBorders>
                  <w:top w:val="single" w:sz="4" w:space="0" w:color="auto"/>
                  <w:left w:val="single" w:sz="4" w:space="0" w:color="auto"/>
                  <w:right w:val="single" w:sz="4" w:space="0" w:color="auto"/>
                </w:tcBorders>
                <w:vAlign w:val="center"/>
              </w:tcPr>
              <w:p w:rsidR="004A3868" w:rsidRDefault="003F1AB5">
                <w:pPr>
                  <w:jc w:val="center"/>
                  <w:rPr>
                    <w:sz w:val="21"/>
                    <w:szCs w:val="21"/>
                  </w:rPr>
                </w:pPr>
                <w:r>
                  <w:rPr>
                    <w:rFonts w:hint="eastAsia"/>
                    <w:sz w:val="21"/>
                    <w:szCs w:val="21"/>
                  </w:rPr>
                  <w:t>账面</w:t>
                </w:r>
              </w:p>
              <w:p w:rsidR="004A3868" w:rsidRDefault="003F1AB5">
                <w:pPr>
                  <w:jc w:val="center"/>
                  <w:rPr>
                    <w:sz w:val="21"/>
                    <w:szCs w:val="21"/>
                  </w:rPr>
                </w:pPr>
                <w:r>
                  <w:rPr>
                    <w:rFonts w:hint="eastAsia"/>
                    <w:sz w:val="21"/>
                    <w:szCs w:val="21"/>
                  </w:rPr>
                  <w:t>价值</w:t>
                </w:r>
              </w:p>
            </w:tc>
          </w:sdtContent>
        </w:sdt>
      </w:tr>
      <w:tr w:rsidR="004A3868">
        <w:trPr>
          <w:cantSplit/>
          <w:trHeight w:val="375"/>
        </w:trPr>
        <w:tc>
          <w:tcPr>
            <w:tcW w:w="207" w:type="pct"/>
            <w:vMerge/>
            <w:tcBorders>
              <w:left w:val="single" w:sz="4" w:space="0" w:color="auto"/>
              <w:bottom w:val="single" w:sz="4" w:space="0" w:color="auto"/>
              <w:right w:val="single" w:sz="4" w:space="0" w:color="auto"/>
            </w:tcBorders>
            <w:vAlign w:val="center"/>
          </w:tcPr>
          <w:p w:rsidR="004A3868" w:rsidRDefault="004A3868">
            <w:pPr>
              <w:rPr>
                <w:sz w:val="21"/>
                <w:szCs w:val="21"/>
              </w:rPr>
            </w:pPr>
          </w:p>
        </w:tc>
        <w:sdt>
          <w:sdtPr>
            <w:rPr>
              <w:rFonts w:hint="eastAsia"/>
              <w:sz w:val="21"/>
              <w:szCs w:val="21"/>
            </w:rPr>
            <w:tag w:val="_PLD_017bf1092d274948bd3994b9813f4dc6"/>
            <w:id w:val="1951965267"/>
            <w:lock w:val="sdtLocked"/>
          </w:sdtPr>
          <w:sdtEndPr/>
          <w:sdtContent>
            <w:tc>
              <w:tcPr>
                <w:tcW w:w="547" w:type="pct"/>
                <w:tcBorders>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金额</w:t>
                </w:r>
              </w:p>
            </w:tc>
          </w:sdtContent>
        </w:sdt>
        <w:sdt>
          <w:sdtPr>
            <w:rPr>
              <w:rFonts w:hint="eastAsia"/>
              <w:sz w:val="21"/>
              <w:szCs w:val="21"/>
            </w:rPr>
            <w:tag w:val="_PLD_d625eb5473464b418050d8c82a2ce675"/>
            <w:id w:val="-49382431"/>
            <w:lock w:val="sdtLocked"/>
          </w:sdtPr>
          <w:sdtEndPr>
            <w:rPr>
              <w:rFonts w:hint="default"/>
            </w:rPr>
          </w:sdtEndPr>
          <w:sdtContent>
            <w:tc>
              <w:tcPr>
                <w:tcW w:w="377" w:type="pct"/>
                <w:tcBorders>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比例</w:t>
                </w:r>
                <w:r>
                  <w:rPr>
                    <w:sz w:val="21"/>
                    <w:szCs w:val="21"/>
                  </w:rPr>
                  <w:t>(%)</w:t>
                </w:r>
              </w:p>
            </w:tc>
          </w:sdtContent>
        </w:sdt>
        <w:sdt>
          <w:sdtPr>
            <w:rPr>
              <w:rFonts w:hint="eastAsia"/>
              <w:sz w:val="21"/>
              <w:szCs w:val="21"/>
            </w:rPr>
            <w:tag w:val="_PLD_b3e0f0b758214e84b36b1fb05394d2a6"/>
            <w:id w:val="-735707714"/>
            <w:lock w:val="sdtLocked"/>
          </w:sdtPr>
          <w:sdtEndPr/>
          <w:sdtContent>
            <w:tc>
              <w:tcPr>
                <w:tcW w:w="547" w:type="pct"/>
                <w:tcBorders>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金额</w:t>
                </w:r>
              </w:p>
            </w:tc>
          </w:sdtContent>
        </w:sdt>
        <w:sdt>
          <w:sdtPr>
            <w:rPr>
              <w:rFonts w:hint="eastAsia"/>
              <w:sz w:val="21"/>
              <w:szCs w:val="21"/>
            </w:rPr>
            <w:tag w:val="_PLD_2d4a63a9e2d842b98c030b4de75fda81"/>
            <w:id w:val="-741713905"/>
            <w:lock w:val="sdtLocked"/>
          </w:sdtPr>
          <w:sdtEndPr>
            <w:rPr>
              <w:rFonts w:hint="default"/>
            </w:rPr>
          </w:sdtEndPr>
          <w:sdtContent>
            <w:tc>
              <w:tcPr>
                <w:tcW w:w="292" w:type="pct"/>
                <w:tcBorders>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计提比例</w:t>
                </w:r>
                <w:r>
                  <w:rPr>
                    <w:sz w:val="21"/>
                    <w:szCs w:val="21"/>
                  </w:rPr>
                  <w:t>(%)</w:t>
                </w:r>
              </w:p>
            </w:tc>
          </w:sdtContent>
        </w:sdt>
        <w:tc>
          <w:tcPr>
            <w:tcW w:w="675" w:type="pct"/>
            <w:vMerge/>
            <w:tcBorders>
              <w:left w:val="single" w:sz="4" w:space="0" w:color="auto"/>
              <w:bottom w:val="single" w:sz="4" w:space="0" w:color="auto"/>
              <w:right w:val="single" w:sz="4" w:space="0" w:color="auto"/>
            </w:tcBorders>
            <w:vAlign w:val="center"/>
          </w:tcPr>
          <w:p w:rsidR="004A3868" w:rsidRDefault="004A3868">
            <w:pPr>
              <w:jc w:val="center"/>
              <w:rPr>
                <w:sz w:val="21"/>
                <w:szCs w:val="21"/>
              </w:rPr>
            </w:pPr>
          </w:p>
        </w:tc>
        <w:sdt>
          <w:sdtPr>
            <w:rPr>
              <w:rFonts w:hint="eastAsia"/>
              <w:sz w:val="21"/>
              <w:szCs w:val="21"/>
            </w:rPr>
            <w:tag w:val="_PLD_6ca5b2e0e4244969b5d3b6e1d2038e49"/>
            <w:id w:val="-1836986385"/>
            <w:lock w:val="sdtLocked"/>
          </w:sdtPr>
          <w:sdtEndPr/>
          <w:sdtContent>
            <w:tc>
              <w:tcPr>
                <w:tcW w:w="590" w:type="pct"/>
                <w:tcBorders>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金额</w:t>
                </w:r>
              </w:p>
            </w:tc>
          </w:sdtContent>
        </w:sdt>
        <w:sdt>
          <w:sdtPr>
            <w:rPr>
              <w:rFonts w:hint="eastAsia"/>
              <w:sz w:val="21"/>
              <w:szCs w:val="21"/>
            </w:rPr>
            <w:tag w:val="_PLD_95988aa897a0485bac7b4f6f07505308"/>
            <w:id w:val="1555505949"/>
            <w:lock w:val="sdtLocked"/>
          </w:sdtPr>
          <w:sdtEndPr>
            <w:rPr>
              <w:rFonts w:hint="default"/>
            </w:rPr>
          </w:sdtEndPr>
          <w:sdtContent>
            <w:tc>
              <w:tcPr>
                <w:tcW w:w="377" w:type="pct"/>
                <w:tcBorders>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比例</w:t>
                </w:r>
                <w:r>
                  <w:rPr>
                    <w:sz w:val="21"/>
                    <w:szCs w:val="21"/>
                  </w:rPr>
                  <w:t>(%)</w:t>
                </w:r>
              </w:p>
            </w:tc>
          </w:sdtContent>
        </w:sdt>
        <w:sdt>
          <w:sdtPr>
            <w:rPr>
              <w:rFonts w:hint="eastAsia"/>
              <w:sz w:val="21"/>
              <w:szCs w:val="21"/>
            </w:rPr>
            <w:tag w:val="_PLD_74ee8f5e539042c8944a895be658983f"/>
            <w:id w:val="1385676821"/>
            <w:lock w:val="sdtLocked"/>
          </w:sdtPr>
          <w:sdtEndPr/>
          <w:sdtContent>
            <w:tc>
              <w:tcPr>
                <w:tcW w:w="505" w:type="pct"/>
                <w:tcBorders>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金额</w:t>
                </w:r>
              </w:p>
            </w:tc>
          </w:sdtContent>
        </w:sdt>
        <w:sdt>
          <w:sdtPr>
            <w:rPr>
              <w:rFonts w:hint="eastAsia"/>
              <w:sz w:val="21"/>
              <w:szCs w:val="21"/>
            </w:rPr>
            <w:tag w:val="_PLD_5968b7c1fceb4e109559c839ec045cc3"/>
            <w:id w:val="1543094254"/>
            <w:lock w:val="sdtLocked"/>
          </w:sdtPr>
          <w:sdtEndPr>
            <w:rPr>
              <w:rFonts w:hint="default"/>
            </w:rPr>
          </w:sdtEndPr>
          <w:sdtContent>
            <w:tc>
              <w:tcPr>
                <w:tcW w:w="292" w:type="pct"/>
                <w:tcBorders>
                  <w:left w:val="single" w:sz="4" w:space="0" w:color="auto"/>
                  <w:bottom w:val="single" w:sz="4" w:space="0" w:color="auto"/>
                  <w:right w:val="single" w:sz="4" w:space="0" w:color="auto"/>
                </w:tcBorders>
                <w:vAlign w:val="center"/>
              </w:tcPr>
              <w:p w:rsidR="004A3868" w:rsidRDefault="003F1AB5">
                <w:pPr>
                  <w:jc w:val="center"/>
                  <w:rPr>
                    <w:sz w:val="21"/>
                    <w:szCs w:val="21"/>
                  </w:rPr>
                </w:pPr>
                <w:r>
                  <w:rPr>
                    <w:rFonts w:hint="eastAsia"/>
                    <w:sz w:val="21"/>
                    <w:szCs w:val="21"/>
                  </w:rPr>
                  <w:t>计提比例</w:t>
                </w:r>
                <w:r>
                  <w:rPr>
                    <w:sz w:val="21"/>
                    <w:szCs w:val="21"/>
                  </w:rPr>
                  <w:t>(%)</w:t>
                </w:r>
              </w:p>
            </w:tc>
          </w:sdtContent>
        </w:sdt>
        <w:tc>
          <w:tcPr>
            <w:tcW w:w="590" w:type="pct"/>
            <w:vMerge/>
            <w:tcBorders>
              <w:left w:val="single" w:sz="4" w:space="0" w:color="auto"/>
              <w:bottom w:val="single" w:sz="4" w:space="0" w:color="auto"/>
              <w:right w:val="single" w:sz="4" w:space="0" w:color="auto"/>
            </w:tcBorders>
          </w:tcPr>
          <w:p w:rsidR="004A3868" w:rsidRDefault="004A3868">
            <w:pPr>
              <w:jc w:val="center"/>
              <w:rPr>
                <w:sz w:val="21"/>
                <w:szCs w:val="21"/>
              </w:rPr>
            </w:pPr>
          </w:p>
        </w:tc>
      </w:tr>
      <w:tr w:rsidR="004A3868">
        <w:trPr>
          <w:cantSplit/>
        </w:trPr>
        <w:tc>
          <w:tcPr>
            <w:tcW w:w="207" w:type="pct"/>
            <w:tcBorders>
              <w:top w:val="single" w:sz="4" w:space="0" w:color="auto"/>
              <w:left w:val="single" w:sz="4" w:space="0" w:color="auto"/>
              <w:bottom w:val="single" w:sz="4" w:space="0" w:color="auto"/>
              <w:right w:val="single" w:sz="4" w:space="0" w:color="auto"/>
            </w:tcBorders>
          </w:tcPr>
          <w:sdt>
            <w:sdtPr>
              <w:rPr>
                <w:rFonts w:hint="eastAsia"/>
                <w:sz w:val="21"/>
                <w:szCs w:val="21"/>
              </w:rPr>
              <w:tag w:val="_PLD_336ac741e2a64111bb078fd0e04ef1b2"/>
              <w:id w:val="2002543054"/>
              <w:lock w:val="sdtLocked"/>
            </w:sdtPr>
            <w:sdtEndPr/>
            <w:sdtContent>
              <w:p w:rsidR="004A3868" w:rsidRDefault="003F1AB5">
                <w:pPr>
                  <w:rPr>
                    <w:sz w:val="21"/>
                    <w:szCs w:val="21"/>
                  </w:rPr>
                </w:pPr>
                <w:r>
                  <w:rPr>
                    <w:rFonts w:hint="eastAsia"/>
                    <w:sz w:val="21"/>
                    <w:szCs w:val="21"/>
                  </w:rPr>
                  <w:t>按单项计提坏账准备</w:t>
                </w:r>
              </w:p>
            </w:sdtContent>
          </w:sdt>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47" w:type="pct"/>
            <w:tcBorders>
              <w:top w:val="single" w:sz="4" w:space="0" w:color="auto"/>
              <w:left w:val="single" w:sz="4" w:space="0" w:color="auto"/>
              <w:bottom w:val="single" w:sz="4" w:space="0" w:color="auto"/>
              <w:right w:val="single" w:sz="4" w:space="0" w:color="auto"/>
            </w:tcBorders>
          </w:tcPr>
          <w:p w:rsidR="004A3868" w:rsidRDefault="004A3868">
            <w:pPr>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67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0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r>
      <w:tr w:rsidR="004A3868">
        <w:trPr>
          <w:cantSplit/>
        </w:trPr>
        <w:tc>
          <w:tcPr>
            <w:tcW w:w="5000" w:type="pct"/>
            <w:gridSpan w:val="11"/>
            <w:tcBorders>
              <w:top w:val="single" w:sz="4" w:space="0" w:color="auto"/>
              <w:left w:val="single" w:sz="4" w:space="0" w:color="auto"/>
              <w:bottom w:val="single" w:sz="4" w:space="0" w:color="auto"/>
              <w:right w:val="single" w:sz="4" w:space="0" w:color="auto"/>
            </w:tcBorders>
          </w:tcPr>
          <w:sdt>
            <w:sdtPr>
              <w:rPr>
                <w:rFonts w:hint="eastAsia"/>
                <w:sz w:val="21"/>
                <w:szCs w:val="21"/>
              </w:rPr>
              <w:tag w:val="_PLD_0ad2125e91b84d7aab3eaa5e5c14d657"/>
              <w:id w:val="2024976238"/>
              <w:lock w:val="sdtLocked"/>
            </w:sdtPr>
            <w:sdtEndPr/>
            <w:sdtContent>
              <w:p w:rsidR="004A3868" w:rsidRDefault="003F1AB5">
                <w:pPr>
                  <w:rPr>
                    <w:sz w:val="21"/>
                    <w:szCs w:val="21"/>
                  </w:rPr>
                </w:pPr>
                <w:r>
                  <w:rPr>
                    <w:rFonts w:hint="eastAsia"/>
                    <w:sz w:val="21"/>
                    <w:szCs w:val="21"/>
                  </w:rPr>
                  <w:t>其中：</w:t>
                </w:r>
              </w:p>
            </w:sdtContent>
          </w:sdt>
        </w:tc>
      </w:tr>
      <w:sdt>
        <w:sdtPr>
          <w:rPr>
            <w:sz w:val="21"/>
            <w:szCs w:val="21"/>
          </w:rPr>
          <w:alias w:val="按单项计提坏账准备的明细"/>
          <w:tag w:val="_TUP_02520360dcd6474896c2532b63595896"/>
          <w:id w:val="1982886277"/>
          <w:lock w:val="sdtLocked"/>
          <w:placeholder>
            <w:docPart w:val="5649DA1BB9E843DCB7A1FD4CB51D8C5E"/>
          </w:placeholder>
        </w:sdtPr>
        <w:sdtEndPr/>
        <w:sdtContent>
          <w:tr w:rsidR="004A3868">
            <w:trPr>
              <w:cantSplit/>
            </w:trPr>
            <w:tc>
              <w:tcPr>
                <w:tcW w:w="207" w:type="pct"/>
                <w:tcBorders>
                  <w:top w:val="single" w:sz="4" w:space="0" w:color="auto"/>
                  <w:left w:val="single" w:sz="4" w:space="0" w:color="auto"/>
                  <w:bottom w:val="single" w:sz="4" w:space="0" w:color="auto"/>
                  <w:right w:val="single" w:sz="4" w:space="0" w:color="auto"/>
                </w:tcBorders>
              </w:tcPr>
              <w:p w:rsidR="004A3868" w:rsidRDefault="004A3868">
                <w:pPr>
                  <w:rPr>
                    <w:sz w:val="21"/>
                    <w:szCs w:val="21"/>
                  </w:rPr>
                </w:pPr>
              </w:p>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67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0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r>
        </w:sdtContent>
      </w:sdt>
      <w:sdt>
        <w:sdtPr>
          <w:rPr>
            <w:sz w:val="21"/>
            <w:szCs w:val="21"/>
          </w:rPr>
          <w:alias w:val="按单项计提坏账准备的明细"/>
          <w:tag w:val="_TUP_02520360dcd6474896c2532b63595896"/>
          <w:id w:val="1717086300"/>
          <w:lock w:val="sdtLocked"/>
          <w:placeholder>
            <w:docPart w:val="5649DA1BB9E843DCB7A1FD4CB51D8C5E"/>
          </w:placeholder>
        </w:sdtPr>
        <w:sdtEndPr/>
        <w:sdtContent>
          <w:tr w:rsidR="004A3868">
            <w:trPr>
              <w:cantSplit/>
            </w:trPr>
            <w:tc>
              <w:tcPr>
                <w:tcW w:w="207" w:type="pct"/>
                <w:tcBorders>
                  <w:top w:val="single" w:sz="4" w:space="0" w:color="auto"/>
                  <w:left w:val="single" w:sz="4" w:space="0" w:color="auto"/>
                  <w:bottom w:val="single" w:sz="4" w:space="0" w:color="auto"/>
                  <w:right w:val="single" w:sz="4" w:space="0" w:color="auto"/>
                </w:tcBorders>
              </w:tcPr>
              <w:p w:rsidR="004A3868" w:rsidRDefault="004A3868">
                <w:pPr>
                  <w:rPr>
                    <w:sz w:val="21"/>
                    <w:szCs w:val="21"/>
                  </w:rPr>
                </w:pPr>
              </w:p>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67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0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r>
        </w:sdtContent>
      </w:sdt>
      <w:tr w:rsidR="004A3868">
        <w:trPr>
          <w:cantSplit/>
        </w:trPr>
        <w:tc>
          <w:tcPr>
            <w:tcW w:w="207" w:type="pct"/>
            <w:tcBorders>
              <w:top w:val="single" w:sz="4" w:space="0" w:color="auto"/>
              <w:left w:val="single" w:sz="4" w:space="0" w:color="auto"/>
              <w:bottom w:val="single" w:sz="4" w:space="0" w:color="auto"/>
              <w:right w:val="single" w:sz="4" w:space="0" w:color="auto"/>
            </w:tcBorders>
          </w:tcPr>
          <w:sdt>
            <w:sdtPr>
              <w:rPr>
                <w:rFonts w:hint="eastAsia"/>
                <w:sz w:val="21"/>
                <w:szCs w:val="21"/>
              </w:rPr>
              <w:tag w:val="_PLD_060d1c51114f494fbc432ba5017997c8"/>
              <w:id w:val="842215440"/>
              <w:lock w:val="sdtLocked"/>
            </w:sdtPr>
            <w:sdtEndPr/>
            <w:sdtContent>
              <w:p w:rsidR="004A3868" w:rsidRDefault="003F1AB5">
                <w:pPr>
                  <w:rPr>
                    <w:sz w:val="21"/>
                    <w:szCs w:val="21"/>
                  </w:rPr>
                </w:pPr>
                <w:r>
                  <w:rPr>
                    <w:rFonts w:hint="eastAsia"/>
                    <w:sz w:val="21"/>
                    <w:szCs w:val="21"/>
                  </w:rPr>
                  <w:t>按组合计提坏账准备</w:t>
                </w:r>
              </w:p>
            </w:sdtContent>
          </w:sdt>
        </w:tc>
        <w:tc>
          <w:tcPr>
            <w:tcW w:w="547"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12,524,975.32 </w:t>
            </w:r>
          </w:p>
        </w:tc>
        <w:tc>
          <w:tcPr>
            <w:tcW w:w="377"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100.00 </w:t>
            </w:r>
          </w:p>
        </w:tc>
        <w:tc>
          <w:tcPr>
            <w:tcW w:w="547"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280,321.35 </w:t>
            </w:r>
          </w:p>
        </w:tc>
        <w:tc>
          <w:tcPr>
            <w:tcW w:w="292"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2.24 </w:t>
            </w:r>
          </w:p>
        </w:tc>
        <w:tc>
          <w:tcPr>
            <w:tcW w:w="675"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12,244,653.97 </w:t>
            </w:r>
          </w:p>
        </w:tc>
        <w:tc>
          <w:tcPr>
            <w:tcW w:w="590"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16,772,164.18 </w:t>
            </w:r>
          </w:p>
        </w:tc>
        <w:tc>
          <w:tcPr>
            <w:tcW w:w="377"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100.00 </w:t>
            </w:r>
          </w:p>
        </w:tc>
        <w:tc>
          <w:tcPr>
            <w:tcW w:w="505"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337,499.08 </w:t>
            </w:r>
          </w:p>
        </w:tc>
        <w:tc>
          <w:tcPr>
            <w:tcW w:w="292"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2.01 </w:t>
            </w:r>
          </w:p>
        </w:tc>
        <w:tc>
          <w:tcPr>
            <w:tcW w:w="590" w:type="pct"/>
            <w:tcBorders>
              <w:top w:val="single" w:sz="4" w:space="0" w:color="auto"/>
              <w:left w:val="single" w:sz="4" w:space="0" w:color="auto"/>
              <w:bottom w:val="single" w:sz="4" w:space="0" w:color="auto"/>
              <w:right w:val="single" w:sz="4" w:space="0" w:color="auto"/>
            </w:tcBorders>
          </w:tcPr>
          <w:p w:rsidR="004A3868" w:rsidRDefault="003F1AB5">
            <w:pPr>
              <w:jc w:val="right"/>
              <w:rPr>
                <w:sz w:val="21"/>
                <w:szCs w:val="21"/>
              </w:rPr>
            </w:pPr>
            <w:r>
              <w:rPr>
                <w:sz w:val="21"/>
                <w:szCs w:val="21"/>
              </w:rPr>
              <w:t xml:space="preserve"> 16,434,665.10 </w:t>
            </w:r>
          </w:p>
        </w:tc>
      </w:tr>
      <w:tr w:rsidR="004A3868">
        <w:trPr>
          <w:cantSplit/>
        </w:trPr>
        <w:tc>
          <w:tcPr>
            <w:tcW w:w="5000" w:type="pct"/>
            <w:gridSpan w:val="11"/>
            <w:tcBorders>
              <w:top w:val="single" w:sz="4" w:space="0" w:color="auto"/>
              <w:left w:val="single" w:sz="4" w:space="0" w:color="auto"/>
              <w:bottom w:val="single" w:sz="4" w:space="0" w:color="auto"/>
              <w:right w:val="single" w:sz="4" w:space="0" w:color="auto"/>
            </w:tcBorders>
          </w:tcPr>
          <w:sdt>
            <w:sdtPr>
              <w:rPr>
                <w:rFonts w:hint="eastAsia"/>
                <w:sz w:val="21"/>
                <w:szCs w:val="21"/>
              </w:rPr>
              <w:tag w:val="_PLD_2f6bb3bb8c8341aeb319f2a63480dce6"/>
              <w:id w:val="858087495"/>
              <w:lock w:val="sdtLocked"/>
            </w:sdtPr>
            <w:sdtEndPr/>
            <w:sdtContent>
              <w:p w:rsidR="004A3868" w:rsidRDefault="003F1AB5">
                <w:pPr>
                  <w:rPr>
                    <w:sz w:val="21"/>
                    <w:szCs w:val="21"/>
                  </w:rPr>
                </w:pPr>
                <w:r>
                  <w:rPr>
                    <w:rFonts w:hint="eastAsia"/>
                    <w:sz w:val="21"/>
                    <w:szCs w:val="21"/>
                  </w:rPr>
                  <w:t>其中：</w:t>
                </w:r>
              </w:p>
            </w:sdtContent>
          </w:sdt>
        </w:tc>
      </w:tr>
      <w:sdt>
        <w:sdtPr>
          <w:rPr>
            <w:sz w:val="21"/>
            <w:szCs w:val="21"/>
          </w:rPr>
          <w:alias w:val="按组合计提坏账准备的明细"/>
          <w:tag w:val="_TUP_05424004ca9b454ebb96e93c640fe92d"/>
          <w:id w:val="-108135648"/>
          <w:lock w:val="sdtLocked"/>
          <w:placeholder>
            <w:docPart w:val="5649DA1BB9E843DCB7A1FD4CB51D8C5E"/>
          </w:placeholder>
        </w:sdtPr>
        <w:sdtEndPr/>
        <w:sdtContent>
          <w:tr w:rsidR="004A3868">
            <w:trPr>
              <w:cantSplit/>
            </w:trPr>
            <w:sdt>
              <w:sdtPr>
                <w:rPr>
                  <w:sz w:val="21"/>
                  <w:szCs w:val="21"/>
                </w:rPr>
                <w:alias w:val="按组合计提坏账准备的明细-类别"/>
                <w:tag w:val="_GBC_bad0aa99bd624d88b7ef9873243b2417"/>
                <w:id w:val="-702007314"/>
                <w:lock w:val="sdtLocked"/>
                <w:showingPlcHdr/>
              </w:sdtPr>
              <w:sdtEndPr/>
              <w:sdtContent>
                <w:tc>
                  <w:tcPr>
                    <w:tcW w:w="207" w:type="pct"/>
                    <w:tcBorders>
                      <w:top w:val="single" w:sz="4" w:space="0" w:color="auto"/>
                      <w:left w:val="single" w:sz="4" w:space="0" w:color="auto"/>
                      <w:bottom w:val="single" w:sz="4" w:space="0" w:color="auto"/>
                      <w:right w:val="single" w:sz="4" w:space="0" w:color="auto"/>
                    </w:tcBorders>
                  </w:tcPr>
                  <w:p w:rsidR="004A3868" w:rsidRDefault="003F1AB5">
                    <w:pPr>
                      <w:rPr>
                        <w:sz w:val="21"/>
                        <w:szCs w:val="21"/>
                      </w:rPr>
                    </w:pPr>
                    <w:r>
                      <w:rPr>
                        <w:rFonts w:hint="eastAsia"/>
                        <w:sz w:val="21"/>
                        <w:szCs w:val="21"/>
                      </w:rPr>
                      <w:t xml:space="preserve">　</w:t>
                    </w:r>
                  </w:p>
                </w:tc>
              </w:sdtContent>
            </w:sdt>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67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0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r>
        </w:sdtContent>
      </w:sdt>
      <w:sdt>
        <w:sdtPr>
          <w:rPr>
            <w:sz w:val="21"/>
            <w:szCs w:val="21"/>
          </w:rPr>
          <w:alias w:val="按组合计提坏账准备的明细"/>
          <w:tag w:val="_TUP_05424004ca9b454ebb96e93c640fe92d"/>
          <w:id w:val="32857203"/>
          <w:lock w:val="sdtLocked"/>
          <w:placeholder>
            <w:docPart w:val="5649DA1BB9E843DCB7A1FD4CB51D8C5E"/>
          </w:placeholder>
        </w:sdtPr>
        <w:sdtEndPr/>
        <w:sdtContent>
          <w:tr w:rsidR="004A3868">
            <w:trPr>
              <w:cantSplit/>
            </w:trPr>
            <w:sdt>
              <w:sdtPr>
                <w:rPr>
                  <w:sz w:val="21"/>
                  <w:szCs w:val="21"/>
                </w:rPr>
                <w:alias w:val="按组合计提坏账准备的明细-类别"/>
                <w:tag w:val="_GBC_bad0aa99bd624d88b7ef9873243b2417"/>
                <w:id w:val="1560203871"/>
                <w:lock w:val="sdtLocked"/>
                <w:showingPlcHdr/>
              </w:sdtPr>
              <w:sdtEndPr/>
              <w:sdtContent>
                <w:tc>
                  <w:tcPr>
                    <w:tcW w:w="207" w:type="pct"/>
                    <w:tcBorders>
                      <w:top w:val="single" w:sz="4" w:space="0" w:color="auto"/>
                      <w:left w:val="single" w:sz="4" w:space="0" w:color="auto"/>
                      <w:bottom w:val="single" w:sz="4" w:space="0" w:color="auto"/>
                      <w:right w:val="single" w:sz="4" w:space="0" w:color="auto"/>
                    </w:tcBorders>
                  </w:tcPr>
                  <w:p w:rsidR="004A3868" w:rsidRDefault="003F1AB5">
                    <w:pPr>
                      <w:rPr>
                        <w:sz w:val="21"/>
                        <w:szCs w:val="21"/>
                      </w:rPr>
                    </w:pPr>
                    <w:r>
                      <w:rPr>
                        <w:rFonts w:hint="eastAsia"/>
                        <w:sz w:val="21"/>
                        <w:szCs w:val="21"/>
                      </w:rPr>
                      <w:t xml:space="preserve">　</w:t>
                    </w:r>
                  </w:p>
                </w:tc>
              </w:sdtContent>
            </w:sdt>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67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0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r>
        </w:sdtContent>
      </w:sdt>
      <w:tr w:rsidR="004A3868">
        <w:trPr>
          <w:cantSplit/>
        </w:trPr>
        <w:tc>
          <w:tcPr>
            <w:tcW w:w="207" w:type="pct"/>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tag w:val="_PLD_a1ae971b068644428fc236acdd9e7d5f"/>
              <w:id w:val="-69508872"/>
              <w:lock w:val="sdtLocked"/>
            </w:sdtPr>
            <w:sdtEndPr/>
            <w:sdtContent>
              <w:p w:rsidR="004A3868" w:rsidRDefault="003F1AB5">
                <w:pPr>
                  <w:autoSpaceDE w:val="0"/>
                  <w:autoSpaceDN w:val="0"/>
                  <w:adjustRightInd w:val="0"/>
                  <w:jc w:val="center"/>
                  <w:rPr>
                    <w:sz w:val="21"/>
                    <w:szCs w:val="21"/>
                  </w:rPr>
                </w:pPr>
                <w:r>
                  <w:rPr>
                    <w:rFonts w:hint="eastAsia"/>
                    <w:sz w:val="21"/>
                    <w:szCs w:val="21"/>
                  </w:rPr>
                  <w:t>合计</w:t>
                </w:r>
              </w:p>
            </w:sdtContent>
          </w:sdt>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3F1AB5">
            <w:pPr>
              <w:jc w:val="center"/>
              <w:rPr>
                <w:sz w:val="21"/>
                <w:szCs w:val="21"/>
              </w:rPr>
            </w:pPr>
            <w:r>
              <w:rPr>
                <w:rFonts w:hint="eastAsia"/>
                <w:sz w:val="21"/>
                <w:szCs w:val="21"/>
              </w:rPr>
              <w:t>/</w:t>
            </w:r>
          </w:p>
        </w:tc>
        <w:tc>
          <w:tcPr>
            <w:tcW w:w="547"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3F1AB5">
            <w:pPr>
              <w:jc w:val="center"/>
              <w:rPr>
                <w:sz w:val="21"/>
                <w:szCs w:val="21"/>
              </w:rPr>
            </w:pPr>
            <w:r>
              <w:rPr>
                <w:rFonts w:hint="eastAsia"/>
                <w:sz w:val="21"/>
                <w:szCs w:val="21"/>
              </w:rPr>
              <w:t>/</w:t>
            </w:r>
          </w:p>
        </w:tc>
        <w:tc>
          <w:tcPr>
            <w:tcW w:w="67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377" w:type="pct"/>
            <w:tcBorders>
              <w:top w:val="single" w:sz="4" w:space="0" w:color="auto"/>
              <w:left w:val="single" w:sz="4" w:space="0" w:color="auto"/>
              <w:bottom w:val="single" w:sz="4" w:space="0" w:color="auto"/>
              <w:right w:val="single" w:sz="4" w:space="0" w:color="auto"/>
            </w:tcBorders>
          </w:tcPr>
          <w:p w:rsidR="004A3868" w:rsidRDefault="003F1AB5">
            <w:pPr>
              <w:jc w:val="center"/>
              <w:rPr>
                <w:sz w:val="21"/>
                <w:szCs w:val="21"/>
              </w:rPr>
            </w:pPr>
            <w:r>
              <w:rPr>
                <w:rFonts w:hint="eastAsia"/>
                <w:sz w:val="21"/>
                <w:szCs w:val="21"/>
              </w:rPr>
              <w:t>/</w:t>
            </w:r>
          </w:p>
        </w:tc>
        <w:tc>
          <w:tcPr>
            <w:tcW w:w="505"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c>
          <w:tcPr>
            <w:tcW w:w="292" w:type="pct"/>
            <w:tcBorders>
              <w:top w:val="single" w:sz="4" w:space="0" w:color="auto"/>
              <w:left w:val="single" w:sz="4" w:space="0" w:color="auto"/>
              <w:bottom w:val="single" w:sz="4" w:space="0" w:color="auto"/>
              <w:right w:val="single" w:sz="4" w:space="0" w:color="auto"/>
            </w:tcBorders>
          </w:tcPr>
          <w:p w:rsidR="004A3868" w:rsidRDefault="003F1AB5">
            <w:pPr>
              <w:jc w:val="center"/>
              <w:rPr>
                <w:sz w:val="21"/>
                <w:szCs w:val="21"/>
              </w:rPr>
            </w:pPr>
            <w:r>
              <w:rPr>
                <w:rFonts w:hint="eastAsia"/>
                <w:sz w:val="21"/>
                <w:szCs w:val="21"/>
              </w:rPr>
              <w:t>/</w:t>
            </w:r>
          </w:p>
        </w:tc>
        <w:tc>
          <w:tcPr>
            <w:tcW w:w="590" w:type="pct"/>
            <w:tcBorders>
              <w:top w:val="single" w:sz="4" w:space="0" w:color="auto"/>
              <w:left w:val="single" w:sz="4" w:space="0" w:color="auto"/>
              <w:bottom w:val="single" w:sz="4" w:space="0" w:color="auto"/>
              <w:right w:val="single" w:sz="4" w:space="0" w:color="auto"/>
            </w:tcBorders>
          </w:tcPr>
          <w:p w:rsidR="004A3868" w:rsidRDefault="004A3868">
            <w:pPr>
              <w:jc w:val="right"/>
              <w:rPr>
                <w:sz w:val="21"/>
                <w:szCs w:val="21"/>
              </w:rPr>
            </w:pPr>
          </w:p>
        </w:tc>
      </w:tr>
    </w:tbl>
    <w:p w:rsidR="004A3868" w:rsidRDefault="004A3868">
      <w:pPr>
        <w:pStyle w:val="Style842"/>
        <w:rPr>
          <w:sz w:val="21"/>
          <w:szCs w:val="21"/>
        </w:rPr>
      </w:pPr>
    </w:p>
    <w:p w:rsidR="004A3868" w:rsidRDefault="003F1AB5">
      <w:pPr>
        <w:pStyle w:val="Style124"/>
      </w:pPr>
      <w:r>
        <w:rPr>
          <w:rFonts w:hint="eastAsia"/>
        </w:rPr>
        <w:t>按单项计提坏账准备：</w:t>
      </w:r>
    </w:p>
    <w:sdt>
      <w:sdtPr>
        <w:rPr>
          <w:sz w:val="21"/>
          <w:szCs w:val="21"/>
        </w:rPr>
        <w:alias w:val="是否适用：按单项计提坏账准备的详细情况[双击切换]"/>
        <w:tag w:val="_GBC_65f67a26c8854813ab351f644b5cb549"/>
        <w:id w:val="163946078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按单项计提坏账准备的说明：</w:t>
      </w:r>
    </w:p>
    <w:sdt>
      <w:sdtPr>
        <w:rPr>
          <w:sz w:val="21"/>
          <w:szCs w:val="21"/>
        </w:rPr>
        <w:alias w:val="是否适用：按单项计提坏账准备的说明[双击切换]"/>
        <w:tag w:val="_GBC_d2e6ec1c09f24f3f8d01b46d2d307db0"/>
        <w:id w:val="209975281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按组合计提坏账准备：</w:t>
      </w:r>
    </w:p>
    <w:sdt>
      <w:sdtPr>
        <w:rPr>
          <w:rFonts w:ascii="Calibri" w:hAnsi="Calibri"/>
          <w:sz w:val="21"/>
          <w:szCs w:val="21"/>
        </w:rPr>
        <w:alias w:val="是否适用：按组合计提坏账准备的详细情况[双击切换]"/>
        <w:tag w:val="_GBC_8f072c0ad15941d789bf25455711e72b"/>
        <w:id w:val="-2006037423"/>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按预期信用损失一般模型计提坏账准备</w:t>
      </w:r>
    </w:p>
    <w:bookmarkStart w:id="156" w:name="_Hlk154134692" w:displacedByCustomXml="next"/>
    <w:bookmarkStart w:id="157" w:name="_Hlk153372713" w:displacedByCustomXml="next"/>
    <w:sdt>
      <w:sdtPr>
        <w:rPr>
          <w:sz w:val="21"/>
          <w:szCs w:val="21"/>
        </w:rPr>
        <w:alias w:val="是否适用：按预期信用损失一般模型计提坏账准备[双击切换]"/>
        <w:tag w:val="_GBC_711e992fa6a34dd7aa5a5725743204fa"/>
        <w:id w:val="11357573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各阶段划分依据和坏账准备计提比例</w:t>
      </w:r>
    </w:p>
    <w:sdt>
      <w:sdtPr>
        <w:rPr>
          <w:sz w:val="21"/>
          <w:szCs w:val="21"/>
        </w:rPr>
        <w:alias w:val="各阶段划分依据和坏账准备计提比例"/>
        <w:tag w:val="_GBC_2bf6f4d4451c46a9a45370b7317253a2"/>
        <w:id w:val="-109977798"/>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rPr>
          <w:sz w:val="21"/>
          <w:szCs w:val="21"/>
        </w:rPr>
      </w:pPr>
      <w:r>
        <w:rPr>
          <w:rFonts w:hint="eastAsia"/>
          <w:sz w:val="21"/>
          <w:szCs w:val="21"/>
        </w:rPr>
        <w:t>对本期发生损失准备变动的应收款项融资账面余额显著变动的情况说明：</w:t>
      </w:r>
    </w:p>
    <w:sdt>
      <w:sdtPr>
        <w:rPr>
          <w:sz w:val="21"/>
          <w:szCs w:val="21"/>
        </w:rPr>
        <w:alias w:val="是否适用：对本期发生损失准备变动的账面余额显著变动的情况说明[双击切换]"/>
        <w:tag w:val="_GBC_14de6d8177254b0abb86a102aa2886f9"/>
        <w:id w:val="57031338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56"/>
    <w:p w:rsidR="004A3868" w:rsidRDefault="003F1AB5">
      <w:pPr>
        <w:pStyle w:val="Style128"/>
        <w:numPr>
          <w:ilvl w:val="0"/>
          <w:numId w:val="68"/>
        </w:numPr>
      </w:pPr>
      <w:r>
        <w:rPr>
          <w:rFonts w:hint="eastAsia"/>
        </w:rPr>
        <w:t>坏账准备的情况</w:t>
      </w:r>
    </w:p>
    <w:bookmarkEnd w:id="157" w:displacedByCustomXml="next"/>
    <w:sdt>
      <w:sdtPr>
        <w:alias w:val="是否适用：坏账准备情况[双击切换]"/>
        <w:tag w:val="_GBC_9eb14f08b86f4a7096cd60413baf3092"/>
        <w:id w:val="35639934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snapToGrid w:val="0"/>
        <w:spacing w:line="240" w:lineRule="atLeast"/>
        <w:ind w:left="480"/>
        <w:jc w:val="right"/>
        <w:rPr>
          <w:rStyle w:val="Char20"/>
        </w:rPr>
      </w:pPr>
      <w:r>
        <w:rPr>
          <w:rStyle w:val="Char20"/>
          <w:rFonts w:hint="eastAsia"/>
        </w:rPr>
        <w:t>单位：</w:t>
      </w:r>
      <w:sdt>
        <w:sdtPr>
          <w:rPr>
            <w:rStyle w:val="Char20"/>
            <w:rFonts w:hint="eastAsia"/>
          </w:rPr>
          <w:alias w:val="单位：坏账准备情况"/>
          <w:tag w:val="_GBC_5ab5b38f71554e548a7da7469b9a6563"/>
          <w:id w:val="499011799"/>
          <w:lock w:val="sdtLocked"/>
          <w:placeholder>
            <w:docPart w:val="56299B4B77654DCBBB5DEE139D57D181"/>
          </w:placeholder>
          <w:comboBox>
            <w:listItem w:displayText="元" w:value="元"/>
            <w:listItem w:displayText="千元" w:value="千元"/>
            <w:listItem w:displayText="万元" w:value="万元"/>
            <w:listItem w:displayText="百万元" w:value="百万元"/>
            <w:listItem w:displayText="亿元" w:value="亿元"/>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坏账准备情况"/>
          <w:tag w:val="_GBC_75b72a7ab17c4cf1bd4ba5d141928bc3"/>
          <w:id w:val="-1825122417"/>
          <w:lock w:val="sdtLocked"/>
          <w:placeholder>
            <w:docPart w:val="56299B4B77654DCBBB5DEE139D57D181"/>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Style w:val="Char20"/>
          </w:rPr>
        </w:sdtEndPr>
        <w:sdtContent>
          <w:r>
            <w:rPr>
              <w:rStyle w:val="Char20"/>
              <w:rFonts w:hint="eastAsia"/>
            </w:rPr>
            <w:t>人民币</w:t>
          </w:r>
        </w:sdtContent>
      </w:sdt>
    </w:p>
    <w:tbl>
      <w:tblPr>
        <w:tblStyle w:val="g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356"/>
        <w:gridCol w:w="1426"/>
        <w:gridCol w:w="1306"/>
        <w:gridCol w:w="1050"/>
        <w:gridCol w:w="1131"/>
        <w:gridCol w:w="1128"/>
        <w:gridCol w:w="1426"/>
      </w:tblGrid>
      <w:tr w:rsidR="004A3868">
        <w:trPr>
          <w:trHeight w:val="397"/>
          <w:jc w:val="center"/>
        </w:trPr>
        <w:sdt>
          <w:sdtPr>
            <w:tag w:val="_PLD_a46b4be5eac54730a5ecc97d21006ace"/>
            <w:id w:val="-297226799"/>
            <w:lock w:val="sdtLocked"/>
          </w:sdtPr>
          <w:sdtEndPr/>
          <w:sdtContent>
            <w:tc>
              <w:tcPr>
                <w:tcW w:w="769" w:type="pct"/>
                <w:vMerge w:val="restart"/>
                <w:shd w:val="clear" w:color="auto" w:fill="FFFFFF"/>
                <w:vAlign w:val="center"/>
              </w:tcPr>
              <w:p w:rsidR="004A3868" w:rsidRDefault="003F1AB5">
                <w:pPr>
                  <w:pStyle w:val="afffb"/>
                </w:pPr>
                <w:r>
                  <w:t>类别</w:t>
                </w:r>
              </w:p>
            </w:tc>
          </w:sdtContent>
        </w:sdt>
        <w:sdt>
          <w:sdtPr>
            <w:tag w:val="_PLD_d4b99d9fdab64d968285bcb65ee5a9c9"/>
            <w:id w:val="-1723212607"/>
            <w:lock w:val="sdtLocked"/>
          </w:sdtPr>
          <w:sdtEndPr/>
          <w:sdtContent>
            <w:tc>
              <w:tcPr>
                <w:tcW w:w="808" w:type="pct"/>
                <w:vMerge w:val="restart"/>
                <w:shd w:val="clear" w:color="auto" w:fill="FFFFFF"/>
                <w:vAlign w:val="center"/>
              </w:tcPr>
              <w:p w:rsidR="004A3868" w:rsidRDefault="003F1AB5">
                <w:pPr>
                  <w:pStyle w:val="afffb"/>
                </w:pPr>
                <w:r>
                  <w:t>期初余额</w:t>
                </w:r>
              </w:p>
            </w:tc>
          </w:sdtContent>
        </w:sdt>
        <w:sdt>
          <w:sdtPr>
            <w:rPr>
              <w:rFonts w:hint="eastAsia"/>
            </w:rPr>
            <w:tag w:val="_PLD_bb9fe77e488348759988e6de00cf0888"/>
            <w:id w:val="850152132"/>
            <w:lock w:val="sdtLocked"/>
          </w:sdtPr>
          <w:sdtEndPr>
            <w:rPr>
              <w:rFonts w:hint="default"/>
            </w:rPr>
          </w:sdtEndPr>
          <w:sdtContent>
            <w:tc>
              <w:tcPr>
                <w:tcW w:w="2615" w:type="pct"/>
                <w:gridSpan w:val="4"/>
                <w:shd w:val="clear" w:color="auto" w:fill="FFFFFF"/>
                <w:vAlign w:val="center"/>
              </w:tcPr>
              <w:p w:rsidR="004A3868" w:rsidRDefault="003F1AB5">
                <w:pPr>
                  <w:pStyle w:val="afffb"/>
                </w:pPr>
                <w:r>
                  <w:rPr>
                    <w:rFonts w:hint="eastAsia"/>
                  </w:rPr>
                  <w:t>本期变动</w:t>
                </w:r>
                <w:r>
                  <w:t>金额</w:t>
                </w:r>
              </w:p>
            </w:tc>
          </w:sdtContent>
        </w:sdt>
        <w:tc>
          <w:tcPr>
            <w:tcW w:w="808" w:type="pct"/>
            <w:vMerge w:val="restart"/>
            <w:shd w:val="clear" w:color="auto" w:fill="FFFFFF"/>
            <w:vAlign w:val="center"/>
          </w:tcPr>
          <w:sdt>
            <w:sdtPr>
              <w:tag w:val="_PLD_4c903f521c2a44f8b3c6edf248f56a13"/>
              <w:id w:val="-2046055325"/>
              <w:lock w:val="sdtLocked"/>
            </w:sdtPr>
            <w:sdtEndPr/>
            <w:sdtContent>
              <w:p w:rsidR="004A3868" w:rsidRDefault="003F1AB5">
                <w:pPr>
                  <w:pStyle w:val="afffb"/>
                </w:pPr>
                <w:r>
                  <w:t>期末余额</w:t>
                </w:r>
              </w:p>
            </w:sdtContent>
          </w:sdt>
        </w:tc>
      </w:tr>
      <w:tr w:rsidR="004A3868">
        <w:trPr>
          <w:trHeight w:val="397"/>
          <w:jc w:val="center"/>
        </w:trPr>
        <w:tc>
          <w:tcPr>
            <w:tcW w:w="769" w:type="pct"/>
            <w:vMerge/>
            <w:shd w:val="clear" w:color="auto" w:fill="FFFFFF"/>
          </w:tcPr>
          <w:p w:rsidR="004A3868" w:rsidRDefault="004A3868">
            <w:pPr>
              <w:pStyle w:val="afff7"/>
            </w:pPr>
          </w:p>
        </w:tc>
        <w:tc>
          <w:tcPr>
            <w:tcW w:w="808" w:type="pct"/>
            <w:vMerge/>
            <w:shd w:val="clear" w:color="auto" w:fill="FFFFFF"/>
          </w:tcPr>
          <w:p w:rsidR="004A3868" w:rsidRDefault="004A3868">
            <w:pPr>
              <w:pStyle w:val="afff7"/>
            </w:pPr>
          </w:p>
        </w:tc>
        <w:sdt>
          <w:sdtPr>
            <w:tag w:val="_PLD_05213841fb3c4d199a04bfa58ea477bd"/>
            <w:id w:val="-1206020193"/>
            <w:lock w:val="sdtLocked"/>
          </w:sdtPr>
          <w:sdtEndPr/>
          <w:sdtContent>
            <w:tc>
              <w:tcPr>
                <w:tcW w:w="740" w:type="pct"/>
                <w:shd w:val="clear" w:color="auto" w:fill="FFFFFF"/>
                <w:vAlign w:val="center"/>
              </w:tcPr>
              <w:p w:rsidR="004A3868" w:rsidRDefault="003F1AB5">
                <w:pPr>
                  <w:pStyle w:val="afffb"/>
                </w:pPr>
                <w:r>
                  <w:t>计提</w:t>
                </w:r>
              </w:p>
            </w:tc>
          </w:sdtContent>
        </w:sdt>
        <w:sdt>
          <w:sdtPr>
            <w:rPr>
              <w:rFonts w:hint="eastAsia"/>
            </w:rPr>
            <w:tag w:val="_PLD_2cacb214840642a88adeea3c75c2b1f3"/>
            <w:id w:val="528998024"/>
            <w:lock w:val="sdtLocked"/>
          </w:sdtPr>
          <w:sdtEndPr/>
          <w:sdtContent>
            <w:tc>
              <w:tcPr>
                <w:tcW w:w="595" w:type="pct"/>
                <w:shd w:val="clear" w:color="auto" w:fill="FFFFFF"/>
                <w:vAlign w:val="center"/>
              </w:tcPr>
              <w:p w:rsidR="004A3868" w:rsidRDefault="003F1AB5">
                <w:pPr>
                  <w:pStyle w:val="afffb"/>
                </w:pPr>
                <w:r>
                  <w:rPr>
                    <w:rFonts w:hint="eastAsia"/>
                  </w:rPr>
                  <w:t>收回或转回</w:t>
                </w:r>
              </w:p>
            </w:tc>
          </w:sdtContent>
        </w:sdt>
        <w:sdt>
          <w:sdtPr>
            <w:rPr>
              <w:rFonts w:hint="eastAsia"/>
            </w:rPr>
            <w:tag w:val="_PLD_ec119f9722974e3d97d0dca9ec927d68"/>
            <w:id w:val="1721236494"/>
            <w:lock w:val="sdtLocked"/>
          </w:sdtPr>
          <w:sdtEndPr/>
          <w:sdtContent>
            <w:tc>
              <w:tcPr>
                <w:tcW w:w="641" w:type="pct"/>
                <w:shd w:val="clear" w:color="auto" w:fill="FFFFFF"/>
                <w:vAlign w:val="center"/>
              </w:tcPr>
              <w:p w:rsidR="004A3868" w:rsidRDefault="003F1AB5">
                <w:pPr>
                  <w:pStyle w:val="afffb"/>
                </w:pPr>
                <w:r>
                  <w:rPr>
                    <w:rFonts w:hint="eastAsia"/>
                  </w:rPr>
                  <w:t>转销或核销</w:t>
                </w:r>
              </w:p>
            </w:tc>
          </w:sdtContent>
        </w:sdt>
        <w:sdt>
          <w:sdtPr>
            <w:rPr>
              <w:rFonts w:hint="eastAsia"/>
            </w:rPr>
            <w:tag w:val="_PLD_431b725862c245398312c045eac8b2e9"/>
            <w:id w:val="119266756"/>
            <w:lock w:val="sdtLocked"/>
          </w:sdtPr>
          <w:sdtEndPr/>
          <w:sdtContent>
            <w:tc>
              <w:tcPr>
                <w:tcW w:w="639" w:type="pct"/>
                <w:shd w:val="clear" w:color="auto" w:fill="FFFFFF"/>
                <w:vAlign w:val="center"/>
              </w:tcPr>
              <w:p w:rsidR="004A3868" w:rsidRDefault="003F1AB5">
                <w:pPr>
                  <w:pStyle w:val="afffb"/>
                </w:pPr>
                <w:r>
                  <w:rPr>
                    <w:rFonts w:hint="eastAsia"/>
                  </w:rPr>
                  <w:t>其他变动</w:t>
                </w:r>
              </w:p>
            </w:tc>
          </w:sdtContent>
        </w:sdt>
        <w:tc>
          <w:tcPr>
            <w:tcW w:w="808" w:type="pct"/>
            <w:vMerge/>
            <w:shd w:val="clear" w:color="auto" w:fill="FFFFFF"/>
          </w:tcPr>
          <w:p w:rsidR="004A3868" w:rsidRDefault="004A3868">
            <w:pPr>
              <w:pStyle w:val="afff7"/>
            </w:pPr>
          </w:p>
        </w:tc>
      </w:tr>
      <w:sdt>
        <w:sdtPr>
          <w:rPr>
            <w:rFonts w:ascii="宋体" w:hAnsi="宋体" w:cs="宋体"/>
            <w:kern w:val="0"/>
            <w:szCs w:val="24"/>
          </w:rPr>
          <w:alias w:val="坏账准备情况明细"/>
          <w:tag w:val="_TUP_36964d0310664ff08da0ffe71521d888"/>
          <w:id w:val="305586222"/>
          <w:lock w:val="sdtLocked"/>
          <w:placeholder>
            <w:docPart w:val="B6E151B0A6CF429AA6790492B60E6665"/>
          </w:placeholder>
        </w:sdtPr>
        <w:sdtEndPr>
          <w:rPr>
            <w:szCs w:val="21"/>
          </w:rPr>
        </w:sdtEndPr>
        <w:sdtContent>
          <w:tr w:rsidR="004A3868">
            <w:trPr>
              <w:trHeight w:val="397"/>
              <w:jc w:val="center"/>
            </w:trPr>
            <w:tc>
              <w:tcPr>
                <w:tcW w:w="769" w:type="pct"/>
                <w:shd w:val="clear" w:color="auto" w:fill="auto"/>
              </w:tcPr>
              <w:p w:rsidR="004A3868" w:rsidRDefault="003F1AB5">
                <w:pPr>
                  <w:pStyle w:val="afff9"/>
                </w:pPr>
                <w:r>
                  <w:rPr>
                    <w:rFonts w:hint="eastAsia"/>
                  </w:rPr>
                  <w:t>按单项计提坏账准备</w:t>
                </w:r>
              </w:p>
            </w:tc>
            <w:tc>
              <w:tcPr>
                <w:tcW w:w="808" w:type="pct"/>
                <w:shd w:val="clear" w:color="auto" w:fill="auto"/>
                <w:vAlign w:val="center"/>
              </w:tcPr>
              <w:p w:rsidR="004A3868" w:rsidRDefault="004A3868">
                <w:pPr>
                  <w:pStyle w:val="afff7"/>
                </w:pPr>
              </w:p>
            </w:tc>
            <w:tc>
              <w:tcPr>
                <w:tcW w:w="740" w:type="pct"/>
                <w:shd w:val="clear" w:color="auto" w:fill="auto"/>
                <w:vAlign w:val="center"/>
              </w:tcPr>
              <w:p w:rsidR="004A3868" w:rsidRDefault="004A3868">
                <w:pPr>
                  <w:pStyle w:val="afff7"/>
                </w:pPr>
              </w:p>
            </w:tc>
            <w:tc>
              <w:tcPr>
                <w:tcW w:w="595" w:type="pct"/>
                <w:shd w:val="clear" w:color="auto" w:fill="auto"/>
                <w:vAlign w:val="center"/>
              </w:tcPr>
              <w:p w:rsidR="004A3868" w:rsidRDefault="004A3868">
                <w:pPr>
                  <w:pStyle w:val="afff7"/>
                </w:pPr>
              </w:p>
            </w:tc>
            <w:tc>
              <w:tcPr>
                <w:tcW w:w="641" w:type="pct"/>
                <w:vAlign w:val="center"/>
              </w:tcPr>
              <w:p w:rsidR="004A3868" w:rsidRDefault="004A3868">
                <w:pPr>
                  <w:pStyle w:val="afff7"/>
                </w:pPr>
              </w:p>
            </w:tc>
            <w:tc>
              <w:tcPr>
                <w:tcW w:w="639" w:type="pct"/>
                <w:vAlign w:val="center"/>
              </w:tcPr>
              <w:p w:rsidR="004A3868" w:rsidRDefault="004A3868">
                <w:pPr>
                  <w:pStyle w:val="afff7"/>
                </w:pPr>
              </w:p>
            </w:tc>
            <w:tc>
              <w:tcPr>
                <w:tcW w:w="808" w:type="pct"/>
                <w:shd w:val="clear" w:color="auto" w:fill="auto"/>
                <w:vAlign w:val="center"/>
              </w:tcPr>
              <w:p w:rsidR="004A3868" w:rsidRDefault="004A3868">
                <w:pPr>
                  <w:pStyle w:val="afff7"/>
                </w:pPr>
              </w:p>
            </w:tc>
          </w:tr>
        </w:sdtContent>
      </w:sdt>
      <w:sdt>
        <w:sdtPr>
          <w:rPr>
            <w:rFonts w:ascii="宋体" w:hAnsi="宋体" w:cs="宋体"/>
            <w:kern w:val="0"/>
            <w:szCs w:val="24"/>
          </w:rPr>
          <w:alias w:val="坏账准备情况明细"/>
          <w:tag w:val="_TUP_36964d0310664ff08da0ffe71521d888"/>
          <w:id w:val="-1545602667"/>
          <w:lock w:val="sdtLocked"/>
          <w:placeholder>
            <w:docPart w:val="B6E151B0A6CF429AA6790492B60E6665"/>
          </w:placeholder>
        </w:sdtPr>
        <w:sdtEndPr>
          <w:rPr>
            <w:szCs w:val="21"/>
          </w:rPr>
        </w:sdtEndPr>
        <w:sdtContent>
          <w:tr w:rsidR="004A3868">
            <w:trPr>
              <w:trHeight w:val="397"/>
              <w:jc w:val="center"/>
            </w:trPr>
            <w:tc>
              <w:tcPr>
                <w:tcW w:w="769" w:type="pct"/>
                <w:shd w:val="clear" w:color="auto" w:fill="auto"/>
              </w:tcPr>
              <w:p w:rsidR="004A3868" w:rsidRDefault="003F1AB5">
                <w:pPr>
                  <w:pStyle w:val="afff9"/>
                </w:pPr>
                <w:r>
                  <w:rPr>
                    <w:rFonts w:hint="eastAsia"/>
                  </w:rPr>
                  <w:t>按组合计提坏账准备</w:t>
                </w:r>
              </w:p>
            </w:tc>
            <w:tc>
              <w:tcPr>
                <w:tcW w:w="808" w:type="pct"/>
                <w:shd w:val="clear" w:color="auto" w:fill="auto"/>
                <w:vAlign w:val="center"/>
              </w:tcPr>
              <w:p w:rsidR="004A3868" w:rsidRDefault="003F1AB5">
                <w:pPr>
                  <w:pStyle w:val="afff7"/>
                </w:pPr>
                <w:r>
                  <w:t>337,499.08</w:t>
                </w:r>
              </w:p>
            </w:tc>
            <w:tc>
              <w:tcPr>
                <w:tcW w:w="740" w:type="pct"/>
                <w:shd w:val="clear" w:color="auto" w:fill="auto"/>
                <w:vAlign w:val="center"/>
              </w:tcPr>
              <w:p w:rsidR="004A3868" w:rsidRDefault="003F1AB5">
                <w:pPr>
                  <w:pStyle w:val="afff7"/>
                </w:pPr>
                <w:r>
                  <w:t>-57,177.73</w:t>
                </w:r>
              </w:p>
            </w:tc>
            <w:tc>
              <w:tcPr>
                <w:tcW w:w="595" w:type="pct"/>
                <w:shd w:val="clear" w:color="auto" w:fill="auto"/>
                <w:vAlign w:val="center"/>
              </w:tcPr>
              <w:p w:rsidR="004A3868" w:rsidRDefault="004A3868">
                <w:pPr>
                  <w:pStyle w:val="afff7"/>
                </w:pPr>
              </w:p>
            </w:tc>
            <w:tc>
              <w:tcPr>
                <w:tcW w:w="641" w:type="pct"/>
                <w:vAlign w:val="center"/>
              </w:tcPr>
              <w:p w:rsidR="004A3868" w:rsidRDefault="004A3868">
                <w:pPr>
                  <w:pStyle w:val="afff7"/>
                </w:pPr>
              </w:p>
            </w:tc>
            <w:tc>
              <w:tcPr>
                <w:tcW w:w="639" w:type="pct"/>
                <w:vAlign w:val="center"/>
              </w:tcPr>
              <w:p w:rsidR="004A3868" w:rsidRDefault="004A3868">
                <w:pPr>
                  <w:pStyle w:val="afff7"/>
                </w:pPr>
              </w:p>
            </w:tc>
            <w:tc>
              <w:tcPr>
                <w:tcW w:w="808" w:type="pct"/>
                <w:shd w:val="clear" w:color="auto" w:fill="auto"/>
                <w:vAlign w:val="center"/>
              </w:tcPr>
              <w:p w:rsidR="004A3868" w:rsidRDefault="003F1AB5">
                <w:pPr>
                  <w:pStyle w:val="afff7"/>
                </w:pPr>
                <w:r>
                  <w:t>280,321.35</w:t>
                </w:r>
              </w:p>
            </w:tc>
          </w:tr>
        </w:sdtContent>
      </w:sdt>
      <w:tr w:rsidR="004A3868">
        <w:trPr>
          <w:trHeight w:val="397"/>
          <w:jc w:val="center"/>
        </w:trPr>
        <w:tc>
          <w:tcPr>
            <w:tcW w:w="769" w:type="pct"/>
            <w:shd w:val="clear" w:color="auto" w:fill="auto"/>
          </w:tcPr>
          <w:sdt>
            <w:sdtPr>
              <w:rPr>
                <w:rFonts w:hint="eastAsia"/>
              </w:rPr>
              <w:tag w:val="_PLD_86187db2f0a842bcbb9f860593dced5e"/>
              <w:id w:val="652725429"/>
              <w:lock w:val="sdtLocked"/>
            </w:sdtPr>
            <w:sdtEndPr/>
            <w:sdtContent>
              <w:p w:rsidR="004A3868" w:rsidRDefault="003F1AB5">
                <w:pPr>
                  <w:pStyle w:val="afff7"/>
                </w:pPr>
                <w:r>
                  <w:rPr>
                    <w:rFonts w:hint="eastAsia"/>
                  </w:rPr>
                  <w:t>合计</w:t>
                </w:r>
              </w:p>
            </w:sdtContent>
          </w:sdt>
        </w:tc>
        <w:tc>
          <w:tcPr>
            <w:tcW w:w="808" w:type="pct"/>
            <w:shd w:val="clear" w:color="auto" w:fill="auto"/>
            <w:vAlign w:val="center"/>
          </w:tcPr>
          <w:p w:rsidR="004A3868" w:rsidRDefault="003F1AB5">
            <w:pPr>
              <w:pStyle w:val="afff7"/>
            </w:pPr>
            <w:r>
              <w:t>337,499.08</w:t>
            </w:r>
          </w:p>
        </w:tc>
        <w:tc>
          <w:tcPr>
            <w:tcW w:w="740" w:type="pct"/>
            <w:shd w:val="clear" w:color="auto" w:fill="auto"/>
            <w:vAlign w:val="center"/>
          </w:tcPr>
          <w:p w:rsidR="004A3868" w:rsidRDefault="003F1AB5">
            <w:pPr>
              <w:pStyle w:val="afff7"/>
            </w:pPr>
            <w:r>
              <w:t>-57,177.73</w:t>
            </w:r>
          </w:p>
        </w:tc>
        <w:tc>
          <w:tcPr>
            <w:tcW w:w="595" w:type="pct"/>
            <w:shd w:val="clear" w:color="auto" w:fill="auto"/>
            <w:vAlign w:val="center"/>
          </w:tcPr>
          <w:p w:rsidR="004A3868" w:rsidRDefault="004A3868">
            <w:pPr>
              <w:pStyle w:val="afff7"/>
            </w:pPr>
          </w:p>
        </w:tc>
        <w:tc>
          <w:tcPr>
            <w:tcW w:w="641" w:type="pct"/>
            <w:vAlign w:val="center"/>
          </w:tcPr>
          <w:p w:rsidR="004A3868" w:rsidRDefault="004A3868">
            <w:pPr>
              <w:pStyle w:val="afff7"/>
            </w:pPr>
          </w:p>
        </w:tc>
        <w:tc>
          <w:tcPr>
            <w:tcW w:w="639" w:type="pct"/>
            <w:vAlign w:val="center"/>
          </w:tcPr>
          <w:p w:rsidR="004A3868" w:rsidRDefault="004A3868">
            <w:pPr>
              <w:pStyle w:val="afff7"/>
            </w:pPr>
          </w:p>
        </w:tc>
        <w:tc>
          <w:tcPr>
            <w:tcW w:w="808" w:type="pct"/>
            <w:shd w:val="clear" w:color="auto" w:fill="auto"/>
            <w:vAlign w:val="center"/>
          </w:tcPr>
          <w:p w:rsidR="004A3868" w:rsidRDefault="003F1AB5">
            <w:pPr>
              <w:pStyle w:val="afff7"/>
            </w:pPr>
            <w:r>
              <w:t>280,321.35</w:t>
            </w:r>
          </w:p>
        </w:tc>
      </w:tr>
    </w:tbl>
    <w:p w:rsidR="004A3868" w:rsidRDefault="004A3868">
      <w:pPr>
        <w:pStyle w:val="Style842"/>
      </w:pPr>
    </w:p>
    <w:p w:rsidR="004A3868" w:rsidRDefault="003F1AB5">
      <w:pPr>
        <w:pStyle w:val="Style124"/>
      </w:pPr>
      <w:r>
        <w:rPr>
          <w:rFonts w:hint="eastAsia"/>
        </w:rPr>
        <w:t>其中本期坏账准备收回或转回金额重要的：</w:t>
      </w:r>
    </w:p>
    <w:sdt>
      <w:sdtPr>
        <w:alias w:val="是否适用：本期坏账准备收回或转回金额重要的[双击切换]"/>
        <w:tag w:val="_GBC_2b51db20288a43b39962432da30280fe"/>
        <w:id w:val="-1517380200"/>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alias w:val="坏账准备情况的说明"/>
        <w:tag w:val="_GBC_e8b4225586244ec9b8d5ae0de000f4e4"/>
        <w:id w:val="632062770"/>
        <w:placeholder>
          <w:docPart w:val="GBC22222222222222222222222222222"/>
        </w:placeholder>
      </w:sdtPr>
      <w:sdtEndPr>
        <w:rPr>
          <w:sz w:val="21"/>
          <w:szCs w:val="21"/>
        </w:rPr>
      </w:sdtEndPr>
      <w:sdtContent>
        <w:p w:rsidR="004A3868" w:rsidRDefault="003F1AB5">
          <w:pPr>
            <w:rPr>
              <w:sz w:val="21"/>
              <w:szCs w:val="21"/>
            </w:rPr>
          </w:pPr>
          <w:r>
            <w:rPr>
              <w:rFonts w:hint="eastAsia"/>
              <w:sz w:val="21"/>
              <w:szCs w:val="21"/>
            </w:rPr>
            <w:t>无</w:t>
          </w:r>
        </w:p>
      </w:sdtContent>
    </w:sdt>
    <w:p w:rsidR="004A3868" w:rsidRDefault="003F1AB5">
      <w:pPr>
        <w:pStyle w:val="Style128"/>
        <w:numPr>
          <w:ilvl w:val="0"/>
          <w:numId w:val="68"/>
        </w:numPr>
      </w:pPr>
      <w:r>
        <w:t>本期实际核销的应收款项融资情况</w:t>
      </w:r>
    </w:p>
    <w:sdt>
      <w:sdtPr>
        <w:rPr>
          <w:sz w:val="21"/>
          <w:szCs w:val="21"/>
        </w:rPr>
        <w:alias w:val="是否适用：实际核销的情况[双击切换]"/>
        <w:tag w:val="_GBC_4075b47847034ec5b4b4aeeb85217687"/>
        <w:id w:val="201248984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其中重要的应收款项融资核销情况</w:t>
      </w:r>
    </w:p>
    <w:sdt>
      <w:sdtPr>
        <w:rPr>
          <w:rFonts w:hint="eastAsia"/>
        </w:rPr>
        <w:alias w:val="是否适用：重要的核销情况[双击切换]"/>
        <w:tag w:val="_GBC_a1c05dd99dc343f883b67997da317840"/>
        <w:id w:val="121197806"/>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核销说明：</w:t>
      </w:r>
    </w:p>
    <w:sdt>
      <w:sdtPr>
        <w:rPr>
          <w:sz w:val="21"/>
          <w:szCs w:val="21"/>
        </w:rPr>
        <w:alias w:val="是否适用：核销说明[双击切换]"/>
        <w:tag w:val="_GBC_960239b4d8f94352ba13280d190272c1"/>
        <w:id w:val="205095764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68"/>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5331578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68"/>
        </w:numPr>
      </w:pPr>
      <w:r>
        <w:rPr>
          <w:rFonts w:hint="eastAsia"/>
        </w:rPr>
        <w:t>其他</w:t>
      </w:r>
      <w:r>
        <w:t>说明</w:t>
      </w:r>
      <w:r>
        <w:rPr>
          <w:rFonts w:hint="eastAsia"/>
        </w:rPr>
        <w:t>：</w:t>
      </w:r>
    </w:p>
    <w:bookmarkEnd w:id="154" w:displacedByCustomXml="next"/>
    <w:bookmarkEnd w:id="155" w:displacedByCustomXml="next"/>
    <w:bookmarkStart w:id="158" w:name="_Hlk13057390" w:displacedByCustomXml="next"/>
    <w:sdt>
      <w:sdtPr>
        <w:rPr>
          <w:rFonts w:hint="eastAsia"/>
        </w:rPr>
        <w:alias w:val="是否适用：应收款项融资其他说明[双击切换]"/>
        <w:tag w:val="_GBC_19d5ef5dfbe64f2d98d9ab83a2e48c14"/>
        <w:id w:val="103739165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58"/>
    <w:p w:rsidR="004A3868" w:rsidRDefault="003F1AB5">
      <w:pPr>
        <w:pStyle w:val="Style12711"/>
      </w:pPr>
      <w:r>
        <w:rPr>
          <w:rFonts w:hint="eastAsia"/>
        </w:rPr>
        <w:t>预付款项</w:t>
      </w:r>
    </w:p>
    <w:p w:rsidR="004A3868" w:rsidRDefault="003F1AB5">
      <w:pPr>
        <w:pStyle w:val="Style128"/>
        <w:numPr>
          <w:ilvl w:val="3"/>
          <w:numId w:val="69"/>
        </w:numPr>
      </w:pPr>
      <w:r>
        <w:rPr>
          <w:rFonts w:hint="eastAsia"/>
        </w:rPr>
        <w:t>预付款项按账龄列示</w:t>
      </w:r>
    </w:p>
    <w:sdt>
      <w:sdtPr>
        <w:rPr>
          <w:rFonts w:hint="eastAsia"/>
        </w:rPr>
        <w:alias w:val="是否适用：预付款项按账龄列示[双击切换]"/>
        <w:tag w:val="_GBC_9c50af2eedb44a33921bab4a9f5ef35c"/>
        <w:id w:val="1687090433"/>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b/>
          <w:sz w:val="21"/>
          <w:szCs w:val="21"/>
        </w:rPr>
      </w:pPr>
      <w:r>
        <w:rPr>
          <w:rFonts w:hint="eastAsia"/>
          <w:sz w:val="21"/>
          <w:szCs w:val="21"/>
        </w:rPr>
        <w:t>单位：</w:t>
      </w:r>
      <w:sdt>
        <w:sdtPr>
          <w:rPr>
            <w:rFonts w:hint="eastAsia"/>
            <w:sz w:val="21"/>
            <w:szCs w:val="21"/>
          </w:rPr>
          <w:alias w:val="单位：财务附注：预付账款账龄"/>
          <w:tag w:val="_GBC_25e874c523c14d528beabbdb96c27981"/>
          <w:id w:val="-18958801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预付账款账龄"/>
          <w:tag w:val="_GBC_5fd49f072b7e406886d7d66537c647e5"/>
          <w:id w:val="-17398635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340"/>
        <w:gridCol w:w="1906"/>
        <w:gridCol w:w="1855"/>
        <w:gridCol w:w="1853"/>
        <w:gridCol w:w="1869"/>
      </w:tblGrid>
      <w:tr w:rsidR="004A3868">
        <w:trPr>
          <w:cantSplit/>
          <w:trHeight w:val="397"/>
          <w:jc w:val="center"/>
        </w:trPr>
        <w:sdt>
          <w:sdtPr>
            <w:tag w:val="_PLD_497c76328aa14442bd9ed8d02efaffdc"/>
            <w:id w:val="-1200319780"/>
          </w:sdtPr>
          <w:sdtEndPr/>
          <w:sdtContent>
            <w:tc>
              <w:tcPr>
                <w:tcW w:w="759" w:type="pct"/>
                <w:vMerge w:val="restart"/>
                <w:vAlign w:val="center"/>
              </w:tcPr>
              <w:p w:rsidR="004A3868" w:rsidRDefault="003F1AB5">
                <w:pPr>
                  <w:pStyle w:val="afffb"/>
                </w:pPr>
                <w:r>
                  <w:rPr>
                    <w:rFonts w:hint="eastAsia"/>
                  </w:rPr>
                  <w:t>账龄</w:t>
                </w:r>
              </w:p>
            </w:tc>
          </w:sdtContent>
        </w:sdt>
        <w:sdt>
          <w:sdtPr>
            <w:tag w:val="_PLD_3c7cef9fd55549768916decb59114918"/>
            <w:id w:val="1940021662"/>
          </w:sdtPr>
          <w:sdtEndPr/>
          <w:sdtContent>
            <w:tc>
              <w:tcPr>
                <w:tcW w:w="2131" w:type="pct"/>
                <w:gridSpan w:val="2"/>
                <w:vAlign w:val="center"/>
              </w:tcPr>
              <w:p w:rsidR="004A3868" w:rsidRDefault="003F1AB5">
                <w:pPr>
                  <w:pStyle w:val="afffb"/>
                </w:pPr>
                <w:r>
                  <w:rPr>
                    <w:rFonts w:hint="eastAsia"/>
                  </w:rPr>
                  <w:t>期末余额</w:t>
                </w:r>
              </w:p>
            </w:tc>
          </w:sdtContent>
        </w:sdt>
        <w:sdt>
          <w:sdtPr>
            <w:tag w:val="_PLD_3338d9aea932468fa8faa1bef2db4526"/>
            <w:id w:val="836507460"/>
          </w:sdtPr>
          <w:sdtEndPr/>
          <w:sdtContent>
            <w:tc>
              <w:tcPr>
                <w:tcW w:w="2109" w:type="pct"/>
                <w:gridSpan w:val="2"/>
                <w:vAlign w:val="center"/>
              </w:tcPr>
              <w:p w:rsidR="004A3868" w:rsidRDefault="003F1AB5">
                <w:pPr>
                  <w:pStyle w:val="afffb"/>
                </w:pPr>
                <w:r>
                  <w:rPr>
                    <w:rFonts w:hint="eastAsia"/>
                  </w:rPr>
                  <w:t>期初余额</w:t>
                </w:r>
              </w:p>
            </w:tc>
          </w:sdtContent>
        </w:sdt>
      </w:tr>
      <w:tr w:rsidR="004A3868">
        <w:trPr>
          <w:cantSplit/>
          <w:trHeight w:val="397"/>
          <w:jc w:val="center"/>
        </w:trPr>
        <w:tc>
          <w:tcPr>
            <w:tcW w:w="759" w:type="pct"/>
            <w:vMerge/>
            <w:vAlign w:val="center"/>
          </w:tcPr>
          <w:p w:rsidR="004A3868" w:rsidRDefault="004A3868">
            <w:pPr>
              <w:pStyle w:val="afffb"/>
            </w:pPr>
          </w:p>
        </w:tc>
        <w:sdt>
          <w:sdtPr>
            <w:tag w:val="_PLD_2b1b05d61c574fe485d979f04a81c8c9"/>
            <w:id w:val="-797753333"/>
          </w:sdtPr>
          <w:sdtEndPr/>
          <w:sdtContent>
            <w:tc>
              <w:tcPr>
                <w:tcW w:w="1080" w:type="pct"/>
                <w:vAlign w:val="center"/>
              </w:tcPr>
              <w:p w:rsidR="004A3868" w:rsidRDefault="003F1AB5">
                <w:pPr>
                  <w:pStyle w:val="afffb"/>
                </w:pPr>
                <w:r>
                  <w:rPr>
                    <w:rFonts w:hint="eastAsia"/>
                  </w:rPr>
                  <w:t>金额</w:t>
                </w:r>
              </w:p>
            </w:tc>
          </w:sdtContent>
        </w:sdt>
        <w:sdt>
          <w:sdtPr>
            <w:tag w:val="_PLD_7faf25028eff45ce8c6bf33a9060f296"/>
            <w:id w:val="1065066624"/>
          </w:sdtPr>
          <w:sdtEndPr/>
          <w:sdtContent>
            <w:tc>
              <w:tcPr>
                <w:tcW w:w="1051" w:type="pct"/>
                <w:vAlign w:val="center"/>
              </w:tcPr>
              <w:p w:rsidR="004A3868" w:rsidRDefault="003F1AB5">
                <w:pPr>
                  <w:pStyle w:val="afffb"/>
                </w:pPr>
                <w:r>
                  <w:rPr>
                    <w:rFonts w:hint="eastAsia"/>
                  </w:rPr>
                  <w:t>比例</w:t>
                </w:r>
                <w:r>
                  <w:t>(%)</w:t>
                </w:r>
              </w:p>
            </w:tc>
          </w:sdtContent>
        </w:sdt>
        <w:sdt>
          <w:sdtPr>
            <w:tag w:val="_PLD_56219e7f20ba4e60b1a3edd32c1c534e"/>
            <w:id w:val="-1556618318"/>
          </w:sdtPr>
          <w:sdtEndPr/>
          <w:sdtContent>
            <w:tc>
              <w:tcPr>
                <w:tcW w:w="1050" w:type="pct"/>
                <w:vAlign w:val="center"/>
              </w:tcPr>
              <w:p w:rsidR="004A3868" w:rsidRDefault="003F1AB5">
                <w:pPr>
                  <w:pStyle w:val="afffb"/>
                </w:pPr>
                <w:r>
                  <w:rPr>
                    <w:rFonts w:hint="eastAsia"/>
                  </w:rPr>
                  <w:t>金额</w:t>
                </w:r>
              </w:p>
            </w:tc>
          </w:sdtContent>
        </w:sdt>
        <w:sdt>
          <w:sdtPr>
            <w:tag w:val="_PLD_430fca228ced43ada83018b2091f7abf"/>
            <w:id w:val="-1950163046"/>
          </w:sdtPr>
          <w:sdtEndPr/>
          <w:sdtContent>
            <w:tc>
              <w:tcPr>
                <w:tcW w:w="1059" w:type="pct"/>
                <w:vAlign w:val="center"/>
              </w:tcPr>
              <w:p w:rsidR="004A3868" w:rsidRDefault="003F1AB5">
                <w:pPr>
                  <w:pStyle w:val="afffb"/>
                </w:pPr>
                <w:r>
                  <w:rPr>
                    <w:rFonts w:hint="eastAsia"/>
                  </w:rPr>
                  <w:t>比例</w:t>
                </w:r>
                <w:r>
                  <w:t>(%)</w:t>
                </w:r>
              </w:p>
            </w:tc>
          </w:sdtContent>
        </w:sdt>
      </w:tr>
      <w:tr w:rsidR="004A3868">
        <w:trPr>
          <w:cantSplit/>
          <w:trHeight w:val="397"/>
          <w:jc w:val="center"/>
        </w:trPr>
        <w:tc>
          <w:tcPr>
            <w:tcW w:w="759" w:type="pct"/>
            <w:vAlign w:val="center"/>
          </w:tcPr>
          <w:p w:rsidR="004A3868" w:rsidRDefault="003F1AB5">
            <w:pPr>
              <w:rPr>
                <w:sz w:val="21"/>
                <w:szCs w:val="21"/>
              </w:rPr>
            </w:pPr>
            <w:r>
              <w:rPr>
                <w:rFonts w:hint="eastAsia"/>
                <w:sz w:val="21"/>
                <w:szCs w:val="21"/>
              </w:rPr>
              <w:lastRenderedPageBreak/>
              <w:t>1年以内</w:t>
            </w:r>
          </w:p>
        </w:tc>
        <w:tc>
          <w:tcPr>
            <w:tcW w:w="1080" w:type="pct"/>
          </w:tcPr>
          <w:p w:rsidR="004A3868" w:rsidRDefault="003F1AB5">
            <w:pPr>
              <w:pStyle w:val="afff7"/>
            </w:pPr>
            <w:r>
              <w:t>57,662,492.99</w:t>
            </w:r>
          </w:p>
        </w:tc>
        <w:tc>
          <w:tcPr>
            <w:tcW w:w="1051" w:type="pct"/>
          </w:tcPr>
          <w:p w:rsidR="004A3868" w:rsidRDefault="003F1AB5">
            <w:pPr>
              <w:pStyle w:val="afff7"/>
            </w:pPr>
            <w:r>
              <w:t>99.74</w:t>
            </w:r>
          </w:p>
        </w:tc>
        <w:tc>
          <w:tcPr>
            <w:tcW w:w="1050" w:type="pct"/>
            <w:vAlign w:val="center"/>
          </w:tcPr>
          <w:p w:rsidR="004A3868" w:rsidRDefault="003F1AB5">
            <w:pPr>
              <w:pStyle w:val="afff7"/>
            </w:pPr>
            <w:r>
              <w:t>54,573,853.68</w:t>
            </w:r>
          </w:p>
        </w:tc>
        <w:tc>
          <w:tcPr>
            <w:tcW w:w="1059" w:type="pct"/>
            <w:vAlign w:val="center"/>
          </w:tcPr>
          <w:p w:rsidR="004A3868" w:rsidRDefault="003F1AB5">
            <w:pPr>
              <w:pStyle w:val="afff7"/>
            </w:pPr>
            <w:r>
              <w:t>99.94</w:t>
            </w:r>
          </w:p>
        </w:tc>
      </w:tr>
      <w:tr w:rsidR="004A3868">
        <w:trPr>
          <w:cantSplit/>
          <w:trHeight w:val="397"/>
          <w:jc w:val="center"/>
        </w:trPr>
        <w:tc>
          <w:tcPr>
            <w:tcW w:w="759" w:type="pct"/>
            <w:vAlign w:val="center"/>
          </w:tcPr>
          <w:p w:rsidR="004A3868" w:rsidRDefault="003F1AB5">
            <w:pPr>
              <w:rPr>
                <w:sz w:val="21"/>
                <w:szCs w:val="21"/>
              </w:rPr>
            </w:pPr>
            <w:r>
              <w:rPr>
                <w:rFonts w:hint="eastAsia"/>
                <w:sz w:val="21"/>
                <w:szCs w:val="21"/>
              </w:rPr>
              <w:t>1至2年</w:t>
            </w:r>
          </w:p>
        </w:tc>
        <w:tc>
          <w:tcPr>
            <w:tcW w:w="1080" w:type="pct"/>
          </w:tcPr>
          <w:p w:rsidR="004A3868" w:rsidRDefault="003F1AB5">
            <w:pPr>
              <w:pStyle w:val="afff7"/>
            </w:pPr>
            <w:r>
              <w:t>150,342.45</w:t>
            </w:r>
          </w:p>
        </w:tc>
        <w:tc>
          <w:tcPr>
            <w:tcW w:w="1051" w:type="pct"/>
          </w:tcPr>
          <w:p w:rsidR="004A3868" w:rsidRDefault="003F1AB5">
            <w:pPr>
              <w:pStyle w:val="afff7"/>
            </w:pPr>
            <w:r>
              <w:t>0.26</w:t>
            </w:r>
          </w:p>
        </w:tc>
        <w:tc>
          <w:tcPr>
            <w:tcW w:w="1050" w:type="pct"/>
            <w:vAlign w:val="center"/>
          </w:tcPr>
          <w:p w:rsidR="004A3868" w:rsidRDefault="003F1AB5">
            <w:pPr>
              <w:pStyle w:val="afff7"/>
            </w:pPr>
            <w:r>
              <w:t>32,725.49</w:t>
            </w:r>
          </w:p>
        </w:tc>
        <w:tc>
          <w:tcPr>
            <w:tcW w:w="1059" w:type="pct"/>
            <w:vAlign w:val="center"/>
          </w:tcPr>
          <w:p w:rsidR="004A3868" w:rsidRDefault="003F1AB5">
            <w:pPr>
              <w:pStyle w:val="afff7"/>
            </w:pPr>
            <w:r>
              <w:t>0.06</w:t>
            </w:r>
          </w:p>
        </w:tc>
      </w:tr>
      <w:tr w:rsidR="004A3868">
        <w:trPr>
          <w:cantSplit/>
          <w:trHeight w:val="397"/>
          <w:jc w:val="center"/>
        </w:trPr>
        <w:tc>
          <w:tcPr>
            <w:tcW w:w="759" w:type="pct"/>
            <w:vAlign w:val="center"/>
          </w:tcPr>
          <w:p w:rsidR="004A3868" w:rsidRDefault="003F1AB5">
            <w:pPr>
              <w:rPr>
                <w:sz w:val="21"/>
                <w:szCs w:val="21"/>
              </w:rPr>
            </w:pPr>
            <w:r>
              <w:rPr>
                <w:rFonts w:hint="eastAsia"/>
                <w:sz w:val="21"/>
                <w:szCs w:val="21"/>
              </w:rPr>
              <w:t>合计</w:t>
            </w:r>
          </w:p>
        </w:tc>
        <w:tc>
          <w:tcPr>
            <w:tcW w:w="1080" w:type="pct"/>
          </w:tcPr>
          <w:p w:rsidR="004A3868" w:rsidRDefault="003F1AB5">
            <w:pPr>
              <w:pStyle w:val="afff7"/>
            </w:pPr>
            <w:r>
              <w:t>57,812,835.44</w:t>
            </w:r>
          </w:p>
        </w:tc>
        <w:tc>
          <w:tcPr>
            <w:tcW w:w="1051" w:type="pct"/>
          </w:tcPr>
          <w:p w:rsidR="004A3868" w:rsidRDefault="003F1AB5">
            <w:pPr>
              <w:pStyle w:val="afff7"/>
            </w:pPr>
            <w:r>
              <w:t>100.00</w:t>
            </w:r>
          </w:p>
        </w:tc>
        <w:tc>
          <w:tcPr>
            <w:tcW w:w="1050" w:type="pct"/>
            <w:vAlign w:val="center"/>
          </w:tcPr>
          <w:p w:rsidR="004A3868" w:rsidRDefault="003F1AB5">
            <w:pPr>
              <w:pStyle w:val="afff7"/>
            </w:pPr>
            <w:r>
              <w:t>54,606,579.17</w:t>
            </w:r>
          </w:p>
        </w:tc>
        <w:tc>
          <w:tcPr>
            <w:tcW w:w="1059" w:type="pct"/>
            <w:vAlign w:val="center"/>
          </w:tcPr>
          <w:p w:rsidR="004A3868" w:rsidRDefault="003F1AB5">
            <w:pPr>
              <w:pStyle w:val="afff7"/>
            </w:pPr>
            <w:r>
              <w:t>100.00</w:t>
            </w:r>
          </w:p>
        </w:tc>
      </w:tr>
    </w:tbl>
    <w:p w:rsidR="004A3868" w:rsidRDefault="003F1AB5">
      <w:pPr>
        <w:rPr>
          <w:sz w:val="21"/>
          <w:szCs w:val="21"/>
        </w:rPr>
      </w:pPr>
      <w:r>
        <w:rPr>
          <w:sz w:val="21"/>
          <w:szCs w:val="21"/>
        </w:rPr>
        <w:t>账</w:t>
      </w:r>
      <w:r>
        <w:rPr>
          <w:rFonts w:hint="eastAsia"/>
          <w:sz w:val="21"/>
          <w:szCs w:val="21"/>
        </w:rPr>
        <w:t>龄超过1年且金额重要的预付款项未及时结算原因</w:t>
      </w:r>
      <w:r>
        <w:rPr>
          <w:sz w:val="21"/>
          <w:szCs w:val="21"/>
        </w:rPr>
        <w:t>的说明：</w:t>
      </w:r>
    </w:p>
    <w:sdt>
      <w:sdtPr>
        <w:rPr>
          <w:rFonts w:hint="eastAsia"/>
        </w:rPr>
        <w:alias w:val="账龄超过1年且金额重要的预付款项未及时结算原因的说明"/>
        <w:tag w:val="_GBC_21bfefabbdb8489685d0bb3ee64c2ca5"/>
        <w:id w:val="-1968275041"/>
        <w:placeholder>
          <w:docPart w:val="GBC22222222222222222222222222222"/>
        </w:placeholder>
      </w:sdtPr>
      <w:sdtEndPr/>
      <w:sdtContent>
        <w:p w:rsidR="004A3868" w:rsidRDefault="003F1AB5">
          <w:pPr>
            <w:pStyle w:val="Style124"/>
          </w:pPr>
          <w:r>
            <w:rPr>
              <w:rFonts w:hint="eastAsia"/>
            </w:rPr>
            <w:t>无</w:t>
          </w:r>
        </w:p>
      </w:sdtContent>
    </w:sdt>
    <w:p w:rsidR="004A3868" w:rsidRDefault="003F1AB5">
      <w:pPr>
        <w:pStyle w:val="Style128"/>
        <w:numPr>
          <w:ilvl w:val="3"/>
          <w:numId w:val="69"/>
        </w:numPr>
        <w:rPr>
          <w:szCs w:val="21"/>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41035054"/>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tbl>
      <w:tblPr>
        <w:tblStyle w:val="g8"/>
        <w:tblW w:w="4994" w:type="pct"/>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407"/>
        <w:gridCol w:w="3400"/>
        <w:gridCol w:w="3005"/>
      </w:tblGrid>
      <w:tr w:rsidR="004A3868">
        <w:trPr>
          <w:cantSplit/>
          <w:trHeight w:val="397"/>
          <w:jc w:val="right"/>
        </w:trPr>
        <w:sdt>
          <w:sdtPr>
            <w:rPr>
              <w:rFonts w:hint="eastAsia"/>
            </w:rPr>
            <w:tag w:val="_PLD_0ab17d7ae0014b6192c9dd0e6d3d3a25"/>
            <w:id w:val="-1435663216"/>
            <w:lock w:val="sdtLocked"/>
          </w:sdtPr>
          <w:sdtEndPr/>
          <w:sdtContent>
            <w:tc>
              <w:tcPr>
                <w:tcW w:w="1366" w:type="pct"/>
                <w:vAlign w:val="center"/>
              </w:tcPr>
              <w:p w:rsidR="004A3868" w:rsidRDefault="003F1AB5">
                <w:pPr>
                  <w:pStyle w:val="afffb"/>
                </w:pPr>
                <w:r>
                  <w:rPr>
                    <w:rFonts w:hint="eastAsia"/>
                  </w:rPr>
                  <w:t>单位名称</w:t>
                </w:r>
              </w:p>
            </w:tc>
          </w:sdtContent>
        </w:sdt>
        <w:sdt>
          <w:sdtPr>
            <w:rPr>
              <w:rFonts w:hint="eastAsia"/>
            </w:rPr>
            <w:tag w:val="_PLD_cdd4a1e632c94d14908eb36a620946a9"/>
            <w:id w:val="-474910820"/>
            <w:lock w:val="sdtLocked"/>
          </w:sdtPr>
          <w:sdtEndPr/>
          <w:sdtContent>
            <w:tc>
              <w:tcPr>
                <w:tcW w:w="1929" w:type="pct"/>
                <w:vAlign w:val="center"/>
              </w:tcPr>
              <w:p w:rsidR="004A3868" w:rsidRDefault="003F1AB5">
                <w:pPr>
                  <w:pStyle w:val="afffb"/>
                </w:pPr>
                <w:r>
                  <w:rPr>
                    <w:rFonts w:hint="eastAsia"/>
                  </w:rPr>
                  <w:t>期末余额</w:t>
                </w:r>
              </w:p>
            </w:tc>
          </w:sdtContent>
        </w:sdt>
        <w:sdt>
          <w:sdtPr>
            <w:rPr>
              <w:rFonts w:hint="eastAsia"/>
            </w:rPr>
            <w:tag w:val="_PLD_c9db34035f63426095900b82cc8a8131"/>
            <w:id w:val="9121409"/>
            <w:lock w:val="sdtLocked"/>
          </w:sdtPr>
          <w:sdtEndPr>
            <w:rPr>
              <w:rFonts w:hint="default"/>
            </w:rPr>
          </w:sdtEndPr>
          <w:sdtContent>
            <w:tc>
              <w:tcPr>
                <w:tcW w:w="1705" w:type="pct"/>
                <w:vAlign w:val="center"/>
              </w:tcPr>
              <w:p w:rsidR="004A3868" w:rsidRDefault="003F1AB5">
                <w:pPr>
                  <w:pStyle w:val="afffb"/>
                </w:pPr>
                <w:r>
                  <w:rPr>
                    <w:rFonts w:hint="eastAsia"/>
                  </w:rPr>
                  <w:t>占预付款项期末余额合计数的比例(</w:t>
                </w:r>
                <w:r>
                  <w:t>%)</w:t>
                </w:r>
              </w:p>
            </w:tc>
          </w:sdtContent>
        </w:sdt>
      </w:tr>
      <w:tr w:rsidR="004A3868">
        <w:trPr>
          <w:cantSplit/>
          <w:trHeight w:val="397"/>
          <w:jc w:val="right"/>
        </w:trPr>
        <w:tc>
          <w:tcPr>
            <w:tcW w:w="1366" w:type="pct"/>
          </w:tcPr>
          <w:p w:rsidR="004A3868" w:rsidRDefault="003F1AB5">
            <w:pPr>
              <w:pStyle w:val="afff9"/>
            </w:pPr>
            <w:r>
              <w:rPr>
                <w:rFonts w:hint="eastAsia"/>
              </w:rPr>
              <w:t>预付账款余额前五单位</w:t>
            </w:r>
            <w:r>
              <w:t>1</w:t>
            </w:r>
          </w:p>
        </w:tc>
        <w:tc>
          <w:tcPr>
            <w:tcW w:w="1929" w:type="pct"/>
          </w:tcPr>
          <w:p w:rsidR="004A3868" w:rsidRDefault="003F1AB5">
            <w:pPr>
              <w:pStyle w:val="afff7"/>
            </w:pPr>
            <w:r>
              <w:t>30,969,365.42</w:t>
            </w:r>
          </w:p>
        </w:tc>
        <w:tc>
          <w:tcPr>
            <w:tcW w:w="1705" w:type="pct"/>
          </w:tcPr>
          <w:p w:rsidR="004A3868" w:rsidRDefault="003F1AB5">
            <w:pPr>
              <w:pStyle w:val="afff7"/>
            </w:pPr>
            <w:r>
              <w:t>53.57</w:t>
            </w:r>
          </w:p>
        </w:tc>
      </w:tr>
      <w:tr w:rsidR="004A3868">
        <w:trPr>
          <w:cantSplit/>
          <w:trHeight w:val="397"/>
          <w:jc w:val="right"/>
        </w:trPr>
        <w:tc>
          <w:tcPr>
            <w:tcW w:w="1366" w:type="pct"/>
          </w:tcPr>
          <w:p w:rsidR="004A3868" w:rsidRDefault="003F1AB5">
            <w:pPr>
              <w:pStyle w:val="afff9"/>
            </w:pPr>
            <w:r>
              <w:rPr>
                <w:rFonts w:hint="eastAsia"/>
              </w:rPr>
              <w:t>预付账款余额前五单位</w:t>
            </w:r>
            <w:r>
              <w:t>2</w:t>
            </w:r>
          </w:p>
        </w:tc>
        <w:tc>
          <w:tcPr>
            <w:tcW w:w="1929" w:type="pct"/>
          </w:tcPr>
          <w:p w:rsidR="004A3868" w:rsidRDefault="003F1AB5">
            <w:pPr>
              <w:pStyle w:val="afff7"/>
            </w:pPr>
            <w:r>
              <w:t>11,355,611.28</w:t>
            </w:r>
          </w:p>
        </w:tc>
        <w:tc>
          <w:tcPr>
            <w:tcW w:w="1705" w:type="pct"/>
          </w:tcPr>
          <w:p w:rsidR="004A3868" w:rsidRDefault="003F1AB5">
            <w:pPr>
              <w:pStyle w:val="afff7"/>
            </w:pPr>
            <w:r>
              <w:t>19.64</w:t>
            </w:r>
          </w:p>
        </w:tc>
      </w:tr>
      <w:tr w:rsidR="004A3868">
        <w:trPr>
          <w:cantSplit/>
          <w:trHeight w:val="397"/>
          <w:jc w:val="right"/>
        </w:trPr>
        <w:tc>
          <w:tcPr>
            <w:tcW w:w="1366" w:type="pct"/>
          </w:tcPr>
          <w:p w:rsidR="004A3868" w:rsidRDefault="003F1AB5">
            <w:pPr>
              <w:pStyle w:val="afff9"/>
            </w:pPr>
            <w:r>
              <w:rPr>
                <w:rFonts w:hint="eastAsia"/>
              </w:rPr>
              <w:t>预付账款余额前五单位</w:t>
            </w:r>
            <w:r>
              <w:t>3</w:t>
            </w:r>
          </w:p>
        </w:tc>
        <w:tc>
          <w:tcPr>
            <w:tcW w:w="1929" w:type="pct"/>
          </w:tcPr>
          <w:p w:rsidR="004A3868" w:rsidRDefault="003F1AB5">
            <w:pPr>
              <w:pStyle w:val="afff7"/>
            </w:pPr>
            <w:r>
              <w:t>6,732,915.22</w:t>
            </w:r>
          </w:p>
        </w:tc>
        <w:tc>
          <w:tcPr>
            <w:tcW w:w="1705" w:type="pct"/>
          </w:tcPr>
          <w:p w:rsidR="004A3868" w:rsidRDefault="003F1AB5">
            <w:pPr>
              <w:pStyle w:val="afff7"/>
            </w:pPr>
            <w:r>
              <w:t>11.65</w:t>
            </w:r>
          </w:p>
        </w:tc>
      </w:tr>
      <w:tr w:rsidR="004A3868">
        <w:trPr>
          <w:cantSplit/>
          <w:trHeight w:val="397"/>
          <w:jc w:val="right"/>
        </w:trPr>
        <w:tc>
          <w:tcPr>
            <w:tcW w:w="1366" w:type="pct"/>
          </w:tcPr>
          <w:p w:rsidR="004A3868" w:rsidRDefault="003F1AB5">
            <w:pPr>
              <w:pStyle w:val="afff9"/>
            </w:pPr>
            <w:r>
              <w:rPr>
                <w:rFonts w:hint="eastAsia"/>
              </w:rPr>
              <w:t>预付账款余额前五单位</w:t>
            </w:r>
            <w:r>
              <w:t>4</w:t>
            </w:r>
          </w:p>
        </w:tc>
        <w:tc>
          <w:tcPr>
            <w:tcW w:w="1929" w:type="pct"/>
          </w:tcPr>
          <w:p w:rsidR="004A3868" w:rsidRDefault="003F1AB5">
            <w:pPr>
              <w:pStyle w:val="afff7"/>
            </w:pPr>
            <w:r>
              <w:t>1,391,942.97</w:t>
            </w:r>
          </w:p>
        </w:tc>
        <w:tc>
          <w:tcPr>
            <w:tcW w:w="1705" w:type="pct"/>
          </w:tcPr>
          <w:p w:rsidR="004A3868" w:rsidRDefault="003F1AB5">
            <w:pPr>
              <w:pStyle w:val="afff7"/>
            </w:pPr>
            <w:r>
              <w:t>2.41</w:t>
            </w:r>
          </w:p>
        </w:tc>
      </w:tr>
      <w:tr w:rsidR="004A3868">
        <w:trPr>
          <w:cantSplit/>
          <w:trHeight w:val="397"/>
          <w:jc w:val="right"/>
        </w:trPr>
        <w:tc>
          <w:tcPr>
            <w:tcW w:w="1366" w:type="pct"/>
          </w:tcPr>
          <w:p w:rsidR="004A3868" w:rsidRDefault="003F1AB5">
            <w:pPr>
              <w:pStyle w:val="afff9"/>
            </w:pPr>
            <w:r>
              <w:rPr>
                <w:rFonts w:hint="eastAsia"/>
              </w:rPr>
              <w:t>预付账款余额前五单位</w:t>
            </w:r>
            <w:r>
              <w:t>5</w:t>
            </w:r>
          </w:p>
        </w:tc>
        <w:tc>
          <w:tcPr>
            <w:tcW w:w="1929" w:type="pct"/>
          </w:tcPr>
          <w:p w:rsidR="004A3868" w:rsidRDefault="003F1AB5">
            <w:pPr>
              <w:pStyle w:val="afff7"/>
            </w:pPr>
            <w:r>
              <w:t>953,085.80</w:t>
            </w:r>
          </w:p>
        </w:tc>
        <w:tc>
          <w:tcPr>
            <w:tcW w:w="1705" w:type="pct"/>
          </w:tcPr>
          <w:p w:rsidR="004A3868" w:rsidRDefault="003F1AB5">
            <w:pPr>
              <w:pStyle w:val="afff7"/>
            </w:pPr>
            <w:r>
              <w:t>1.65</w:t>
            </w:r>
          </w:p>
        </w:tc>
      </w:tr>
      <w:tr w:rsidR="004A3868">
        <w:trPr>
          <w:cantSplit/>
          <w:trHeight w:val="397"/>
          <w:jc w:val="right"/>
        </w:trPr>
        <w:tc>
          <w:tcPr>
            <w:tcW w:w="1366" w:type="pct"/>
          </w:tcPr>
          <w:p w:rsidR="004A3868" w:rsidRDefault="003F1AB5">
            <w:pPr>
              <w:pStyle w:val="afff9"/>
            </w:pPr>
            <w:r>
              <w:rPr>
                <w:rFonts w:hint="eastAsia"/>
              </w:rPr>
              <w:t>合计</w:t>
            </w:r>
          </w:p>
        </w:tc>
        <w:tc>
          <w:tcPr>
            <w:tcW w:w="1929" w:type="pct"/>
          </w:tcPr>
          <w:p w:rsidR="004A3868" w:rsidRDefault="003F1AB5">
            <w:pPr>
              <w:pStyle w:val="afff7"/>
            </w:pPr>
            <w:r>
              <w:t>51,402,920.69</w:t>
            </w:r>
          </w:p>
        </w:tc>
        <w:tc>
          <w:tcPr>
            <w:tcW w:w="1705" w:type="pct"/>
          </w:tcPr>
          <w:p w:rsidR="004A3868" w:rsidRDefault="003F1AB5">
            <w:pPr>
              <w:pStyle w:val="afff7"/>
            </w:pPr>
            <w:r>
              <w:t>88.92</w:t>
            </w:r>
          </w:p>
        </w:tc>
      </w:tr>
    </w:tbl>
    <w:p w:rsidR="004A3868" w:rsidRDefault="003F1AB5">
      <w:pPr>
        <w:rPr>
          <w:sz w:val="21"/>
          <w:szCs w:val="21"/>
        </w:rPr>
      </w:pPr>
      <w:r>
        <w:rPr>
          <w:rFonts w:hint="eastAsia"/>
          <w:sz w:val="21"/>
          <w:szCs w:val="21"/>
        </w:rPr>
        <w:t>其他说明</w:t>
      </w:r>
    </w:p>
    <w:sdt>
      <w:sdtPr>
        <w:rPr>
          <w:sz w:val="21"/>
          <w:szCs w:val="21"/>
        </w:rPr>
        <w:alias w:val="按预付对象归集的期末余额前五名的预付款情况的说明"/>
        <w:tag w:val="_GBC_01cbdc0115484d88931f2dbcc9e0aa2b"/>
        <w:id w:val="1272436950"/>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4"/>
      </w:pPr>
      <w:r>
        <w:rPr>
          <w:rFonts w:hint="eastAsia"/>
        </w:rPr>
        <w:t>其他说明</w:t>
      </w:r>
    </w:p>
    <w:sdt>
      <w:sdtPr>
        <w:rPr>
          <w:rFonts w:hint="eastAsia"/>
          <w:sz w:val="21"/>
          <w:szCs w:val="21"/>
        </w:rPr>
        <w:alias w:val="是否适用：预付帐款的说明[双击切换]"/>
        <w:tag w:val="_GBC_292d88b78b6d439981e508e0126d8061"/>
        <w:id w:val="-30147091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其他应收款</w:t>
      </w:r>
    </w:p>
    <w:p w:rsidR="004A3868" w:rsidRDefault="003F1AB5">
      <w:pPr>
        <w:pStyle w:val="Style128"/>
      </w:pPr>
      <w:r>
        <w:rPr>
          <w:rFonts w:hint="eastAsia"/>
        </w:rPr>
        <w:t>项目列示</w:t>
      </w:r>
    </w:p>
    <w:bookmarkStart w:id="159" w:name="_Hlk532906090" w:displacedByCustomXml="next"/>
    <w:sdt>
      <w:sdtPr>
        <w:alias w:val="是否适用：其他应收款分类列示[双击切换]"/>
        <w:tag w:val="_GBC_5cf24a2049f64010a4df1f0db5a97234"/>
        <w:id w:val="-1986002971"/>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其他应收款分类列示"/>
          <w:tag w:val="_GBC_7f9aa6546943491ca0ac8585be1822b5"/>
          <w:id w:val="15199593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其他应收款分类列示"/>
          <w:tag w:val="_GBC_04bd5c819b004daf9b35f05cdd98046d"/>
          <w:id w:val="241223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13"/>
        <w:gridCol w:w="2862"/>
        <w:gridCol w:w="2848"/>
      </w:tblGrid>
      <w:tr w:rsidR="004A3868">
        <w:trPr>
          <w:cantSplit/>
          <w:trHeight w:val="397"/>
          <w:jc w:val="center"/>
        </w:trPr>
        <w:sdt>
          <w:sdtPr>
            <w:tag w:val="_PLD_4377dcbf8fc04365884311b6628ee70c"/>
            <w:id w:val="312836425"/>
          </w:sdtPr>
          <w:sdtEndPr/>
          <w:sdtContent>
            <w:tc>
              <w:tcPr>
                <w:tcW w:w="1764" w:type="pct"/>
                <w:vAlign w:val="center"/>
              </w:tcPr>
              <w:p w:rsidR="004A3868" w:rsidRDefault="003F1AB5">
                <w:pPr>
                  <w:pStyle w:val="afffb"/>
                </w:pPr>
                <w:r>
                  <w:rPr>
                    <w:rFonts w:hint="eastAsia"/>
                  </w:rPr>
                  <w:t>项目</w:t>
                </w:r>
              </w:p>
            </w:tc>
          </w:sdtContent>
        </w:sdt>
        <w:sdt>
          <w:sdtPr>
            <w:tag w:val="_PLD_9eed799cfa4b445abd6bf2c21c8e53d1"/>
            <w:id w:val="860251188"/>
          </w:sdtPr>
          <w:sdtEndPr/>
          <w:sdtContent>
            <w:tc>
              <w:tcPr>
                <w:tcW w:w="1622" w:type="pct"/>
                <w:vAlign w:val="center"/>
              </w:tcPr>
              <w:p w:rsidR="004A3868" w:rsidRDefault="003F1AB5">
                <w:pPr>
                  <w:pStyle w:val="afffb"/>
                </w:pPr>
                <w:r>
                  <w:rPr>
                    <w:rFonts w:hint="eastAsia"/>
                  </w:rPr>
                  <w:t>期末余额</w:t>
                </w:r>
              </w:p>
            </w:tc>
          </w:sdtContent>
        </w:sdt>
        <w:sdt>
          <w:sdtPr>
            <w:tag w:val="_PLD_200365ee1196470e91075b949a7f5552"/>
            <w:id w:val="-2107104459"/>
          </w:sdtPr>
          <w:sdtEndPr/>
          <w:sdtContent>
            <w:tc>
              <w:tcPr>
                <w:tcW w:w="1614" w:type="pct"/>
                <w:vAlign w:val="center"/>
              </w:tcPr>
              <w:p w:rsidR="004A3868" w:rsidRDefault="003F1AB5">
                <w:pPr>
                  <w:pStyle w:val="afffb"/>
                </w:pPr>
                <w:r>
                  <w:rPr>
                    <w:rFonts w:hint="eastAsia"/>
                  </w:rPr>
                  <w:t>期初余额</w:t>
                </w:r>
              </w:p>
            </w:tc>
          </w:sdtContent>
        </w:sdt>
      </w:tr>
      <w:tr w:rsidR="004A3868">
        <w:trPr>
          <w:cantSplit/>
          <w:trHeight w:val="397"/>
          <w:jc w:val="center"/>
        </w:trPr>
        <w:tc>
          <w:tcPr>
            <w:tcW w:w="1764" w:type="pct"/>
          </w:tcPr>
          <w:p w:rsidR="004A3868" w:rsidRDefault="003F1AB5">
            <w:pPr>
              <w:rPr>
                <w:sz w:val="21"/>
                <w:szCs w:val="21"/>
              </w:rPr>
            </w:pPr>
            <w:r>
              <w:rPr>
                <w:rFonts w:hint="eastAsia"/>
                <w:sz w:val="21"/>
                <w:szCs w:val="21"/>
              </w:rPr>
              <w:t>其他应收款</w:t>
            </w:r>
          </w:p>
        </w:tc>
        <w:tc>
          <w:tcPr>
            <w:tcW w:w="1622" w:type="pct"/>
            <w:vAlign w:val="center"/>
          </w:tcPr>
          <w:p w:rsidR="004A3868" w:rsidRDefault="003F1AB5">
            <w:pPr>
              <w:pStyle w:val="afff7"/>
            </w:pPr>
            <w:r>
              <w:t>12,412,973.60</w:t>
            </w:r>
          </w:p>
        </w:tc>
        <w:tc>
          <w:tcPr>
            <w:tcW w:w="1614" w:type="pct"/>
            <w:vAlign w:val="center"/>
          </w:tcPr>
          <w:p w:rsidR="004A3868" w:rsidRDefault="003F1AB5">
            <w:pPr>
              <w:pStyle w:val="afff7"/>
            </w:pPr>
            <w:r>
              <w:t>11,777,870.79</w:t>
            </w:r>
          </w:p>
        </w:tc>
      </w:tr>
      <w:tr w:rsidR="004A3868">
        <w:trPr>
          <w:cantSplit/>
          <w:trHeight w:val="397"/>
          <w:jc w:val="center"/>
        </w:trPr>
        <w:tc>
          <w:tcPr>
            <w:tcW w:w="1764" w:type="pct"/>
          </w:tcPr>
          <w:p w:rsidR="004A3868" w:rsidRDefault="003F1AB5">
            <w:pPr>
              <w:rPr>
                <w:sz w:val="21"/>
                <w:szCs w:val="21"/>
              </w:rPr>
            </w:pPr>
            <w:r>
              <w:rPr>
                <w:rFonts w:hint="eastAsia"/>
                <w:sz w:val="21"/>
                <w:szCs w:val="21"/>
              </w:rPr>
              <w:t>合计</w:t>
            </w:r>
          </w:p>
        </w:tc>
        <w:tc>
          <w:tcPr>
            <w:tcW w:w="1622" w:type="pct"/>
            <w:vAlign w:val="center"/>
          </w:tcPr>
          <w:p w:rsidR="004A3868" w:rsidRDefault="003F1AB5">
            <w:pPr>
              <w:pStyle w:val="afff7"/>
            </w:pPr>
            <w:r>
              <w:t>12,412,973.60</w:t>
            </w:r>
          </w:p>
        </w:tc>
        <w:tc>
          <w:tcPr>
            <w:tcW w:w="1614" w:type="pct"/>
            <w:vAlign w:val="center"/>
          </w:tcPr>
          <w:p w:rsidR="004A3868" w:rsidRDefault="003F1AB5">
            <w:pPr>
              <w:pStyle w:val="afff7"/>
            </w:pPr>
            <w:r>
              <w:t>11,777,870.79</w:t>
            </w:r>
          </w:p>
        </w:tc>
      </w:tr>
    </w:tbl>
    <w:p w:rsidR="004A3868" w:rsidRDefault="004A3868">
      <w:pPr>
        <w:pStyle w:val="Style124"/>
      </w:pPr>
    </w:p>
    <w:p w:rsidR="004A3868" w:rsidRDefault="003F1AB5">
      <w:pPr>
        <w:rPr>
          <w:sz w:val="21"/>
          <w:szCs w:val="21"/>
        </w:rPr>
      </w:pPr>
      <w:r>
        <w:rPr>
          <w:rFonts w:hint="eastAsia"/>
          <w:sz w:val="21"/>
          <w:szCs w:val="21"/>
        </w:rPr>
        <w:t>其他说明：</w:t>
      </w:r>
    </w:p>
    <w:bookmarkEnd w:id="159" w:displacedByCustomXml="next"/>
    <w:sdt>
      <w:sdtPr>
        <w:rPr>
          <w:sz w:val="21"/>
          <w:szCs w:val="21"/>
        </w:rPr>
        <w:alias w:val="是否适用：其他应收款分类列示其他说明[双击切换]"/>
        <w:tag w:val="_GBC_87a25d8043fc4fcfac6a8c802b58dfc7"/>
        <w:id w:val="-41338916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pPr>
      <w:r>
        <w:rPr>
          <w:rFonts w:hint="eastAsia"/>
        </w:rPr>
        <w:t>应收利息</w:t>
      </w:r>
    </w:p>
    <w:p w:rsidR="004A3868" w:rsidRDefault="003F1AB5">
      <w:pPr>
        <w:pStyle w:val="Style129"/>
        <w:numPr>
          <w:ilvl w:val="0"/>
          <w:numId w:val="70"/>
        </w:numPr>
      </w:pPr>
      <w:r>
        <w:rPr>
          <w:rFonts w:hint="eastAsia"/>
        </w:rPr>
        <w:t>应收利息分类</w:t>
      </w:r>
    </w:p>
    <w:sdt>
      <w:sdtPr>
        <w:rPr>
          <w:sz w:val="21"/>
          <w:szCs w:val="21"/>
        </w:rPr>
        <w:alias w:val="是否适用：应收利息分类[双击切换]"/>
        <w:tag w:val="_GBC_83217ec91e3240eeb9ff337eca1b11bb"/>
        <w:id w:val="-214349219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numPr>
          <w:ilvl w:val="0"/>
          <w:numId w:val="70"/>
        </w:numPr>
      </w:pPr>
      <w:r>
        <w:rPr>
          <w:rFonts w:hint="eastAsia"/>
        </w:rPr>
        <w:t>重要逾期利息</w:t>
      </w:r>
    </w:p>
    <w:sdt>
      <w:sdtPr>
        <w:alias w:val="是否适用：重要逾期利息[双击切换]"/>
        <w:tag w:val="_GBC_4720cbb6fd9144c2b14ef7120e6159be"/>
        <w:id w:val="1401860431"/>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numPr>
          <w:ilvl w:val="0"/>
          <w:numId w:val="70"/>
        </w:numPr>
      </w:pPr>
      <w:r>
        <w:rPr>
          <w:rFonts w:hint="eastAsia"/>
        </w:rPr>
        <w:lastRenderedPageBreak/>
        <w:t>按</w:t>
      </w:r>
      <w:r>
        <w:t>坏账计提方法分类披露</w:t>
      </w:r>
    </w:p>
    <w:bookmarkStart w:id="160" w:name="_Hlk153374831" w:displacedByCustomXml="next"/>
    <w:sdt>
      <w:sdtPr>
        <w:alias w:val="是否适用：按坏账计提方法分类披露[双击切换]"/>
        <w:tag w:val="_GBC_4dfa1c3f378a461fb32dcc384b94c01c"/>
        <w:id w:val="-1736158870"/>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按单项计提坏账准备：</w:t>
      </w:r>
    </w:p>
    <w:sdt>
      <w:sdtPr>
        <w:rPr>
          <w:sz w:val="21"/>
          <w:szCs w:val="21"/>
        </w:rPr>
        <w:alias w:val="是否适用：按单项计提坏账准备的详细情况[双击切换]"/>
        <w:tag w:val="_GBC_f555101264ef4acba1df68e54d30175a"/>
        <w:id w:val="-180237872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按单项计提坏账准备的说明：</w:t>
      </w:r>
    </w:p>
    <w:sdt>
      <w:sdtPr>
        <w:rPr>
          <w:sz w:val="21"/>
          <w:szCs w:val="21"/>
        </w:rPr>
        <w:alias w:val="是否适用：按单项计提坏账准备的说明[双击切换]"/>
        <w:tag w:val="_GBC_e7140d40a6d84e56957900180d1e6af2"/>
        <w:id w:val="96307791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按组合计提坏账准备：</w:t>
      </w:r>
    </w:p>
    <w:sdt>
      <w:sdtPr>
        <w:rPr>
          <w:rFonts w:ascii="Calibri" w:hAnsi="Calibri"/>
          <w:sz w:val="21"/>
          <w:szCs w:val="21"/>
        </w:rPr>
        <w:alias w:val="是否适用：按组合计提坏账准备的详细情况[双击切换]"/>
        <w:tag w:val="_GBC_ee220409efb74ad0a4dffa7172a6bdf0"/>
        <w:id w:val="205094566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60"/>
    <w:p w:rsidR="004A3868" w:rsidRDefault="003F1AB5">
      <w:pPr>
        <w:pStyle w:val="Style129"/>
        <w:numPr>
          <w:ilvl w:val="0"/>
          <w:numId w:val="70"/>
        </w:numPr>
      </w:pPr>
      <w:r>
        <w:rPr>
          <w:rFonts w:hint="eastAsia"/>
        </w:rPr>
        <w:t>按预期信用损失一般模型计提坏账准备</w:t>
      </w:r>
    </w:p>
    <w:bookmarkStart w:id="161" w:name="_Hlk533867290" w:displacedByCustomXml="next"/>
    <w:sdt>
      <w:sdtPr>
        <w:rPr>
          <w:sz w:val="21"/>
          <w:szCs w:val="21"/>
        </w:rPr>
        <w:alias w:val="是否适用：应收利息坏账准备调节表[双击切换]"/>
        <w:tag w:val="_GBC_2926f106217b4c11a5fe606b79f60d83"/>
        <w:id w:val="9468228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各阶段划分依据和坏账准备计提比例</w:t>
      </w:r>
    </w:p>
    <w:sdt>
      <w:sdtPr>
        <w:rPr>
          <w:sz w:val="21"/>
          <w:szCs w:val="21"/>
        </w:rPr>
        <w:alias w:val="应收利息各阶段划分依据和坏账准备计提比例"/>
        <w:tag w:val="_GBC_59f57028d34346fc91962be3047fd594"/>
        <w:id w:val="-768998910"/>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rPr>
          <w:sz w:val="21"/>
          <w:szCs w:val="21"/>
        </w:rPr>
      </w:pPr>
      <w:r>
        <w:rPr>
          <w:rFonts w:hint="eastAsia"/>
          <w:sz w:val="21"/>
          <w:szCs w:val="21"/>
        </w:rPr>
        <w:t>对本期发生损失准备变动的应收利息账面余额显著变动的情况说明：</w:t>
      </w:r>
    </w:p>
    <w:sdt>
      <w:sdtPr>
        <w:rPr>
          <w:sz w:val="21"/>
          <w:szCs w:val="21"/>
        </w:rPr>
        <w:alias w:val="是否适用：应收利息本期发生损失准备变动且账面余额显著变动的情况说明[双击切换]"/>
        <w:tag w:val="_GBC_07d71685a64f4800b3e351083fc5c9ae"/>
        <w:id w:val="143348222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61"/>
    <w:p w:rsidR="004A3868" w:rsidRDefault="003F1AB5">
      <w:pPr>
        <w:pStyle w:val="Style129"/>
        <w:numPr>
          <w:ilvl w:val="0"/>
          <w:numId w:val="70"/>
        </w:numPr>
      </w:pPr>
      <w:r>
        <w:rPr>
          <w:rFonts w:hint="eastAsia"/>
        </w:rPr>
        <w:t>坏账准备的情况</w:t>
      </w:r>
    </w:p>
    <w:bookmarkStart w:id="162" w:name="_Hlk153375041" w:displacedByCustomXml="next"/>
    <w:sdt>
      <w:sdtPr>
        <w:alias w:val="是否适用：坏账准备情况[双击切换]"/>
        <w:tag w:val="_GBC_faf892fca7fd4a8ebcdef2231ff828bc"/>
        <w:id w:val="44758905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其中本期坏账准备收回或转回金额重要的：</w:t>
      </w:r>
    </w:p>
    <w:sdt>
      <w:sdtPr>
        <w:alias w:val="是否适用：本期坏账准备收回或转回金额重要的[双击切换]"/>
        <w:tag w:val="_GBC_5a2d052a52b74bb7a867cb7ad62574c9"/>
        <w:id w:val="145197817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alias w:val="坏账准备情况的说明"/>
        <w:tag w:val="_GBC_79d8ee00a1ce479db5cb5285f72aaea4"/>
        <w:id w:val="-138891877"/>
        <w:placeholder>
          <w:docPart w:val="GBC22222222222222222222222222222"/>
        </w:placeholder>
      </w:sdtPr>
      <w:sdtEndPr>
        <w:rPr>
          <w:sz w:val="21"/>
          <w:szCs w:val="21"/>
        </w:rPr>
      </w:sdtEndPr>
      <w:sdtContent>
        <w:p w:rsidR="004A3868" w:rsidRDefault="003F1AB5">
          <w:pPr>
            <w:rPr>
              <w:sz w:val="21"/>
              <w:szCs w:val="21"/>
            </w:rPr>
          </w:pPr>
          <w:r>
            <w:rPr>
              <w:rFonts w:hint="eastAsia"/>
              <w:sz w:val="21"/>
              <w:szCs w:val="21"/>
            </w:rPr>
            <w:t>无</w:t>
          </w:r>
        </w:p>
      </w:sdtContent>
    </w:sdt>
    <w:p w:rsidR="004A3868" w:rsidRDefault="003F1AB5">
      <w:pPr>
        <w:pStyle w:val="Style129"/>
        <w:numPr>
          <w:ilvl w:val="0"/>
          <w:numId w:val="70"/>
        </w:numPr>
      </w:pPr>
      <w:r>
        <w:t>本期实际核销的应收</w:t>
      </w:r>
      <w:r>
        <w:rPr>
          <w:rFonts w:hint="eastAsia"/>
        </w:rPr>
        <w:t>利息</w:t>
      </w:r>
      <w:r>
        <w:t>情况</w:t>
      </w:r>
    </w:p>
    <w:sdt>
      <w:sdtPr>
        <w:alias w:val="是否适用：实际核销的情况[双击切换]"/>
        <w:tag w:val="_GBC_d4fcf512bafe4a40a1f75d78eee0f333"/>
        <w:id w:val="1817217199"/>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其中重要的应收利息核销情况</w:t>
      </w:r>
    </w:p>
    <w:sdt>
      <w:sdtPr>
        <w:rPr>
          <w:rFonts w:hint="eastAsia"/>
          <w:sz w:val="21"/>
          <w:szCs w:val="21"/>
        </w:rPr>
        <w:alias w:val="是否适用：重要的核销情况[双击切换]"/>
        <w:tag w:val="_GBC_2cc69a5549814fd6aee1164366f580ec"/>
        <w:id w:val="16614299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核销说明：</w:t>
      </w:r>
    </w:p>
    <w:sdt>
      <w:sdtPr>
        <w:rPr>
          <w:sz w:val="21"/>
          <w:szCs w:val="21"/>
        </w:rPr>
        <w:alias w:val="是否适用：核销说明[双击切换]"/>
        <w:tag w:val="_GBC_d8b86767c1604cb69ee84c043aa1b8dc"/>
        <w:id w:val="-88872493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4"/>
      </w:pPr>
      <w:r>
        <w:rPr>
          <w:rFonts w:hint="eastAsia"/>
        </w:rPr>
        <w:t>其他说明：</w:t>
      </w:r>
    </w:p>
    <w:bookmarkEnd w:id="162" w:displacedByCustomXml="next"/>
    <w:sdt>
      <w:sdtPr>
        <w:rPr>
          <w:rFonts w:hint="eastAsia"/>
          <w:sz w:val="21"/>
          <w:szCs w:val="21"/>
        </w:rPr>
        <w:alias w:val="是否适用：应收利息的说明[双击切换]"/>
        <w:tag w:val="_GBC_353af20a1db84c639b0e03e660c37a48"/>
        <w:id w:val="160653188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pPr>
      <w:r>
        <w:rPr>
          <w:rFonts w:hint="eastAsia"/>
        </w:rPr>
        <w:t>应收股利</w:t>
      </w:r>
    </w:p>
    <w:p w:rsidR="004A3868" w:rsidRDefault="003F1AB5">
      <w:pPr>
        <w:pStyle w:val="Style129"/>
      </w:pPr>
      <w:r>
        <w:rPr>
          <w:rFonts w:hint="eastAsia"/>
        </w:rPr>
        <w:t>应收股利</w:t>
      </w:r>
    </w:p>
    <w:sdt>
      <w:sdtPr>
        <w:rPr>
          <w:sz w:val="21"/>
          <w:szCs w:val="21"/>
        </w:rPr>
        <w:alias w:val="是否适用：应收股利[双击切换]"/>
        <w:tag w:val="_GBC_c0f7b0360a644690b0472107042df17a"/>
        <w:id w:val="204385405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重要的账龄超过</w:t>
      </w:r>
      <w:r>
        <w:rPr>
          <w:rFonts w:hint="eastAsia"/>
        </w:rPr>
        <w:t>1</w:t>
      </w:r>
      <w:r>
        <w:rPr>
          <w:rFonts w:hint="eastAsia"/>
        </w:rPr>
        <w:t>年的应收股利</w:t>
      </w:r>
    </w:p>
    <w:p w:rsidR="004A3868" w:rsidRDefault="00B34370">
      <w:pPr>
        <w:pStyle w:val="Style124"/>
      </w:pPr>
      <w:sdt>
        <w:sdtPr>
          <w:rPr>
            <w:rFonts w:hint="eastAsia"/>
          </w:rPr>
          <w:alias w:val="是否适用：重要的账龄超过1年的应收股利[双击切换]"/>
          <w:tag w:val="_GBC_d46c4e6d2f2e4e20b430a619bde9abe8"/>
          <w:id w:val="-1465268721"/>
          <w:lock w:val="sdtLocked"/>
          <w:placeholder>
            <w:docPart w:val="GBC22222222222222222222222222222"/>
          </w:placeholder>
        </w:sdtPr>
        <w:sdtEndPr/>
        <w:sdtContent>
          <w:r w:rsidR="003F1AB5">
            <w:fldChar w:fldCharType="begin"/>
          </w:r>
          <w:r w:rsidR="003F1AB5">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Style129"/>
      </w:pPr>
      <w:r>
        <w:rPr>
          <w:rFonts w:hint="eastAsia"/>
        </w:rPr>
        <w:t>按</w:t>
      </w:r>
      <w:r>
        <w:t>坏账计提方法分类披露</w:t>
      </w:r>
    </w:p>
    <w:bookmarkStart w:id="163" w:name="_Hlk153377225" w:displacedByCustomXml="next"/>
    <w:sdt>
      <w:sdtPr>
        <w:alias w:val="是否适用：按坏账计提方法分类披露[双击切换]"/>
        <w:tag w:val="_GBC_ad0add93fbe54bc5984d3fdcd19c4070"/>
        <w:id w:val="149290797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按单项计提坏账准备：</w:t>
      </w:r>
    </w:p>
    <w:sdt>
      <w:sdtPr>
        <w:alias w:val="是否适用：按单项计提坏账准备的详细情况[双击切换]"/>
        <w:tag w:val="_GBC_0715807534664009b6e06e12b5244cb0"/>
        <w:id w:val="-574278966"/>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按单项计提坏账准备的说明：</w:t>
      </w:r>
    </w:p>
    <w:sdt>
      <w:sdtPr>
        <w:rPr>
          <w:sz w:val="21"/>
          <w:szCs w:val="21"/>
        </w:rPr>
        <w:alias w:val="是否适用：按单项计提坏账准备的说明[双击切换]"/>
        <w:tag w:val="_GBC_22fd3e53fab548e0b8db7ad77d176da5"/>
        <w:id w:val="-104829084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按组合计提坏账准备：</w:t>
      </w:r>
    </w:p>
    <w:sdt>
      <w:sdtPr>
        <w:rPr>
          <w:rFonts w:ascii="Calibri" w:hAnsi="Calibri"/>
          <w:sz w:val="21"/>
          <w:szCs w:val="21"/>
        </w:rPr>
        <w:alias w:val="是否适用：按组合计提坏账准备的详细情况[双击切换]"/>
        <w:tag w:val="_GBC_3fb2695da2d2471f82cd62f8736c521e"/>
        <w:id w:val="788408625"/>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按预期信用损失一般模型计提坏账准备</w:t>
      </w:r>
      <w:r>
        <w:t xml:space="preserve"> </w:t>
      </w:r>
    </w:p>
    <w:bookmarkEnd w:id="163" w:displacedByCustomXml="next"/>
    <w:bookmarkStart w:id="164" w:name="_Hlk533421146" w:displacedByCustomXml="next"/>
    <w:sdt>
      <w:sdtPr>
        <w:rPr>
          <w:sz w:val="21"/>
          <w:szCs w:val="21"/>
        </w:rPr>
        <w:alias w:val="是否适用：应收股利坏账准备调节表[双击切换]"/>
        <w:tag w:val="_GBC_847cf15503744e02b8ac7395c17d2da6"/>
        <w:id w:val="203237234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各阶段划分依据和坏账准备计提比例</w:t>
      </w:r>
    </w:p>
    <w:sdt>
      <w:sdtPr>
        <w:rPr>
          <w:sz w:val="21"/>
          <w:szCs w:val="21"/>
        </w:rPr>
        <w:alias w:val="应收股利各阶段划分依据和坏账准备计提比例"/>
        <w:tag w:val="_GBC_0e68af3552e84111bee1ae1542bcf907"/>
        <w:id w:val="-160779489"/>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rPr>
          <w:sz w:val="21"/>
          <w:szCs w:val="21"/>
        </w:rPr>
      </w:pPr>
      <w:r>
        <w:rPr>
          <w:rFonts w:hint="eastAsia"/>
          <w:sz w:val="21"/>
          <w:szCs w:val="21"/>
        </w:rPr>
        <w:t>对本期发生损失准备变动的应收股利账面余额显著变动的情况说明：</w:t>
      </w:r>
    </w:p>
    <w:sdt>
      <w:sdtPr>
        <w:rPr>
          <w:sz w:val="21"/>
          <w:szCs w:val="21"/>
        </w:rPr>
        <w:alias w:val="是否适用：应收股利本期发生损失准备变动且账面余额显著变动的情况说明[双击切换]"/>
        <w:tag w:val="_GBC_f431acf85fd94f1eb2cd4d70b0f69b2c"/>
        <w:id w:val="32094238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64"/>
    <w:p w:rsidR="004A3868" w:rsidRDefault="003F1AB5">
      <w:pPr>
        <w:pStyle w:val="Style129"/>
      </w:pPr>
      <w:r>
        <w:rPr>
          <w:rFonts w:hint="eastAsia"/>
        </w:rPr>
        <w:t>坏账准备的情况</w:t>
      </w:r>
    </w:p>
    <w:bookmarkStart w:id="165" w:name="_Hlk153377452" w:displacedByCustomXml="next"/>
    <w:sdt>
      <w:sdtPr>
        <w:alias w:val="是否适用：坏账准备情况[双击切换]"/>
        <w:tag w:val="_GBC_3425c1c233b1473ca1aaf53c81088091"/>
        <w:id w:val="3965090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其中本期坏账准备收回或转回金额重要的：</w:t>
      </w:r>
    </w:p>
    <w:sdt>
      <w:sdtPr>
        <w:alias w:val="是否适用：本期坏账准备收回或转回金额重要的[双击切换]"/>
        <w:tag w:val="_GBC_d8ca1b67740e4a2e8d7777b8dee9c902"/>
        <w:id w:val="156806877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rPr>
          <w:sz w:val="21"/>
          <w:szCs w:val="21"/>
        </w:rPr>
        <w:alias w:val="坏账准备情况的说明"/>
        <w:tag w:val="_GBC_104cb6ff4d2044ffaa8bbdd64dd76905"/>
        <w:id w:val="-1284416682"/>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9"/>
      </w:pPr>
      <w:r>
        <w:t>本期实际核销的应收</w:t>
      </w:r>
      <w:r>
        <w:rPr>
          <w:rFonts w:hint="eastAsia"/>
        </w:rPr>
        <w:t>股利</w:t>
      </w:r>
      <w:r>
        <w:t>情况</w:t>
      </w:r>
    </w:p>
    <w:sdt>
      <w:sdtPr>
        <w:rPr>
          <w:sz w:val="21"/>
          <w:szCs w:val="21"/>
        </w:rPr>
        <w:alias w:val="是否适用：实际核销的情况[双击切换]"/>
        <w:tag w:val="_GBC_affd5e7be1cd4edaac5e7416308656eb"/>
        <w:id w:val="142276192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其中重要的应收股利核销情况</w:t>
      </w:r>
    </w:p>
    <w:sdt>
      <w:sdtPr>
        <w:rPr>
          <w:rFonts w:hint="eastAsia"/>
          <w:sz w:val="21"/>
          <w:szCs w:val="21"/>
        </w:rPr>
        <w:alias w:val="是否适用：重要的核销情况[双击切换]"/>
        <w:tag w:val="_GBC_a09dafd42ae74d3fae2308963d62171e"/>
        <w:id w:val="157153532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核销说明：</w:t>
      </w:r>
    </w:p>
    <w:sdt>
      <w:sdtPr>
        <w:rPr>
          <w:sz w:val="21"/>
          <w:szCs w:val="21"/>
        </w:rPr>
        <w:alias w:val="是否适用：核销说明[双击切换]"/>
        <w:tag w:val="_GBC_fd7a575bc84240be8d95e73a6c70d53d"/>
        <w:id w:val="-119491561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65"/>
    <w:p w:rsidR="004A3868" w:rsidRDefault="003F1AB5">
      <w:pPr>
        <w:rPr>
          <w:sz w:val="21"/>
          <w:szCs w:val="21"/>
        </w:rPr>
      </w:pPr>
      <w:r>
        <w:rPr>
          <w:rFonts w:hint="eastAsia"/>
          <w:sz w:val="21"/>
          <w:szCs w:val="21"/>
        </w:rPr>
        <w:t>其他说明：</w:t>
      </w:r>
    </w:p>
    <w:p w:rsidR="004A3868" w:rsidRDefault="00B34370">
      <w:pPr>
        <w:rPr>
          <w:sz w:val="21"/>
          <w:szCs w:val="21"/>
        </w:rPr>
      </w:pPr>
      <w:sdt>
        <w:sdtPr>
          <w:rPr>
            <w:sz w:val="21"/>
            <w:szCs w:val="21"/>
          </w:rPr>
          <w:alias w:val="是否适用：应收股利的说明[双击切换]"/>
          <w:tag w:val="_GBC_22314d2cdf794d5f90af92f13665da22"/>
          <w:id w:val="19293195"/>
          <w:lock w:val="sdtLocked"/>
          <w:placeholder>
            <w:docPart w:val="GBC22222222222222222222222222222"/>
          </w:placeholder>
        </w:sdtPr>
        <w:sdtEndPr/>
        <w:sdtContent>
          <w:r w:rsidR="003F1AB5">
            <w:rPr>
              <w:sz w:val="21"/>
              <w:szCs w:val="21"/>
            </w:rPr>
            <w:fldChar w:fldCharType="begin"/>
          </w:r>
          <w:r w:rsidR="003F1AB5">
            <w:rPr>
              <w:sz w:val="21"/>
              <w:szCs w:val="21"/>
            </w:rPr>
            <w:instrText xml:space="preserve">MACROBUTTON  SnrToggleCheckbox □适用 </w:instrText>
          </w:r>
          <w:r w:rsidR="003F1AB5">
            <w:rPr>
              <w:sz w:val="21"/>
              <w:szCs w:val="21"/>
            </w:rPr>
            <w:fldChar w:fldCharType="end"/>
          </w:r>
          <w:r w:rsidR="003F1AB5">
            <w:rPr>
              <w:sz w:val="21"/>
              <w:szCs w:val="21"/>
            </w:rPr>
            <w:fldChar w:fldCharType="begin"/>
          </w:r>
          <w:r w:rsidR="003F1AB5">
            <w:rPr>
              <w:sz w:val="21"/>
              <w:szCs w:val="21"/>
            </w:rPr>
            <w:instrText xml:space="preserve"> MACROBUTTON  SnrToggleCheckbox √不适用 </w:instrText>
          </w:r>
          <w:r w:rsidR="003F1AB5">
            <w:rPr>
              <w:sz w:val="21"/>
              <w:szCs w:val="21"/>
            </w:rPr>
            <w:fldChar w:fldCharType="end"/>
          </w:r>
        </w:sdtContent>
      </w:sdt>
    </w:p>
    <w:p w:rsidR="004A3868" w:rsidRDefault="003F1AB5">
      <w:pPr>
        <w:pStyle w:val="Style128"/>
      </w:pPr>
      <w:r>
        <w:rPr>
          <w:rFonts w:hint="eastAsia"/>
        </w:rPr>
        <w:t>其他应收款</w:t>
      </w:r>
    </w:p>
    <w:p w:rsidR="004A3868" w:rsidRDefault="003F1AB5">
      <w:pPr>
        <w:pStyle w:val="Style129"/>
      </w:pPr>
      <w:r>
        <w:rPr>
          <w:rFonts w:hint="eastAsia"/>
        </w:rPr>
        <w:t>按账龄披露</w:t>
      </w:r>
    </w:p>
    <w:sdt>
      <w:sdtPr>
        <w:rPr>
          <w:rFonts w:hint="eastAsia"/>
          <w:sz w:val="21"/>
          <w:szCs w:val="21"/>
        </w:rPr>
        <w:alias w:val="是否适用：组合中，按账龄分析法计提坏账准备的其他应收账款[双击切换]"/>
        <w:tag w:val="_GBC_b46a4e720a884c40b402c5b30a4f4432"/>
        <w:id w:val="1266960857"/>
        <w:placeholder>
          <w:docPart w:val="GBC22222222222222222222222222222"/>
        </w:placeholder>
      </w:sdtPr>
      <w:sdtEndPr/>
      <w:sdtContent>
        <w:p w:rsidR="004A3868" w:rsidRDefault="003F1AB5">
          <w:pPr>
            <w:rPr>
              <w:sz w:val="21"/>
              <w:szCs w:val="21"/>
            </w:rPr>
          </w:pPr>
          <w:r>
            <w:rPr>
              <w:sz w:val="21"/>
              <w:szCs w:val="21"/>
            </w:rPr>
            <w:fldChar w:fldCharType="begin"/>
          </w:r>
          <w:r>
            <w:rPr>
              <w:rFonts w:hint="eastAsia"/>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单项金额不重大但按信用风险特征组合后该组合的风险较大的其他应收账款"/>
          <w:tag w:val="_GBC_6ca37718de0645da8a1de40ee1bb1597"/>
          <w:id w:val="13808245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单项金额不重大但按信用风险特征组合后该组合的风险较大的其他应收账款"/>
          <w:tag w:val="_GBC_eccd3e1ac8d04ff882b9e0189e7dd629"/>
          <w:id w:val="1499932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93"/>
        <w:gridCol w:w="2915"/>
        <w:gridCol w:w="2915"/>
      </w:tblGrid>
      <w:tr w:rsidR="004A3868">
        <w:trPr>
          <w:cantSplit/>
          <w:trHeight w:val="397"/>
          <w:jc w:val="center"/>
        </w:trPr>
        <w:sdt>
          <w:sdtPr>
            <w:tag w:val="_PLD_3693c274d2774e098d4e6f0b6ce787c4"/>
            <w:id w:val="1636757193"/>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账龄</w:t>
                </w:r>
              </w:p>
            </w:tc>
          </w:sdtContent>
        </w:sdt>
        <w:sdt>
          <w:sdtPr>
            <w:tag w:val="_PLD_592d3cc76c64401da21e664b374ad045"/>
            <w:id w:val="292952597"/>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期末账面余额</w:t>
                </w:r>
              </w:p>
            </w:tc>
          </w:sdtContent>
        </w:sdt>
        <w:tc>
          <w:tcPr>
            <w:tcW w:w="1652"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9bcf94b318874d63924c35d852b5b3c8"/>
              <w:id w:val="-287662593"/>
            </w:sdtPr>
            <w:sdtEndPr/>
            <w:sdtContent>
              <w:p w:rsidR="004A3868" w:rsidRDefault="003F1AB5">
                <w:pPr>
                  <w:pStyle w:val="afff9"/>
                </w:pPr>
                <w:r>
                  <w:rPr>
                    <w:rFonts w:hint="eastAsia"/>
                  </w:rPr>
                  <w:t>期初账面余额</w:t>
                </w:r>
              </w:p>
            </w:sdtContent>
          </w:sdt>
        </w:tc>
      </w:tr>
      <w:tr w:rsidR="004A3868">
        <w:trPr>
          <w:cantSplit/>
          <w:trHeight w:val="397"/>
          <w:jc w:val="center"/>
        </w:trPr>
        <w:sdt>
          <w:sdtPr>
            <w:tag w:val="_PLD_6947d7a3e56e4c59be970f76736c65e3"/>
            <w:id w:val="-1302462905"/>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4A3868" w:rsidRDefault="003F1AB5">
                <w:pPr>
                  <w:pStyle w:val="afff9"/>
                  <w:rPr>
                    <w:color w:val="FF0000"/>
                  </w:rPr>
                </w:pPr>
                <w:r>
                  <w:rPr>
                    <w:rFonts w:hint="eastAsia"/>
                  </w:rPr>
                  <w:t>1</w:t>
                </w:r>
                <w:r>
                  <w:rPr>
                    <w:rFonts w:hint="eastAsia"/>
                  </w:rPr>
                  <w:t>年以内</w:t>
                </w:r>
              </w:p>
            </w:tc>
          </w:sdtContent>
        </w:sdt>
      </w:tr>
      <w:tr w:rsidR="004A3868">
        <w:trPr>
          <w:cantSplit/>
          <w:trHeight w:val="397"/>
          <w:jc w:val="center"/>
        </w:trPr>
        <w:sdt>
          <w:sdtPr>
            <w:tag w:val="_PLD_b7cf536363dd4da2bae7017806fba883"/>
            <w:id w:val="1301729263"/>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其中：</w:t>
                </w:r>
                <w:r>
                  <w:rPr>
                    <w:rFonts w:hint="eastAsia"/>
                  </w:rPr>
                  <w:t>1</w:t>
                </w:r>
                <w:r>
                  <w:rPr>
                    <w:rFonts w:hint="eastAsia"/>
                  </w:rPr>
                  <w:t>年以内分项</w:t>
                </w:r>
              </w:p>
            </w:tc>
          </w:sdtContent>
        </w:sdt>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1</w:t>
            </w:r>
            <w:r>
              <w:rPr>
                <w:rFonts w:hint="eastAsia"/>
              </w:rPr>
              <w:t>年以内</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9,126,280.78</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8,741,215.61</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1</w:t>
            </w:r>
            <w:r>
              <w:rPr>
                <w:rFonts w:hint="eastAsia"/>
              </w:rPr>
              <w:t>年以内小计</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9,126,280.78</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8,741,215.61</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1</w:t>
            </w:r>
            <w:r>
              <w:rPr>
                <w:rFonts w:hint="eastAsia"/>
              </w:rPr>
              <w:t>至</w:t>
            </w:r>
            <w:r>
              <w:rPr>
                <w:rFonts w:hint="eastAsia"/>
              </w:rPr>
              <w:t>2</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2,364,422.54</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1,248,874.46</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lastRenderedPageBreak/>
              <w:t>2</w:t>
            </w:r>
            <w:r>
              <w:rPr>
                <w:rFonts w:hint="eastAsia"/>
              </w:rPr>
              <w:t>至</w:t>
            </w:r>
            <w:r>
              <w:rPr>
                <w:rFonts w:hint="eastAsia"/>
              </w:rPr>
              <w:t>3</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801,363.70</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1,625,495.12</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3</w:t>
            </w:r>
            <w:r>
              <w:rPr>
                <w:rFonts w:hint="eastAsia"/>
              </w:rPr>
              <w:t>年以上</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3</w:t>
            </w:r>
            <w:r>
              <w:rPr>
                <w:rFonts w:hint="eastAsia"/>
              </w:rPr>
              <w:t>至</w:t>
            </w:r>
            <w:r>
              <w:rPr>
                <w:rFonts w:hint="eastAsia"/>
              </w:rPr>
              <w:t>4</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675,132.92</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1,003,885.15</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4</w:t>
            </w:r>
            <w:r>
              <w:rPr>
                <w:rFonts w:hint="eastAsia"/>
              </w:rPr>
              <w:t>至</w:t>
            </w:r>
            <w:r>
              <w:rPr>
                <w:rFonts w:hint="eastAsia"/>
              </w:rPr>
              <w:t>5</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1,003,885.15</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504,050.01</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5</w:t>
            </w:r>
            <w:r>
              <w:rPr>
                <w:rFonts w:hint="eastAsia"/>
              </w:rPr>
              <w:t>年以上</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330,000.00</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698,000.00</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合计</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14,301,085.09</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13,821,520.35</w:t>
            </w:r>
          </w:p>
        </w:tc>
      </w:tr>
    </w:tbl>
    <w:p w:rsidR="004A3868" w:rsidRDefault="004A3868">
      <w:pPr>
        <w:rPr>
          <w:sz w:val="21"/>
          <w:szCs w:val="21"/>
        </w:rPr>
      </w:pPr>
    </w:p>
    <w:p w:rsidR="004A3868" w:rsidRDefault="003F1AB5">
      <w:pPr>
        <w:pStyle w:val="Style129"/>
      </w:pPr>
      <w:r>
        <w:rPr>
          <w:rFonts w:hint="eastAsia"/>
        </w:rPr>
        <w:t>按款项性质分类情况</w:t>
      </w:r>
    </w:p>
    <w:p w:rsidR="004A3868" w:rsidRDefault="00B34370">
      <w:pPr>
        <w:pStyle w:val="Style124"/>
      </w:pPr>
      <w:sdt>
        <w:sdtPr>
          <w:alias w:val="是否适用：其他应收款按款项性质分类情况[双击切换]"/>
          <w:tag w:val="_GBC_f8f8208812d5412eb0a2fdddf1a9d330"/>
          <w:id w:val="1959068545"/>
          <w:placeholder>
            <w:docPart w:val="GBC22222222222222222222222222222"/>
          </w:placeholder>
        </w:sdtPr>
        <w:sdtEndPr/>
        <w:sdtContent>
          <w:r w:rsidR="003F1AB5">
            <w:fldChar w:fldCharType="begin"/>
          </w:r>
          <w:r w:rsidR="003F1AB5">
            <w:rPr>
              <w:rFonts w:hint="eastAsia"/>
            </w:rPr>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afff5"/>
        <w:rPr>
          <w:sz w:val="21"/>
          <w:szCs w:val="21"/>
        </w:rPr>
      </w:pPr>
      <w:r>
        <w:rPr>
          <w:rFonts w:hint="eastAsia"/>
          <w:sz w:val="21"/>
          <w:szCs w:val="21"/>
        </w:rPr>
        <w:t>单位：</w:t>
      </w:r>
      <w:sdt>
        <w:sdtPr>
          <w:rPr>
            <w:rFonts w:hint="eastAsia"/>
            <w:sz w:val="21"/>
            <w:szCs w:val="21"/>
          </w:rPr>
          <w:alias w:val="单位：财务附注：其他应收款按款项性质分类情况"/>
          <w:tag w:val="_GBC_6e3e3b79e1a6467e8f5cdcabc0a95e4a"/>
          <w:id w:val="-12752389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其他应收款按款项性质分类情况"/>
          <w:tag w:val="_GBC_09f3d6bcff8b483f9de34a3ddb25bad4"/>
          <w:id w:val="1709257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001"/>
        <w:gridCol w:w="2905"/>
        <w:gridCol w:w="2917"/>
      </w:tblGrid>
      <w:tr w:rsidR="004A3868">
        <w:trPr>
          <w:trHeight w:val="397"/>
          <w:jc w:val="center"/>
        </w:trPr>
        <w:sdt>
          <w:sdtPr>
            <w:tag w:val="_PLD_e3e4ae09c73a4371a49803278d537455"/>
            <w:id w:val="810835884"/>
            <w:lock w:val="sdtLocked"/>
          </w:sdtPr>
          <w:sdtEndPr/>
          <w:sdtContent>
            <w:tc>
              <w:tcPr>
                <w:tcW w:w="1700" w:type="pct"/>
                <w:shd w:val="clear" w:color="auto" w:fill="auto"/>
                <w:vAlign w:val="center"/>
              </w:tcPr>
              <w:p w:rsidR="004A3868" w:rsidRDefault="003F1AB5">
                <w:pPr>
                  <w:pStyle w:val="afffb"/>
                </w:pPr>
                <w:r>
                  <w:rPr>
                    <w:rFonts w:hint="eastAsia"/>
                  </w:rPr>
                  <w:t>款项性质</w:t>
                </w:r>
              </w:p>
            </w:tc>
          </w:sdtContent>
        </w:sdt>
        <w:sdt>
          <w:sdtPr>
            <w:tag w:val="_PLD_166416173edb4a39b34c47c78d0dc766"/>
            <w:id w:val="-1378387569"/>
            <w:lock w:val="sdtLocked"/>
          </w:sdtPr>
          <w:sdtEndPr/>
          <w:sdtContent>
            <w:tc>
              <w:tcPr>
                <w:tcW w:w="1646" w:type="pct"/>
                <w:shd w:val="clear" w:color="auto" w:fill="auto"/>
                <w:vAlign w:val="center"/>
              </w:tcPr>
              <w:p w:rsidR="004A3868" w:rsidRDefault="003F1AB5">
                <w:pPr>
                  <w:pStyle w:val="afffb"/>
                </w:pPr>
                <w:r>
                  <w:rPr>
                    <w:rFonts w:hint="eastAsia"/>
                  </w:rPr>
                  <w:t>期末账面余额</w:t>
                </w:r>
              </w:p>
            </w:tc>
          </w:sdtContent>
        </w:sdt>
        <w:sdt>
          <w:sdtPr>
            <w:tag w:val="_PLD_a78baace40634aeaaff4786c955e1f60"/>
            <w:id w:val="-1115980288"/>
            <w:lock w:val="sdtLocked"/>
          </w:sdtPr>
          <w:sdtEndPr/>
          <w:sdtContent>
            <w:tc>
              <w:tcPr>
                <w:tcW w:w="1653" w:type="pct"/>
                <w:shd w:val="clear" w:color="auto" w:fill="auto"/>
                <w:vAlign w:val="center"/>
              </w:tcPr>
              <w:p w:rsidR="004A3868" w:rsidRDefault="003F1AB5">
                <w:pPr>
                  <w:pStyle w:val="afffb"/>
                </w:pPr>
                <w:r>
                  <w:rPr>
                    <w:rFonts w:hint="eastAsia"/>
                  </w:rPr>
                  <w:t>期初账面余额</w:t>
                </w:r>
              </w:p>
            </w:tc>
          </w:sdtContent>
        </w:sdt>
      </w:tr>
      <w:tr w:rsidR="004A3868">
        <w:trPr>
          <w:trHeight w:val="397"/>
          <w:jc w:val="center"/>
        </w:trPr>
        <w:tc>
          <w:tcPr>
            <w:tcW w:w="1700" w:type="pct"/>
            <w:shd w:val="clear" w:color="auto" w:fill="auto"/>
          </w:tcPr>
          <w:p w:rsidR="004A3868" w:rsidRDefault="003F1AB5">
            <w:pPr>
              <w:pStyle w:val="afff9"/>
            </w:pPr>
            <w:r>
              <w:t>保证金、押金</w:t>
            </w:r>
          </w:p>
        </w:tc>
        <w:tc>
          <w:tcPr>
            <w:tcW w:w="1646" w:type="pct"/>
            <w:shd w:val="clear" w:color="auto" w:fill="auto"/>
            <w:vAlign w:val="center"/>
          </w:tcPr>
          <w:p w:rsidR="004A3868" w:rsidRDefault="003F1AB5">
            <w:pPr>
              <w:pStyle w:val="afff7"/>
            </w:pPr>
            <w:r>
              <w:t>11,069,494.24</w:t>
            </w:r>
          </w:p>
        </w:tc>
        <w:tc>
          <w:tcPr>
            <w:tcW w:w="1653" w:type="pct"/>
            <w:shd w:val="clear" w:color="auto" w:fill="auto"/>
            <w:vAlign w:val="center"/>
          </w:tcPr>
          <w:p w:rsidR="004A3868" w:rsidRDefault="003F1AB5">
            <w:pPr>
              <w:pStyle w:val="afff7"/>
            </w:pPr>
            <w:r>
              <w:t>11,774,116.65</w:t>
            </w:r>
          </w:p>
        </w:tc>
      </w:tr>
      <w:tr w:rsidR="004A3868">
        <w:trPr>
          <w:trHeight w:val="397"/>
          <w:jc w:val="center"/>
        </w:trPr>
        <w:tc>
          <w:tcPr>
            <w:tcW w:w="1700" w:type="pct"/>
            <w:shd w:val="clear" w:color="auto" w:fill="auto"/>
          </w:tcPr>
          <w:p w:rsidR="004A3868" w:rsidRDefault="003F1AB5">
            <w:pPr>
              <w:pStyle w:val="afff9"/>
            </w:pPr>
            <w:r>
              <w:t>往来及其他</w:t>
            </w:r>
          </w:p>
        </w:tc>
        <w:tc>
          <w:tcPr>
            <w:tcW w:w="1646" w:type="pct"/>
            <w:shd w:val="clear" w:color="auto" w:fill="auto"/>
            <w:vAlign w:val="center"/>
          </w:tcPr>
          <w:p w:rsidR="004A3868" w:rsidRDefault="003F1AB5">
            <w:pPr>
              <w:pStyle w:val="afff7"/>
            </w:pPr>
            <w:r>
              <w:t>3,231,590.85</w:t>
            </w:r>
          </w:p>
        </w:tc>
        <w:tc>
          <w:tcPr>
            <w:tcW w:w="1653" w:type="pct"/>
            <w:shd w:val="clear" w:color="auto" w:fill="auto"/>
            <w:vAlign w:val="center"/>
          </w:tcPr>
          <w:p w:rsidR="004A3868" w:rsidRDefault="003F1AB5">
            <w:pPr>
              <w:pStyle w:val="afff7"/>
            </w:pPr>
            <w:r>
              <w:t>2,047,403.7</w:t>
            </w:r>
          </w:p>
        </w:tc>
      </w:tr>
      <w:tr w:rsidR="004A3868">
        <w:trPr>
          <w:trHeight w:val="397"/>
          <w:jc w:val="center"/>
        </w:trPr>
        <w:tc>
          <w:tcPr>
            <w:tcW w:w="1700" w:type="pct"/>
            <w:shd w:val="clear" w:color="auto" w:fill="auto"/>
          </w:tcPr>
          <w:p w:rsidR="004A3868" w:rsidRDefault="003F1AB5">
            <w:pPr>
              <w:pStyle w:val="afff9"/>
            </w:pPr>
            <w:r>
              <w:t>合计</w:t>
            </w:r>
          </w:p>
        </w:tc>
        <w:tc>
          <w:tcPr>
            <w:tcW w:w="1646" w:type="pct"/>
            <w:shd w:val="clear" w:color="auto" w:fill="auto"/>
            <w:vAlign w:val="center"/>
          </w:tcPr>
          <w:p w:rsidR="004A3868" w:rsidRDefault="003F1AB5">
            <w:pPr>
              <w:pStyle w:val="afff7"/>
            </w:pPr>
            <w:r>
              <w:t>14,301,085.09</w:t>
            </w:r>
          </w:p>
        </w:tc>
        <w:tc>
          <w:tcPr>
            <w:tcW w:w="1653" w:type="pct"/>
            <w:shd w:val="clear" w:color="auto" w:fill="auto"/>
            <w:vAlign w:val="center"/>
          </w:tcPr>
          <w:p w:rsidR="004A3868" w:rsidRDefault="003F1AB5">
            <w:pPr>
              <w:pStyle w:val="afff7"/>
            </w:pPr>
            <w:r>
              <w:t>13,821,520.35</w:t>
            </w:r>
          </w:p>
        </w:tc>
      </w:tr>
    </w:tbl>
    <w:p w:rsidR="004A3868" w:rsidRDefault="004A3868">
      <w:pPr>
        <w:pStyle w:val="Style124"/>
      </w:pPr>
    </w:p>
    <w:p w:rsidR="004A3868" w:rsidRDefault="003F1AB5">
      <w:pPr>
        <w:pStyle w:val="Style129"/>
      </w:pPr>
      <w:r>
        <w:rPr>
          <w:rFonts w:hint="eastAsia"/>
        </w:rPr>
        <w:t>坏账准备计提情况</w:t>
      </w:r>
    </w:p>
    <w:bookmarkStart w:id="166" w:name="_Hlk533867880" w:displacedByCustomXml="next"/>
    <w:sdt>
      <w:sdtPr>
        <w:alias w:val="是否适用：其他应收款坏账准备调节表[双击切换]"/>
        <w:tag w:val="_GBC_89d7c1af9f504137a919fea1a314fa80"/>
        <w:id w:val="851077184"/>
        <w:lock w:val="conten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其他应收款坏账准备调节表"/>
          <w:tag w:val="_GBC_1e902dc07fc44240af1ff69475733c28"/>
          <w:id w:val="-14150069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收款坏账准备调节表"/>
          <w:tag w:val="_GBC_5e93354ddb8841df82a0d16f2f5b44ae"/>
          <w:id w:val="-3026915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723"/>
        <w:gridCol w:w="1658"/>
        <w:gridCol w:w="1894"/>
        <w:gridCol w:w="1893"/>
        <w:gridCol w:w="1655"/>
      </w:tblGrid>
      <w:tr w:rsidR="004A3868">
        <w:trPr>
          <w:trHeight w:val="397"/>
          <w:jc w:val="center"/>
        </w:trPr>
        <w:sdt>
          <w:sdtPr>
            <w:tag w:val="_PLD_2f734c3456a843bda898d16924c52045"/>
            <w:id w:val="-1352412104"/>
          </w:sdtPr>
          <w:sdtEndPr/>
          <w:sdtContent>
            <w:tc>
              <w:tcPr>
                <w:tcW w:w="976" w:type="pct"/>
                <w:vMerge w:val="restart"/>
                <w:vAlign w:val="center"/>
              </w:tcPr>
              <w:p w:rsidR="004A3868" w:rsidRDefault="003F1AB5">
                <w:pPr>
                  <w:pStyle w:val="afffb"/>
                </w:pPr>
                <w:r>
                  <w:rPr>
                    <w:rFonts w:hint="eastAsia"/>
                  </w:rPr>
                  <w:t>坏账准备</w:t>
                </w:r>
              </w:p>
            </w:tc>
          </w:sdtContent>
        </w:sdt>
        <w:sdt>
          <w:sdtPr>
            <w:tag w:val="_PLD_cc2d5e47d032466f8f32fd4edec15e33"/>
            <w:id w:val="-920412737"/>
          </w:sdtPr>
          <w:sdtEndPr/>
          <w:sdtContent>
            <w:tc>
              <w:tcPr>
                <w:tcW w:w="939" w:type="pct"/>
                <w:vAlign w:val="center"/>
              </w:tcPr>
              <w:p w:rsidR="004A3868" w:rsidRDefault="003F1AB5">
                <w:pPr>
                  <w:pStyle w:val="afffb"/>
                </w:pPr>
                <w:r>
                  <w:rPr>
                    <w:rFonts w:hint="eastAsia"/>
                  </w:rPr>
                  <w:t>第一阶段</w:t>
                </w:r>
              </w:p>
            </w:tc>
          </w:sdtContent>
        </w:sdt>
        <w:sdt>
          <w:sdtPr>
            <w:tag w:val="_PLD_f7ffd31ab3534493bb75ab7d04c0c751"/>
            <w:id w:val="-107665517"/>
          </w:sdtPr>
          <w:sdtEndPr/>
          <w:sdtContent>
            <w:tc>
              <w:tcPr>
                <w:tcW w:w="1073" w:type="pct"/>
                <w:vAlign w:val="center"/>
              </w:tcPr>
              <w:p w:rsidR="004A3868" w:rsidRDefault="003F1AB5">
                <w:pPr>
                  <w:pStyle w:val="afffb"/>
                </w:pPr>
                <w:r>
                  <w:rPr>
                    <w:rFonts w:hint="eastAsia"/>
                  </w:rPr>
                  <w:t>第二阶段</w:t>
                </w:r>
              </w:p>
            </w:tc>
          </w:sdtContent>
        </w:sdt>
        <w:sdt>
          <w:sdtPr>
            <w:tag w:val="_PLD_b787de87168848159cb3a46726196c34"/>
            <w:id w:val="-1957939041"/>
          </w:sdtPr>
          <w:sdtEndPr/>
          <w:sdtContent>
            <w:tc>
              <w:tcPr>
                <w:tcW w:w="1073" w:type="pct"/>
                <w:vAlign w:val="center"/>
              </w:tcPr>
              <w:p w:rsidR="004A3868" w:rsidRDefault="003F1AB5">
                <w:pPr>
                  <w:pStyle w:val="afffb"/>
                </w:pPr>
                <w:r>
                  <w:rPr>
                    <w:rFonts w:hint="eastAsia"/>
                  </w:rPr>
                  <w:t>第三阶段</w:t>
                </w:r>
              </w:p>
            </w:tc>
          </w:sdtContent>
        </w:sdt>
        <w:sdt>
          <w:sdtPr>
            <w:tag w:val="_PLD_3b31af1f922741a8874346a86f3e2d25"/>
            <w:id w:val="1866947470"/>
          </w:sdtPr>
          <w:sdtEndPr/>
          <w:sdtContent>
            <w:tc>
              <w:tcPr>
                <w:tcW w:w="938" w:type="pct"/>
                <w:vMerge w:val="restart"/>
                <w:vAlign w:val="center"/>
              </w:tcPr>
              <w:p w:rsidR="004A3868" w:rsidRDefault="003F1AB5">
                <w:pPr>
                  <w:pStyle w:val="afffb"/>
                </w:pPr>
                <w:r>
                  <w:rPr>
                    <w:rFonts w:hint="eastAsia"/>
                  </w:rPr>
                  <w:t>合计</w:t>
                </w:r>
              </w:p>
            </w:tc>
          </w:sdtContent>
        </w:sdt>
      </w:tr>
      <w:tr w:rsidR="004A3868">
        <w:trPr>
          <w:trHeight w:val="397"/>
          <w:jc w:val="center"/>
        </w:trPr>
        <w:tc>
          <w:tcPr>
            <w:tcW w:w="976" w:type="pct"/>
            <w:vMerge/>
            <w:vAlign w:val="center"/>
          </w:tcPr>
          <w:p w:rsidR="004A3868" w:rsidRDefault="004A3868">
            <w:pPr>
              <w:rPr>
                <w:sz w:val="21"/>
                <w:szCs w:val="21"/>
              </w:rPr>
            </w:pPr>
          </w:p>
        </w:tc>
        <w:sdt>
          <w:sdtPr>
            <w:tag w:val="_PLD_7158bbb0fd6b45478d53b382f0c1a5e9"/>
            <w:id w:val="-1575196532"/>
          </w:sdtPr>
          <w:sdtEndPr/>
          <w:sdtContent>
            <w:tc>
              <w:tcPr>
                <w:tcW w:w="939" w:type="pct"/>
                <w:vAlign w:val="center"/>
              </w:tcPr>
              <w:p w:rsidR="004A3868" w:rsidRDefault="003F1AB5">
                <w:pPr>
                  <w:pStyle w:val="afffb"/>
                </w:pPr>
                <w:r>
                  <w:rPr>
                    <w:rFonts w:hint="eastAsia"/>
                  </w:rPr>
                  <w:t>未来12个月预期信用损失</w:t>
                </w:r>
              </w:p>
            </w:tc>
          </w:sdtContent>
        </w:sdt>
        <w:sdt>
          <w:sdtPr>
            <w:tag w:val="_PLD_a456fd5785a44d89b944d155197986fc"/>
            <w:id w:val="619104564"/>
          </w:sdtPr>
          <w:sdtEndPr/>
          <w:sdtContent>
            <w:tc>
              <w:tcPr>
                <w:tcW w:w="1073" w:type="pct"/>
                <w:vAlign w:val="center"/>
              </w:tcPr>
              <w:p w:rsidR="004A3868" w:rsidRDefault="003F1AB5">
                <w:pPr>
                  <w:pStyle w:val="afffb"/>
                </w:pPr>
                <w:r>
                  <w:rPr>
                    <w:rFonts w:hint="eastAsia"/>
                  </w:rPr>
                  <w:t>整个存续期预期信用损失(未发生信用减值)</w:t>
                </w:r>
              </w:p>
            </w:tc>
          </w:sdtContent>
        </w:sdt>
        <w:sdt>
          <w:sdtPr>
            <w:tag w:val="_PLD_fb9265a3aa334f7ab93242b9630540b0"/>
            <w:id w:val="995611454"/>
          </w:sdtPr>
          <w:sdtEndPr/>
          <w:sdtContent>
            <w:tc>
              <w:tcPr>
                <w:tcW w:w="1073" w:type="pct"/>
                <w:vAlign w:val="center"/>
              </w:tcPr>
              <w:p w:rsidR="004A3868" w:rsidRDefault="003F1AB5">
                <w:pPr>
                  <w:pStyle w:val="afffb"/>
                </w:pPr>
                <w:r>
                  <w:rPr>
                    <w:rFonts w:hint="eastAsia"/>
                  </w:rPr>
                  <w:t>整个存续期预期信用损失(已发生信用减值)</w:t>
                </w:r>
              </w:p>
            </w:tc>
          </w:sdtContent>
        </w:sdt>
        <w:tc>
          <w:tcPr>
            <w:tcW w:w="938" w:type="pct"/>
            <w:vMerge/>
            <w:vAlign w:val="center"/>
          </w:tcPr>
          <w:p w:rsidR="004A3868" w:rsidRDefault="004A3868">
            <w:pPr>
              <w:rPr>
                <w:sz w:val="21"/>
                <w:szCs w:val="21"/>
              </w:rPr>
            </w:pPr>
          </w:p>
        </w:tc>
      </w:tr>
      <w:tr w:rsidR="004A3868">
        <w:trPr>
          <w:trHeight w:val="397"/>
          <w:jc w:val="center"/>
        </w:trPr>
        <w:tc>
          <w:tcPr>
            <w:tcW w:w="976" w:type="pct"/>
            <w:vAlign w:val="center"/>
          </w:tcPr>
          <w:p w:rsidR="004A3868" w:rsidRDefault="003F1AB5">
            <w:pPr>
              <w:pStyle w:val="afff9"/>
            </w:pPr>
            <w:r>
              <w:t>2023</w:t>
            </w:r>
            <w:r>
              <w:t>年</w:t>
            </w:r>
            <w:r>
              <w:rPr>
                <w:rFonts w:hint="eastAsia"/>
              </w:rPr>
              <w:t>1</w:t>
            </w:r>
            <w:r>
              <w:rPr>
                <w:rFonts w:hint="eastAsia"/>
              </w:rPr>
              <w:t>月</w:t>
            </w:r>
            <w:r>
              <w:rPr>
                <w:rFonts w:hint="eastAsia"/>
              </w:rPr>
              <w:t>1</w:t>
            </w:r>
            <w:r>
              <w:rPr>
                <w:rFonts w:hint="eastAsia"/>
              </w:rPr>
              <w:t>日余额</w:t>
            </w:r>
          </w:p>
        </w:tc>
        <w:tc>
          <w:tcPr>
            <w:tcW w:w="939" w:type="pct"/>
            <w:vAlign w:val="center"/>
          </w:tcPr>
          <w:p w:rsidR="004A3868" w:rsidRDefault="003F1AB5">
            <w:pPr>
              <w:pStyle w:val="afff7"/>
            </w:pPr>
            <w:r>
              <w:t>1,372,364.55</w:t>
            </w:r>
          </w:p>
        </w:tc>
        <w:tc>
          <w:tcPr>
            <w:tcW w:w="1073" w:type="pct"/>
            <w:vAlign w:val="center"/>
          </w:tcPr>
          <w:p w:rsidR="004A3868" w:rsidRDefault="003F1AB5">
            <w:pPr>
              <w:pStyle w:val="afff7"/>
            </w:pPr>
            <w:r>
              <w:t>43,285.01</w:t>
            </w:r>
          </w:p>
        </w:tc>
        <w:tc>
          <w:tcPr>
            <w:tcW w:w="1073" w:type="pct"/>
            <w:vAlign w:val="center"/>
          </w:tcPr>
          <w:p w:rsidR="004A3868" w:rsidRDefault="003F1AB5">
            <w:pPr>
              <w:pStyle w:val="afff7"/>
            </w:pPr>
            <w:r>
              <w:t>628,000.00</w:t>
            </w:r>
          </w:p>
        </w:tc>
        <w:tc>
          <w:tcPr>
            <w:tcW w:w="938" w:type="pct"/>
            <w:vAlign w:val="center"/>
          </w:tcPr>
          <w:p w:rsidR="004A3868" w:rsidRDefault="003F1AB5">
            <w:pPr>
              <w:pStyle w:val="afff7"/>
            </w:pPr>
            <w:r>
              <w:t>2,043,649.56</w:t>
            </w:r>
          </w:p>
        </w:tc>
      </w:tr>
      <w:tr w:rsidR="004A3868">
        <w:trPr>
          <w:trHeight w:val="397"/>
          <w:jc w:val="center"/>
        </w:trPr>
        <w:tc>
          <w:tcPr>
            <w:tcW w:w="976" w:type="pct"/>
            <w:vAlign w:val="center"/>
          </w:tcPr>
          <w:p w:rsidR="004A3868" w:rsidRDefault="003F1AB5">
            <w:pPr>
              <w:pStyle w:val="afff9"/>
            </w:pPr>
            <w:r>
              <w:rPr>
                <w:rFonts w:hint="eastAsia"/>
              </w:rPr>
              <w:t>2023</w:t>
            </w:r>
            <w:r>
              <w:rPr>
                <w:rFonts w:hint="eastAsia"/>
              </w:rPr>
              <w:t>年</w:t>
            </w:r>
            <w:r>
              <w:rPr>
                <w:rFonts w:hint="eastAsia"/>
              </w:rPr>
              <w:t>1</w:t>
            </w:r>
            <w:r>
              <w:rPr>
                <w:rFonts w:hint="eastAsia"/>
              </w:rPr>
              <w:t>月</w:t>
            </w:r>
            <w:r>
              <w:rPr>
                <w:rFonts w:hint="eastAsia"/>
              </w:rPr>
              <w:t>1</w:t>
            </w:r>
            <w:r>
              <w:rPr>
                <w:rFonts w:hint="eastAsia"/>
              </w:rPr>
              <w:t>日余额在本期</w:t>
            </w:r>
          </w:p>
        </w:tc>
        <w:tc>
          <w:tcPr>
            <w:tcW w:w="939" w:type="pct"/>
            <w:vAlign w:val="center"/>
          </w:tcPr>
          <w:p w:rsidR="004A3868" w:rsidRDefault="004A3868">
            <w:pPr>
              <w:pStyle w:val="afff7"/>
            </w:pPr>
          </w:p>
        </w:tc>
        <w:tc>
          <w:tcPr>
            <w:tcW w:w="1073" w:type="pct"/>
            <w:vAlign w:val="center"/>
          </w:tcPr>
          <w:p w:rsidR="004A3868" w:rsidRDefault="004A3868">
            <w:pPr>
              <w:pStyle w:val="afff7"/>
            </w:pPr>
          </w:p>
        </w:tc>
        <w:tc>
          <w:tcPr>
            <w:tcW w:w="1073" w:type="pct"/>
            <w:vAlign w:val="center"/>
          </w:tcPr>
          <w:p w:rsidR="004A3868" w:rsidRDefault="004A3868">
            <w:pPr>
              <w:pStyle w:val="afff7"/>
            </w:pPr>
          </w:p>
        </w:tc>
        <w:tc>
          <w:tcPr>
            <w:tcW w:w="938" w:type="pct"/>
            <w:vAlign w:val="center"/>
          </w:tcPr>
          <w:p w:rsidR="004A3868" w:rsidRDefault="004A3868">
            <w:pPr>
              <w:pStyle w:val="afff7"/>
            </w:pPr>
          </w:p>
        </w:tc>
      </w:tr>
      <w:tr w:rsidR="004A3868">
        <w:trPr>
          <w:trHeight w:val="397"/>
          <w:jc w:val="center"/>
        </w:trPr>
        <w:tc>
          <w:tcPr>
            <w:tcW w:w="976" w:type="pct"/>
            <w:vAlign w:val="center"/>
          </w:tcPr>
          <w:p w:rsidR="004A3868" w:rsidRDefault="003F1AB5">
            <w:pPr>
              <w:pStyle w:val="afff9"/>
            </w:pPr>
            <w:r>
              <w:rPr>
                <w:rFonts w:hint="eastAsia"/>
              </w:rPr>
              <w:t>--</w:t>
            </w:r>
            <w:r>
              <w:rPr>
                <w:rFonts w:hint="eastAsia"/>
              </w:rPr>
              <w:t>转入第二阶段</w:t>
            </w:r>
          </w:p>
        </w:tc>
        <w:tc>
          <w:tcPr>
            <w:tcW w:w="939" w:type="pct"/>
            <w:vAlign w:val="center"/>
          </w:tcPr>
          <w:p w:rsidR="004A3868" w:rsidRDefault="003F1AB5">
            <w:pPr>
              <w:pStyle w:val="afff7"/>
            </w:pPr>
            <w:r>
              <w:t>-598,182.45</w:t>
            </w:r>
          </w:p>
        </w:tc>
        <w:tc>
          <w:tcPr>
            <w:tcW w:w="1073" w:type="pct"/>
            <w:vAlign w:val="center"/>
          </w:tcPr>
          <w:p w:rsidR="004A3868" w:rsidRDefault="003F1AB5">
            <w:pPr>
              <w:pStyle w:val="afff7"/>
            </w:pPr>
            <w:r>
              <w:t>598,182.45</w:t>
            </w:r>
          </w:p>
        </w:tc>
        <w:tc>
          <w:tcPr>
            <w:tcW w:w="1073" w:type="pct"/>
            <w:vAlign w:val="center"/>
          </w:tcPr>
          <w:p w:rsidR="004A3868" w:rsidRDefault="004A3868">
            <w:pPr>
              <w:pStyle w:val="afff7"/>
            </w:pPr>
          </w:p>
        </w:tc>
        <w:tc>
          <w:tcPr>
            <w:tcW w:w="938" w:type="pct"/>
            <w:vAlign w:val="center"/>
          </w:tcPr>
          <w:p w:rsidR="004A3868" w:rsidRDefault="004A3868">
            <w:pPr>
              <w:pStyle w:val="afff7"/>
            </w:pPr>
          </w:p>
        </w:tc>
      </w:tr>
      <w:tr w:rsidR="004A3868">
        <w:trPr>
          <w:trHeight w:val="397"/>
          <w:jc w:val="center"/>
        </w:trPr>
        <w:tc>
          <w:tcPr>
            <w:tcW w:w="976" w:type="pct"/>
            <w:vAlign w:val="center"/>
          </w:tcPr>
          <w:p w:rsidR="004A3868" w:rsidRDefault="003F1AB5">
            <w:pPr>
              <w:pStyle w:val="afff9"/>
            </w:pPr>
            <w:r>
              <w:rPr>
                <w:rFonts w:hint="eastAsia"/>
              </w:rPr>
              <w:t>--</w:t>
            </w:r>
            <w:r>
              <w:rPr>
                <w:rFonts w:hint="eastAsia"/>
              </w:rPr>
              <w:t>转入第三阶段</w:t>
            </w:r>
          </w:p>
        </w:tc>
        <w:tc>
          <w:tcPr>
            <w:tcW w:w="939" w:type="pct"/>
            <w:vAlign w:val="center"/>
          </w:tcPr>
          <w:p w:rsidR="004A3868" w:rsidRDefault="004A3868">
            <w:pPr>
              <w:pStyle w:val="afff7"/>
            </w:pPr>
          </w:p>
        </w:tc>
        <w:tc>
          <w:tcPr>
            <w:tcW w:w="1073" w:type="pct"/>
            <w:vAlign w:val="center"/>
          </w:tcPr>
          <w:p w:rsidR="004A3868" w:rsidRDefault="004A3868">
            <w:pPr>
              <w:pStyle w:val="afff7"/>
            </w:pPr>
          </w:p>
        </w:tc>
        <w:tc>
          <w:tcPr>
            <w:tcW w:w="1073" w:type="pct"/>
            <w:vAlign w:val="center"/>
          </w:tcPr>
          <w:p w:rsidR="004A3868" w:rsidRDefault="004A3868">
            <w:pPr>
              <w:pStyle w:val="afff7"/>
            </w:pPr>
          </w:p>
        </w:tc>
        <w:tc>
          <w:tcPr>
            <w:tcW w:w="938" w:type="pct"/>
            <w:vAlign w:val="center"/>
          </w:tcPr>
          <w:p w:rsidR="004A3868" w:rsidRDefault="004A3868">
            <w:pPr>
              <w:pStyle w:val="afff7"/>
            </w:pPr>
          </w:p>
        </w:tc>
      </w:tr>
      <w:tr w:rsidR="004A3868">
        <w:trPr>
          <w:trHeight w:val="397"/>
          <w:jc w:val="center"/>
        </w:trPr>
        <w:tc>
          <w:tcPr>
            <w:tcW w:w="976" w:type="pct"/>
            <w:vAlign w:val="center"/>
          </w:tcPr>
          <w:p w:rsidR="004A3868" w:rsidRDefault="003F1AB5">
            <w:pPr>
              <w:pStyle w:val="afff9"/>
            </w:pPr>
            <w:r>
              <w:rPr>
                <w:rFonts w:hint="eastAsia"/>
              </w:rPr>
              <w:t>--</w:t>
            </w:r>
            <w:r>
              <w:rPr>
                <w:rFonts w:hint="eastAsia"/>
              </w:rPr>
              <w:t>转回第二阶段</w:t>
            </w:r>
          </w:p>
        </w:tc>
        <w:tc>
          <w:tcPr>
            <w:tcW w:w="939" w:type="pct"/>
            <w:vAlign w:val="center"/>
          </w:tcPr>
          <w:p w:rsidR="004A3868" w:rsidRDefault="004A3868">
            <w:pPr>
              <w:pStyle w:val="afff7"/>
            </w:pPr>
          </w:p>
        </w:tc>
        <w:tc>
          <w:tcPr>
            <w:tcW w:w="1073" w:type="pct"/>
            <w:vAlign w:val="center"/>
          </w:tcPr>
          <w:p w:rsidR="004A3868" w:rsidRDefault="004A3868">
            <w:pPr>
              <w:pStyle w:val="afff7"/>
            </w:pPr>
          </w:p>
        </w:tc>
        <w:tc>
          <w:tcPr>
            <w:tcW w:w="1073" w:type="pct"/>
            <w:vAlign w:val="center"/>
          </w:tcPr>
          <w:p w:rsidR="004A3868" w:rsidRDefault="004A3868">
            <w:pPr>
              <w:pStyle w:val="afff7"/>
            </w:pPr>
          </w:p>
        </w:tc>
        <w:tc>
          <w:tcPr>
            <w:tcW w:w="938" w:type="pct"/>
            <w:vAlign w:val="center"/>
          </w:tcPr>
          <w:p w:rsidR="004A3868" w:rsidRDefault="004A3868">
            <w:pPr>
              <w:pStyle w:val="afff7"/>
            </w:pPr>
          </w:p>
        </w:tc>
      </w:tr>
      <w:tr w:rsidR="004A3868">
        <w:trPr>
          <w:trHeight w:val="397"/>
          <w:jc w:val="center"/>
        </w:trPr>
        <w:tc>
          <w:tcPr>
            <w:tcW w:w="976" w:type="pct"/>
            <w:vAlign w:val="center"/>
          </w:tcPr>
          <w:p w:rsidR="004A3868" w:rsidRDefault="003F1AB5">
            <w:pPr>
              <w:pStyle w:val="afff9"/>
            </w:pPr>
            <w:r>
              <w:rPr>
                <w:rFonts w:hint="eastAsia"/>
              </w:rPr>
              <w:t>--</w:t>
            </w:r>
            <w:r>
              <w:rPr>
                <w:rFonts w:hint="eastAsia"/>
              </w:rPr>
              <w:t>转回第一阶段</w:t>
            </w:r>
          </w:p>
        </w:tc>
        <w:tc>
          <w:tcPr>
            <w:tcW w:w="939" w:type="pct"/>
            <w:vAlign w:val="center"/>
          </w:tcPr>
          <w:p w:rsidR="004A3868" w:rsidRDefault="004A3868">
            <w:pPr>
              <w:pStyle w:val="afff7"/>
            </w:pPr>
          </w:p>
        </w:tc>
        <w:tc>
          <w:tcPr>
            <w:tcW w:w="1073" w:type="pct"/>
            <w:vAlign w:val="center"/>
          </w:tcPr>
          <w:p w:rsidR="004A3868" w:rsidRDefault="004A3868">
            <w:pPr>
              <w:pStyle w:val="afff7"/>
            </w:pPr>
          </w:p>
        </w:tc>
        <w:tc>
          <w:tcPr>
            <w:tcW w:w="1073" w:type="pct"/>
            <w:vAlign w:val="center"/>
          </w:tcPr>
          <w:p w:rsidR="004A3868" w:rsidRDefault="004A3868">
            <w:pPr>
              <w:pStyle w:val="afff7"/>
            </w:pPr>
          </w:p>
        </w:tc>
        <w:tc>
          <w:tcPr>
            <w:tcW w:w="938" w:type="pct"/>
            <w:vAlign w:val="center"/>
          </w:tcPr>
          <w:p w:rsidR="004A3868" w:rsidRDefault="004A3868">
            <w:pPr>
              <w:pStyle w:val="afff7"/>
            </w:pPr>
          </w:p>
        </w:tc>
      </w:tr>
      <w:tr w:rsidR="004A3868">
        <w:trPr>
          <w:trHeight w:val="397"/>
          <w:jc w:val="center"/>
        </w:trPr>
        <w:tc>
          <w:tcPr>
            <w:tcW w:w="976" w:type="pct"/>
            <w:vAlign w:val="center"/>
          </w:tcPr>
          <w:p w:rsidR="004A3868" w:rsidRDefault="003F1AB5">
            <w:pPr>
              <w:pStyle w:val="afff9"/>
            </w:pPr>
            <w:r>
              <w:rPr>
                <w:rFonts w:hint="eastAsia"/>
              </w:rPr>
              <w:t>本期计提</w:t>
            </w:r>
          </w:p>
        </w:tc>
        <w:tc>
          <w:tcPr>
            <w:tcW w:w="939" w:type="pct"/>
            <w:vAlign w:val="center"/>
          </w:tcPr>
          <w:p w:rsidR="004A3868" w:rsidRDefault="003F1AB5">
            <w:pPr>
              <w:pStyle w:val="afff7"/>
            </w:pPr>
            <w:r>
              <w:t>185,346.94</w:t>
            </w:r>
          </w:p>
        </w:tc>
        <w:tc>
          <w:tcPr>
            <w:tcW w:w="1073" w:type="pct"/>
            <w:vAlign w:val="center"/>
          </w:tcPr>
          <w:p w:rsidR="004A3868" w:rsidRDefault="004A3868">
            <w:pPr>
              <w:pStyle w:val="afff7"/>
            </w:pPr>
          </w:p>
        </w:tc>
        <w:tc>
          <w:tcPr>
            <w:tcW w:w="1073" w:type="pct"/>
            <w:vAlign w:val="center"/>
          </w:tcPr>
          <w:p w:rsidR="004A3868" w:rsidRDefault="003F1AB5">
            <w:pPr>
              <w:pStyle w:val="afff7"/>
            </w:pPr>
            <w:r>
              <w:t>40,000.00</w:t>
            </w:r>
          </w:p>
        </w:tc>
        <w:tc>
          <w:tcPr>
            <w:tcW w:w="938" w:type="pct"/>
            <w:vAlign w:val="center"/>
          </w:tcPr>
          <w:p w:rsidR="004A3868" w:rsidRDefault="003F1AB5">
            <w:pPr>
              <w:pStyle w:val="afff7"/>
            </w:pPr>
            <w:r>
              <w:t>225,346.94</w:t>
            </w:r>
          </w:p>
        </w:tc>
      </w:tr>
      <w:tr w:rsidR="004A3868">
        <w:trPr>
          <w:trHeight w:val="397"/>
          <w:jc w:val="center"/>
        </w:trPr>
        <w:tc>
          <w:tcPr>
            <w:tcW w:w="976" w:type="pct"/>
            <w:vAlign w:val="center"/>
          </w:tcPr>
          <w:p w:rsidR="004A3868" w:rsidRDefault="003F1AB5">
            <w:pPr>
              <w:pStyle w:val="afff9"/>
            </w:pPr>
            <w:r>
              <w:rPr>
                <w:rFonts w:hint="eastAsia"/>
              </w:rPr>
              <w:t>本期转回</w:t>
            </w:r>
          </w:p>
        </w:tc>
        <w:tc>
          <w:tcPr>
            <w:tcW w:w="939" w:type="pct"/>
            <w:vAlign w:val="center"/>
          </w:tcPr>
          <w:p w:rsidR="004A3868" w:rsidRDefault="004A3868">
            <w:pPr>
              <w:pStyle w:val="afff7"/>
            </w:pPr>
          </w:p>
        </w:tc>
        <w:tc>
          <w:tcPr>
            <w:tcW w:w="1073" w:type="pct"/>
            <w:vAlign w:val="center"/>
          </w:tcPr>
          <w:p w:rsidR="004A3868" w:rsidRDefault="003F1AB5">
            <w:pPr>
              <w:pStyle w:val="afff7"/>
            </w:pPr>
            <w:r>
              <w:t>12,885.01</w:t>
            </w:r>
          </w:p>
        </w:tc>
        <w:tc>
          <w:tcPr>
            <w:tcW w:w="1073" w:type="pct"/>
            <w:vAlign w:val="center"/>
          </w:tcPr>
          <w:p w:rsidR="004A3868" w:rsidRDefault="003F1AB5">
            <w:pPr>
              <w:pStyle w:val="afff7"/>
            </w:pPr>
            <w:r>
              <w:t>368,000.00</w:t>
            </w:r>
          </w:p>
        </w:tc>
        <w:tc>
          <w:tcPr>
            <w:tcW w:w="938" w:type="pct"/>
            <w:vAlign w:val="center"/>
          </w:tcPr>
          <w:p w:rsidR="004A3868" w:rsidRDefault="003F1AB5">
            <w:pPr>
              <w:pStyle w:val="afff7"/>
            </w:pPr>
            <w:r>
              <w:t>380,885.01</w:t>
            </w:r>
          </w:p>
        </w:tc>
      </w:tr>
      <w:tr w:rsidR="004A3868">
        <w:trPr>
          <w:trHeight w:val="397"/>
          <w:jc w:val="center"/>
        </w:trPr>
        <w:tc>
          <w:tcPr>
            <w:tcW w:w="976" w:type="pct"/>
            <w:vAlign w:val="center"/>
          </w:tcPr>
          <w:p w:rsidR="004A3868" w:rsidRDefault="003F1AB5">
            <w:pPr>
              <w:pStyle w:val="afff9"/>
            </w:pPr>
            <w:r>
              <w:rPr>
                <w:rFonts w:hint="eastAsia"/>
              </w:rPr>
              <w:t>本期转销</w:t>
            </w:r>
          </w:p>
        </w:tc>
        <w:tc>
          <w:tcPr>
            <w:tcW w:w="939" w:type="pct"/>
            <w:vAlign w:val="center"/>
          </w:tcPr>
          <w:p w:rsidR="004A3868" w:rsidRDefault="004A3868">
            <w:pPr>
              <w:pStyle w:val="afff7"/>
            </w:pPr>
          </w:p>
        </w:tc>
        <w:tc>
          <w:tcPr>
            <w:tcW w:w="1073" w:type="pct"/>
            <w:vAlign w:val="center"/>
          </w:tcPr>
          <w:p w:rsidR="004A3868" w:rsidRDefault="004A3868">
            <w:pPr>
              <w:pStyle w:val="afff7"/>
            </w:pPr>
          </w:p>
        </w:tc>
        <w:tc>
          <w:tcPr>
            <w:tcW w:w="1073" w:type="pct"/>
            <w:vAlign w:val="center"/>
          </w:tcPr>
          <w:p w:rsidR="004A3868" w:rsidRDefault="004A3868">
            <w:pPr>
              <w:pStyle w:val="afff7"/>
            </w:pPr>
          </w:p>
        </w:tc>
        <w:tc>
          <w:tcPr>
            <w:tcW w:w="938" w:type="pct"/>
            <w:vAlign w:val="center"/>
          </w:tcPr>
          <w:p w:rsidR="004A3868" w:rsidRDefault="004A3868">
            <w:pPr>
              <w:pStyle w:val="afff7"/>
            </w:pPr>
          </w:p>
        </w:tc>
      </w:tr>
      <w:tr w:rsidR="004A3868">
        <w:trPr>
          <w:trHeight w:val="397"/>
          <w:jc w:val="center"/>
        </w:trPr>
        <w:tc>
          <w:tcPr>
            <w:tcW w:w="976" w:type="pct"/>
            <w:vAlign w:val="center"/>
          </w:tcPr>
          <w:p w:rsidR="004A3868" w:rsidRDefault="003F1AB5">
            <w:pPr>
              <w:pStyle w:val="afff9"/>
            </w:pPr>
            <w:r>
              <w:rPr>
                <w:rFonts w:hint="eastAsia"/>
              </w:rPr>
              <w:t>本期核销</w:t>
            </w:r>
          </w:p>
        </w:tc>
        <w:tc>
          <w:tcPr>
            <w:tcW w:w="939" w:type="pct"/>
            <w:vAlign w:val="center"/>
          </w:tcPr>
          <w:p w:rsidR="004A3868" w:rsidRDefault="004A3868">
            <w:pPr>
              <w:pStyle w:val="afff7"/>
            </w:pPr>
          </w:p>
        </w:tc>
        <w:tc>
          <w:tcPr>
            <w:tcW w:w="1073" w:type="pct"/>
            <w:vAlign w:val="center"/>
          </w:tcPr>
          <w:p w:rsidR="004A3868" w:rsidRDefault="004A3868">
            <w:pPr>
              <w:pStyle w:val="afff7"/>
            </w:pPr>
          </w:p>
        </w:tc>
        <w:tc>
          <w:tcPr>
            <w:tcW w:w="1073" w:type="pct"/>
            <w:vAlign w:val="center"/>
          </w:tcPr>
          <w:p w:rsidR="004A3868" w:rsidRDefault="004A3868">
            <w:pPr>
              <w:pStyle w:val="afff7"/>
            </w:pPr>
          </w:p>
        </w:tc>
        <w:tc>
          <w:tcPr>
            <w:tcW w:w="938" w:type="pct"/>
            <w:vAlign w:val="center"/>
          </w:tcPr>
          <w:p w:rsidR="004A3868" w:rsidRDefault="004A3868">
            <w:pPr>
              <w:pStyle w:val="afff7"/>
            </w:pPr>
          </w:p>
        </w:tc>
      </w:tr>
      <w:tr w:rsidR="004A3868">
        <w:trPr>
          <w:trHeight w:val="397"/>
          <w:jc w:val="center"/>
        </w:trPr>
        <w:tc>
          <w:tcPr>
            <w:tcW w:w="976" w:type="pct"/>
            <w:vAlign w:val="center"/>
          </w:tcPr>
          <w:p w:rsidR="004A3868" w:rsidRDefault="003F1AB5">
            <w:pPr>
              <w:pStyle w:val="afff9"/>
            </w:pPr>
            <w:r>
              <w:rPr>
                <w:rFonts w:hint="eastAsia"/>
              </w:rPr>
              <w:t>其他变动</w:t>
            </w:r>
          </w:p>
        </w:tc>
        <w:tc>
          <w:tcPr>
            <w:tcW w:w="939" w:type="pct"/>
            <w:vAlign w:val="center"/>
          </w:tcPr>
          <w:p w:rsidR="004A3868" w:rsidRDefault="004A3868">
            <w:pPr>
              <w:pStyle w:val="afff7"/>
            </w:pPr>
          </w:p>
        </w:tc>
        <w:tc>
          <w:tcPr>
            <w:tcW w:w="1073" w:type="pct"/>
            <w:vAlign w:val="center"/>
          </w:tcPr>
          <w:p w:rsidR="004A3868" w:rsidRDefault="004A3868">
            <w:pPr>
              <w:pStyle w:val="afff7"/>
            </w:pPr>
          </w:p>
        </w:tc>
        <w:tc>
          <w:tcPr>
            <w:tcW w:w="1073" w:type="pct"/>
            <w:vAlign w:val="center"/>
          </w:tcPr>
          <w:p w:rsidR="004A3868" w:rsidRDefault="004A3868">
            <w:pPr>
              <w:pStyle w:val="afff7"/>
            </w:pPr>
          </w:p>
        </w:tc>
        <w:tc>
          <w:tcPr>
            <w:tcW w:w="938" w:type="pct"/>
            <w:vAlign w:val="center"/>
          </w:tcPr>
          <w:p w:rsidR="004A3868" w:rsidRDefault="004A3868">
            <w:pPr>
              <w:pStyle w:val="afff7"/>
            </w:pPr>
          </w:p>
        </w:tc>
      </w:tr>
      <w:tr w:rsidR="004A3868">
        <w:trPr>
          <w:trHeight w:val="397"/>
          <w:jc w:val="center"/>
        </w:trPr>
        <w:tc>
          <w:tcPr>
            <w:tcW w:w="976" w:type="pct"/>
            <w:vAlign w:val="center"/>
          </w:tcPr>
          <w:p w:rsidR="004A3868" w:rsidRDefault="003F1AB5">
            <w:pPr>
              <w:pStyle w:val="afff9"/>
            </w:pPr>
            <w:r>
              <w:t>2023</w:t>
            </w:r>
            <w:r>
              <w:t>年</w:t>
            </w:r>
            <w:r>
              <w:t>12</w:t>
            </w:r>
            <w:r>
              <w:t>月</w:t>
            </w:r>
            <w:r>
              <w:t>31</w:t>
            </w:r>
            <w:r>
              <w:t>日</w:t>
            </w:r>
            <w:r>
              <w:rPr>
                <w:rFonts w:hint="eastAsia"/>
              </w:rPr>
              <w:lastRenderedPageBreak/>
              <w:t>余额</w:t>
            </w:r>
          </w:p>
        </w:tc>
        <w:tc>
          <w:tcPr>
            <w:tcW w:w="939" w:type="pct"/>
            <w:vAlign w:val="center"/>
          </w:tcPr>
          <w:p w:rsidR="004A3868" w:rsidRDefault="003F1AB5">
            <w:pPr>
              <w:pStyle w:val="afff7"/>
            </w:pPr>
            <w:r>
              <w:lastRenderedPageBreak/>
              <w:t>959,529.04</w:t>
            </w:r>
          </w:p>
        </w:tc>
        <w:tc>
          <w:tcPr>
            <w:tcW w:w="1073" w:type="pct"/>
            <w:vAlign w:val="center"/>
          </w:tcPr>
          <w:p w:rsidR="004A3868" w:rsidRDefault="003F1AB5">
            <w:pPr>
              <w:pStyle w:val="afff7"/>
            </w:pPr>
            <w:r>
              <w:t>628,582.45</w:t>
            </w:r>
          </w:p>
        </w:tc>
        <w:tc>
          <w:tcPr>
            <w:tcW w:w="1073" w:type="pct"/>
            <w:vAlign w:val="center"/>
          </w:tcPr>
          <w:p w:rsidR="004A3868" w:rsidRDefault="003F1AB5">
            <w:pPr>
              <w:pStyle w:val="afff7"/>
            </w:pPr>
            <w:r>
              <w:t>300,000.00</w:t>
            </w:r>
          </w:p>
        </w:tc>
        <w:tc>
          <w:tcPr>
            <w:tcW w:w="938" w:type="pct"/>
            <w:vAlign w:val="center"/>
          </w:tcPr>
          <w:p w:rsidR="004A3868" w:rsidRDefault="003F1AB5">
            <w:pPr>
              <w:pStyle w:val="afff7"/>
            </w:pPr>
            <w:r>
              <w:t>1,888,111.49</w:t>
            </w:r>
          </w:p>
        </w:tc>
      </w:tr>
    </w:tbl>
    <w:p w:rsidR="004A3868" w:rsidRDefault="003F1AB5">
      <w:pPr>
        <w:rPr>
          <w:sz w:val="21"/>
          <w:szCs w:val="21"/>
        </w:rPr>
      </w:pPr>
      <w:r>
        <w:rPr>
          <w:rFonts w:hint="eastAsia"/>
          <w:sz w:val="21"/>
          <w:szCs w:val="21"/>
        </w:rPr>
        <w:t>各阶段划分依据和坏账准备计提比例</w:t>
      </w:r>
    </w:p>
    <w:sdt>
      <w:sdtPr>
        <w:rPr>
          <w:sz w:val="21"/>
          <w:szCs w:val="21"/>
        </w:rPr>
        <w:alias w:val="其他应收款各阶段划分依据和坏账准备计提比例"/>
        <w:tag w:val="_GBC_d878dae05a464cf69eea4a309bb1cd21"/>
        <w:id w:val="1735584530"/>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rPr>
          <w:sz w:val="21"/>
          <w:szCs w:val="21"/>
        </w:rPr>
      </w:pPr>
      <w:r>
        <w:rPr>
          <w:rFonts w:hint="eastAsia"/>
          <w:sz w:val="21"/>
          <w:szCs w:val="21"/>
        </w:rPr>
        <w:t>对本期发生损失准备变动的其他应收款账面余额显著变动的情况说明：</w:t>
      </w:r>
    </w:p>
    <w:sdt>
      <w:sdtPr>
        <w:rPr>
          <w:sz w:val="21"/>
          <w:szCs w:val="21"/>
        </w:rPr>
        <w:alias w:val="是否适用：其他应收款本期发生损失准备变动且账面余额显著变动的情况说明[双击切换]"/>
        <w:tag w:val="_GBC_58fcdf70fc84477da132c3f4817c5321"/>
        <w:id w:val="187750125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4"/>
      </w:pPr>
      <w:r>
        <w:rPr>
          <w:rFonts w:hint="eastAsia"/>
        </w:rPr>
        <w:t>本期坏账准备计提金额以及评估金融工具的信用风险是否显著增加的采用依据：</w:t>
      </w:r>
    </w:p>
    <w:bookmarkEnd w:id="166" w:displacedByCustomXml="next"/>
    <w:bookmarkStart w:id="167" w:name="_Hlk534806817" w:displacedByCustomXml="next"/>
    <w:sdt>
      <w:sdtPr>
        <w:rPr>
          <w:sz w:val="21"/>
          <w:szCs w:val="21"/>
        </w:rPr>
        <w:alias w:val="是否适用：其他应收款本期坏账准备计提金额以及评估金融工具的信用风险显著增加的采用依据[双击切换]"/>
        <w:tag w:val="_GBC_443438be92c7443db5842cb1e5d811cd"/>
        <w:id w:val="-29706241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67"/>
    <w:p w:rsidR="004A3868" w:rsidRDefault="003F1AB5">
      <w:pPr>
        <w:pStyle w:val="Style129"/>
      </w:pPr>
      <w:r>
        <w:rPr>
          <w:rFonts w:hint="eastAsia"/>
        </w:rPr>
        <w:t>坏账准备的情况</w:t>
      </w:r>
    </w:p>
    <w:bookmarkStart w:id="168" w:name="_Hlk532831394" w:displacedByCustomXml="next"/>
    <w:sdt>
      <w:sdtPr>
        <w:alias w:val="是否适用：其他应收款坏账准备[双击切换]"/>
        <w:tag w:val="_GBC_524ff4c8c6e549ef8e2bf00ca72ddbb6"/>
        <w:id w:val="1479501521"/>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其他应收款坏账准备"/>
          <w:tag w:val="_GBC_a1cc48852f8047719c9f4b9326a997e3"/>
          <w:id w:val="-12895090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收款坏账准备"/>
          <w:tag w:val="_GBC_cc05d2791f5f4983a0b6c04ec0989295"/>
          <w:id w:val="3685741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079"/>
        <w:gridCol w:w="1666"/>
        <w:gridCol w:w="1426"/>
        <w:gridCol w:w="1426"/>
        <w:gridCol w:w="782"/>
        <w:gridCol w:w="778"/>
        <w:gridCol w:w="1666"/>
      </w:tblGrid>
      <w:tr w:rsidR="004A3868">
        <w:trPr>
          <w:trHeight w:val="397"/>
          <w:jc w:val="center"/>
        </w:trPr>
        <w:sdt>
          <w:sdtPr>
            <w:tag w:val="_PLD_26385dc5e422410c8676e4fee82120cb"/>
            <w:id w:val="-647975793"/>
            <w:lock w:val="sdtLocked"/>
          </w:sdtPr>
          <w:sdtEndPr/>
          <w:sdtContent>
            <w:tc>
              <w:tcPr>
                <w:tcW w:w="611" w:type="pct"/>
                <w:vMerge w:val="restart"/>
                <w:shd w:val="clear" w:color="auto" w:fill="FFFFFF"/>
                <w:vAlign w:val="center"/>
              </w:tcPr>
              <w:p w:rsidR="004A3868" w:rsidRDefault="003F1AB5">
                <w:pPr>
                  <w:pStyle w:val="afffb"/>
                </w:pPr>
                <w:r>
                  <w:t>类别</w:t>
                </w:r>
              </w:p>
            </w:tc>
          </w:sdtContent>
        </w:sdt>
        <w:sdt>
          <w:sdtPr>
            <w:tag w:val="_PLD_325dd74545cb4f67921ea1cc7ed20a2b"/>
            <w:id w:val="1214935077"/>
            <w:lock w:val="sdtLocked"/>
          </w:sdtPr>
          <w:sdtEndPr/>
          <w:sdtContent>
            <w:tc>
              <w:tcPr>
                <w:tcW w:w="944" w:type="pct"/>
                <w:vMerge w:val="restart"/>
                <w:shd w:val="clear" w:color="auto" w:fill="FFFFFF"/>
                <w:vAlign w:val="center"/>
              </w:tcPr>
              <w:p w:rsidR="004A3868" w:rsidRDefault="003F1AB5">
                <w:pPr>
                  <w:pStyle w:val="afffb"/>
                </w:pPr>
                <w:r>
                  <w:t>期初余额</w:t>
                </w:r>
              </w:p>
            </w:tc>
          </w:sdtContent>
        </w:sdt>
        <w:sdt>
          <w:sdtPr>
            <w:tag w:val="_PLD_d513696ccf0b46ccb4ea6d2ef23dbbd2"/>
            <w:id w:val="-1503650037"/>
            <w:lock w:val="sdtLocked"/>
          </w:sdtPr>
          <w:sdtEndPr/>
          <w:sdtContent>
            <w:tc>
              <w:tcPr>
                <w:tcW w:w="2500" w:type="pct"/>
                <w:gridSpan w:val="4"/>
                <w:shd w:val="clear" w:color="auto" w:fill="FFFFFF"/>
                <w:vAlign w:val="center"/>
              </w:tcPr>
              <w:p w:rsidR="004A3868" w:rsidRDefault="003F1AB5">
                <w:pPr>
                  <w:pStyle w:val="afffb"/>
                </w:pPr>
                <w:r>
                  <w:rPr>
                    <w:rFonts w:hint="eastAsia"/>
                  </w:rPr>
                  <w:t>本期变动</w:t>
                </w:r>
                <w:r>
                  <w:t>金额</w:t>
                </w:r>
              </w:p>
            </w:tc>
          </w:sdtContent>
        </w:sdt>
        <w:sdt>
          <w:sdtPr>
            <w:tag w:val="_PLD_20b48d7d53584edf917ab5d4207d6a9c"/>
            <w:id w:val="1240293208"/>
            <w:lock w:val="sdtLocked"/>
          </w:sdtPr>
          <w:sdtEndPr/>
          <w:sdtContent>
            <w:tc>
              <w:tcPr>
                <w:tcW w:w="944" w:type="pct"/>
                <w:vMerge w:val="restart"/>
                <w:shd w:val="clear" w:color="auto" w:fill="FFFFFF"/>
                <w:vAlign w:val="center"/>
              </w:tcPr>
              <w:p w:rsidR="004A3868" w:rsidRDefault="003F1AB5">
                <w:pPr>
                  <w:pStyle w:val="afffb"/>
                </w:pPr>
                <w:r>
                  <w:t>期末余额</w:t>
                </w:r>
              </w:p>
            </w:tc>
          </w:sdtContent>
        </w:sdt>
      </w:tr>
      <w:tr w:rsidR="004A3868">
        <w:trPr>
          <w:trHeight w:val="397"/>
          <w:jc w:val="center"/>
        </w:trPr>
        <w:tc>
          <w:tcPr>
            <w:tcW w:w="611" w:type="pct"/>
            <w:vMerge/>
            <w:shd w:val="clear" w:color="auto" w:fill="FFFFFF"/>
          </w:tcPr>
          <w:p w:rsidR="004A3868" w:rsidRDefault="004A3868">
            <w:pPr>
              <w:rPr>
                <w:sz w:val="21"/>
                <w:szCs w:val="21"/>
              </w:rPr>
            </w:pPr>
          </w:p>
        </w:tc>
        <w:tc>
          <w:tcPr>
            <w:tcW w:w="944" w:type="pct"/>
            <w:vMerge/>
            <w:shd w:val="clear" w:color="auto" w:fill="FFFFFF"/>
          </w:tcPr>
          <w:p w:rsidR="004A3868" w:rsidRDefault="004A3868">
            <w:pPr>
              <w:rPr>
                <w:sz w:val="21"/>
                <w:szCs w:val="21"/>
              </w:rPr>
            </w:pPr>
          </w:p>
        </w:tc>
        <w:sdt>
          <w:sdtPr>
            <w:tag w:val="_PLD_97824acb5c834e9fbe6cf8e4b6cac761"/>
            <w:id w:val="237527380"/>
            <w:lock w:val="sdtLocked"/>
          </w:sdtPr>
          <w:sdtEndPr/>
          <w:sdtContent>
            <w:tc>
              <w:tcPr>
                <w:tcW w:w="808" w:type="pct"/>
                <w:shd w:val="clear" w:color="auto" w:fill="FFFFFF"/>
                <w:vAlign w:val="center"/>
              </w:tcPr>
              <w:p w:rsidR="004A3868" w:rsidRDefault="003F1AB5">
                <w:pPr>
                  <w:pStyle w:val="afffb"/>
                </w:pPr>
                <w:r>
                  <w:t>计提</w:t>
                </w:r>
              </w:p>
            </w:tc>
          </w:sdtContent>
        </w:sdt>
        <w:sdt>
          <w:sdtPr>
            <w:tag w:val="_PLD_233002cee9bc4108842b58a08731b243"/>
            <w:id w:val="872507443"/>
            <w:lock w:val="sdtLocked"/>
          </w:sdtPr>
          <w:sdtEndPr/>
          <w:sdtContent>
            <w:tc>
              <w:tcPr>
                <w:tcW w:w="808" w:type="pct"/>
                <w:shd w:val="clear" w:color="auto" w:fill="FFFFFF"/>
                <w:vAlign w:val="center"/>
              </w:tcPr>
              <w:p w:rsidR="004A3868" w:rsidRDefault="003F1AB5">
                <w:pPr>
                  <w:pStyle w:val="afffb"/>
                </w:pPr>
                <w:r>
                  <w:rPr>
                    <w:rFonts w:hint="eastAsia"/>
                  </w:rPr>
                  <w:t>收回或转回</w:t>
                </w:r>
              </w:p>
            </w:tc>
          </w:sdtContent>
        </w:sdt>
        <w:sdt>
          <w:sdtPr>
            <w:tag w:val="_PLD_6bcdf2328a584128aba90aa75e33c767"/>
            <w:id w:val="-1139954010"/>
            <w:lock w:val="sdtLocked"/>
          </w:sdtPr>
          <w:sdtEndPr/>
          <w:sdtContent>
            <w:tc>
              <w:tcPr>
                <w:tcW w:w="443" w:type="pct"/>
                <w:shd w:val="clear" w:color="auto" w:fill="FFFFFF"/>
                <w:vAlign w:val="center"/>
              </w:tcPr>
              <w:p w:rsidR="004A3868" w:rsidRDefault="003F1AB5">
                <w:pPr>
                  <w:pStyle w:val="afffb"/>
                </w:pPr>
                <w:r>
                  <w:rPr>
                    <w:rFonts w:hint="eastAsia"/>
                  </w:rPr>
                  <w:t>转销或核销</w:t>
                </w:r>
              </w:p>
            </w:tc>
          </w:sdtContent>
        </w:sdt>
        <w:tc>
          <w:tcPr>
            <w:tcW w:w="441" w:type="pct"/>
            <w:shd w:val="clear" w:color="auto" w:fill="FFFFFF"/>
            <w:vAlign w:val="center"/>
          </w:tcPr>
          <w:sdt>
            <w:sdtPr>
              <w:rPr>
                <w:rFonts w:hint="eastAsia"/>
              </w:rPr>
              <w:tag w:val="_PLD_da684cd2e7cd4d42baf40bc9d95a0ce8"/>
              <w:id w:val="-2146495985"/>
              <w:lock w:val="sdtLocked"/>
            </w:sdtPr>
            <w:sdtEndPr/>
            <w:sdtContent>
              <w:p w:rsidR="004A3868" w:rsidRDefault="003F1AB5">
                <w:pPr>
                  <w:pStyle w:val="afffb"/>
                </w:pPr>
                <w:r>
                  <w:rPr>
                    <w:rFonts w:hint="eastAsia"/>
                  </w:rPr>
                  <w:t>其他变动</w:t>
                </w:r>
              </w:p>
            </w:sdtContent>
          </w:sdt>
        </w:tc>
        <w:tc>
          <w:tcPr>
            <w:tcW w:w="944" w:type="pct"/>
            <w:vMerge/>
            <w:shd w:val="clear" w:color="auto" w:fill="FFFFFF"/>
          </w:tcPr>
          <w:p w:rsidR="004A3868" w:rsidRDefault="004A3868">
            <w:pPr>
              <w:rPr>
                <w:sz w:val="21"/>
                <w:szCs w:val="21"/>
              </w:rPr>
            </w:pPr>
          </w:p>
        </w:tc>
      </w:tr>
      <w:tr w:rsidR="004A3868">
        <w:trPr>
          <w:trHeight w:val="397"/>
          <w:jc w:val="center"/>
        </w:trPr>
        <w:tc>
          <w:tcPr>
            <w:tcW w:w="611" w:type="pct"/>
            <w:shd w:val="clear" w:color="auto" w:fill="auto"/>
          </w:tcPr>
          <w:p w:rsidR="004A3868" w:rsidRDefault="003F1AB5">
            <w:pPr>
              <w:pStyle w:val="afff9"/>
            </w:pPr>
            <w:r>
              <w:t>单项计提坏账准备</w:t>
            </w:r>
          </w:p>
        </w:tc>
        <w:tc>
          <w:tcPr>
            <w:tcW w:w="944" w:type="pct"/>
            <w:shd w:val="clear" w:color="auto" w:fill="auto"/>
            <w:vAlign w:val="center"/>
          </w:tcPr>
          <w:p w:rsidR="004A3868" w:rsidRDefault="003F1AB5">
            <w:pPr>
              <w:pStyle w:val="afff7"/>
            </w:pPr>
            <w:r>
              <w:t>628,000.00</w:t>
            </w:r>
          </w:p>
        </w:tc>
        <w:tc>
          <w:tcPr>
            <w:tcW w:w="808" w:type="pct"/>
            <w:shd w:val="clear" w:color="auto" w:fill="auto"/>
            <w:vAlign w:val="center"/>
          </w:tcPr>
          <w:p w:rsidR="004A3868" w:rsidRDefault="003F1AB5">
            <w:pPr>
              <w:pStyle w:val="afff7"/>
            </w:pPr>
            <w:r>
              <w:t>40,000.00</w:t>
            </w:r>
          </w:p>
        </w:tc>
        <w:tc>
          <w:tcPr>
            <w:tcW w:w="808" w:type="pct"/>
            <w:shd w:val="clear" w:color="auto" w:fill="auto"/>
            <w:vAlign w:val="center"/>
          </w:tcPr>
          <w:p w:rsidR="004A3868" w:rsidRDefault="003F1AB5">
            <w:pPr>
              <w:pStyle w:val="afff7"/>
            </w:pPr>
            <w:r>
              <w:t>368,000.00</w:t>
            </w:r>
          </w:p>
        </w:tc>
        <w:tc>
          <w:tcPr>
            <w:tcW w:w="443" w:type="pct"/>
            <w:vAlign w:val="center"/>
          </w:tcPr>
          <w:p w:rsidR="004A3868" w:rsidRDefault="003F1AB5">
            <w:pPr>
              <w:pStyle w:val="afff7"/>
            </w:pPr>
            <w:r>
              <w:t xml:space="preserve">　</w:t>
            </w:r>
          </w:p>
        </w:tc>
        <w:tc>
          <w:tcPr>
            <w:tcW w:w="441" w:type="pct"/>
            <w:vAlign w:val="center"/>
          </w:tcPr>
          <w:p w:rsidR="004A3868" w:rsidRDefault="003F1AB5">
            <w:pPr>
              <w:pStyle w:val="afff7"/>
            </w:pPr>
            <w:r>
              <w:t xml:space="preserve">　</w:t>
            </w:r>
          </w:p>
        </w:tc>
        <w:tc>
          <w:tcPr>
            <w:tcW w:w="944" w:type="pct"/>
            <w:shd w:val="clear" w:color="auto" w:fill="auto"/>
            <w:vAlign w:val="center"/>
          </w:tcPr>
          <w:p w:rsidR="004A3868" w:rsidRDefault="003F1AB5">
            <w:pPr>
              <w:pStyle w:val="afff7"/>
            </w:pPr>
            <w:r>
              <w:t>300,000.00</w:t>
            </w:r>
          </w:p>
        </w:tc>
      </w:tr>
      <w:tr w:rsidR="004A3868">
        <w:trPr>
          <w:trHeight w:val="397"/>
          <w:jc w:val="center"/>
        </w:trPr>
        <w:tc>
          <w:tcPr>
            <w:tcW w:w="611" w:type="pct"/>
            <w:shd w:val="clear" w:color="auto" w:fill="auto"/>
          </w:tcPr>
          <w:p w:rsidR="004A3868" w:rsidRDefault="003F1AB5">
            <w:pPr>
              <w:pStyle w:val="afff9"/>
            </w:pPr>
            <w:r>
              <w:t>按组合计提坏账准备</w:t>
            </w:r>
          </w:p>
        </w:tc>
        <w:tc>
          <w:tcPr>
            <w:tcW w:w="944" w:type="pct"/>
            <w:shd w:val="clear" w:color="auto" w:fill="auto"/>
            <w:vAlign w:val="center"/>
          </w:tcPr>
          <w:p w:rsidR="004A3868" w:rsidRDefault="003F1AB5">
            <w:pPr>
              <w:pStyle w:val="afff7"/>
            </w:pPr>
            <w:r>
              <w:t>1,415,649.56</w:t>
            </w:r>
          </w:p>
        </w:tc>
        <w:tc>
          <w:tcPr>
            <w:tcW w:w="808" w:type="pct"/>
            <w:shd w:val="clear" w:color="auto" w:fill="auto"/>
            <w:vAlign w:val="center"/>
          </w:tcPr>
          <w:p w:rsidR="004A3868" w:rsidRDefault="003F1AB5">
            <w:pPr>
              <w:pStyle w:val="afff7"/>
            </w:pPr>
            <w:r>
              <w:t>185,346.94</w:t>
            </w:r>
          </w:p>
        </w:tc>
        <w:tc>
          <w:tcPr>
            <w:tcW w:w="808" w:type="pct"/>
            <w:shd w:val="clear" w:color="auto" w:fill="auto"/>
            <w:vAlign w:val="center"/>
          </w:tcPr>
          <w:p w:rsidR="004A3868" w:rsidRDefault="003F1AB5">
            <w:pPr>
              <w:pStyle w:val="afff7"/>
            </w:pPr>
            <w:r>
              <w:t>12,885.01</w:t>
            </w:r>
          </w:p>
        </w:tc>
        <w:tc>
          <w:tcPr>
            <w:tcW w:w="443" w:type="pct"/>
            <w:vAlign w:val="center"/>
          </w:tcPr>
          <w:p w:rsidR="004A3868" w:rsidRDefault="003F1AB5">
            <w:pPr>
              <w:pStyle w:val="afff7"/>
            </w:pPr>
            <w:r>
              <w:t xml:space="preserve">　</w:t>
            </w:r>
          </w:p>
        </w:tc>
        <w:tc>
          <w:tcPr>
            <w:tcW w:w="441" w:type="pct"/>
            <w:vAlign w:val="center"/>
          </w:tcPr>
          <w:p w:rsidR="004A3868" w:rsidRDefault="003F1AB5">
            <w:pPr>
              <w:pStyle w:val="afff7"/>
            </w:pPr>
            <w:r>
              <w:t xml:space="preserve">　</w:t>
            </w:r>
          </w:p>
        </w:tc>
        <w:tc>
          <w:tcPr>
            <w:tcW w:w="944" w:type="pct"/>
            <w:shd w:val="clear" w:color="auto" w:fill="auto"/>
            <w:vAlign w:val="center"/>
          </w:tcPr>
          <w:p w:rsidR="004A3868" w:rsidRDefault="003F1AB5">
            <w:pPr>
              <w:pStyle w:val="afff7"/>
            </w:pPr>
            <w:r>
              <w:t>1,588,111.49</w:t>
            </w:r>
          </w:p>
        </w:tc>
      </w:tr>
      <w:tr w:rsidR="004A3868">
        <w:trPr>
          <w:trHeight w:val="397"/>
          <w:jc w:val="center"/>
        </w:trPr>
        <w:tc>
          <w:tcPr>
            <w:tcW w:w="611" w:type="pct"/>
            <w:shd w:val="clear" w:color="auto" w:fill="auto"/>
          </w:tcPr>
          <w:p w:rsidR="004A3868" w:rsidRDefault="003F1AB5">
            <w:pPr>
              <w:pStyle w:val="afff9"/>
            </w:pPr>
            <w:r>
              <w:rPr>
                <w:rFonts w:hint="eastAsia"/>
              </w:rPr>
              <w:t>合计</w:t>
            </w:r>
          </w:p>
        </w:tc>
        <w:tc>
          <w:tcPr>
            <w:tcW w:w="944" w:type="pct"/>
            <w:shd w:val="clear" w:color="auto" w:fill="auto"/>
            <w:vAlign w:val="center"/>
          </w:tcPr>
          <w:p w:rsidR="004A3868" w:rsidRDefault="003F1AB5">
            <w:pPr>
              <w:pStyle w:val="afff7"/>
            </w:pPr>
            <w:r>
              <w:t>2,043,649.56</w:t>
            </w:r>
          </w:p>
        </w:tc>
        <w:tc>
          <w:tcPr>
            <w:tcW w:w="808" w:type="pct"/>
            <w:shd w:val="clear" w:color="auto" w:fill="auto"/>
            <w:vAlign w:val="center"/>
          </w:tcPr>
          <w:p w:rsidR="004A3868" w:rsidRDefault="003F1AB5">
            <w:pPr>
              <w:pStyle w:val="afff7"/>
            </w:pPr>
            <w:r>
              <w:t>225,346.94</w:t>
            </w:r>
          </w:p>
        </w:tc>
        <w:tc>
          <w:tcPr>
            <w:tcW w:w="808" w:type="pct"/>
            <w:shd w:val="clear" w:color="auto" w:fill="auto"/>
            <w:vAlign w:val="center"/>
          </w:tcPr>
          <w:p w:rsidR="004A3868" w:rsidRDefault="003F1AB5">
            <w:pPr>
              <w:pStyle w:val="afff7"/>
            </w:pPr>
            <w:r>
              <w:t>380,885.01</w:t>
            </w:r>
          </w:p>
        </w:tc>
        <w:tc>
          <w:tcPr>
            <w:tcW w:w="443" w:type="pct"/>
            <w:vAlign w:val="center"/>
          </w:tcPr>
          <w:p w:rsidR="004A3868" w:rsidRDefault="004A3868">
            <w:pPr>
              <w:pStyle w:val="afff7"/>
            </w:pPr>
          </w:p>
        </w:tc>
        <w:tc>
          <w:tcPr>
            <w:tcW w:w="441" w:type="pct"/>
            <w:vAlign w:val="center"/>
          </w:tcPr>
          <w:p w:rsidR="004A3868" w:rsidRDefault="004A3868">
            <w:pPr>
              <w:pStyle w:val="afff7"/>
            </w:pPr>
          </w:p>
        </w:tc>
        <w:tc>
          <w:tcPr>
            <w:tcW w:w="944" w:type="pct"/>
            <w:shd w:val="clear" w:color="auto" w:fill="auto"/>
            <w:vAlign w:val="center"/>
          </w:tcPr>
          <w:p w:rsidR="004A3868" w:rsidRDefault="003F1AB5">
            <w:pPr>
              <w:pStyle w:val="afff7"/>
            </w:pPr>
            <w:r>
              <w:t>1,888,111.49</w:t>
            </w:r>
          </w:p>
        </w:tc>
      </w:tr>
    </w:tbl>
    <w:p w:rsidR="004A3868" w:rsidRDefault="003F1AB5">
      <w:pPr>
        <w:pStyle w:val="Style124"/>
      </w:pPr>
      <w:r>
        <w:rPr>
          <w:rFonts w:hint="eastAsia"/>
        </w:rPr>
        <w:t>其中本期坏账准备转回或收回金额重要的：</w:t>
      </w:r>
    </w:p>
    <w:bookmarkStart w:id="169" w:name="_Hlk154157836" w:displacedByCustomXml="next"/>
    <w:sdt>
      <w:sdtPr>
        <w:alias w:val="是否适用：其中本期其他应收账款坏账准备收回或转回金额重要的[双击切换]"/>
        <w:tag w:val="_GBC_c99a80b9a36440d7b9ed3ce899868361"/>
        <w:id w:val="61382557"/>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alias w:val="其他应收款坏账准备情况的说明"/>
        <w:tag w:val="_GBC_ea3d549b97f449188fd9e2f767cdcd6c"/>
        <w:id w:val="-1489858336"/>
        <w:placeholder>
          <w:docPart w:val="GBC22222222222222222222222222222"/>
        </w:placeholder>
      </w:sdtPr>
      <w:sdtEndPr/>
      <w:sdtContent>
        <w:p w:rsidR="004A3868" w:rsidRDefault="003F1AB5">
          <w:pPr>
            <w:pStyle w:val="Style124"/>
          </w:pPr>
          <w:r>
            <w:rPr>
              <w:rFonts w:hint="eastAsia"/>
            </w:rPr>
            <w:t>无</w:t>
          </w:r>
        </w:p>
      </w:sdtContent>
    </w:sdt>
    <w:bookmarkEnd w:id="169"/>
    <w:p w:rsidR="004A3868" w:rsidRDefault="003F1AB5">
      <w:pPr>
        <w:pStyle w:val="Style129"/>
      </w:pPr>
      <w:r>
        <w:rPr>
          <w:rFonts w:hint="eastAsia"/>
        </w:rPr>
        <w:t>本期实际核销的其他应收款情况</w:t>
      </w:r>
    </w:p>
    <w:bookmarkEnd w:id="168" w:displacedByCustomXml="next"/>
    <w:sdt>
      <w:sdtPr>
        <w:alias w:val="是否适用：本期实际核销的其他应收款情况[双击切换]"/>
        <w:tag w:val="_GBC_2ce86125d6b94b148fa674141e6497b1"/>
        <w:id w:val="1002861965"/>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其中重要的其他应收款核销情况：</w:t>
      </w:r>
    </w:p>
    <w:sdt>
      <w:sdtPr>
        <w:rPr>
          <w:sz w:val="21"/>
          <w:szCs w:val="21"/>
        </w:rPr>
        <w:alias w:val="是否适用：其中重要的其他应收款核销情况[双击切换]"/>
        <w:tag w:val="_GBC_6f3b8f9a05dc4f2082e4ad20a1930006"/>
        <w:id w:val="22511908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b/>
          <w:bCs/>
          <w:sz w:val="21"/>
          <w:szCs w:val="21"/>
        </w:rPr>
      </w:pPr>
      <w:r>
        <w:rPr>
          <w:rFonts w:hint="eastAsia"/>
          <w:sz w:val="21"/>
          <w:szCs w:val="21"/>
        </w:rPr>
        <w:t>其他应收款核销说明：</w:t>
      </w:r>
    </w:p>
    <w:sdt>
      <w:sdtPr>
        <w:rPr>
          <w:sz w:val="21"/>
          <w:szCs w:val="21"/>
        </w:rPr>
        <w:alias w:val="是否适用：其他应收款冲销坏帐明细的说明[双击切换]"/>
        <w:tag w:val="_GBC_c894606830c4440ba090ef98078b372b"/>
        <w:id w:val="31422700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39874911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其他应收账款前五名欠款情况"/>
          <w:tag w:val="_GBC_06f7a71e039445228d80a5741df4c4f7"/>
          <w:id w:val="-1667938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其他应收账款前五名欠款情况"/>
          <w:tag w:val="_GBC_54cf5f95e62e4f5f8ccb31731efadf32"/>
          <w:id w:val="-20034991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977"/>
        <w:gridCol w:w="2003"/>
        <w:gridCol w:w="963"/>
        <w:gridCol w:w="978"/>
        <w:gridCol w:w="1076"/>
        <w:gridCol w:w="1826"/>
      </w:tblGrid>
      <w:tr w:rsidR="004A3868">
        <w:trPr>
          <w:cantSplit/>
          <w:trHeight w:val="397"/>
          <w:jc w:val="center"/>
        </w:trPr>
        <w:sdt>
          <w:sdtPr>
            <w:tag w:val="_PLD_f30fc2dc8886472699c892f0395ab05e"/>
            <w:id w:val="-1215656429"/>
            <w:lock w:val="sdtLocked"/>
          </w:sdtPr>
          <w:sdtEndPr/>
          <w:sdtContent>
            <w:tc>
              <w:tcPr>
                <w:tcW w:w="1120" w:type="pct"/>
                <w:vAlign w:val="center"/>
              </w:tcPr>
              <w:p w:rsidR="004A3868" w:rsidRDefault="003F1AB5">
                <w:pPr>
                  <w:pStyle w:val="afffb"/>
                </w:pPr>
                <w:r>
                  <w:rPr>
                    <w:rFonts w:hint="eastAsia"/>
                  </w:rPr>
                  <w:t>单位名称</w:t>
                </w:r>
              </w:p>
            </w:tc>
          </w:sdtContent>
        </w:sdt>
        <w:sdt>
          <w:sdtPr>
            <w:tag w:val="_PLD_1bc905abb4bf4c679b9fbe0a7587d651"/>
            <w:id w:val="-1087687065"/>
            <w:lock w:val="sdtLocked"/>
          </w:sdtPr>
          <w:sdtEndPr/>
          <w:sdtContent>
            <w:tc>
              <w:tcPr>
                <w:tcW w:w="1135" w:type="pct"/>
                <w:vAlign w:val="center"/>
              </w:tcPr>
              <w:p w:rsidR="004A3868" w:rsidRDefault="003F1AB5">
                <w:pPr>
                  <w:pStyle w:val="afffb"/>
                </w:pPr>
                <w:r>
                  <w:rPr>
                    <w:rFonts w:hint="eastAsia"/>
                  </w:rPr>
                  <w:t>期末余额</w:t>
                </w:r>
              </w:p>
            </w:tc>
          </w:sdtContent>
        </w:sdt>
        <w:sdt>
          <w:sdtPr>
            <w:tag w:val="_PLD_055b75c0a3cf450e995ac7e13fdc0c08"/>
            <w:id w:val="1321930843"/>
            <w:lock w:val="sdtLocked"/>
          </w:sdtPr>
          <w:sdtEndPr/>
          <w:sdtContent>
            <w:tc>
              <w:tcPr>
                <w:tcW w:w="546" w:type="pct"/>
                <w:vAlign w:val="center"/>
              </w:tcPr>
              <w:p w:rsidR="004A3868" w:rsidRDefault="003F1AB5">
                <w:pPr>
                  <w:pStyle w:val="afffb"/>
                </w:pPr>
                <w:r>
                  <w:rPr>
                    <w:rFonts w:hint="eastAsia"/>
                  </w:rPr>
                  <w:t>占其他应收款期末余额合计数的比例(</w:t>
                </w:r>
                <w:r>
                  <w:t>%)</w:t>
                </w:r>
              </w:p>
            </w:tc>
          </w:sdtContent>
        </w:sdt>
        <w:sdt>
          <w:sdtPr>
            <w:tag w:val="_PLD_44129b8132114de2a4d33c4acb8af98f"/>
            <w:id w:val="-1360037582"/>
            <w:lock w:val="sdtLocked"/>
          </w:sdtPr>
          <w:sdtEndPr/>
          <w:sdtContent>
            <w:tc>
              <w:tcPr>
                <w:tcW w:w="554" w:type="pct"/>
                <w:vAlign w:val="center"/>
              </w:tcPr>
              <w:p w:rsidR="004A3868" w:rsidRDefault="003F1AB5">
                <w:pPr>
                  <w:pStyle w:val="afffb"/>
                </w:pPr>
                <w:r>
                  <w:rPr>
                    <w:rFonts w:hint="eastAsia"/>
                  </w:rPr>
                  <w:t>款项的性质</w:t>
                </w:r>
              </w:p>
            </w:tc>
          </w:sdtContent>
        </w:sdt>
        <w:sdt>
          <w:sdtPr>
            <w:tag w:val="_PLD_d9231de346f74815b1bc7c82527b1ef5"/>
            <w:id w:val="-655291182"/>
            <w:lock w:val="sdtLocked"/>
          </w:sdtPr>
          <w:sdtEndPr/>
          <w:sdtContent>
            <w:tc>
              <w:tcPr>
                <w:tcW w:w="610" w:type="pct"/>
                <w:vAlign w:val="center"/>
              </w:tcPr>
              <w:p w:rsidR="004A3868" w:rsidRDefault="003F1AB5">
                <w:pPr>
                  <w:pStyle w:val="afffb"/>
                </w:pPr>
                <w:r>
                  <w:rPr>
                    <w:rFonts w:hint="eastAsia"/>
                  </w:rPr>
                  <w:t>账龄</w:t>
                </w:r>
              </w:p>
            </w:tc>
          </w:sdtContent>
        </w:sdt>
        <w:sdt>
          <w:sdtPr>
            <w:tag w:val="_PLD_a7951a260c094fc8b8b64f2d1e6a933e"/>
            <w:id w:val="670455321"/>
            <w:lock w:val="sdtLocked"/>
          </w:sdtPr>
          <w:sdtEndPr/>
          <w:sdtContent>
            <w:tc>
              <w:tcPr>
                <w:tcW w:w="1035" w:type="pct"/>
                <w:vAlign w:val="center"/>
              </w:tcPr>
              <w:p w:rsidR="004A3868" w:rsidRDefault="003F1AB5">
                <w:pPr>
                  <w:pStyle w:val="afffb"/>
                </w:pPr>
                <w:r>
                  <w:rPr>
                    <w:rFonts w:hint="eastAsia"/>
                  </w:rPr>
                  <w:t>坏账准备</w:t>
                </w:r>
              </w:p>
              <w:p w:rsidR="004A3868" w:rsidRDefault="003F1AB5">
                <w:pPr>
                  <w:pStyle w:val="afffb"/>
                </w:pPr>
                <w:r>
                  <w:rPr>
                    <w:rFonts w:hint="eastAsia"/>
                  </w:rPr>
                  <w:t>期末余额</w:t>
                </w:r>
              </w:p>
            </w:tc>
          </w:sdtContent>
        </w:sdt>
      </w:tr>
      <w:tr w:rsidR="004A3868">
        <w:trPr>
          <w:cantSplit/>
          <w:trHeight w:val="397"/>
          <w:jc w:val="center"/>
        </w:trPr>
        <w:tc>
          <w:tcPr>
            <w:tcW w:w="1120" w:type="pct"/>
          </w:tcPr>
          <w:p w:rsidR="004A3868" w:rsidRDefault="003F1AB5">
            <w:pPr>
              <w:pStyle w:val="afff9"/>
            </w:pPr>
            <w:r>
              <w:rPr>
                <w:rFonts w:hint="eastAsia"/>
              </w:rPr>
              <w:t>其他应收款余额前五单位</w:t>
            </w:r>
            <w:r>
              <w:t>1</w:t>
            </w:r>
          </w:p>
        </w:tc>
        <w:tc>
          <w:tcPr>
            <w:tcW w:w="1135" w:type="pct"/>
            <w:vAlign w:val="center"/>
          </w:tcPr>
          <w:p w:rsidR="004A3868" w:rsidRDefault="003F1AB5">
            <w:pPr>
              <w:pStyle w:val="afff7"/>
            </w:pPr>
            <w:r>
              <w:t>828,287.15</w:t>
            </w:r>
          </w:p>
        </w:tc>
        <w:tc>
          <w:tcPr>
            <w:tcW w:w="546" w:type="pct"/>
            <w:vAlign w:val="center"/>
          </w:tcPr>
          <w:p w:rsidR="004A3868" w:rsidRDefault="003F1AB5">
            <w:pPr>
              <w:pStyle w:val="afff7"/>
              <w:rPr>
                <w:rFonts w:asciiTheme="minorEastAsia" w:hAnsiTheme="minorEastAsia"/>
              </w:rPr>
            </w:pPr>
            <w:r>
              <w:t>5.79</w:t>
            </w:r>
          </w:p>
        </w:tc>
        <w:tc>
          <w:tcPr>
            <w:tcW w:w="554" w:type="pct"/>
            <w:vAlign w:val="center"/>
          </w:tcPr>
          <w:p w:rsidR="004A3868" w:rsidRDefault="003F1AB5">
            <w:pPr>
              <w:pStyle w:val="afffb"/>
            </w:pPr>
            <w:r>
              <w:t>保证金、押金</w:t>
            </w:r>
          </w:p>
        </w:tc>
        <w:tc>
          <w:tcPr>
            <w:tcW w:w="610" w:type="pct"/>
            <w:vAlign w:val="center"/>
          </w:tcPr>
          <w:p w:rsidR="004A3868" w:rsidRDefault="003F1AB5">
            <w:pPr>
              <w:pStyle w:val="afffb"/>
            </w:pPr>
            <w:r>
              <w:t>4-5年</w:t>
            </w:r>
          </w:p>
        </w:tc>
        <w:tc>
          <w:tcPr>
            <w:tcW w:w="1035" w:type="pct"/>
            <w:vAlign w:val="center"/>
          </w:tcPr>
          <w:p w:rsidR="004A3868" w:rsidRDefault="003F1AB5">
            <w:pPr>
              <w:pStyle w:val="afff7"/>
            </w:pPr>
            <w:r>
              <w:t>414,143.58</w:t>
            </w:r>
          </w:p>
        </w:tc>
      </w:tr>
      <w:tr w:rsidR="004A3868">
        <w:trPr>
          <w:cantSplit/>
          <w:trHeight w:val="397"/>
          <w:jc w:val="center"/>
        </w:trPr>
        <w:tc>
          <w:tcPr>
            <w:tcW w:w="1120" w:type="pct"/>
          </w:tcPr>
          <w:p w:rsidR="004A3868" w:rsidRDefault="003F1AB5">
            <w:pPr>
              <w:pStyle w:val="afff9"/>
            </w:pPr>
            <w:r>
              <w:rPr>
                <w:rFonts w:hint="eastAsia"/>
              </w:rPr>
              <w:lastRenderedPageBreak/>
              <w:t>其他应收款余额前五单位</w:t>
            </w:r>
            <w:r>
              <w:t>2</w:t>
            </w:r>
          </w:p>
        </w:tc>
        <w:tc>
          <w:tcPr>
            <w:tcW w:w="1135" w:type="pct"/>
            <w:vAlign w:val="center"/>
          </w:tcPr>
          <w:p w:rsidR="004A3868" w:rsidRDefault="003F1AB5">
            <w:pPr>
              <w:pStyle w:val="afff7"/>
            </w:pPr>
            <w:r>
              <w:t>791,023.00</w:t>
            </w:r>
          </w:p>
        </w:tc>
        <w:tc>
          <w:tcPr>
            <w:tcW w:w="546" w:type="pct"/>
            <w:vAlign w:val="center"/>
          </w:tcPr>
          <w:p w:rsidR="004A3868" w:rsidRDefault="003F1AB5">
            <w:pPr>
              <w:pStyle w:val="afff7"/>
              <w:rPr>
                <w:rFonts w:asciiTheme="minorEastAsia" w:hAnsiTheme="minorEastAsia"/>
              </w:rPr>
            </w:pPr>
            <w:r>
              <w:t>5.53</w:t>
            </w:r>
          </w:p>
        </w:tc>
        <w:tc>
          <w:tcPr>
            <w:tcW w:w="554" w:type="pct"/>
            <w:vAlign w:val="center"/>
          </w:tcPr>
          <w:p w:rsidR="004A3868" w:rsidRDefault="003F1AB5">
            <w:pPr>
              <w:pStyle w:val="afffb"/>
            </w:pPr>
            <w:r>
              <w:t>保证金、押金</w:t>
            </w:r>
          </w:p>
        </w:tc>
        <w:tc>
          <w:tcPr>
            <w:tcW w:w="610" w:type="pct"/>
            <w:vAlign w:val="center"/>
          </w:tcPr>
          <w:p w:rsidR="004A3868" w:rsidRDefault="003F1AB5">
            <w:pPr>
              <w:pStyle w:val="afffb"/>
            </w:pPr>
            <w:r>
              <w:t>1年以内</w:t>
            </w:r>
          </w:p>
        </w:tc>
        <w:tc>
          <w:tcPr>
            <w:tcW w:w="1035" w:type="pct"/>
            <w:vAlign w:val="center"/>
          </w:tcPr>
          <w:p w:rsidR="004A3868" w:rsidRDefault="003F1AB5">
            <w:pPr>
              <w:pStyle w:val="afff7"/>
            </w:pPr>
            <w:r>
              <w:t>39,551.15</w:t>
            </w:r>
          </w:p>
        </w:tc>
      </w:tr>
      <w:tr w:rsidR="004A3868">
        <w:trPr>
          <w:cantSplit/>
          <w:trHeight w:val="397"/>
          <w:jc w:val="center"/>
        </w:trPr>
        <w:tc>
          <w:tcPr>
            <w:tcW w:w="1120" w:type="pct"/>
          </w:tcPr>
          <w:p w:rsidR="004A3868" w:rsidRDefault="003F1AB5">
            <w:pPr>
              <w:pStyle w:val="afff9"/>
            </w:pPr>
            <w:r>
              <w:rPr>
                <w:rFonts w:hint="eastAsia"/>
              </w:rPr>
              <w:t>其他应收款余额前五单位</w:t>
            </w:r>
            <w:r>
              <w:t>3</w:t>
            </w:r>
          </w:p>
        </w:tc>
        <w:tc>
          <w:tcPr>
            <w:tcW w:w="1135" w:type="pct"/>
            <w:vAlign w:val="center"/>
          </w:tcPr>
          <w:p w:rsidR="004A3868" w:rsidRDefault="003F1AB5">
            <w:pPr>
              <w:pStyle w:val="afff7"/>
            </w:pPr>
            <w:r>
              <w:t> 600,000.00</w:t>
            </w:r>
          </w:p>
        </w:tc>
        <w:tc>
          <w:tcPr>
            <w:tcW w:w="546" w:type="pct"/>
            <w:vAlign w:val="center"/>
          </w:tcPr>
          <w:p w:rsidR="004A3868" w:rsidRDefault="003F1AB5">
            <w:pPr>
              <w:pStyle w:val="afff7"/>
              <w:rPr>
                <w:rFonts w:asciiTheme="minorEastAsia" w:hAnsiTheme="minorEastAsia"/>
              </w:rPr>
            </w:pPr>
            <w:r>
              <w:t>4.2</w:t>
            </w:r>
            <w:r>
              <w:rPr>
                <w:rFonts w:hint="eastAsia"/>
              </w:rPr>
              <w:t>0</w:t>
            </w:r>
          </w:p>
        </w:tc>
        <w:tc>
          <w:tcPr>
            <w:tcW w:w="554" w:type="pct"/>
            <w:vAlign w:val="center"/>
          </w:tcPr>
          <w:p w:rsidR="004A3868" w:rsidRDefault="003F1AB5">
            <w:pPr>
              <w:pStyle w:val="afffb"/>
            </w:pPr>
            <w:r>
              <w:t>保证金、押金</w:t>
            </w:r>
          </w:p>
        </w:tc>
        <w:tc>
          <w:tcPr>
            <w:tcW w:w="610" w:type="pct"/>
            <w:vAlign w:val="center"/>
          </w:tcPr>
          <w:p w:rsidR="004A3868" w:rsidRDefault="003F1AB5">
            <w:pPr>
              <w:pStyle w:val="afffb"/>
            </w:pPr>
            <w:r>
              <w:t>1年以内</w:t>
            </w:r>
          </w:p>
        </w:tc>
        <w:tc>
          <w:tcPr>
            <w:tcW w:w="1035" w:type="pct"/>
            <w:vAlign w:val="center"/>
          </w:tcPr>
          <w:p w:rsidR="004A3868" w:rsidRDefault="003F1AB5">
            <w:pPr>
              <w:pStyle w:val="afff7"/>
            </w:pPr>
            <w:r>
              <w:t>30,000.00</w:t>
            </w:r>
          </w:p>
        </w:tc>
      </w:tr>
      <w:tr w:rsidR="004A3868">
        <w:trPr>
          <w:cantSplit/>
          <w:trHeight w:val="397"/>
          <w:jc w:val="center"/>
        </w:trPr>
        <w:tc>
          <w:tcPr>
            <w:tcW w:w="1120" w:type="pct"/>
          </w:tcPr>
          <w:p w:rsidR="004A3868" w:rsidRDefault="003F1AB5">
            <w:pPr>
              <w:pStyle w:val="afff9"/>
            </w:pPr>
            <w:r>
              <w:rPr>
                <w:rFonts w:hint="eastAsia"/>
              </w:rPr>
              <w:t>其他应收款余额前五单位</w:t>
            </w:r>
            <w:r>
              <w:t>4</w:t>
            </w:r>
          </w:p>
        </w:tc>
        <w:tc>
          <w:tcPr>
            <w:tcW w:w="1135" w:type="pct"/>
            <w:vAlign w:val="center"/>
          </w:tcPr>
          <w:p w:rsidR="004A3868" w:rsidRDefault="003F1AB5">
            <w:pPr>
              <w:pStyle w:val="afff7"/>
            </w:pPr>
            <w:r>
              <w:t>530,000.00</w:t>
            </w:r>
          </w:p>
        </w:tc>
        <w:tc>
          <w:tcPr>
            <w:tcW w:w="546" w:type="pct"/>
            <w:vAlign w:val="center"/>
          </w:tcPr>
          <w:p w:rsidR="004A3868" w:rsidRDefault="003F1AB5">
            <w:pPr>
              <w:pStyle w:val="afff7"/>
              <w:rPr>
                <w:rFonts w:asciiTheme="minorEastAsia" w:hAnsiTheme="minorEastAsia"/>
              </w:rPr>
            </w:pPr>
            <w:r>
              <w:t>3.71</w:t>
            </w:r>
          </w:p>
        </w:tc>
        <w:tc>
          <w:tcPr>
            <w:tcW w:w="554" w:type="pct"/>
            <w:vAlign w:val="center"/>
          </w:tcPr>
          <w:p w:rsidR="004A3868" w:rsidRDefault="003F1AB5">
            <w:pPr>
              <w:pStyle w:val="afffb"/>
            </w:pPr>
            <w:r>
              <w:t>保证金、押金</w:t>
            </w:r>
          </w:p>
        </w:tc>
        <w:tc>
          <w:tcPr>
            <w:tcW w:w="610" w:type="pct"/>
            <w:vAlign w:val="center"/>
          </w:tcPr>
          <w:p w:rsidR="004A3868" w:rsidRDefault="003F1AB5">
            <w:pPr>
              <w:pStyle w:val="afffb"/>
            </w:pPr>
            <w:r>
              <w:t>1年以内</w:t>
            </w:r>
          </w:p>
        </w:tc>
        <w:tc>
          <w:tcPr>
            <w:tcW w:w="1035" w:type="pct"/>
            <w:vAlign w:val="center"/>
          </w:tcPr>
          <w:p w:rsidR="004A3868" w:rsidRDefault="003F1AB5">
            <w:pPr>
              <w:pStyle w:val="afff7"/>
            </w:pPr>
            <w:r>
              <w:t>26,500.00</w:t>
            </w:r>
          </w:p>
        </w:tc>
      </w:tr>
      <w:tr w:rsidR="004A3868">
        <w:trPr>
          <w:cantSplit/>
          <w:trHeight w:val="397"/>
          <w:jc w:val="center"/>
        </w:trPr>
        <w:tc>
          <w:tcPr>
            <w:tcW w:w="1120" w:type="pct"/>
            <w:vMerge w:val="restart"/>
            <w:vAlign w:val="center"/>
          </w:tcPr>
          <w:p w:rsidR="004A3868" w:rsidRDefault="003F1AB5">
            <w:pPr>
              <w:pStyle w:val="afff9"/>
            </w:pPr>
            <w:r>
              <w:rPr>
                <w:rFonts w:hint="eastAsia"/>
              </w:rPr>
              <w:t>其他应收款余额前五单位</w:t>
            </w:r>
            <w:r>
              <w:t>5</w:t>
            </w:r>
          </w:p>
        </w:tc>
        <w:tc>
          <w:tcPr>
            <w:tcW w:w="1135" w:type="pct"/>
            <w:vAlign w:val="center"/>
          </w:tcPr>
          <w:p w:rsidR="004A3868" w:rsidRDefault="003F1AB5">
            <w:pPr>
              <w:pStyle w:val="afff7"/>
              <w:rPr>
                <w:rFonts w:asciiTheme="minorEastAsia" w:hAnsiTheme="minorEastAsia"/>
              </w:rPr>
            </w:pPr>
            <w:r>
              <w:t>62,500.00</w:t>
            </w:r>
          </w:p>
        </w:tc>
        <w:tc>
          <w:tcPr>
            <w:tcW w:w="546" w:type="pct"/>
            <w:vAlign w:val="center"/>
          </w:tcPr>
          <w:p w:rsidR="004A3868" w:rsidRDefault="003F1AB5">
            <w:pPr>
              <w:pStyle w:val="afff7"/>
              <w:rPr>
                <w:rFonts w:asciiTheme="minorEastAsia" w:hAnsiTheme="minorEastAsia"/>
              </w:rPr>
            </w:pPr>
            <w:r>
              <w:t>0.44</w:t>
            </w:r>
          </w:p>
        </w:tc>
        <w:tc>
          <w:tcPr>
            <w:tcW w:w="554" w:type="pct"/>
            <w:vAlign w:val="center"/>
          </w:tcPr>
          <w:p w:rsidR="004A3868" w:rsidRDefault="003F1AB5">
            <w:pPr>
              <w:pStyle w:val="afffb"/>
            </w:pPr>
            <w:r>
              <w:t>保证金、押金</w:t>
            </w:r>
          </w:p>
        </w:tc>
        <w:tc>
          <w:tcPr>
            <w:tcW w:w="610" w:type="pct"/>
            <w:vAlign w:val="center"/>
          </w:tcPr>
          <w:p w:rsidR="004A3868" w:rsidRDefault="003F1AB5">
            <w:pPr>
              <w:pStyle w:val="afffb"/>
            </w:pPr>
            <w:r>
              <w:t>2-3年</w:t>
            </w:r>
          </w:p>
        </w:tc>
        <w:tc>
          <w:tcPr>
            <w:tcW w:w="1035" w:type="pct"/>
            <w:vMerge w:val="restart"/>
            <w:vAlign w:val="center"/>
          </w:tcPr>
          <w:p w:rsidR="004A3868" w:rsidRDefault="003F1AB5">
            <w:pPr>
              <w:pStyle w:val="afff7"/>
            </w:pPr>
            <w:r>
              <w:t>184,038.88</w:t>
            </w:r>
          </w:p>
        </w:tc>
      </w:tr>
      <w:tr w:rsidR="004A3868">
        <w:trPr>
          <w:cantSplit/>
          <w:trHeight w:val="397"/>
          <w:jc w:val="center"/>
        </w:trPr>
        <w:tc>
          <w:tcPr>
            <w:tcW w:w="1120" w:type="pct"/>
            <w:vMerge/>
          </w:tcPr>
          <w:p w:rsidR="004A3868" w:rsidRDefault="004A3868">
            <w:pPr>
              <w:pStyle w:val="afff9"/>
            </w:pPr>
          </w:p>
        </w:tc>
        <w:tc>
          <w:tcPr>
            <w:tcW w:w="1135" w:type="pct"/>
            <w:vAlign w:val="center"/>
          </w:tcPr>
          <w:p w:rsidR="004A3868" w:rsidRDefault="003F1AB5">
            <w:pPr>
              <w:pStyle w:val="afff7"/>
              <w:rPr>
                <w:rFonts w:asciiTheme="minorEastAsia" w:hAnsiTheme="minorEastAsia"/>
              </w:rPr>
            </w:pPr>
            <w:r>
              <w:t>279,132.92</w:t>
            </w:r>
          </w:p>
        </w:tc>
        <w:tc>
          <w:tcPr>
            <w:tcW w:w="546" w:type="pct"/>
            <w:vAlign w:val="center"/>
          </w:tcPr>
          <w:p w:rsidR="004A3868" w:rsidRDefault="003F1AB5">
            <w:pPr>
              <w:pStyle w:val="afff7"/>
              <w:rPr>
                <w:rFonts w:asciiTheme="minorEastAsia" w:hAnsiTheme="minorEastAsia"/>
              </w:rPr>
            </w:pPr>
            <w:r>
              <w:t>1.95</w:t>
            </w:r>
          </w:p>
        </w:tc>
        <w:tc>
          <w:tcPr>
            <w:tcW w:w="554" w:type="pct"/>
            <w:vAlign w:val="center"/>
          </w:tcPr>
          <w:p w:rsidR="004A3868" w:rsidRDefault="003F1AB5">
            <w:pPr>
              <w:pStyle w:val="afffb"/>
            </w:pPr>
            <w:r>
              <w:t>保证金、押金</w:t>
            </w:r>
          </w:p>
        </w:tc>
        <w:tc>
          <w:tcPr>
            <w:tcW w:w="610" w:type="pct"/>
            <w:vAlign w:val="center"/>
          </w:tcPr>
          <w:p w:rsidR="004A3868" w:rsidRDefault="003F1AB5">
            <w:pPr>
              <w:pStyle w:val="afffb"/>
            </w:pPr>
            <w:r>
              <w:t>3-4年</w:t>
            </w:r>
          </w:p>
        </w:tc>
        <w:tc>
          <w:tcPr>
            <w:tcW w:w="1035" w:type="pct"/>
            <w:vMerge/>
            <w:vAlign w:val="center"/>
          </w:tcPr>
          <w:p w:rsidR="004A3868" w:rsidRDefault="004A3868">
            <w:pPr>
              <w:pStyle w:val="afff7"/>
            </w:pPr>
          </w:p>
        </w:tc>
      </w:tr>
      <w:tr w:rsidR="004A3868">
        <w:trPr>
          <w:cantSplit/>
          <w:trHeight w:val="397"/>
          <w:jc w:val="center"/>
        </w:trPr>
        <w:tc>
          <w:tcPr>
            <w:tcW w:w="1120" w:type="pct"/>
            <w:vMerge/>
          </w:tcPr>
          <w:p w:rsidR="004A3868" w:rsidRDefault="004A3868">
            <w:pPr>
              <w:pStyle w:val="afff9"/>
            </w:pPr>
          </w:p>
        </w:tc>
        <w:tc>
          <w:tcPr>
            <w:tcW w:w="1135" w:type="pct"/>
            <w:vAlign w:val="center"/>
          </w:tcPr>
          <w:p w:rsidR="004A3868" w:rsidRDefault="003F1AB5">
            <w:pPr>
              <w:pStyle w:val="afff7"/>
              <w:rPr>
                <w:rFonts w:asciiTheme="minorEastAsia" w:hAnsiTheme="minorEastAsia"/>
              </w:rPr>
            </w:pPr>
            <w:r>
              <w:t>175</w:t>
            </w:r>
            <w:r>
              <w:rPr>
                <w:rFonts w:hint="eastAsia"/>
              </w:rPr>
              <w:t>,</w:t>
            </w:r>
            <w:r>
              <w:t>598</w:t>
            </w:r>
            <w:r>
              <w:rPr>
                <w:rFonts w:hint="eastAsia"/>
              </w:rPr>
              <w:t>.00</w:t>
            </w:r>
          </w:p>
        </w:tc>
        <w:tc>
          <w:tcPr>
            <w:tcW w:w="546" w:type="pct"/>
            <w:vAlign w:val="center"/>
          </w:tcPr>
          <w:p w:rsidR="004A3868" w:rsidRDefault="003F1AB5">
            <w:pPr>
              <w:pStyle w:val="afff7"/>
              <w:rPr>
                <w:rFonts w:asciiTheme="minorEastAsia" w:hAnsiTheme="minorEastAsia"/>
              </w:rPr>
            </w:pPr>
            <w:r>
              <w:t>1.23</w:t>
            </w:r>
          </w:p>
        </w:tc>
        <w:tc>
          <w:tcPr>
            <w:tcW w:w="554" w:type="pct"/>
            <w:vAlign w:val="center"/>
          </w:tcPr>
          <w:p w:rsidR="004A3868" w:rsidRDefault="003F1AB5">
            <w:pPr>
              <w:pStyle w:val="afffb"/>
            </w:pPr>
            <w:r>
              <w:t>保证金、押金</w:t>
            </w:r>
          </w:p>
        </w:tc>
        <w:tc>
          <w:tcPr>
            <w:tcW w:w="610" w:type="pct"/>
            <w:vAlign w:val="center"/>
          </w:tcPr>
          <w:p w:rsidR="004A3868" w:rsidRDefault="003F1AB5">
            <w:pPr>
              <w:pStyle w:val="afffb"/>
            </w:pPr>
            <w:r>
              <w:t>4-5年</w:t>
            </w:r>
          </w:p>
        </w:tc>
        <w:tc>
          <w:tcPr>
            <w:tcW w:w="1035" w:type="pct"/>
            <w:vMerge/>
            <w:vAlign w:val="center"/>
          </w:tcPr>
          <w:p w:rsidR="004A3868" w:rsidRDefault="004A3868">
            <w:pPr>
              <w:pStyle w:val="afff7"/>
            </w:pPr>
          </w:p>
        </w:tc>
      </w:tr>
      <w:tr w:rsidR="004A3868">
        <w:trPr>
          <w:cantSplit/>
          <w:trHeight w:val="397"/>
          <w:jc w:val="center"/>
        </w:trPr>
        <w:tc>
          <w:tcPr>
            <w:tcW w:w="1120" w:type="pct"/>
          </w:tcPr>
          <w:p w:rsidR="004A3868" w:rsidRDefault="003F1AB5">
            <w:pPr>
              <w:pStyle w:val="afff9"/>
            </w:pPr>
            <w:r>
              <w:rPr>
                <w:rFonts w:hint="eastAsia"/>
              </w:rPr>
              <w:t>合计</w:t>
            </w:r>
          </w:p>
        </w:tc>
        <w:tc>
          <w:tcPr>
            <w:tcW w:w="1135" w:type="pct"/>
            <w:vAlign w:val="center"/>
          </w:tcPr>
          <w:p w:rsidR="004A3868" w:rsidRDefault="003F1AB5">
            <w:pPr>
              <w:pStyle w:val="afff7"/>
            </w:pPr>
            <w:r>
              <w:t>3,266,541.07</w:t>
            </w:r>
          </w:p>
        </w:tc>
        <w:tc>
          <w:tcPr>
            <w:tcW w:w="546" w:type="pct"/>
            <w:vAlign w:val="center"/>
          </w:tcPr>
          <w:p w:rsidR="004A3868" w:rsidRDefault="003F1AB5">
            <w:pPr>
              <w:pStyle w:val="afff7"/>
            </w:pPr>
            <w:r>
              <w:rPr>
                <w:rFonts w:hint="eastAsia"/>
              </w:rPr>
              <w:t>2</w:t>
            </w:r>
            <w:r>
              <w:t>2.85</w:t>
            </w:r>
          </w:p>
        </w:tc>
        <w:tc>
          <w:tcPr>
            <w:tcW w:w="554" w:type="pct"/>
          </w:tcPr>
          <w:p w:rsidR="004A3868" w:rsidRDefault="003F1AB5">
            <w:pPr>
              <w:pStyle w:val="afffb"/>
            </w:pPr>
            <w:r>
              <w:t>/</w:t>
            </w:r>
          </w:p>
        </w:tc>
        <w:tc>
          <w:tcPr>
            <w:tcW w:w="610" w:type="pct"/>
          </w:tcPr>
          <w:p w:rsidR="004A3868" w:rsidRDefault="003F1AB5">
            <w:pPr>
              <w:pStyle w:val="afffb"/>
            </w:pPr>
            <w:r>
              <w:t>/</w:t>
            </w:r>
          </w:p>
        </w:tc>
        <w:tc>
          <w:tcPr>
            <w:tcW w:w="1035" w:type="pct"/>
            <w:vAlign w:val="center"/>
          </w:tcPr>
          <w:p w:rsidR="004A3868" w:rsidRDefault="003F1AB5">
            <w:pPr>
              <w:pStyle w:val="afff7"/>
            </w:pPr>
            <w:r>
              <w:t>694,233.61</w:t>
            </w:r>
          </w:p>
        </w:tc>
      </w:tr>
    </w:tbl>
    <w:p w:rsidR="004A3868" w:rsidRDefault="003F1AB5">
      <w:pPr>
        <w:pStyle w:val="Style129"/>
      </w:pPr>
      <w:r>
        <w:t>因资金集中管理而列报于其他应收款</w:t>
      </w:r>
    </w:p>
    <w:sdt>
      <w:sdtPr>
        <w:alias w:val="是否适用：因资金集中管理而列报于其他应收款[双击切换]"/>
        <w:tag w:val="_GBC_b8da09aaaa6f41fc9a0da9e70575d260"/>
        <w:id w:val="1423833977"/>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4"/>
      </w:pPr>
      <w:r>
        <w:rPr>
          <w:rFonts w:hint="eastAsia"/>
        </w:rPr>
        <w:t>其他</w:t>
      </w:r>
      <w:r>
        <w:t>说明：</w:t>
      </w:r>
    </w:p>
    <w:sdt>
      <w:sdtPr>
        <w:rPr>
          <w:rFonts w:hint="eastAsia"/>
          <w:sz w:val="21"/>
          <w:szCs w:val="21"/>
        </w:rPr>
        <w:alias w:val="是否适用：其他应收款的其他说明[双击切换]"/>
        <w:tag w:val="_GBC_f19370687b664bbeafd6d2809311f81e"/>
        <w:id w:val="-131123577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存货</w:t>
      </w:r>
    </w:p>
    <w:p w:rsidR="004A3868" w:rsidRDefault="003F1AB5">
      <w:pPr>
        <w:pStyle w:val="Style128"/>
        <w:numPr>
          <w:ilvl w:val="3"/>
          <w:numId w:val="71"/>
        </w:numPr>
      </w:pPr>
      <w:r>
        <w:rPr>
          <w:rFonts w:hint="eastAsia"/>
        </w:rPr>
        <w:t>存货分类</w:t>
      </w:r>
    </w:p>
    <w:bookmarkStart w:id="170" w:name="_Hlk24116366" w:displacedByCustomXml="next"/>
    <w:bookmarkStart w:id="171" w:name="_Hlk532992451" w:displacedByCustomXml="next"/>
    <w:sdt>
      <w:sdtPr>
        <w:alias w:val="是否适用：存货分类[双击切换]"/>
        <w:tag w:val="_GBC_357bbe1b1f034d20ba175209243f1121"/>
        <w:id w:val="-66817326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财务附注：存货分类"/>
          <w:tag w:val="_GBC_d8d041ff281d42b2825673de12d9cf99"/>
          <w:id w:val="-9786833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存货分类"/>
          <w:tag w:val="_GBC_dfe02fee4d9a4b77b46c5afad867d464"/>
          <w:id w:val="13742692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3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704"/>
        <w:gridCol w:w="1430"/>
        <w:gridCol w:w="1262"/>
        <w:gridCol w:w="1379"/>
        <w:gridCol w:w="1384"/>
        <w:gridCol w:w="1262"/>
        <w:gridCol w:w="1464"/>
      </w:tblGrid>
      <w:tr w:rsidR="004A3868">
        <w:trPr>
          <w:cantSplit/>
          <w:trHeight w:val="397"/>
          <w:jc w:val="center"/>
        </w:trPr>
        <w:sdt>
          <w:sdtPr>
            <w:tag w:val="_PLD_c7ef81863f9f475b86b8ee43ac7e9274"/>
            <w:id w:val="-351794215"/>
          </w:sdtPr>
          <w:sdtEndPr/>
          <w:sdtContent>
            <w:tc>
              <w:tcPr>
                <w:tcW w:w="396" w:type="pct"/>
                <w:vMerge w:val="restart"/>
                <w:vAlign w:val="center"/>
              </w:tcPr>
              <w:p w:rsidR="004A3868" w:rsidRDefault="003F1AB5">
                <w:pPr>
                  <w:pStyle w:val="afffb"/>
                </w:pPr>
                <w:r>
                  <w:rPr>
                    <w:rFonts w:hint="eastAsia"/>
                  </w:rPr>
                  <w:t>项目</w:t>
                </w:r>
              </w:p>
            </w:tc>
          </w:sdtContent>
        </w:sdt>
        <w:sdt>
          <w:sdtPr>
            <w:tag w:val="_PLD_68fbd4316a69442d924038f565882f99"/>
            <w:id w:val="-587616866"/>
          </w:sdtPr>
          <w:sdtEndPr/>
          <w:sdtContent>
            <w:tc>
              <w:tcPr>
                <w:tcW w:w="2291" w:type="pct"/>
                <w:gridSpan w:val="3"/>
                <w:vAlign w:val="center"/>
              </w:tcPr>
              <w:p w:rsidR="004A3868" w:rsidRDefault="003F1AB5">
                <w:pPr>
                  <w:pStyle w:val="afffb"/>
                </w:pPr>
                <w:r>
                  <w:rPr>
                    <w:rFonts w:hint="eastAsia"/>
                  </w:rPr>
                  <w:t>期末余额</w:t>
                </w:r>
              </w:p>
            </w:tc>
          </w:sdtContent>
        </w:sdt>
        <w:sdt>
          <w:sdtPr>
            <w:tag w:val="_PLD_39f6313de32c45ce95b6a2ef18238d4a"/>
            <w:id w:val="-237627360"/>
          </w:sdtPr>
          <w:sdtEndPr/>
          <w:sdtContent>
            <w:tc>
              <w:tcPr>
                <w:tcW w:w="2313" w:type="pct"/>
                <w:gridSpan w:val="3"/>
                <w:vAlign w:val="center"/>
              </w:tcPr>
              <w:p w:rsidR="004A3868" w:rsidRDefault="003F1AB5">
                <w:pPr>
                  <w:pStyle w:val="afffb"/>
                </w:pPr>
                <w:r>
                  <w:rPr>
                    <w:rFonts w:hint="eastAsia"/>
                  </w:rPr>
                  <w:t>期初余额</w:t>
                </w:r>
              </w:p>
            </w:tc>
          </w:sdtContent>
        </w:sdt>
      </w:tr>
      <w:tr w:rsidR="004A3868">
        <w:trPr>
          <w:cantSplit/>
          <w:trHeight w:val="397"/>
          <w:jc w:val="center"/>
        </w:trPr>
        <w:tc>
          <w:tcPr>
            <w:tcW w:w="396" w:type="pct"/>
            <w:vMerge/>
            <w:vAlign w:val="center"/>
          </w:tcPr>
          <w:p w:rsidR="004A3868" w:rsidRDefault="004A3868">
            <w:pPr>
              <w:pStyle w:val="afffb"/>
            </w:pPr>
          </w:p>
        </w:tc>
        <w:sdt>
          <w:sdtPr>
            <w:tag w:val="_PLD_73436d894fc444d5b519a3b75a689324"/>
            <w:id w:val="-883866538"/>
          </w:sdtPr>
          <w:sdtEndPr/>
          <w:sdtContent>
            <w:tc>
              <w:tcPr>
                <w:tcW w:w="805" w:type="pct"/>
                <w:vAlign w:val="center"/>
              </w:tcPr>
              <w:p w:rsidR="004A3868" w:rsidRDefault="003F1AB5">
                <w:pPr>
                  <w:pStyle w:val="afffb"/>
                </w:pPr>
                <w:r>
                  <w:rPr>
                    <w:rFonts w:hint="eastAsia"/>
                  </w:rPr>
                  <w:t>账面余额</w:t>
                </w:r>
              </w:p>
            </w:tc>
          </w:sdtContent>
        </w:sdt>
        <w:tc>
          <w:tcPr>
            <w:tcW w:w="710" w:type="pct"/>
            <w:vAlign w:val="center"/>
          </w:tcPr>
          <w:p w:rsidR="004A3868" w:rsidRDefault="00B34370">
            <w:pPr>
              <w:pStyle w:val="afffb"/>
            </w:pPr>
            <w:sdt>
              <w:sdtPr>
                <w:tag w:val="_PLD_09cd496fa8624ad4a9538b5b209e6d5a"/>
                <w:id w:val="-143431655"/>
              </w:sdtPr>
              <w:sdtEndPr/>
              <w:sdtContent>
                <w:r w:rsidR="003F1AB5">
                  <w:rPr>
                    <w:rFonts w:hint="eastAsia"/>
                  </w:rPr>
                  <w:t>存货跌价准备</w:t>
                </w:r>
                <w:r w:rsidR="003F1AB5">
                  <w:t>/合同履约成本减值准备</w:t>
                </w:r>
              </w:sdtContent>
            </w:sdt>
          </w:p>
        </w:tc>
        <w:sdt>
          <w:sdtPr>
            <w:tag w:val="_PLD_2c7532c412cf491899c310ef9902157e"/>
            <w:id w:val="-761923669"/>
          </w:sdtPr>
          <w:sdtEndPr/>
          <w:sdtContent>
            <w:tc>
              <w:tcPr>
                <w:tcW w:w="775" w:type="pct"/>
                <w:vAlign w:val="center"/>
              </w:tcPr>
              <w:p w:rsidR="004A3868" w:rsidRDefault="003F1AB5">
                <w:pPr>
                  <w:pStyle w:val="afffb"/>
                </w:pPr>
                <w:r>
                  <w:rPr>
                    <w:rFonts w:hint="eastAsia"/>
                  </w:rPr>
                  <w:t>账面价值</w:t>
                </w:r>
              </w:p>
            </w:tc>
          </w:sdtContent>
        </w:sdt>
        <w:sdt>
          <w:sdtPr>
            <w:tag w:val="_PLD_6c2924a6d3da466f96c5c2e2f2d81de1"/>
            <w:id w:val="-810247798"/>
          </w:sdtPr>
          <w:sdtEndPr/>
          <w:sdtContent>
            <w:tc>
              <w:tcPr>
                <w:tcW w:w="779" w:type="pct"/>
                <w:vAlign w:val="center"/>
              </w:tcPr>
              <w:p w:rsidR="004A3868" w:rsidRDefault="003F1AB5">
                <w:pPr>
                  <w:pStyle w:val="afffb"/>
                </w:pPr>
                <w:r>
                  <w:rPr>
                    <w:rFonts w:hint="eastAsia"/>
                  </w:rPr>
                  <w:t>账面余额</w:t>
                </w:r>
              </w:p>
            </w:tc>
          </w:sdtContent>
        </w:sdt>
        <w:tc>
          <w:tcPr>
            <w:tcW w:w="710" w:type="pct"/>
            <w:vAlign w:val="center"/>
          </w:tcPr>
          <w:p w:rsidR="004A3868" w:rsidRDefault="00B34370">
            <w:pPr>
              <w:pStyle w:val="afffb"/>
            </w:pPr>
            <w:sdt>
              <w:sdtPr>
                <w:tag w:val="_PLD_e5df78ba36d146dfb7eedab7ddd98031"/>
                <w:id w:val="-1646659634"/>
              </w:sdtPr>
              <w:sdtEndPr/>
              <w:sdtContent>
                <w:r w:rsidR="003F1AB5">
                  <w:rPr>
                    <w:rFonts w:hint="eastAsia"/>
                  </w:rPr>
                  <w:t>存货跌价准备</w:t>
                </w:r>
                <w:r w:rsidR="003F1AB5">
                  <w:t>/合同履约成本减值准备</w:t>
                </w:r>
              </w:sdtContent>
            </w:sdt>
          </w:p>
        </w:tc>
        <w:sdt>
          <w:sdtPr>
            <w:tag w:val="_PLD_ba07e513b5504e03b2dcef7d8421fa16"/>
            <w:id w:val="408583437"/>
          </w:sdtPr>
          <w:sdtEndPr/>
          <w:sdtContent>
            <w:tc>
              <w:tcPr>
                <w:tcW w:w="823" w:type="pct"/>
                <w:vAlign w:val="center"/>
              </w:tcPr>
              <w:p w:rsidR="004A3868" w:rsidRDefault="003F1AB5">
                <w:pPr>
                  <w:pStyle w:val="afffb"/>
                </w:pPr>
                <w:r>
                  <w:rPr>
                    <w:rFonts w:hint="eastAsia"/>
                  </w:rPr>
                  <w:t>账面价值</w:t>
                </w:r>
              </w:p>
            </w:tc>
          </w:sdtContent>
        </w:sdt>
      </w:tr>
      <w:tr w:rsidR="004A3868">
        <w:trPr>
          <w:cantSplit/>
          <w:trHeight w:val="397"/>
          <w:jc w:val="center"/>
        </w:trPr>
        <w:tc>
          <w:tcPr>
            <w:tcW w:w="396" w:type="pct"/>
            <w:vAlign w:val="center"/>
          </w:tcPr>
          <w:p w:rsidR="004A3868" w:rsidRDefault="003F1AB5">
            <w:pPr>
              <w:pStyle w:val="afff9"/>
            </w:pPr>
            <w:r>
              <w:rPr>
                <w:rFonts w:hint="eastAsia"/>
              </w:rPr>
              <w:t>原材料</w:t>
            </w:r>
          </w:p>
        </w:tc>
        <w:tc>
          <w:tcPr>
            <w:tcW w:w="805" w:type="pct"/>
            <w:vAlign w:val="center"/>
          </w:tcPr>
          <w:p w:rsidR="004A3868" w:rsidRDefault="003F1AB5">
            <w:pPr>
              <w:pStyle w:val="afff7"/>
            </w:pPr>
            <w:r>
              <w:t>112,410,302.17</w:t>
            </w:r>
          </w:p>
        </w:tc>
        <w:tc>
          <w:tcPr>
            <w:tcW w:w="710" w:type="pct"/>
            <w:vAlign w:val="center"/>
          </w:tcPr>
          <w:p w:rsidR="004A3868" w:rsidRDefault="003F1AB5">
            <w:pPr>
              <w:pStyle w:val="afff7"/>
            </w:pPr>
            <w:r>
              <w:t>2,472,464.71</w:t>
            </w:r>
          </w:p>
        </w:tc>
        <w:tc>
          <w:tcPr>
            <w:tcW w:w="775" w:type="pct"/>
            <w:vAlign w:val="center"/>
          </w:tcPr>
          <w:p w:rsidR="004A3868" w:rsidRDefault="003F1AB5">
            <w:pPr>
              <w:pStyle w:val="afff7"/>
            </w:pPr>
            <w:r>
              <w:t>109,937,837.46</w:t>
            </w:r>
          </w:p>
        </w:tc>
        <w:tc>
          <w:tcPr>
            <w:tcW w:w="779" w:type="pct"/>
            <w:vAlign w:val="center"/>
          </w:tcPr>
          <w:p w:rsidR="004A3868" w:rsidRDefault="003F1AB5">
            <w:pPr>
              <w:pStyle w:val="afff7"/>
            </w:pPr>
            <w:r>
              <w:t>146,688,193.38</w:t>
            </w:r>
          </w:p>
        </w:tc>
        <w:tc>
          <w:tcPr>
            <w:tcW w:w="710" w:type="pct"/>
            <w:vAlign w:val="center"/>
          </w:tcPr>
          <w:p w:rsidR="004A3868" w:rsidRDefault="003F1AB5">
            <w:pPr>
              <w:pStyle w:val="afff7"/>
            </w:pPr>
            <w:r>
              <w:t>2,792,973.45</w:t>
            </w:r>
          </w:p>
        </w:tc>
        <w:tc>
          <w:tcPr>
            <w:tcW w:w="823" w:type="pct"/>
            <w:vAlign w:val="center"/>
          </w:tcPr>
          <w:p w:rsidR="004A3868" w:rsidRDefault="003F1AB5">
            <w:pPr>
              <w:pStyle w:val="afff7"/>
            </w:pPr>
            <w:r>
              <w:t>143,895,219.93</w:t>
            </w:r>
          </w:p>
        </w:tc>
      </w:tr>
      <w:tr w:rsidR="004A3868">
        <w:trPr>
          <w:cantSplit/>
          <w:trHeight w:val="397"/>
          <w:jc w:val="center"/>
        </w:trPr>
        <w:tc>
          <w:tcPr>
            <w:tcW w:w="396" w:type="pct"/>
            <w:vAlign w:val="center"/>
          </w:tcPr>
          <w:p w:rsidR="004A3868" w:rsidRDefault="003F1AB5">
            <w:pPr>
              <w:pStyle w:val="afff9"/>
            </w:pPr>
            <w:r>
              <w:rPr>
                <w:rFonts w:hint="eastAsia"/>
              </w:rPr>
              <w:t>在产品</w:t>
            </w:r>
          </w:p>
        </w:tc>
        <w:tc>
          <w:tcPr>
            <w:tcW w:w="805" w:type="pct"/>
            <w:vAlign w:val="center"/>
          </w:tcPr>
          <w:p w:rsidR="004A3868" w:rsidRDefault="003F1AB5">
            <w:pPr>
              <w:pStyle w:val="afff7"/>
            </w:pPr>
            <w:r>
              <w:t>124,726,439.43</w:t>
            </w:r>
          </w:p>
        </w:tc>
        <w:tc>
          <w:tcPr>
            <w:tcW w:w="710" w:type="pct"/>
            <w:vAlign w:val="center"/>
          </w:tcPr>
          <w:p w:rsidR="004A3868" w:rsidRDefault="004A3868">
            <w:pPr>
              <w:pStyle w:val="afff7"/>
            </w:pPr>
          </w:p>
        </w:tc>
        <w:tc>
          <w:tcPr>
            <w:tcW w:w="775" w:type="pct"/>
            <w:vAlign w:val="center"/>
          </w:tcPr>
          <w:p w:rsidR="004A3868" w:rsidRDefault="003F1AB5">
            <w:pPr>
              <w:pStyle w:val="afff7"/>
            </w:pPr>
            <w:r>
              <w:t>124,726,439.43</w:t>
            </w:r>
          </w:p>
        </w:tc>
        <w:tc>
          <w:tcPr>
            <w:tcW w:w="779" w:type="pct"/>
            <w:vAlign w:val="center"/>
          </w:tcPr>
          <w:p w:rsidR="004A3868" w:rsidRDefault="003F1AB5">
            <w:pPr>
              <w:pStyle w:val="afff7"/>
            </w:pPr>
            <w:r>
              <w:t>146,858,156.19</w:t>
            </w:r>
          </w:p>
        </w:tc>
        <w:tc>
          <w:tcPr>
            <w:tcW w:w="710" w:type="pct"/>
            <w:vAlign w:val="center"/>
          </w:tcPr>
          <w:p w:rsidR="004A3868" w:rsidRDefault="004A3868">
            <w:pPr>
              <w:pStyle w:val="afff7"/>
            </w:pPr>
          </w:p>
        </w:tc>
        <w:tc>
          <w:tcPr>
            <w:tcW w:w="823" w:type="pct"/>
            <w:vAlign w:val="center"/>
          </w:tcPr>
          <w:p w:rsidR="004A3868" w:rsidRDefault="003F1AB5">
            <w:pPr>
              <w:pStyle w:val="afff7"/>
            </w:pPr>
            <w:r>
              <w:t>146,858,156.19</w:t>
            </w:r>
          </w:p>
        </w:tc>
      </w:tr>
      <w:tr w:rsidR="004A3868">
        <w:trPr>
          <w:cantSplit/>
          <w:trHeight w:val="397"/>
          <w:jc w:val="center"/>
        </w:trPr>
        <w:tc>
          <w:tcPr>
            <w:tcW w:w="396" w:type="pct"/>
            <w:vAlign w:val="center"/>
          </w:tcPr>
          <w:p w:rsidR="004A3868" w:rsidRDefault="003F1AB5">
            <w:pPr>
              <w:pStyle w:val="afff9"/>
            </w:pPr>
            <w:r>
              <w:rPr>
                <w:rFonts w:hint="eastAsia"/>
              </w:rPr>
              <w:t>库存商品</w:t>
            </w:r>
          </w:p>
        </w:tc>
        <w:tc>
          <w:tcPr>
            <w:tcW w:w="805" w:type="pct"/>
            <w:vAlign w:val="center"/>
          </w:tcPr>
          <w:p w:rsidR="004A3868" w:rsidRDefault="003F1AB5">
            <w:pPr>
              <w:pStyle w:val="afff7"/>
            </w:pPr>
            <w:r>
              <w:t>191,808,551.68</w:t>
            </w:r>
          </w:p>
        </w:tc>
        <w:tc>
          <w:tcPr>
            <w:tcW w:w="710" w:type="pct"/>
            <w:vAlign w:val="center"/>
          </w:tcPr>
          <w:p w:rsidR="004A3868" w:rsidRDefault="003F1AB5">
            <w:pPr>
              <w:pStyle w:val="afff7"/>
            </w:pPr>
            <w:r>
              <w:t>3,284,276.26</w:t>
            </w:r>
          </w:p>
        </w:tc>
        <w:tc>
          <w:tcPr>
            <w:tcW w:w="775" w:type="pct"/>
            <w:vAlign w:val="center"/>
          </w:tcPr>
          <w:p w:rsidR="004A3868" w:rsidRDefault="003F1AB5">
            <w:pPr>
              <w:pStyle w:val="afff7"/>
            </w:pPr>
            <w:r>
              <w:t>188,524,275.42</w:t>
            </w:r>
          </w:p>
        </w:tc>
        <w:tc>
          <w:tcPr>
            <w:tcW w:w="779" w:type="pct"/>
            <w:vAlign w:val="center"/>
          </w:tcPr>
          <w:p w:rsidR="004A3868" w:rsidRDefault="003F1AB5">
            <w:pPr>
              <w:pStyle w:val="afff7"/>
            </w:pPr>
            <w:r>
              <w:t>123,888,963.32</w:t>
            </w:r>
          </w:p>
        </w:tc>
        <w:tc>
          <w:tcPr>
            <w:tcW w:w="710" w:type="pct"/>
            <w:vAlign w:val="center"/>
          </w:tcPr>
          <w:p w:rsidR="004A3868" w:rsidRDefault="003F1AB5">
            <w:pPr>
              <w:pStyle w:val="afff7"/>
            </w:pPr>
            <w:r>
              <w:t>4,052,745.15</w:t>
            </w:r>
          </w:p>
        </w:tc>
        <w:tc>
          <w:tcPr>
            <w:tcW w:w="823" w:type="pct"/>
            <w:vAlign w:val="center"/>
          </w:tcPr>
          <w:p w:rsidR="004A3868" w:rsidRDefault="003F1AB5">
            <w:pPr>
              <w:pStyle w:val="afff7"/>
            </w:pPr>
            <w:r>
              <w:t>119,836,218.17</w:t>
            </w:r>
          </w:p>
        </w:tc>
      </w:tr>
      <w:tr w:rsidR="004A3868">
        <w:trPr>
          <w:cantSplit/>
          <w:trHeight w:val="397"/>
          <w:jc w:val="center"/>
        </w:trPr>
        <w:tc>
          <w:tcPr>
            <w:tcW w:w="396" w:type="pct"/>
            <w:vAlign w:val="center"/>
          </w:tcPr>
          <w:p w:rsidR="004A3868" w:rsidRDefault="003F1AB5">
            <w:pPr>
              <w:pStyle w:val="afff9"/>
            </w:pPr>
            <w:r>
              <w:rPr>
                <w:rFonts w:hint="eastAsia"/>
              </w:rPr>
              <w:t>发出商品</w:t>
            </w:r>
          </w:p>
        </w:tc>
        <w:tc>
          <w:tcPr>
            <w:tcW w:w="805" w:type="pct"/>
            <w:vAlign w:val="center"/>
          </w:tcPr>
          <w:p w:rsidR="004A3868" w:rsidRDefault="003F1AB5">
            <w:pPr>
              <w:pStyle w:val="afff7"/>
            </w:pPr>
            <w:r>
              <w:t>85,882,886.19</w:t>
            </w:r>
          </w:p>
        </w:tc>
        <w:tc>
          <w:tcPr>
            <w:tcW w:w="710" w:type="pct"/>
            <w:vAlign w:val="center"/>
          </w:tcPr>
          <w:p w:rsidR="004A3868" w:rsidRDefault="004A3868">
            <w:pPr>
              <w:pStyle w:val="afff7"/>
            </w:pPr>
          </w:p>
        </w:tc>
        <w:tc>
          <w:tcPr>
            <w:tcW w:w="775" w:type="pct"/>
            <w:vAlign w:val="center"/>
          </w:tcPr>
          <w:p w:rsidR="004A3868" w:rsidRDefault="003F1AB5">
            <w:pPr>
              <w:pStyle w:val="afff7"/>
            </w:pPr>
            <w:r>
              <w:t>85,882,886.19</w:t>
            </w:r>
          </w:p>
        </w:tc>
        <w:tc>
          <w:tcPr>
            <w:tcW w:w="779" w:type="pct"/>
            <w:vAlign w:val="center"/>
          </w:tcPr>
          <w:p w:rsidR="004A3868" w:rsidRDefault="003F1AB5">
            <w:pPr>
              <w:pStyle w:val="afff7"/>
            </w:pPr>
            <w:r>
              <w:t>33,662,139.67</w:t>
            </w:r>
          </w:p>
        </w:tc>
        <w:tc>
          <w:tcPr>
            <w:tcW w:w="710" w:type="pct"/>
            <w:vAlign w:val="center"/>
          </w:tcPr>
          <w:p w:rsidR="004A3868" w:rsidRDefault="003F1AB5">
            <w:pPr>
              <w:pStyle w:val="afff7"/>
            </w:pPr>
            <w:r>
              <w:t>60,530.81</w:t>
            </w:r>
          </w:p>
        </w:tc>
        <w:tc>
          <w:tcPr>
            <w:tcW w:w="823" w:type="pct"/>
            <w:vAlign w:val="center"/>
          </w:tcPr>
          <w:p w:rsidR="004A3868" w:rsidRDefault="003F1AB5">
            <w:pPr>
              <w:pStyle w:val="afff7"/>
            </w:pPr>
            <w:r>
              <w:t>33,601,608.86</w:t>
            </w:r>
          </w:p>
        </w:tc>
      </w:tr>
      <w:tr w:rsidR="004A3868">
        <w:trPr>
          <w:cantSplit/>
          <w:trHeight w:val="397"/>
          <w:jc w:val="center"/>
        </w:trPr>
        <w:tc>
          <w:tcPr>
            <w:tcW w:w="396" w:type="pct"/>
            <w:vAlign w:val="center"/>
          </w:tcPr>
          <w:p w:rsidR="004A3868" w:rsidRDefault="003F1AB5">
            <w:pPr>
              <w:pStyle w:val="afff9"/>
            </w:pPr>
            <w:r>
              <w:rPr>
                <w:rFonts w:hint="eastAsia"/>
              </w:rPr>
              <w:t>委托加工物资</w:t>
            </w:r>
          </w:p>
        </w:tc>
        <w:tc>
          <w:tcPr>
            <w:tcW w:w="805" w:type="pct"/>
            <w:vAlign w:val="center"/>
          </w:tcPr>
          <w:p w:rsidR="004A3868" w:rsidRDefault="004A3868">
            <w:pPr>
              <w:pStyle w:val="afff7"/>
            </w:pPr>
          </w:p>
        </w:tc>
        <w:tc>
          <w:tcPr>
            <w:tcW w:w="710" w:type="pct"/>
            <w:vAlign w:val="center"/>
          </w:tcPr>
          <w:p w:rsidR="004A3868" w:rsidRDefault="004A3868">
            <w:pPr>
              <w:pStyle w:val="afff7"/>
            </w:pPr>
          </w:p>
        </w:tc>
        <w:tc>
          <w:tcPr>
            <w:tcW w:w="775" w:type="pct"/>
            <w:vAlign w:val="center"/>
          </w:tcPr>
          <w:p w:rsidR="004A3868" w:rsidRDefault="004A3868">
            <w:pPr>
              <w:pStyle w:val="afff7"/>
            </w:pPr>
          </w:p>
        </w:tc>
        <w:tc>
          <w:tcPr>
            <w:tcW w:w="779" w:type="pct"/>
            <w:vAlign w:val="center"/>
          </w:tcPr>
          <w:p w:rsidR="004A3868" w:rsidRDefault="003F1AB5">
            <w:pPr>
              <w:pStyle w:val="afff7"/>
            </w:pPr>
            <w:r>
              <w:t>1,808,081.57</w:t>
            </w:r>
          </w:p>
        </w:tc>
        <w:tc>
          <w:tcPr>
            <w:tcW w:w="710" w:type="pct"/>
            <w:vAlign w:val="center"/>
          </w:tcPr>
          <w:p w:rsidR="004A3868" w:rsidRDefault="004A3868">
            <w:pPr>
              <w:pStyle w:val="afff7"/>
            </w:pPr>
          </w:p>
        </w:tc>
        <w:tc>
          <w:tcPr>
            <w:tcW w:w="823" w:type="pct"/>
            <w:vAlign w:val="center"/>
          </w:tcPr>
          <w:p w:rsidR="004A3868" w:rsidRDefault="003F1AB5">
            <w:pPr>
              <w:pStyle w:val="afff7"/>
            </w:pPr>
            <w:r>
              <w:t>1,808,081.57</w:t>
            </w:r>
          </w:p>
        </w:tc>
      </w:tr>
      <w:tr w:rsidR="004A3868">
        <w:trPr>
          <w:cantSplit/>
          <w:trHeight w:val="397"/>
          <w:jc w:val="center"/>
        </w:trPr>
        <w:tc>
          <w:tcPr>
            <w:tcW w:w="396" w:type="pct"/>
            <w:vAlign w:val="center"/>
          </w:tcPr>
          <w:p w:rsidR="004A3868" w:rsidRDefault="003F1AB5">
            <w:pPr>
              <w:pStyle w:val="afff9"/>
            </w:pPr>
            <w:r>
              <w:rPr>
                <w:rFonts w:hint="eastAsia"/>
              </w:rPr>
              <w:t>合计</w:t>
            </w:r>
          </w:p>
        </w:tc>
        <w:tc>
          <w:tcPr>
            <w:tcW w:w="805" w:type="pct"/>
            <w:vAlign w:val="center"/>
          </w:tcPr>
          <w:p w:rsidR="004A3868" w:rsidRDefault="003F1AB5">
            <w:pPr>
              <w:pStyle w:val="afff7"/>
            </w:pPr>
            <w:r>
              <w:t>514,828,179.47</w:t>
            </w:r>
          </w:p>
        </w:tc>
        <w:tc>
          <w:tcPr>
            <w:tcW w:w="710" w:type="pct"/>
            <w:vAlign w:val="center"/>
          </w:tcPr>
          <w:p w:rsidR="004A3868" w:rsidRDefault="003F1AB5">
            <w:pPr>
              <w:pStyle w:val="afff7"/>
            </w:pPr>
            <w:r>
              <w:t>5,756,740.97</w:t>
            </w:r>
          </w:p>
        </w:tc>
        <w:tc>
          <w:tcPr>
            <w:tcW w:w="775" w:type="pct"/>
            <w:vAlign w:val="center"/>
          </w:tcPr>
          <w:p w:rsidR="004A3868" w:rsidRDefault="003F1AB5">
            <w:pPr>
              <w:pStyle w:val="afff7"/>
            </w:pPr>
            <w:r>
              <w:t>509,071,438.50</w:t>
            </w:r>
          </w:p>
        </w:tc>
        <w:tc>
          <w:tcPr>
            <w:tcW w:w="779" w:type="pct"/>
            <w:vAlign w:val="center"/>
          </w:tcPr>
          <w:p w:rsidR="004A3868" w:rsidRDefault="003F1AB5">
            <w:pPr>
              <w:pStyle w:val="afff7"/>
            </w:pPr>
            <w:r>
              <w:t>452,905,534.13</w:t>
            </w:r>
          </w:p>
        </w:tc>
        <w:tc>
          <w:tcPr>
            <w:tcW w:w="710" w:type="pct"/>
            <w:vAlign w:val="center"/>
          </w:tcPr>
          <w:p w:rsidR="004A3868" w:rsidRDefault="003F1AB5">
            <w:pPr>
              <w:pStyle w:val="afff7"/>
            </w:pPr>
            <w:r>
              <w:t>6,906,249.41</w:t>
            </w:r>
          </w:p>
        </w:tc>
        <w:tc>
          <w:tcPr>
            <w:tcW w:w="823" w:type="pct"/>
            <w:vAlign w:val="center"/>
          </w:tcPr>
          <w:p w:rsidR="004A3868" w:rsidRDefault="003F1AB5">
            <w:pPr>
              <w:pStyle w:val="afff7"/>
            </w:pPr>
            <w:r>
              <w:t>445,999,284.72</w:t>
            </w:r>
          </w:p>
        </w:tc>
      </w:tr>
      <w:bookmarkEnd w:id="171"/>
      <w:bookmarkEnd w:id="170"/>
    </w:tbl>
    <w:p w:rsidR="004A3868" w:rsidRDefault="004A3868">
      <w:pPr>
        <w:pStyle w:val="Style842"/>
      </w:pPr>
    </w:p>
    <w:bookmarkStart w:id="172" w:name="_Hlk533079150" w:displacedByCustomXml="next"/>
    <w:sdt>
      <w:sdtPr>
        <w:tag w:val="_PLD_b03e65bc536a43eab5570263a106c71d"/>
        <w:id w:val="-1105567456"/>
        <w:placeholder>
          <w:docPart w:val="GBC22222222222222222222222222222"/>
        </w:placeholder>
      </w:sdtPr>
      <w:sdtEndPr/>
      <w:sdtContent>
        <w:p w:rsidR="004A3868" w:rsidRDefault="003F1AB5">
          <w:pPr>
            <w:pStyle w:val="Style128"/>
            <w:numPr>
              <w:ilvl w:val="3"/>
              <w:numId w:val="71"/>
            </w:numPr>
          </w:pPr>
          <w:r>
            <w:t>存货跌价准备及合同履约成本减值准备</w:t>
          </w:r>
        </w:p>
      </w:sdtContent>
    </w:sdt>
    <w:sdt>
      <w:sdtPr>
        <w:alias w:val="是否适用：存货跌价准备[双击切换]"/>
        <w:tag w:val="_GBC_c61866b530ae491eb21bee1edd36619e"/>
        <w:id w:val="134736823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Style w:val="Char20"/>
          <w:rFonts w:hint="eastAsia"/>
        </w:rPr>
        <w:lastRenderedPageBreak/>
        <w:t>单位：</w:t>
      </w:r>
      <w:sdt>
        <w:sdtPr>
          <w:rPr>
            <w:rStyle w:val="Char20"/>
            <w:rFonts w:hint="eastAsia"/>
          </w:rPr>
          <w:alias w:val="单位：存货跌价准备"/>
          <w:tag w:val="_GBC_2d3e3a5e2ff44ef3bbef756054f246f3"/>
          <w:id w:val="20861843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存货跌价准备"/>
          <w:tag w:val="_GBC_c51bd05fe51f4b609e7e1904eb064d34"/>
          <w:id w:val="-16495055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85"/>
        <w:gridCol w:w="1562"/>
        <w:gridCol w:w="1560"/>
        <w:gridCol w:w="741"/>
        <w:gridCol w:w="1669"/>
        <w:gridCol w:w="1018"/>
        <w:gridCol w:w="1288"/>
      </w:tblGrid>
      <w:tr w:rsidR="004A3868">
        <w:trPr>
          <w:trHeight w:val="397"/>
          <w:jc w:val="center"/>
        </w:trPr>
        <w:bookmarkEnd w:id="172" w:displacedByCustomXml="next"/>
        <w:sdt>
          <w:sdtPr>
            <w:tag w:val="_PLD_4ac7cc4fa4994c1db43ed3b367defc13"/>
            <w:id w:val="1684005893"/>
            <w:lock w:val="sdtLocked"/>
          </w:sdtPr>
          <w:sdtEndPr/>
          <w:sdtContent>
            <w:tc>
              <w:tcPr>
                <w:tcW w:w="558" w:type="pct"/>
                <w:vMerge w:val="restar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项目</w:t>
                </w:r>
              </w:p>
            </w:tc>
          </w:sdtContent>
        </w:sdt>
        <w:sdt>
          <w:sdtPr>
            <w:tag w:val="_PLD_7a2e758257864908b13bf89a561f9b5a"/>
            <w:id w:val="241381270"/>
            <w:lock w:val="sdtLocked"/>
          </w:sdtPr>
          <w:sdtEndPr/>
          <w:sdtContent>
            <w:tc>
              <w:tcPr>
                <w:tcW w:w="885" w:type="pct"/>
                <w:vMerge w:val="restar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期初余额</w:t>
                </w:r>
              </w:p>
            </w:tc>
          </w:sdtContent>
        </w:sdt>
        <w:sdt>
          <w:sdtPr>
            <w:tag w:val="_PLD_d95d27d30a6440b5ba0d3798473f422e"/>
            <w:id w:val="-291747089"/>
            <w:lock w:val="sdtLocked"/>
          </w:sdtPr>
          <w:sdtEndPr/>
          <w:sdtContent>
            <w:tc>
              <w:tcPr>
                <w:tcW w:w="1304" w:type="pct"/>
                <w:gridSpan w:val="2"/>
                <w:tcBorders>
                  <w:top w:val="single" w:sz="4" w:space="0" w:color="auto"/>
                  <w:left w:val="single" w:sz="4" w:space="0" w:color="auto"/>
                  <w:right w:val="single" w:sz="4" w:space="0" w:color="auto"/>
                </w:tcBorders>
                <w:vAlign w:val="center"/>
              </w:tcPr>
              <w:p w:rsidR="004A3868" w:rsidRDefault="003F1AB5">
                <w:pPr>
                  <w:pStyle w:val="afffb"/>
                </w:pPr>
                <w:r>
                  <w:rPr>
                    <w:rFonts w:hint="eastAsia"/>
                  </w:rPr>
                  <w:t>本期增加金额</w:t>
                </w:r>
              </w:p>
            </w:tc>
          </w:sdtContent>
        </w:sdt>
        <w:sdt>
          <w:sdtPr>
            <w:tag w:val="_PLD_cb7d37811bf944e4a7bb31b4366efaeb"/>
            <w:id w:val="268439030"/>
            <w:lock w:val="sdtLocked"/>
          </w:sdtPr>
          <w:sdtEndPr/>
          <w:sdtContent>
            <w:tc>
              <w:tcPr>
                <w:tcW w:w="1523" w:type="pct"/>
                <w:gridSpan w:val="2"/>
                <w:tcBorders>
                  <w:top w:val="single" w:sz="4" w:space="0" w:color="auto"/>
                  <w:left w:val="single" w:sz="4" w:space="0" w:color="auto"/>
                  <w:right w:val="single" w:sz="4" w:space="0" w:color="auto"/>
                </w:tcBorders>
                <w:vAlign w:val="center"/>
              </w:tcPr>
              <w:p w:rsidR="004A3868" w:rsidRDefault="003F1AB5">
                <w:pPr>
                  <w:pStyle w:val="afffb"/>
                </w:pPr>
                <w:r>
                  <w:rPr>
                    <w:rFonts w:hint="eastAsia"/>
                  </w:rPr>
                  <w:t>本期减少金额</w:t>
                </w:r>
              </w:p>
            </w:tc>
          </w:sdtContent>
        </w:sdt>
        <w:sdt>
          <w:sdtPr>
            <w:tag w:val="_PLD_b2523ee7f028451790c9f2ef6e216a59"/>
            <w:id w:val="-709427686"/>
            <w:lock w:val="sdtLocked"/>
          </w:sdtPr>
          <w:sdtEndPr/>
          <w:sdtContent>
            <w:tc>
              <w:tcPr>
                <w:tcW w:w="73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期末余额</w:t>
                </w:r>
              </w:p>
            </w:tc>
          </w:sdtContent>
        </w:sdt>
      </w:tr>
      <w:tr w:rsidR="004A3868">
        <w:trPr>
          <w:trHeight w:val="397"/>
          <w:jc w:val="center"/>
        </w:trPr>
        <w:tc>
          <w:tcPr>
            <w:tcW w:w="558" w:type="pct"/>
            <w:vMerge/>
            <w:tcBorders>
              <w:top w:val="single" w:sz="4" w:space="0" w:color="auto"/>
              <w:left w:val="single" w:sz="4" w:space="0" w:color="auto"/>
              <w:bottom w:val="single" w:sz="4" w:space="0" w:color="auto"/>
              <w:right w:val="single" w:sz="4" w:space="0" w:color="auto"/>
            </w:tcBorders>
            <w:vAlign w:val="center"/>
          </w:tcPr>
          <w:p w:rsidR="004A3868" w:rsidRDefault="004A3868">
            <w:pPr>
              <w:pStyle w:val="afffb"/>
            </w:pPr>
          </w:p>
        </w:tc>
        <w:tc>
          <w:tcPr>
            <w:tcW w:w="885" w:type="pct"/>
            <w:vMerge/>
            <w:tcBorders>
              <w:top w:val="single" w:sz="4" w:space="0" w:color="auto"/>
              <w:left w:val="single" w:sz="4" w:space="0" w:color="auto"/>
              <w:bottom w:val="single" w:sz="4" w:space="0" w:color="auto"/>
              <w:right w:val="single" w:sz="4" w:space="0" w:color="auto"/>
            </w:tcBorders>
            <w:vAlign w:val="center"/>
          </w:tcPr>
          <w:p w:rsidR="004A3868" w:rsidRDefault="004A3868">
            <w:pPr>
              <w:pStyle w:val="afffb"/>
            </w:pPr>
          </w:p>
        </w:tc>
        <w:sdt>
          <w:sdtPr>
            <w:tag w:val="_PLD_16a8dea59b924b23a28ea45988190955"/>
            <w:id w:val="-1988237695"/>
            <w:lock w:val="sdtLocked"/>
          </w:sdtPr>
          <w:sdtEndPr/>
          <w:sdtContent>
            <w:tc>
              <w:tcPr>
                <w:tcW w:w="884"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计提</w:t>
                </w:r>
              </w:p>
            </w:tc>
          </w:sdtContent>
        </w:sdt>
        <w:sdt>
          <w:sdtPr>
            <w:tag w:val="_PLD_621a418b64e54315a5981611a5504791"/>
            <w:id w:val="1554658030"/>
            <w:lock w:val="sdtLocked"/>
          </w:sdtPr>
          <w:sdtEndPr/>
          <w:sdtContent>
            <w:tc>
              <w:tcPr>
                <w:tcW w:w="420" w:type="pct"/>
                <w:tcBorders>
                  <w:left w:val="single" w:sz="4" w:space="0" w:color="auto"/>
                  <w:bottom w:val="single" w:sz="4" w:space="0" w:color="auto"/>
                  <w:right w:val="single" w:sz="4" w:space="0" w:color="auto"/>
                </w:tcBorders>
                <w:vAlign w:val="center"/>
              </w:tcPr>
              <w:p w:rsidR="004A3868" w:rsidRDefault="003F1AB5">
                <w:pPr>
                  <w:pStyle w:val="afffb"/>
                </w:pPr>
                <w:r>
                  <w:rPr>
                    <w:rFonts w:hint="eastAsia"/>
                  </w:rPr>
                  <w:t>其他</w:t>
                </w:r>
              </w:p>
            </w:tc>
          </w:sdtContent>
        </w:sdt>
        <w:sdt>
          <w:sdtPr>
            <w:tag w:val="_PLD_1928b16982a747c59a563fa4d086d9fc"/>
            <w:id w:val="315070283"/>
            <w:lock w:val="sdtLocked"/>
          </w:sdtPr>
          <w:sdtEndPr/>
          <w:sdtContent>
            <w:tc>
              <w:tcPr>
                <w:tcW w:w="94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转回或转销</w:t>
                </w:r>
              </w:p>
            </w:tc>
          </w:sdtContent>
        </w:sdt>
        <w:sdt>
          <w:sdtPr>
            <w:tag w:val="_PLD_1472e7afb261461b8468e1969b080fd5"/>
            <w:id w:val="-2023466336"/>
            <w:lock w:val="sdtLocked"/>
          </w:sdtPr>
          <w:sdtEndPr/>
          <w:sdtContent>
            <w:tc>
              <w:tcPr>
                <w:tcW w:w="57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其他</w:t>
                </w:r>
              </w:p>
            </w:tc>
          </w:sdtContent>
        </w:sdt>
        <w:tc>
          <w:tcPr>
            <w:tcW w:w="73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b"/>
            </w:pPr>
          </w:p>
        </w:tc>
      </w:tr>
      <w:tr w:rsidR="004A3868">
        <w:trPr>
          <w:trHeight w:val="397"/>
          <w:jc w:val="center"/>
        </w:trPr>
        <w:tc>
          <w:tcPr>
            <w:tcW w:w="55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原材料</w:t>
            </w:r>
          </w:p>
        </w:tc>
        <w:tc>
          <w:tcPr>
            <w:tcW w:w="88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2,792,973.45</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1,937,212.95</w:t>
            </w:r>
          </w:p>
        </w:tc>
        <w:tc>
          <w:tcPr>
            <w:tcW w:w="42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4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2,257,721.69</w:t>
            </w:r>
          </w:p>
        </w:tc>
        <w:tc>
          <w:tcPr>
            <w:tcW w:w="577"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73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2,472,464.71</w:t>
            </w:r>
          </w:p>
        </w:tc>
      </w:tr>
      <w:tr w:rsidR="004A3868">
        <w:trPr>
          <w:trHeight w:val="397"/>
          <w:jc w:val="center"/>
        </w:trPr>
        <w:tc>
          <w:tcPr>
            <w:tcW w:w="55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库存商品</w:t>
            </w:r>
          </w:p>
        </w:tc>
        <w:tc>
          <w:tcPr>
            <w:tcW w:w="88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4,052,745.15</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6,540,420.42</w:t>
            </w:r>
          </w:p>
        </w:tc>
        <w:tc>
          <w:tcPr>
            <w:tcW w:w="42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4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7,308,889.31</w:t>
            </w:r>
          </w:p>
        </w:tc>
        <w:tc>
          <w:tcPr>
            <w:tcW w:w="577" w:type="pct"/>
            <w:tcBorders>
              <w:top w:val="single" w:sz="4" w:space="0" w:color="auto"/>
              <w:left w:val="single" w:sz="4" w:space="0" w:color="auto"/>
              <w:right w:val="single" w:sz="4" w:space="0" w:color="auto"/>
            </w:tcBorders>
            <w:vAlign w:val="center"/>
          </w:tcPr>
          <w:p w:rsidR="004A3868" w:rsidRDefault="004A3868">
            <w:pPr>
              <w:pStyle w:val="afff7"/>
            </w:pPr>
          </w:p>
        </w:tc>
        <w:tc>
          <w:tcPr>
            <w:tcW w:w="73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3,284,276.26</w:t>
            </w:r>
          </w:p>
        </w:tc>
      </w:tr>
      <w:tr w:rsidR="004A3868">
        <w:trPr>
          <w:trHeight w:val="397"/>
          <w:jc w:val="center"/>
        </w:trPr>
        <w:tc>
          <w:tcPr>
            <w:tcW w:w="55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发出商品</w:t>
            </w:r>
          </w:p>
        </w:tc>
        <w:tc>
          <w:tcPr>
            <w:tcW w:w="88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60,530.81</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1,122,283.16</w:t>
            </w:r>
          </w:p>
        </w:tc>
        <w:tc>
          <w:tcPr>
            <w:tcW w:w="42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4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1,182,813.97</w:t>
            </w:r>
          </w:p>
        </w:tc>
        <w:tc>
          <w:tcPr>
            <w:tcW w:w="577" w:type="pct"/>
            <w:tcBorders>
              <w:left w:val="single" w:sz="4" w:space="0" w:color="auto"/>
              <w:right w:val="single" w:sz="4" w:space="0" w:color="auto"/>
            </w:tcBorders>
            <w:vAlign w:val="center"/>
          </w:tcPr>
          <w:p w:rsidR="004A3868" w:rsidRDefault="004A3868">
            <w:pPr>
              <w:pStyle w:val="afff7"/>
            </w:pPr>
          </w:p>
        </w:tc>
        <w:tc>
          <w:tcPr>
            <w:tcW w:w="73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55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合计</w:t>
            </w:r>
          </w:p>
        </w:tc>
        <w:tc>
          <w:tcPr>
            <w:tcW w:w="885"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6,906,249.41</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9,599,916.53</w:t>
            </w:r>
          </w:p>
        </w:tc>
        <w:tc>
          <w:tcPr>
            <w:tcW w:w="42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4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10,749,424.97</w:t>
            </w:r>
          </w:p>
        </w:tc>
        <w:tc>
          <w:tcPr>
            <w:tcW w:w="577" w:type="pct"/>
            <w:tcBorders>
              <w:left w:val="single" w:sz="4" w:space="0" w:color="auto"/>
              <w:bottom w:val="single" w:sz="4" w:space="0" w:color="auto"/>
              <w:right w:val="single" w:sz="4" w:space="0" w:color="auto"/>
            </w:tcBorders>
            <w:vAlign w:val="center"/>
          </w:tcPr>
          <w:p w:rsidR="004A3868" w:rsidRDefault="004A3868">
            <w:pPr>
              <w:pStyle w:val="afff7"/>
            </w:pPr>
          </w:p>
        </w:tc>
        <w:tc>
          <w:tcPr>
            <w:tcW w:w="73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5,756,740.97</w:t>
            </w:r>
          </w:p>
        </w:tc>
      </w:tr>
    </w:tbl>
    <w:p w:rsidR="004A3868" w:rsidRDefault="003F1AB5">
      <w:pPr>
        <w:rPr>
          <w:sz w:val="21"/>
          <w:szCs w:val="21"/>
        </w:rPr>
      </w:pPr>
      <w:r>
        <w:rPr>
          <w:sz w:val="21"/>
          <w:szCs w:val="21"/>
        </w:rPr>
        <w:t>本期转回或转销存货跌价准备的原因</w:t>
      </w:r>
    </w:p>
    <w:sdt>
      <w:sdtPr>
        <w:alias w:val="是否适用：本期转回或转销存货跌价准备的原因[双击切换]"/>
        <w:tag w:val="_GBC_91edca895f07450c8e82d2352caede25"/>
        <w:id w:val="11356318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本期转回或转销存货跌价准备的原因"/>
        <w:tag w:val="_GBC_fbdc95fc52944622930b173756172429"/>
        <w:id w:val="-19016855"/>
        <w:lock w:val="sdtLocked"/>
      </w:sdtPr>
      <w:sdtEndPr>
        <w:rPr>
          <w:sz w:val="21"/>
          <w:szCs w:val="21"/>
        </w:rPr>
      </w:sdtEndPr>
      <w:sdtContent>
        <w:p w:rsidR="004A3868" w:rsidRDefault="003F1AB5">
          <w:pPr>
            <w:rPr>
              <w:sz w:val="21"/>
              <w:szCs w:val="21"/>
            </w:rPr>
          </w:pPr>
          <w:r>
            <w:rPr>
              <w:rFonts w:hint="eastAsia"/>
              <w:sz w:val="21"/>
              <w:szCs w:val="21"/>
            </w:rPr>
            <w:t>公司对已计提存货跌价准备的存货，期后领料使用或对外销售时，转销相应的存货跌价准备。</w:t>
          </w:r>
        </w:p>
      </w:sdtContent>
    </w:sdt>
    <w:p w:rsidR="004A3868" w:rsidRDefault="003F1AB5">
      <w:pPr>
        <w:pStyle w:val="Style124"/>
      </w:pPr>
      <w:r>
        <w:rPr>
          <w:rFonts w:hint="eastAsia"/>
        </w:rPr>
        <w:t>按组合计提存货跌价准备</w:t>
      </w:r>
    </w:p>
    <w:sdt>
      <w:sdtPr>
        <w:alias w:val="是否适用：按组合计提存货跌价准备[双击切换]"/>
        <w:tag w:val="_GBC_7654282f8cf847d8a55f8274afb7a726"/>
        <w:id w:val="-65521993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按组合计提存货跌价准备的计提标准</w:t>
      </w:r>
    </w:p>
    <w:sdt>
      <w:sdtPr>
        <w:alias w:val="是否适用：按组合计提存货跌价准备的计提标准[双击切换]"/>
        <w:tag w:val="_GBC_5ff59a2951ec4f938d7af938cd197e63"/>
        <w:id w:val="-213762831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3"/>
          <w:numId w:val="71"/>
        </w:numPr>
      </w:pPr>
      <w:r>
        <w:rPr>
          <w:rFonts w:hint="eastAsia"/>
          <w:szCs w:val="21"/>
        </w:rPr>
        <w:t>存货期末余额含</w:t>
      </w:r>
      <w:r>
        <w:rPr>
          <w:rFonts w:hint="eastAsia"/>
        </w:rPr>
        <w:t>有的借款费用资本化金额及其计算标准和依据</w:t>
      </w:r>
    </w:p>
    <w:sdt>
      <w:sdtPr>
        <w:rPr>
          <w:rFonts w:hint="eastAsia"/>
        </w:rPr>
        <w:alias w:val="是否适用：存货期末余额含有借款费用资本化金额的说明[双击切换]"/>
        <w:tag w:val="_GBC_ff19f47f98f34678926b471a6f0d6b3f"/>
        <w:id w:val="71501166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3"/>
          <w:numId w:val="71"/>
        </w:numPr>
      </w:pPr>
      <w:r>
        <w:rPr>
          <w:rFonts w:hint="eastAsia"/>
        </w:rPr>
        <w:t>合同履约成本本期摊销金额的说明</w:t>
      </w:r>
    </w:p>
    <w:sdt>
      <w:sdtPr>
        <w:alias w:val="是否适用：合同履约成本本期摊销金额的说明[双击切换]"/>
        <w:tag w:val="_GBC_7532d5a15e3d45fa8d69ad2921659b13"/>
        <w:id w:val="-136312778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rPr>
          <w:rFonts w:hint="eastAsia"/>
        </w:rPr>
        <w:alias w:val="是否适用：建造合同形成的已完工未结算资产的其他说明[双击切换]"/>
        <w:tag w:val="_GBC_441099179b66496e99c8de04f24782ad"/>
        <w:id w:val="-147520488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持有待售资产</w:t>
      </w:r>
    </w:p>
    <w:bookmarkStart w:id="173" w:name="_Hlk24380621" w:displacedByCustomXml="next"/>
    <w:sdt>
      <w:sdtPr>
        <w:alias w:val="是否适用：划分为持有待售的资产[双击切换]"/>
        <w:tag w:val="_GBC_78f2c13384374d8eb0edd5d62d86bc52"/>
        <w:id w:val="-205992698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73"/>
    <w:p w:rsidR="004A3868" w:rsidRDefault="003F1AB5">
      <w:pPr>
        <w:pStyle w:val="Style12711"/>
      </w:pPr>
      <w:r>
        <w:rPr>
          <w:rFonts w:hint="eastAsia"/>
        </w:rPr>
        <w:t>一年内到期的非流动资产</w:t>
      </w:r>
    </w:p>
    <w:bookmarkStart w:id="174" w:name="_Hlk533608872" w:displacedByCustomXml="next"/>
    <w:sdt>
      <w:sdtPr>
        <w:alias w:val="是否适用：一年内到期的非流动资产[双击切换]"/>
        <w:tag w:val="_GBC_ed2c28c8d4014bbb85fa424cc20fe6d7"/>
        <w:id w:val="-107673639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Style w:val="Char20"/>
          <w:rFonts w:hint="eastAsia"/>
        </w:rPr>
        <w:t>单位：</w:t>
      </w:r>
      <w:sdt>
        <w:sdtPr>
          <w:rPr>
            <w:rStyle w:val="Char20"/>
            <w:rFonts w:hint="eastAsia"/>
          </w:rPr>
          <w:alias w:val="单位：财务附注：一年内到期的非流动资产"/>
          <w:tag w:val="_GBC_f77c8d19672140bf85fc2463f9170dd6"/>
          <w:id w:val="11945749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一年内到期的非流动资产"/>
          <w:tag w:val="_GBC_8556c531d1034a2b8dbccdc6ef602448"/>
          <w:id w:val="-6603060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205"/>
        <w:gridCol w:w="2825"/>
        <w:gridCol w:w="2793"/>
      </w:tblGrid>
      <w:tr w:rsidR="004A3868">
        <w:trPr>
          <w:trHeight w:val="397"/>
          <w:jc w:val="center"/>
        </w:trPr>
        <w:sdt>
          <w:sdtPr>
            <w:tag w:val="_PLD_a40529190b0945ecb6483b84560649d2"/>
            <w:id w:val="-477848204"/>
            <w:lock w:val="sdtLocked"/>
          </w:sdtPr>
          <w:sdtEndPr/>
          <w:sdtContent>
            <w:tc>
              <w:tcPr>
                <w:tcW w:w="1816" w:type="pct"/>
                <w:shd w:val="clear" w:color="auto" w:fill="auto"/>
                <w:vAlign w:val="center"/>
              </w:tcPr>
              <w:p w:rsidR="004A3868" w:rsidRDefault="003F1AB5">
                <w:pPr>
                  <w:pStyle w:val="afffb"/>
                </w:pPr>
                <w:r>
                  <w:rPr>
                    <w:rFonts w:hint="eastAsia"/>
                  </w:rPr>
                  <w:t>项目</w:t>
                </w:r>
              </w:p>
            </w:tc>
          </w:sdtContent>
        </w:sdt>
        <w:sdt>
          <w:sdtPr>
            <w:tag w:val="_PLD_5e30d8809b4b4a148861aad7ac937cad"/>
            <w:id w:val="-692682669"/>
            <w:lock w:val="sdtLocked"/>
          </w:sdtPr>
          <w:sdtEndPr/>
          <w:sdtContent>
            <w:tc>
              <w:tcPr>
                <w:tcW w:w="1601" w:type="pct"/>
                <w:shd w:val="clear" w:color="auto" w:fill="auto"/>
                <w:vAlign w:val="center"/>
              </w:tcPr>
              <w:p w:rsidR="004A3868" w:rsidRDefault="003F1AB5">
                <w:pPr>
                  <w:pStyle w:val="afffb"/>
                </w:pPr>
                <w:r>
                  <w:rPr>
                    <w:rFonts w:hint="eastAsia"/>
                  </w:rPr>
                  <w:t>期末余额</w:t>
                </w:r>
              </w:p>
            </w:tc>
          </w:sdtContent>
        </w:sdt>
        <w:sdt>
          <w:sdtPr>
            <w:tag w:val="_PLD_a1484dda7f4045b7bee1d347a33d9d30"/>
            <w:id w:val="1058667396"/>
            <w:lock w:val="sdtLocked"/>
          </w:sdtPr>
          <w:sdtEndPr/>
          <w:sdtContent>
            <w:tc>
              <w:tcPr>
                <w:tcW w:w="1583"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816" w:type="pct"/>
            <w:shd w:val="clear" w:color="auto" w:fill="auto"/>
            <w:vAlign w:val="center"/>
          </w:tcPr>
          <w:p w:rsidR="004A3868" w:rsidRDefault="003F1AB5">
            <w:pPr>
              <w:pStyle w:val="Style124"/>
            </w:pPr>
            <w:r>
              <w:rPr>
                <w:rFonts w:hint="eastAsia"/>
              </w:rPr>
              <w:t>土地竞拍履约保证金</w:t>
            </w:r>
          </w:p>
        </w:tc>
        <w:tc>
          <w:tcPr>
            <w:tcW w:w="1601" w:type="pct"/>
            <w:shd w:val="clear" w:color="auto" w:fill="auto"/>
            <w:vAlign w:val="center"/>
          </w:tcPr>
          <w:p w:rsidR="004A3868" w:rsidRDefault="003F1AB5">
            <w:pPr>
              <w:pStyle w:val="afff7"/>
            </w:pPr>
            <w:r>
              <w:t>40,000,000.00</w:t>
            </w:r>
          </w:p>
        </w:tc>
        <w:tc>
          <w:tcPr>
            <w:tcW w:w="1583" w:type="pct"/>
            <w:shd w:val="clear" w:color="auto" w:fill="auto"/>
            <w:vAlign w:val="center"/>
          </w:tcPr>
          <w:p w:rsidR="004A3868" w:rsidRDefault="003F1AB5">
            <w:pPr>
              <w:pStyle w:val="afff7"/>
            </w:pPr>
            <w:r>
              <w:t>51,600,000.00</w:t>
            </w:r>
          </w:p>
        </w:tc>
      </w:tr>
      <w:tr w:rsidR="004A3868">
        <w:trPr>
          <w:trHeight w:val="397"/>
          <w:jc w:val="center"/>
        </w:trPr>
        <w:tc>
          <w:tcPr>
            <w:tcW w:w="1816" w:type="pct"/>
            <w:shd w:val="clear" w:color="auto" w:fill="auto"/>
          </w:tcPr>
          <w:p w:rsidR="004A3868" w:rsidRDefault="003F1AB5">
            <w:pPr>
              <w:pStyle w:val="Style124"/>
            </w:pPr>
            <w:r>
              <w:rPr>
                <w:rFonts w:hint="eastAsia"/>
              </w:rPr>
              <w:t>应收融资租赁款</w:t>
            </w:r>
          </w:p>
        </w:tc>
        <w:tc>
          <w:tcPr>
            <w:tcW w:w="1601" w:type="pct"/>
            <w:shd w:val="clear" w:color="auto" w:fill="auto"/>
            <w:vAlign w:val="center"/>
          </w:tcPr>
          <w:p w:rsidR="004A3868" w:rsidRDefault="003F1AB5">
            <w:pPr>
              <w:pStyle w:val="afff7"/>
            </w:pPr>
            <w:r>
              <w:t>61,815.49</w:t>
            </w:r>
          </w:p>
        </w:tc>
        <w:tc>
          <w:tcPr>
            <w:tcW w:w="1583" w:type="pct"/>
            <w:shd w:val="clear" w:color="auto" w:fill="auto"/>
            <w:vAlign w:val="center"/>
          </w:tcPr>
          <w:p w:rsidR="004A3868" w:rsidRDefault="003F1AB5">
            <w:pPr>
              <w:pStyle w:val="afff7"/>
            </w:pPr>
            <w:r>
              <w:t>272,087.40</w:t>
            </w:r>
          </w:p>
        </w:tc>
      </w:tr>
      <w:tr w:rsidR="004A3868">
        <w:trPr>
          <w:trHeight w:val="397"/>
          <w:jc w:val="center"/>
        </w:trPr>
        <w:tc>
          <w:tcPr>
            <w:tcW w:w="1816" w:type="pct"/>
            <w:shd w:val="clear" w:color="auto" w:fill="auto"/>
            <w:vAlign w:val="bottom"/>
          </w:tcPr>
          <w:p w:rsidR="004A3868" w:rsidRDefault="003F1AB5">
            <w:pPr>
              <w:pStyle w:val="Style842"/>
            </w:pPr>
            <w:r>
              <w:rPr>
                <w:rFonts w:hint="eastAsia"/>
              </w:rPr>
              <w:t>合计</w:t>
            </w:r>
          </w:p>
        </w:tc>
        <w:tc>
          <w:tcPr>
            <w:tcW w:w="1601" w:type="pct"/>
            <w:shd w:val="clear" w:color="auto" w:fill="auto"/>
            <w:vAlign w:val="center"/>
          </w:tcPr>
          <w:p w:rsidR="004A3868" w:rsidRDefault="003F1AB5">
            <w:pPr>
              <w:pStyle w:val="afff7"/>
            </w:pPr>
            <w:r>
              <w:t>40,061,815.49</w:t>
            </w:r>
          </w:p>
        </w:tc>
        <w:tc>
          <w:tcPr>
            <w:tcW w:w="1583" w:type="pct"/>
            <w:shd w:val="clear" w:color="auto" w:fill="auto"/>
            <w:vAlign w:val="center"/>
          </w:tcPr>
          <w:p w:rsidR="004A3868" w:rsidRDefault="003F1AB5">
            <w:pPr>
              <w:pStyle w:val="afff7"/>
            </w:pPr>
            <w:r>
              <w:t>51,872,087.40</w:t>
            </w:r>
          </w:p>
        </w:tc>
      </w:tr>
    </w:tbl>
    <w:p w:rsidR="004A3868" w:rsidRDefault="004A3868">
      <w:pPr>
        <w:pStyle w:val="Style124"/>
      </w:pPr>
    </w:p>
    <w:p w:rsidR="004A3868" w:rsidRDefault="003F1AB5">
      <w:pPr>
        <w:pStyle w:val="Style128"/>
      </w:pPr>
      <w:r>
        <w:rPr>
          <w:rFonts w:hint="eastAsia"/>
        </w:rPr>
        <w:t>一年内到期的债权投资</w:t>
      </w:r>
    </w:p>
    <w:sdt>
      <w:sdtPr>
        <w:alias w:val="是否适用：一年内到期的债权投资[双击切换]"/>
        <w:tag w:val="_GBC_21106d2d4b32436eb1949dc414c4e6e2"/>
        <w:id w:val="159628373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numPr>
          <w:ilvl w:val="0"/>
          <w:numId w:val="72"/>
        </w:numPr>
      </w:pPr>
      <w:r>
        <w:rPr>
          <w:rFonts w:hint="eastAsia"/>
        </w:rPr>
        <w:t>一年内到期的债权投资情况</w:t>
      </w:r>
    </w:p>
    <w:sdt>
      <w:sdtPr>
        <w:alias w:val="是否适用：一年内到期的债权投资情况[双击切换]"/>
        <w:tag w:val="_GBC_a63c558db63d4b5abc4871296fdd3d27"/>
        <w:id w:val="-1518382533"/>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一年内到期的债权投资减值准备本期变动情况</w:t>
      </w:r>
    </w:p>
    <w:sdt>
      <w:sdtPr>
        <w:rPr>
          <w:sz w:val="21"/>
          <w:szCs w:val="21"/>
        </w:rPr>
        <w:alias w:val="是否适用：减值准备本期变动情况[双击切换]"/>
        <w:tag w:val="_GBC_6cda5fe8fa674897b01dcae459e122b5"/>
        <w:id w:val="11749607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numPr>
          <w:ilvl w:val="0"/>
          <w:numId w:val="72"/>
        </w:numPr>
      </w:pPr>
      <w:r>
        <w:rPr>
          <w:rFonts w:hint="eastAsia"/>
        </w:rPr>
        <w:lastRenderedPageBreak/>
        <w:t>期末重要的一年内到期的债权投资</w:t>
      </w:r>
    </w:p>
    <w:sdt>
      <w:sdtPr>
        <w:rPr>
          <w:sz w:val="21"/>
          <w:szCs w:val="21"/>
        </w:rPr>
        <w:alias w:val="是否适用：一年内到期的非流动资产中重要的债权投资[双击切换]"/>
        <w:tag w:val="_GBC_0d470517aa78473bb3de8fe6fa7eda38"/>
        <w:id w:val="-78997484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numPr>
          <w:ilvl w:val="0"/>
          <w:numId w:val="72"/>
        </w:numPr>
      </w:pPr>
      <w:r>
        <w:rPr>
          <w:rFonts w:hint="eastAsia"/>
        </w:rPr>
        <w:t>减值准备计提情况</w:t>
      </w:r>
    </w:p>
    <w:bookmarkStart w:id="175" w:name="_Hlk154738040" w:displacedByCustomXml="next"/>
    <w:bookmarkStart w:id="176" w:name="_Hlk153440747" w:displacedByCustomXml="next"/>
    <w:sdt>
      <w:sdtPr>
        <w:rPr>
          <w:sz w:val="21"/>
          <w:szCs w:val="21"/>
        </w:rPr>
        <w:alias w:val="是否适用：按预期信用损失一般模型计提坏账准备[双击切换]"/>
        <w:tag w:val="_GBC_b6b01f998fa54fda8fd392061b5aad9e"/>
        <w:id w:val="3824677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各阶段划分依据和坏账准备计提比例</w:t>
      </w:r>
    </w:p>
    <w:sdt>
      <w:sdtPr>
        <w:rPr>
          <w:sz w:val="21"/>
          <w:szCs w:val="21"/>
        </w:rPr>
        <w:alias w:val="各阶段划分依据和坏账准备计提比例"/>
        <w:tag w:val="_GBC_229647c80ef041d7a7fb010339619b6a"/>
        <w:id w:val="-855112123"/>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80"/>
        <w:rPr>
          <w:sz w:val="21"/>
          <w:szCs w:val="21"/>
        </w:rPr>
      </w:pPr>
      <w:r>
        <w:rPr>
          <w:rFonts w:hint="eastAsia"/>
          <w:sz w:val="21"/>
          <w:szCs w:val="21"/>
        </w:rPr>
        <w:t>对本期发生损失准备变动的账面余额显著变动的情况说明：</w:t>
      </w:r>
    </w:p>
    <w:sdt>
      <w:sdtPr>
        <w:rPr>
          <w:sz w:val="21"/>
          <w:szCs w:val="21"/>
        </w:rPr>
        <w:alias w:val="是否适用：对本期发生损失准备变动的账面余额显著变动的情况说明[双击切换]"/>
        <w:tag w:val="_GBC_fb63d9ba777f4c9ea4cfa1c69cfe4314"/>
        <w:id w:val="-91708903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75"/>
    <w:p w:rsidR="004A3868" w:rsidRDefault="003F1AB5">
      <w:pPr>
        <w:pStyle w:val="Style180"/>
        <w:rPr>
          <w:sz w:val="21"/>
          <w:szCs w:val="21"/>
        </w:rPr>
      </w:pPr>
      <w:r>
        <w:rPr>
          <w:rFonts w:hint="eastAsia"/>
          <w:sz w:val="21"/>
          <w:szCs w:val="21"/>
        </w:rPr>
        <w:t>本</w:t>
      </w:r>
      <w:r>
        <w:rPr>
          <w:sz w:val="21"/>
          <w:szCs w:val="21"/>
        </w:rPr>
        <w:t>期减</w:t>
      </w:r>
      <w:r>
        <w:rPr>
          <w:rFonts w:hint="eastAsia"/>
          <w:sz w:val="21"/>
          <w:szCs w:val="21"/>
        </w:rPr>
        <w:t>值</w:t>
      </w:r>
      <w:r>
        <w:rPr>
          <w:sz w:val="21"/>
          <w:szCs w:val="21"/>
        </w:rPr>
        <w:t>准备计提金额以及评估金融工具的</w:t>
      </w:r>
      <w:r>
        <w:rPr>
          <w:rFonts w:hint="eastAsia"/>
          <w:sz w:val="21"/>
          <w:szCs w:val="21"/>
        </w:rPr>
        <w:t>信用风险是否显著增加的采用依据</w:t>
      </w:r>
    </w:p>
    <w:bookmarkEnd w:id="176" w:displacedByCustomXml="next"/>
    <w:sdt>
      <w:sdtPr>
        <w:rPr>
          <w:sz w:val="21"/>
          <w:szCs w:val="21"/>
        </w:rPr>
        <w:alias w:val="是否适用：本期坏账准备计提金额以及评估金融工具的信用风险是否显著增加的采用依据[双击切换]"/>
        <w:tag w:val="_GBC_8b1ebf99eebe433d92c650eee56bb19c"/>
        <w:id w:val="195143079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numPr>
          <w:ilvl w:val="0"/>
          <w:numId w:val="72"/>
        </w:numPr>
      </w:pPr>
      <w:r>
        <w:t>本期实际核销的</w:t>
      </w:r>
      <w:r>
        <w:rPr>
          <w:rFonts w:hint="eastAsia"/>
        </w:rPr>
        <w:t>一年内到期的债权投资</w:t>
      </w:r>
      <w:r>
        <w:t>情况</w:t>
      </w:r>
    </w:p>
    <w:bookmarkStart w:id="177" w:name="_Hlk153441083" w:displacedByCustomXml="next"/>
    <w:sdt>
      <w:sdtPr>
        <w:rPr>
          <w:sz w:val="21"/>
          <w:szCs w:val="21"/>
        </w:rPr>
        <w:alias w:val="是否适用：实际核销的情况[双击切换]"/>
        <w:tag w:val="_GBC_6794f29fa197445bbd9f355c55246a7a"/>
        <w:id w:val="160669254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其中重要的一年内到期的债权投资</w:t>
      </w:r>
      <w:r>
        <w:rPr>
          <w:sz w:val="21"/>
          <w:szCs w:val="21"/>
        </w:rPr>
        <w:t>情况</w:t>
      </w:r>
      <w:r>
        <w:rPr>
          <w:rFonts w:hint="eastAsia"/>
          <w:sz w:val="21"/>
          <w:szCs w:val="21"/>
        </w:rPr>
        <w:t>核销情况</w:t>
      </w:r>
    </w:p>
    <w:sdt>
      <w:sdtPr>
        <w:rPr>
          <w:rFonts w:hint="eastAsia"/>
          <w:sz w:val="21"/>
          <w:szCs w:val="21"/>
        </w:rPr>
        <w:alias w:val="是否适用：重要的核销情况[双击切换]"/>
        <w:tag w:val="_GBC_c83fb05858f94c049cc7f46eb660a258"/>
        <w:id w:val="181960348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一年内到期的债权投资的核销说明：</w:t>
      </w:r>
    </w:p>
    <w:sdt>
      <w:sdtPr>
        <w:rPr>
          <w:sz w:val="21"/>
          <w:szCs w:val="21"/>
        </w:rPr>
        <w:alias w:val="是否适用：核销说明[双击切换]"/>
        <w:tag w:val="_GBC_ed937db30ef74e2699ed2a7bc5dd3b16"/>
        <w:id w:val="-87808549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77"/>
    <w:p w:rsidR="004A3868" w:rsidRDefault="003F1AB5">
      <w:pPr>
        <w:rPr>
          <w:sz w:val="21"/>
          <w:szCs w:val="21"/>
        </w:rPr>
      </w:pPr>
      <w:r>
        <w:rPr>
          <w:rFonts w:hint="eastAsia"/>
          <w:sz w:val="21"/>
          <w:szCs w:val="21"/>
        </w:rPr>
        <w:t>其他说明</w:t>
      </w:r>
    </w:p>
    <w:sdt>
      <w:sdtPr>
        <w:rPr>
          <w:sz w:val="21"/>
          <w:szCs w:val="21"/>
        </w:rPr>
        <w:alias w:val="是否适用：一年内到期的债权投资情况的说明[双击切换]"/>
        <w:tag w:val="_GBC_f4aa14f041fc43d98cdcf4c87b36f0c6"/>
        <w:id w:val="-139396947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pPr>
      <w:r>
        <w:rPr>
          <w:rFonts w:hint="eastAsia"/>
        </w:rPr>
        <w:t>一年内到期的其他债权投资</w:t>
      </w:r>
    </w:p>
    <w:sdt>
      <w:sdtPr>
        <w:alias w:val="是否适用：一年内到期的其他债权投资[双击切换]"/>
        <w:tag w:val="_GBC_7e23007806f94dceb2b97ed0f5d1e010"/>
        <w:id w:val="1509103503"/>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一年内到期的其他债权投资情况</w:t>
      </w:r>
    </w:p>
    <w:bookmarkStart w:id="178" w:name="_Hlk155106775" w:displacedByCustomXml="next"/>
    <w:sdt>
      <w:sdtPr>
        <w:alias w:val="是否适用：一年内到期的其他债权投资情况[双击切换]"/>
        <w:tag w:val="_GBC_bf9ebdf19c0546e592a46a1b1f78ff7b"/>
        <w:id w:val="357862128"/>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78"/>
    <w:p w:rsidR="004A3868" w:rsidRDefault="003F1AB5">
      <w:pPr>
        <w:rPr>
          <w:sz w:val="21"/>
          <w:szCs w:val="21"/>
        </w:rPr>
      </w:pPr>
      <w:r>
        <w:rPr>
          <w:rFonts w:hint="eastAsia"/>
          <w:sz w:val="21"/>
          <w:szCs w:val="21"/>
        </w:rPr>
        <w:t>一年内到期的其他债权投资的减值准备本期变动情况</w:t>
      </w:r>
    </w:p>
    <w:bookmarkStart w:id="179" w:name="_Hlk153444002" w:displacedByCustomXml="next"/>
    <w:sdt>
      <w:sdtPr>
        <w:rPr>
          <w:sz w:val="21"/>
          <w:szCs w:val="21"/>
        </w:rPr>
        <w:alias w:val="是否适用：减值准备本期变动情况[双击切换]"/>
        <w:tag w:val="_GBC_530986e9ed704470a273261cb360c15a"/>
        <w:id w:val="184844733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79"/>
    <w:p w:rsidR="004A3868" w:rsidRDefault="003F1AB5">
      <w:pPr>
        <w:pStyle w:val="Style129"/>
      </w:pPr>
      <w:r>
        <w:rPr>
          <w:rFonts w:hint="eastAsia"/>
        </w:rPr>
        <w:t>期末重要的一年内到期的其他债权投资</w:t>
      </w:r>
    </w:p>
    <w:sdt>
      <w:sdtPr>
        <w:rPr>
          <w:sz w:val="21"/>
          <w:szCs w:val="21"/>
        </w:rPr>
        <w:alias w:val="是否适用：重要的一年内到期的其他债权投资情况[双击切换]"/>
        <w:tag w:val="_GBC_47a43e83a18f4cceb76d43c793ea5cb0"/>
        <w:id w:val="210214751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减值准备计提情况</w:t>
      </w:r>
    </w:p>
    <w:bookmarkStart w:id="180" w:name="_Hlk154738128" w:displacedByCustomXml="next"/>
    <w:bookmarkStart w:id="181" w:name="_Hlk153445318" w:displacedByCustomXml="next"/>
    <w:sdt>
      <w:sdtPr>
        <w:rPr>
          <w:sz w:val="21"/>
          <w:szCs w:val="21"/>
        </w:rPr>
        <w:alias w:val="是否适用：按预期信用损失一般模型计提坏账准备[双击切换]"/>
        <w:tag w:val="_GBC_0d1fb53c8ffa4e0a963f48b26061efcb"/>
        <w:id w:val="170536168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各阶段划分依据和坏账准备计提比例</w:t>
      </w:r>
    </w:p>
    <w:sdt>
      <w:sdtPr>
        <w:rPr>
          <w:sz w:val="21"/>
          <w:szCs w:val="21"/>
        </w:rPr>
        <w:alias w:val="各阶段划分依据和坏账准备计提比例"/>
        <w:tag w:val="_GBC_8af71379b2c143f39be2c592eaffcd4a"/>
        <w:id w:val="-1547367273"/>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80"/>
        <w:rPr>
          <w:sz w:val="21"/>
          <w:szCs w:val="21"/>
        </w:rPr>
      </w:pPr>
      <w:r>
        <w:rPr>
          <w:rFonts w:hint="eastAsia"/>
          <w:sz w:val="21"/>
          <w:szCs w:val="21"/>
        </w:rPr>
        <w:t>对本期发生损失准备变动的账面余额显著变动的情况说明：</w:t>
      </w:r>
    </w:p>
    <w:sdt>
      <w:sdtPr>
        <w:rPr>
          <w:sz w:val="21"/>
          <w:szCs w:val="21"/>
        </w:rPr>
        <w:alias w:val="是否适用：对本期发生损失准备变动的账面余额显著变动的情况说明[双击切换]"/>
        <w:tag w:val="_GBC_fa0e9c9170244925a2747bff354173f5"/>
        <w:id w:val="104355952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80"/>
    <w:p w:rsidR="004A3868" w:rsidRDefault="003F1AB5">
      <w:pPr>
        <w:pStyle w:val="Style180"/>
        <w:rPr>
          <w:sz w:val="21"/>
          <w:szCs w:val="21"/>
        </w:rPr>
      </w:pPr>
      <w:r>
        <w:rPr>
          <w:rFonts w:hint="eastAsia"/>
          <w:sz w:val="21"/>
          <w:szCs w:val="21"/>
        </w:rPr>
        <w:t>本</w:t>
      </w:r>
      <w:r>
        <w:rPr>
          <w:sz w:val="21"/>
          <w:szCs w:val="21"/>
        </w:rPr>
        <w:t>期减</w:t>
      </w:r>
      <w:r>
        <w:rPr>
          <w:rFonts w:hint="eastAsia"/>
          <w:sz w:val="21"/>
          <w:szCs w:val="21"/>
        </w:rPr>
        <w:t>值</w:t>
      </w:r>
      <w:r>
        <w:rPr>
          <w:sz w:val="21"/>
          <w:szCs w:val="21"/>
        </w:rPr>
        <w:t>准备计提金额以及评估金融工具的</w:t>
      </w:r>
      <w:r>
        <w:rPr>
          <w:rFonts w:hint="eastAsia"/>
          <w:sz w:val="21"/>
          <w:szCs w:val="21"/>
        </w:rPr>
        <w:t>信用风险是否显著增加的采用依据</w:t>
      </w:r>
    </w:p>
    <w:sdt>
      <w:sdtPr>
        <w:rPr>
          <w:sz w:val="21"/>
          <w:szCs w:val="21"/>
        </w:rPr>
        <w:alias w:val="是否适用：本期坏账准备计提金额以及评估金融工具的信用风险是否显著增加的采用依据[双击切换]"/>
        <w:tag w:val="_GBC_c6eabd8797da4fa8b95f57c2955a4911"/>
        <w:id w:val="59552981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81"/>
    <w:p w:rsidR="004A3868" w:rsidRDefault="003F1AB5">
      <w:pPr>
        <w:pStyle w:val="Style129"/>
      </w:pPr>
      <w:r>
        <w:lastRenderedPageBreak/>
        <w:t>本期实际核销的</w:t>
      </w:r>
      <w:r>
        <w:rPr>
          <w:rFonts w:hint="eastAsia"/>
        </w:rPr>
        <w:t>一年内到期的其他债权投资</w:t>
      </w:r>
      <w:r>
        <w:t>情况</w:t>
      </w:r>
    </w:p>
    <w:bookmarkStart w:id="182" w:name="_Hlk153445395" w:displacedByCustomXml="next"/>
    <w:sdt>
      <w:sdtPr>
        <w:rPr>
          <w:sz w:val="21"/>
          <w:szCs w:val="21"/>
        </w:rPr>
        <w:alias w:val="是否适用：实际核销的情况[双击切换]"/>
        <w:tag w:val="_GBC_9212c1113a904b678d8fb1a2d86f7019"/>
        <w:id w:val="-112962556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其中重要的一年内到期的其他债权投资</w:t>
      </w:r>
      <w:r>
        <w:rPr>
          <w:sz w:val="21"/>
          <w:szCs w:val="21"/>
        </w:rPr>
        <w:t>情况</w:t>
      </w:r>
      <w:r>
        <w:rPr>
          <w:rFonts w:hint="eastAsia"/>
          <w:sz w:val="21"/>
          <w:szCs w:val="21"/>
        </w:rPr>
        <w:t>核销情况</w:t>
      </w:r>
    </w:p>
    <w:sdt>
      <w:sdtPr>
        <w:rPr>
          <w:rFonts w:hint="eastAsia"/>
          <w:sz w:val="21"/>
          <w:szCs w:val="21"/>
        </w:rPr>
        <w:alias w:val="是否适用：重要的核销情况[双击切换]"/>
        <w:tag w:val="_GBC_c98249b3dc3145d19054fb9756ee59b3"/>
        <w:id w:val="-60265198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一年内到期的其他债权投资的核销说明：</w:t>
      </w:r>
    </w:p>
    <w:sdt>
      <w:sdtPr>
        <w:rPr>
          <w:sz w:val="21"/>
          <w:szCs w:val="21"/>
        </w:rPr>
        <w:alias w:val="是否适用：核销说明[双击切换]"/>
        <w:tag w:val="_GBC_675811ab7e6848269fce1647ebc33c30"/>
        <w:id w:val="36264437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4"/>
      </w:pPr>
      <w:r>
        <w:rPr>
          <w:rFonts w:hint="eastAsia"/>
        </w:rPr>
        <w:t>其他说明：</w:t>
      </w:r>
    </w:p>
    <w:bookmarkEnd w:id="182" w:displacedByCustomXml="next"/>
    <w:sdt>
      <w:sdtPr>
        <w:alias w:val="是否适用：一年内到期的其他债权投资情况的说明[双击切换]"/>
        <w:tag w:val="_GBC_bdcbfd51806c4358a1eaaf97341efe58"/>
        <w:id w:val="-75721229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一年内到期的非流动资产的其他说明</w:t>
      </w:r>
    </w:p>
    <w:sdt>
      <w:sdtPr>
        <w:rPr>
          <w:sz w:val="21"/>
          <w:szCs w:val="21"/>
        </w:rPr>
        <w:alias w:val="一年内到期的非流动资产其他说明"/>
        <w:tag w:val="_GBC_aebddb0e62fa4ec48ab98b4bc4575935"/>
        <w:id w:val="1233118974"/>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其他流动资产</w:t>
      </w:r>
    </w:p>
    <w:bookmarkEnd w:id="174" w:displacedByCustomXml="next"/>
    <w:bookmarkStart w:id="183" w:name="_Hlk533609053" w:displacedByCustomXml="next"/>
    <w:sdt>
      <w:sdtPr>
        <w:alias w:val="是否适用：其他流动资产[双击切换]"/>
        <w:tag w:val="_GBC_49fe7514f24d4f7fbf009ae51ff98d5a"/>
        <w:id w:val="-6541870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其他流动资产"/>
          <w:tag w:val="_GBC_8aa27294471c4172ba97de2c15d029c6"/>
          <w:id w:val="4022577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其他流动资产"/>
          <w:tag w:val="_GBC_8e1e40ac44704231aa91fcfbbccbd924"/>
          <w:id w:val="-9802333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204"/>
        <w:gridCol w:w="2845"/>
        <w:gridCol w:w="2774"/>
      </w:tblGrid>
      <w:tr w:rsidR="004A3868">
        <w:trPr>
          <w:trHeight w:val="397"/>
          <w:jc w:val="center"/>
        </w:trPr>
        <w:sdt>
          <w:sdtPr>
            <w:tag w:val="_PLD_a34f889fb3794268b1f04c9534377486"/>
            <w:id w:val="-212575864"/>
          </w:sdtPr>
          <w:sdtEndPr/>
          <w:sdtContent>
            <w:tc>
              <w:tcPr>
                <w:tcW w:w="1816" w:type="pct"/>
                <w:shd w:val="clear" w:color="auto" w:fill="auto"/>
                <w:vAlign w:val="center"/>
              </w:tcPr>
              <w:p w:rsidR="004A3868" w:rsidRDefault="003F1AB5">
                <w:pPr>
                  <w:pStyle w:val="afffb"/>
                </w:pPr>
                <w:r>
                  <w:rPr>
                    <w:rFonts w:hint="eastAsia"/>
                  </w:rPr>
                  <w:t>项目</w:t>
                </w:r>
              </w:p>
            </w:tc>
          </w:sdtContent>
        </w:sdt>
        <w:sdt>
          <w:sdtPr>
            <w:tag w:val="_PLD_97b9b7e912e14a06b24f532e76914900"/>
            <w:id w:val="92752695"/>
          </w:sdtPr>
          <w:sdtEndPr/>
          <w:sdtContent>
            <w:tc>
              <w:tcPr>
                <w:tcW w:w="1612" w:type="pct"/>
                <w:shd w:val="clear" w:color="auto" w:fill="auto"/>
                <w:vAlign w:val="center"/>
              </w:tcPr>
              <w:p w:rsidR="004A3868" w:rsidRDefault="003F1AB5">
                <w:pPr>
                  <w:pStyle w:val="afffb"/>
                </w:pPr>
                <w:r>
                  <w:rPr>
                    <w:rFonts w:hint="eastAsia"/>
                  </w:rPr>
                  <w:t>期末余额</w:t>
                </w:r>
              </w:p>
            </w:tc>
          </w:sdtContent>
        </w:sdt>
        <w:sdt>
          <w:sdtPr>
            <w:tag w:val="_PLD_c02c94d4c7614f3cadd2972514fb87f4"/>
            <w:id w:val="-764305112"/>
          </w:sdtPr>
          <w:sdtEndPr/>
          <w:sdtContent>
            <w:tc>
              <w:tcPr>
                <w:tcW w:w="1572"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816" w:type="pct"/>
            <w:shd w:val="clear" w:color="auto" w:fill="auto"/>
            <w:vAlign w:val="center"/>
          </w:tcPr>
          <w:p w:rsidR="004A3868" w:rsidRDefault="003F1AB5">
            <w:pPr>
              <w:rPr>
                <w:sz w:val="21"/>
                <w:szCs w:val="21"/>
              </w:rPr>
            </w:pPr>
            <w:r>
              <w:rPr>
                <w:rFonts w:hint="eastAsia"/>
                <w:sz w:val="21"/>
                <w:szCs w:val="21"/>
              </w:rPr>
              <w:t>预缴企业所得税款</w:t>
            </w:r>
          </w:p>
        </w:tc>
        <w:tc>
          <w:tcPr>
            <w:tcW w:w="1612" w:type="pct"/>
            <w:shd w:val="clear" w:color="auto" w:fill="auto"/>
            <w:vAlign w:val="center"/>
          </w:tcPr>
          <w:p w:rsidR="004A3868" w:rsidRDefault="003F1AB5">
            <w:pPr>
              <w:pStyle w:val="afff7"/>
            </w:pPr>
            <w:r>
              <w:t>21,948,554.29</w:t>
            </w:r>
          </w:p>
        </w:tc>
        <w:tc>
          <w:tcPr>
            <w:tcW w:w="1572" w:type="pct"/>
            <w:shd w:val="clear" w:color="auto" w:fill="auto"/>
            <w:vAlign w:val="center"/>
          </w:tcPr>
          <w:p w:rsidR="004A3868" w:rsidRDefault="004A3868">
            <w:pPr>
              <w:pStyle w:val="afff7"/>
            </w:pPr>
          </w:p>
        </w:tc>
      </w:tr>
      <w:tr w:rsidR="004A3868">
        <w:trPr>
          <w:trHeight w:val="397"/>
          <w:jc w:val="center"/>
        </w:trPr>
        <w:tc>
          <w:tcPr>
            <w:tcW w:w="1816" w:type="pct"/>
            <w:shd w:val="clear" w:color="auto" w:fill="auto"/>
          </w:tcPr>
          <w:p w:rsidR="004A3868" w:rsidRDefault="003F1AB5">
            <w:pPr>
              <w:rPr>
                <w:sz w:val="21"/>
                <w:szCs w:val="21"/>
              </w:rPr>
            </w:pPr>
            <w:r>
              <w:rPr>
                <w:rFonts w:hint="eastAsia"/>
                <w:sz w:val="21"/>
                <w:szCs w:val="21"/>
              </w:rPr>
              <w:t>待抵扣、待认证进项税额</w:t>
            </w:r>
          </w:p>
        </w:tc>
        <w:tc>
          <w:tcPr>
            <w:tcW w:w="1612" w:type="pct"/>
            <w:shd w:val="clear" w:color="auto" w:fill="auto"/>
          </w:tcPr>
          <w:p w:rsidR="004A3868" w:rsidRDefault="003F1AB5">
            <w:pPr>
              <w:pStyle w:val="afff7"/>
            </w:pPr>
            <w:r>
              <w:t>3,450,016.73</w:t>
            </w:r>
          </w:p>
        </w:tc>
        <w:tc>
          <w:tcPr>
            <w:tcW w:w="1572" w:type="pct"/>
            <w:shd w:val="clear" w:color="auto" w:fill="auto"/>
            <w:vAlign w:val="center"/>
          </w:tcPr>
          <w:p w:rsidR="004A3868" w:rsidRDefault="003F1AB5">
            <w:pPr>
              <w:pStyle w:val="afff7"/>
            </w:pPr>
            <w:r>
              <w:t>2,188,378.10</w:t>
            </w:r>
          </w:p>
        </w:tc>
      </w:tr>
      <w:tr w:rsidR="004A3868">
        <w:trPr>
          <w:trHeight w:val="397"/>
          <w:jc w:val="center"/>
        </w:trPr>
        <w:tc>
          <w:tcPr>
            <w:tcW w:w="1816" w:type="pct"/>
            <w:shd w:val="clear" w:color="auto" w:fill="auto"/>
            <w:vAlign w:val="center"/>
          </w:tcPr>
          <w:p w:rsidR="004A3868" w:rsidRDefault="003F1AB5">
            <w:pPr>
              <w:rPr>
                <w:sz w:val="21"/>
                <w:szCs w:val="21"/>
              </w:rPr>
            </w:pPr>
            <w:r>
              <w:rPr>
                <w:rFonts w:hint="eastAsia"/>
                <w:sz w:val="21"/>
                <w:szCs w:val="21"/>
              </w:rPr>
              <w:t>合计</w:t>
            </w:r>
          </w:p>
        </w:tc>
        <w:tc>
          <w:tcPr>
            <w:tcW w:w="1612" w:type="pct"/>
            <w:shd w:val="clear" w:color="auto" w:fill="auto"/>
          </w:tcPr>
          <w:p w:rsidR="004A3868" w:rsidRDefault="003F1AB5">
            <w:pPr>
              <w:pStyle w:val="afff7"/>
            </w:pPr>
            <w:r>
              <w:t>25,398,571.02</w:t>
            </w:r>
          </w:p>
        </w:tc>
        <w:tc>
          <w:tcPr>
            <w:tcW w:w="1572" w:type="pct"/>
            <w:shd w:val="clear" w:color="auto" w:fill="auto"/>
            <w:vAlign w:val="center"/>
          </w:tcPr>
          <w:p w:rsidR="004A3868" w:rsidRDefault="003F1AB5">
            <w:pPr>
              <w:pStyle w:val="afff7"/>
            </w:pPr>
            <w:r>
              <w:t>2,188,378.10</w:t>
            </w:r>
          </w:p>
        </w:tc>
      </w:tr>
    </w:tbl>
    <w:p w:rsidR="004A3868" w:rsidRDefault="003F1AB5">
      <w:pPr>
        <w:pStyle w:val="Style124"/>
      </w:pPr>
      <w:r>
        <w:rPr>
          <w:rFonts w:hint="eastAsia"/>
        </w:rPr>
        <w:t>其他说明</w:t>
      </w:r>
    </w:p>
    <w:sdt>
      <w:sdtPr>
        <w:rPr>
          <w:rFonts w:hint="eastAsia"/>
        </w:rPr>
        <w:alias w:val="其他流动资产说明"/>
        <w:tag w:val="_GBC_6b66243025624716a85c25ca534f7d52"/>
        <w:id w:val="-436143632"/>
        <w:placeholder>
          <w:docPart w:val="GBC22222222222222222222222222222"/>
        </w:placeholder>
      </w:sdtPr>
      <w:sdtEndPr/>
      <w:sdtContent>
        <w:p w:rsidR="004A3868" w:rsidRDefault="003F1AB5">
          <w:pPr>
            <w:pStyle w:val="Style124"/>
          </w:pPr>
          <w:r>
            <w:rPr>
              <w:rFonts w:hint="eastAsia"/>
            </w:rPr>
            <w:t>无</w:t>
          </w:r>
        </w:p>
      </w:sdtContent>
    </w:sdt>
    <w:bookmarkEnd w:id="183"/>
    <w:p w:rsidR="004A3868" w:rsidRDefault="003F1AB5">
      <w:pPr>
        <w:pStyle w:val="Style12711"/>
      </w:pPr>
      <w:r>
        <w:rPr>
          <w:rFonts w:hint="eastAsia"/>
        </w:rPr>
        <w:t>债权投资</w:t>
      </w:r>
    </w:p>
    <w:p w:rsidR="004A3868" w:rsidRDefault="003F1AB5">
      <w:pPr>
        <w:pStyle w:val="Style128"/>
        <w:numPr>
          <w:ilvl w:val="3"/>
          <w:numId w:val="73"/>
        </w:numPr>
      </w:pPr>
      <w:bookmarkStart w:id="184" w:name="_Hlk532993723"/>
      <w:r>
        <w:rPr>
          <w:rFonts w:hint="eastAsia"/>
        </w:rPr>
        <w:t>债权投资情况</w:t>
      </w:r>
    </w:p>
    <w:bookmarkStart w:id="185" w:name="_Hlk533409588" w:displacedByCustomXml="next"/>
    <w:sdt>
      <w:sdtPr>
        <w:alias w:val="是否适用：以摊余成本计量的长期债权投资[双击切换]"/>
        <w:tag w:val="_GBC_dbc7f90615cc46578228904cb4aa1cff"/>
        <w:id w:val="-696841478"/>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债权投资减值准备本期变动情况</w:t>
      </w:r>
    </w:p>
    <w:bookmarkStart w:id="186" w:name="_Hlk153455457" w:displacedByCustomXml="next"/>
    <w:sdt>
      <w:sdtPr>
        <w:rPr>
          <w:sz w:val="21"/>
          <w:szCs w:val="21"/>
        </w:rPr>
        <w:alias w:val="是否适用：减值准备本期变动情况[双击切换]"/>
        <w:tag w:val="_GBC_87c0bbb5863948af834604c8aeaf814f"/>
        <w:id w:val="174460633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86"/>
    <w:p w:rsidR="004A3868" w:rsidRDefault="003F1AB5">
      <w:pPr>
        <w:pStyle w:val="Style128"/>
        <w:numPr>
          <w:ilvl w:val="3"/>
          <w:numId w:val="73"/>
        </w:numPr>
      </w:pPr>
      <w:r>
        <w:rPr>
          <w:rFonts w:hint="eastAsia"/>
        </w:rPr>
        <w:t>期末重要的债权投资</w:t>
      </w:r>
    </w:p>
    <w:bookmarkStart w:id="187" w:name="_Hlk532994191" w:displacedByCustomXml="next"/>
    <w:sdt>
      <w:sdtPr>
        <w:rPr>
          <w:sz w:val="21"/>
          <w:szCs w:val="21"/>
        </w:rPr>
        <w:alias w:val="是否适用：重要的债权投资[双击切换]"/>
        <w:tag w:val="_GBC_ca6db275ff8944c2900ec34693d6ebf6"/>
        <w:id w:val="41536973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87"/>
    <w:p w:rsidR="004A3868" w:rsidRDefault="003F1AB5">
      <w:pPr>
        <w:pStyle w:val="Style128"/>
        <w:numPr>
          <w:ilvl w:val="3"/>
          <w:numId w:val="73"/>
        </w:numPr>
      </w:pPr>
      <w:r>
        <w:rPr>
          <w:rFonts w:hint="eastAsia"/>
        </w:rPr>
        <w:t>减值准备计提情况</w:t>
      </w:r>
    </w:p>
    <w:bookmarkEnd w:id="185" w:displacedByCustomXml="next"/>
    <w:bookmarkEnd w:id="184" w:displacedByCustomXml="next"/>
    <w:bookmarkStart w:id="188" w:name="_Hlk533872317" w:displacedByCustomXml="next"/>
    <w:sdt>
      <w:sdtPr>
        <w:alias w:val="是否适用：债权投资减值准备调节表[双击切换]"/>
        <w:tag w:val="_GBC_686136d6dd874d559865e7aa5dd1a835"/>
        <w:id w:val="1543625053"/>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各阶段划分依据和减值准备计提比例：</w:t>
      </w:r>
    </w:p>
    <w:sdt>
      <w:sdtPr>
        <w:alias w:val="债权投资各阶段划分依据和减值准备计提比例"/>
        <w:tag w:val="_GBC_60f5cb3d88a34c9d9e0fb015def585fa"/>
        <w:id w:val="738919069"/>
        <w:placeholder>
          <w:docPart w:val="GBC22222222222222222222222222222"/>
        </w:placeholder>
      </w:sdtPr>
      <w:sdtEndPr/>
      <w:sdtContent>
        <w:p w:rsidR="004A3868" w:rsidRDefault="003F1AB5">
          <w:pPr>
            <w:pStyle w:val="Style124"/>
          </w:pPr>
          <w:r>
            <w:rPr>
              <w:rFonts w:hint="eastAsia"/>
            </w:rPr>
            <w:t>无</w:t>
          </w:r>
        </w:p>
      </w:sdtContent>
    </w:sdt>
    <w:p w:rsidR="004A3868" w:rsidRDefault="003F1AB5">
      <w:pPr>
        <w:pStyle w:val="Style180"/>
        <w:rPr>
          <w:sz w:val="21"/>
          <w:szCs w:val="21"/>
        </w:rPr>
      </w:pPr>
      <w:r>
        <w:rPr>
          <w:rFonts w:hint="eastAsia"/>
          <w:sz w:val="21"/>
          <w:szCs w:val="21"/>
        </w:rPr>
        <w:t>对本期发生损失准备变动的债权投资账面余额显著变动的情况说明：</w:t>
      </w:r>
    </w:p>
    <w:sdt>
      <w:sdtPr>
        <w:rPr>
          <w:sz w:val="21"/>
          <w:szCs w:val="21"/>
        </w:rPr>
        <w:alias w:val="是否适用：债权投资本期发生损失准备变动且账面余额显著变动的情况说明[双击切换]"/>
        <w:tag w:val="_GBC_5f05e251eb914f049048988a9e9168df"/>
        <w:id w:val="-204620674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88"/>
    <w:p w:rsidR="004A3868" w:rsidRDefault="003F1AB5">
      <w:pPr>
        <w:pStyle w:val="Style180"/>
        <w:rPr>
          <w:sz w:val="21"/>
          <w:szCs w:val="21"/>
        </w:rPr>
      </w:pPr>
      <w:r>
        <w:rPr>
          <w:rFonts w:hint="eastAsia"/>
          <w:sz w:val="21"/>
          <w:szCs w:val="21"/>
        </w:rPr>
        <w:t>本</w:t>
      </w:r>
      <w:r>
        <w:rPr>
          <w:sz w:val="21"/>
          <w:szCs w:val="21"/>
        </w:rPr>
        <w:t>期减</w:t>
      </w:r>
      <w:r>
        <w:rPr>
          <w:rFonts w:hint="eastAsia"/>
          <w:sz w:val="21"/>
          <w:szCs w:val="21"/>
        </w:rPr>
        <w:t>值</w:t>
      </w:r>
      <w:r>
        <w:rPr>
          <w:sz w:val="21"/>
          <w:szCs w:val="21"/>
        </w:rPr>
        <w:t>准备计提金额以及评估金融工具的</w:t>
      </w:r>
      <w:r>
        <w:rPr>
          <w:rFonts w:hint="eastAsia"/>
          <w:sz w:val="21"/>
          <w:szCs w:val="21"/>
        </w:rPr>
        <w:t>信用风险是否显著增加的采用依据</w:t>
      </w:r>
    </w:p>
    <w:sdt>
      <w:sdtPr>
        <w:alias w:val="是否适用：债权投资减值准备计提金额以及评估金融工具的信用风险显著增加的采用依据[双击切换]"/>
        <w:tag w:val="_GBC_799f699e556f4272acd7681b17e4ede5"/>
        <w:id w:val="-575435990"/>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3"/>
          <w:numId w:val="73"/>
        </w:numPr>
      </w:pPr>
      <w:r>
        <w:t>本期实际</w:t>
      </w:r>
      <w:r>
        <w:rPr>
          <w:rFonts w:hint="eastAsia"/>
        </w:rPr>
        <w:t>的</w:t>
      </w:r>
      <w:r>
        <w:t>核销</w:t>
      </w:r>
      <w:r>
        <w:rPr>
          <w:rFonts w:hint="eastAsia"/>
        </w:rPr>
        <w:t>债权投资</w:t>
      </w:r>
      <w:r>
        <w:t>情况</w:t>
      </w:r>
    </w:p>
    <w:bookmarkStart w:id="189" w:name="_Hlk153455555" w:displacedByCustomXml="next"/>
    <w:sdt>
      <w:sdtPr>
        <w:rPr>
          <w:sz w:val="21"/>
          <w:szCs w:val="21"/>
        </w:rPr>
        <w:alias w:val="是否适用：实际核销的情况[双击切换]"/>
        <w:tag w:val="_GBC_fc91e5e5672d4b4eb2e0779a0867e84c"/>
        <w:id w:val="41321436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lastRenderedPageBreak/>
        <w:t>其中重要的债权投资</w:t>
      </w:r>
      <w:r>
        <w:rPr>
          <w:sz w:val="21"/>
          <w:szCs w:val="21"/>
        </w:rPr>
        <w:t>情况</w:t>
      </w:r>
      <w:r>
        <w:rPr>
          <w:rFonts w:hint="eastAsia"/>
          <w:sz w:val="21"/>
          <w:szCs w:val="21"/>
        </w:rPr>
        <w:t>核销情况</w:t>
      </w:r>
    </w:p>
    <w:sdt>
      <w:sdtPr>
        <w:rPr>
          <w:rFonts w:hint="eastAsia"/>
          <w:sz w:val="21"/>
          <w:szCs w:val="21"/>
        </w:rPr>
        <w:alias w:val="是否适用：重要的核销情况[双击切换]"/>
        <w:tag w:val="_GBC_b1835377ab8f4324a0ddc492f3da304c"/>
        <w:id w:val="203569670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债权投资的核销说明：</w:t>
      </w:r>
    </w:p>
    <w:sdt>
      <w:sdtPr>
        <w:rPr>
          <w:sz w:val="21"/>
          <w:szCs w:val="21"/>
        </w:rPr>
        <w:alias w:val="是否适用：核销说明[双击切换]"/>
        <w:tag w:val="_GBC_f135d5c946cc473182fa418ce9c408ae"/>
        <w:id w:val="-169938482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其他说明</w:t>
      </w:r>
    </w:p>
    <w:bookmarkEnd w:id="189" w:displacedByCustomXml="next"/>
    <w:sdt>
      <w:sdtPr>
        <w:rPr>
          <w:sz w:val="21"/>
          <w:szCs w:val="21"/>
        </w:rPr>
        <w:alias w:val="是否适用：债权投资其他说明[双击切换]"/>
        <w:tag w:val="_GBC_17cf4c675aec4f36816c24c079df205c"/>
        <w:id w:val="-18043956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其他债权投资</w:t>
      </w:r>
    </w:p>
    <w:p w:rsidR="004A3868" w:rsidRDefault="003F1AB5">
      <w:pPr>
        <w:pStyle w:val="Style128"/>
        <w:numPr>
          <w:ilvl w:val="3"/>
          <w:numId w:val="74"/>
        </w:numPr>
      </w:pPr>
      <w:r>
        <w:rPr>
          <w:rFonts w:hint="eastAsia"/>
        </w:rPr>
        <w:t>其他债权投资情况</w:t>
      </w:r>
    </w:p>
    <w:sdt>
      <w:sdtPr>
        <w:rPr>
          <w:sz w:val="21"/>
          <w:szCs w:val="21"/>
        </w:rPr>
        <w:alias w:val="是否适用：其他债权投资情况[双击切换]"/>
        <w:tag w:val="_GBC_23599130a9db43be881f1fb4a46d3b7e"/>
        <w:id w:val="147202014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其他债权投资减值准备本期变动情况</w:t>
      </w:r>
    </w:p>
    <w:bookmarkStart w:id="190" w:name="_Hlk153455695" w:displacedByCustomXml="next"/>
    <w:sdt>
      <w:sdtPr>
        <w:rPr>
          <w:sz w:val="21"/>
          <w:szCs w:val="21"/>
        </w:rPr>
        <w:alias w:val="是否适用：减值准备本期变动情况[双击切换]"/>
        <w:tag w:val="_GBC_3e5ec98f577f4409b379fbfcb3b1cc79"/>
        <w:id w:val="-204157153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90"/>
    <w:p w:rsidR="004A3868" w:rsidRDefault="003F1AB5">
      <w:pPr>
        <w:pStyle w:val="Style128"/>
        <w:numPr>
          <w:ilvl w:val="3"/>
          <w:numId w:val="74"/>
        </w:numPr>
      </w:pPr>
      <w:r>
        <w:rPr>
          <w:rFonts w:hint="eastAsia"/>
        </w:rPr>
        <w:t>期末重要的其他债权投资</w:t>
      </w:r>
    </w:p>
    <w:bookmarkStart w:id="191" w:name="_Hlk533848078" w:displacedByCustomXml="next"/>
    <w:sdt>
      <w:sdtPr>
        <w:rPr>
          <w:sz w:val="21"/>
          <w:szCs w:val="21"/>
        </w:rPr>
        <w:alias w:val="是否适用：重要的其他债权投资[双击切换]"/>
        <w:tag w:val="_GBC_bb82f40f19284b2489199fbaa477b35c"/>
        <w:id w:val="81360373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91"/>
    <w:p w:rsidR="004A3868" w:rsidRDefault="003F1AB5">
      <w:pPr>
        <w:pStyle w:val="Style128"/>
        <w:numPr>
          <w:ilvl w:val="3"/>
          <w:numId w:val="74"/>
        </w:numPr>
      </w:pPr>
      <w:r>
        <w:rPr>
          <w:rFonts w:hint="eastAsia"/>
        </w:rPr>
        <w:t>减值准备计提情况</w:t>
      </w:r>
    </w:p>
    <w:bookmarkStart w:id="192" w:name="_Hlk533872678" w:displacedByCustomXml="next"/>
    <w:sdt>
      <w:sdtPr>
        <w:alias w:val="是否适用：其他债权投资减值准备调节表[双击切换]"/>
        <w:tag w:val="_GBC_4fb0e145a1004885abb87d20ed68a2ed"/>
        <w:id w:val="-127924710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各阶段划分依据和减值准备计提比例：</w:t>
      </w:r>
    </w:p>
    <w:sdt>
      <w:sdtPr>
        <w:rPr>
          <w:rFonts w:hint="eastAsia"/>
        </w:rPr>
        <w:alias w:val="其他债权投资各阶段划分依据和减值准备计提比例"/>
        <w:tag w:val="_GBC_7a6f88a666dd4467adf9d3fa4f8e9354"/>
        <w:id w:val="-312787950"/>
        <w:placeholder>
          <w:docPart w:val="GBC22222222222222222222222222222"/>
        </w:placeholder>
      </w:sdtPr>
      <w:sdtEndPr/>
      <w:sdtContent>
        <w:p w:rsidR="004A3868" w:rsidRDefault="003F1AB5">
          <w:pPr>
            <w:pStyle w:val="Style124"/>
          </w:pPr>
          <w:r>
            <w:rPr>
              <w:rFonts w:hint="eastAsia"/>
            </w:rPr>
            <w:t>无</w:t>
          </w:r>
        </w:p>
      </w:sdtContent>
    </w:sdt>
    <w:p w:rsidR="004A3868" w:rsidRDefault="003F1AB5">
      <w:pPr>
        <w:pStyle w:val="Style180"/>
        <w:rPr>
          <w:sz w:val="21"/>
          <w:szCs w:val="21"/>
        </w:rPr>
      </w:pPr>
      <w:r>
        <w:rPr>
          <w:rFonts w:hint="eastAsia"/>
          <w:sz w:val="21"/>
          <w:szCs w:val="21"/>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519088670"/>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80"/>
        <w:rPr>
          <w:rStyle w:val="Char20"/>
        </w:rPr>
      </w:pPr>
      <w:r>
        <w:rPr>
          <w:rStyle w:val="Char20"/>
          <w:rFonts w:hint="eastAsia"/>
        </w:rPr>
        <w:t>本期减值准备计提金额以及评估金融工具的信用风险是否显著增加的采用依据</w:t>
      </w:r>
    </w:p>
    <w:bookmarkEnd w:id="192" w:displacedByCustomXml="next"/>
    <w:bookmarkStart w:id="193" w:name="_Hlk533848073" w:displacedByCustomXml="next"/>
    <w:sdt>
      <w:sdtPr>
        <w:alias w:val="是否适用：其他债权投资本期坏账准备计提金额以及评估金融工具的信用风险显著增加的采用依据[双击切换]"/>
        <w:tag w:val="_GBC_e7060850bcfb44fb91c77f959b237378"/>
        <w:id w:val="39869650"/>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93"/>
    <w:p w:rsidR="004A3868" w:rsidRDefault="003F1AB5">
      <w:pPr>
        <w:pStyle w:val="Style128"/>
        <w:numPr>
          <w:ilvl w:val="3"/>
          <w:numId w:val="74"/>
        </w:numPr>
      </w:pPr>
      <w:r>
        <w:t>本期实际核销</w:t>
      </w:r>
      <w:r>
        <w:rPr>
          <w:rFonts w:hint="eastAsia"/>
        </w:rPr>
        <w:t>的其他债权投资</w:t>
      </w:r>
      <w:r>
        <w:t>情况</w:t>
      </w:r>
    </w:p>
    <w:bookmarkStart w:id="194" w:name="_Hlk153456989" w:displacedByCustomXml="next"/>
    <w:sdt>
      <w:sdtPr>
        <w:rPr>
          <w:sz w:val="21"/>
          <w:szCs w:val="21"/>
        </w:rPr>
        <w:alias w:val="是否适用：实际核销的情况[双击切换]"/>
        <w:tag w:val="_GBC_7ae85c2d27ec44faaa716fc50cbdc0bf"/>
        <w:id w:val="91042452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其中重要的其他债权投资</w:t>
      </w:r>
      <w:r>
        <w:rPr>
          <w:sz w:val="21"/>
          <w:szCs w:val="21"/>
        </w:rPr>
        <w:t>情况</w:t>
      </w:r>
      <w:r>
        <w:rPr>
          <w:rFonts w:hint="eastAsia"/>
          <w:sz w:val="21"/>
          <w:szCs w:val="21"/>
        </w:rPr>
        <w:t>核销情况</w:t>
      </w:r>
    </w:p>
    <w:sdt>
      <w:sdtPr>
        <w:rPr>
          <w:rFonts w:hint="eastAsia"/>
          <w:sz w:val="21"/>
          <w:szCs w:val="21"/>
        </w:rPr>
        <w:alias w:val="是否适用：重要的核销情况[双击切换]"/>
        <w:tag w:val="_GBC_d4c60ae51ff54b7399e4fd6edd2e8504"/>
        <w:id w:val="-30254374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其他债权投资的核销说明：</w:t>
      </w:r>
    </w:p>
    <w:sdt>
      <w:sdtPr>
        <w:rPr>
          <w:sz w:val="21"/>
          <w:szCs w:val="21"/>
        </w:rPr>
        <w:alias w:val="是否适用：核销说明[双击切换]"/>
        <w:tag w:val="_GBC_689ae117433c459c8a9722be4d19d604"/>
        <w:id w:val="-7775013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4"/>
      </w:pPr>
      <w:r>
        <w:rPr>
          <w:rFonts w:hint="eastAsia"/>
        </w:rPr>
        <w:t>其他说明：</w:t>
      </w:r>
    </w:p>
    <w:bookmarkEnd w:id="194" w:displacedByCustomXml="next"/>
    <w:sdt>
      <w:sdtPr>
        <w:alias w:val="是否适用：其他债权投资其他说明[双击切换]"/>
        <w:tag w:val="_GBC_ce8084fd599f45febc44624db662adaa"/>
        <w:id w:val="173712885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长期应收款</w:t>
      </w:r>
    </w:p>
    <w:p w:rsidR="004A3868" w:rsidRDefault="003F1AB5">
      <w:pPr>
        <w:pStyle w:val="Style128"/>
        <w:numPr>
          <w:ilvl w:val="3"/>
          <w:numId w:val="75"/>
        </w:numPr>
      </w:pPr>
      <w:r>
        <w:rPr>
          <w:rFonts w:hint="eastAsia"/>
        </w:rPr>
        <w:t>长期应收款情况</w:t>
      </w:r>
    </w:p>
    <w:sdt>
      <w:sdtPr>
        <w:alias w:val="是否适用：长期应收款情况[双击切换]"/>
        <w:tag w:val="_GBC_0c54e576828240c482e58c8a9f7cd173"/>
        <w:id w:val="-13171107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jc w:val="right"/>
        <w:rPr>
          <w:sz w:val="21"/>
          <w:szCs w:val="21"/>
        </w:rPr>
      </w:pPr>
      <w:r>
        <w:rPr>
          <w:rFonts w:hint="eastAsia"/>
          <w:sz w:val="21"/>
          <w:szCs w:val="21"/>
        </w:rPr>
        <w:t>单位：</w:t>
      </w:r>
      <w:sdt>
        <w:sdtPr>
          <w:rPr>
            <w:rFonts w:hint="eastAsia"/>
            <w:sz w:val="21"/>
            <w:szCs w:val="21"/>
          </w:rPr>
          <w:alias w:val="单位：财务附注：长期应收款"/>
          <w:tag w:val="_GBC_83e90e099c524c00ad00f3262465133a"/>
          <w:id w:val="15053174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币种：</w:t>
      </w:r>
      <w:sdt>
        <w:sdtPr>
          <w:rPr>
            <w:rFonts w:hint="eastAsia"/>
            <w:sz w:val="21"/>
            <w:szCs w:val="21"/>
          </w:rPr>
          <w:alias w:val="币种：财务附注：长期应收款"/>
          <w:tag w:val="_GBC_1c013f993d584882abdce9005f6d0f21"/>
          <w:id w:val="72865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397"/>
        <w:gridCol w:w="1150"/>
        <w:gridCol w:w="992"/>
        <w:gridCol w:w="1278"/>
        <w:gridCol w:w="990"/>
        <w:gridCol w:w="992"/>
        <w:gridCol w:w="1135"/>
        <w:gridCol w:w="889"/>
      </w:tblGrid>
      <w:tr w:rsidR="004A3868">
        <w:trPr>
          <w:trHeight w:val="397"/>
          <w:jc w:val="center"/>
        </w:trPr>
        <w:sdt>
          <w:sdtPr>
            <w:tag w:val="_PLD_1579a5a5db414628bc47ed54fb917eb5"/>
            <w:id w:val="-1078977615"/>
            <w:lock w:val="sdtLocked"/>
          </w:sdtPr>
          <w:sdtEndPr/>
          <w:sdtContent>
            <w:tc>
              <w:tcPr>
                <w:tcW w:w="792"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9a36ea2203424631bf208c9515121cc2"/>
            <w:id w:val="-1563709350"/>
            <w:lock w:val="sdtLocked"/>
          </w:sdtPr>
          <w:sdtEndPr/>
          <w:sdtContent>
            <w:tc>
              <w:tcPr>
                <w:tcW w:w="19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期末余额</w:t>
                </w:r>
              </w:p>
            </w:tc>
          </w:sdtContent>
        </w:sdt>
        <w:sdt>
          <w:sdtPr>
            <w:tag w:val="_PLD_03d144ce33e04be682481d2a013c13af"/>
            <w:id w:val="-692683069"/>
            <w:lock w:val="sdtLocked"/>
          </w:sdtPr>
          <w:sdtEndPr/>
          <w:sdtContent>
            <w:tc>
              <w:tcPr>
                <w:tcW w:w="176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期初余额</w:t>
                </w:r>
              </w:p>
            </w:tc>
          </w:sdtContent>
        </w:sdt>
        <w:tc>
          <w:tcPr>
            <w:tcW w:w="504" w:type="pct"/>
            <w:vMerge w:val="restart"/>
            <w:tcBorders>
              <w:top w:val="single" w:sz="4" w:space="0" w:color="auto"/>
              <w:left w:val="single" w:sz="4" w:space="0" w:color="auto"/>
              <w:right w:val="single" w:sz="4" w:space="0" w:color="auto"/>
            </w:tcBorders>
            <w:shd w:val="clear" w:color="auto" w:fill="auto"/>
            <w:vAlign w:val="center"/>
          </w:tcPr>
          <w:p w:rsidR="004A3868" w:rsidRDefault="00B34370">
            <w:pPr>
              <w:pStyle w:val="afffb"/>
            </w:pPr>
            <w:sdt>
              <w:sdtPr>
                <w:tag w:val="_PLD_19a494fc04ce4efba377e98e304b04d0"/>
                <w:id w:val="1476493056"/>
                <w:lock w:val="sdtLocked"/>
              </w:sdtPr>
              <w:sdtEndPr>
                <w:rPr>
                  <w:highlight w:val="yellow"/>
                </w:rPr>
              </w:sdtEndPr>
              <w:sdtContent>
                <w:r w:rsidR="003F1AB5">
                  <w:rPr>
                    <w:rFonts w:hint="eastAsia"/>
                  </w:rPr>
                  <w:t>折现率区间</w:t>
                </w:r>
              </w:sdtContent>
            </w:sdt>
          </w:p>
        </w:tc>
      </w:tr>
      <w:tr w:rsidR="004A38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792" w:type="pct"/>
            <w:vMerge/>
            <w:tcBorders>
              <w:left w:val="single" w:sz="4" w:space="0" w:color="auto"/>
              <w:bottom w:val="single" w:sz="6" w:space="0" w:color="auto"/>
              <w:right w:val="single" w:sz="4" w:space="0" w:color="auto"/>
            </w:tcBorders>
            <w:shd w:val="clear" w:color="auto" w:fill="auto"/>
            <w:vAlign w:val="center"/>
          </w:tcPr>
          <w:p w:rsidR="004A3868" w:rsidRDefault="004A3868">
            <w:pPr>
              <w:pStyle w:val="afffb"/>
            </w:pPr>
          </w:p>
        </w:tc>
        <w:sdt>
          <w:sdtPr>
            <w:tag w:val="_PLD_c0fe744fa9744e57b65a03499c0b9370"/>
            <w:id w:val="-1977666728"/>
            <w:lock w:val="sdtLocked"/>
          </w:sdtPr>
          <w:sdtEndPr/>
          <w:sdtContent>
            <w:tc>
              <w:tcPr>
                <w:tcW w:w="652" w:type="pct"/>
                <w:tcBorders>
                  <w:left w:val="single" w:sz="4" w:space="0" w:color="auto"/>
                  <w:bottom w:val="single" w:sz="6" w:space="0" w:color="auto"/>
                </w:tcBorders>
                <w:shd w:val="clear" w:color="auto" w:fill="auto"/>
                <w:vAlign w:val="center"/>
              </w:tcPr>
              <w:p w:rsidR="004A3868" w:rsidRDefault="003F1AB5">
                <w:pPr>
                  <w:pStyle w:val="afffb"/>
                </w:pPr>
                <w:r>
                  <w:rPr>
                    <w:rFonts w:hint="eastAsia"/>
                  </w:rPr>
                  <w:t>账面余额</w:t>
                </w:r>
              </w:p>
            </w:tc>
          </w:sdtContent>
        </w:sdt>
        <w:sdt>
          <w:sdtPr>
            <w:tag w:val="_PLD_77ffaa95600c4c8d82666d2fa1a55587"/>
            <w:id w:val="-136191784"/>
            <w:lock w:val="sdtLocked"/>
          </w:sdtPr>
          <w:sdtEndPr/>
          <w:sdtContent>
            <w:tc>
              <w:tcPr>
                <w:tcW w:w="562" w:type="pct"/>
                <w:tcBorders>
                  <w:bottom w:val="single" w:sz="6" w:space="0" w:color="auto"/>
                </w:tcBorders>
                <w:shd w:val="clear" w:color="auto" w:fill="auto"/>
                <w:vAlign w:val="center"/>
              </w:tcPr>
              <w:p w:rsidR="004A3868" w:rsidRDefault="003F1AB5">
                <w:pPr>
                  <w:pStyle w:val="afffb"/>
                </w:pPr>
                <w:r>
                  <w:rPr>
                    <w:rFonts w:hint="eastAsia"/>
                  </w:rPr>
                  <w:t>坏账准备</w:t>
                </w:r>
              </w:p>
            </w:tc>
          </w:sdtContent>
        </w:sdt>
        <w:sdt>
          <w:sdtPr>
            <w:tag w:val="_PLD_b4a8209a5fa445268b4557f9b0cea931"/>
            <w:id w:val="694359962"/>
            <w:lock w:val="sdtLocked"/>
          </w:sdtPr>
          <w:sdtEndPr/>
          <w:sdtContent>
            <w:tc>
              <w:tcPr>
                <w:tcW w:w="724" w:type="pct"/>
                <w:tcBorders>
                  <w:bottom w:val="single" w:sz="6" w:space="0" w:color="auto"/>
                </w:tcBorders>
                <w:shd w:val="clear" w:color="auto" w:fill="auto"/>
                <w:vAlign w:val="center"/>
              </w:tcPr>
              <w:p w:rsidR="004A3868" w:rsidRDefault="003F1AB5">
                <w:pPr>
                  <w:pStyle w:val="afffb"/>
                </w:pPr>
                <w:r>
                  <w:rPr>
                    <w:rFonts w:hint="eastAsia"/>
                  </w:rPr>
                  <w:t>账面价值</w:t>
                </w:r>
              </w:p>
            </w:tc>
          </w:sdtContent>
        </w:sdt>
        <w:sdt>
          <w:sdtPr>
            <w:tag w:val="_PLD_8f25a17bc1634cc893a4d67aa1847b6a"/>
            <w:id w:val="-1326509163"/>
            <w:lock w:val="sdtLocked"/>
          </w:sdtPr>
          <w:sdtEndPr/>
          <w:sdtContent>
            <w:tc>
              <w:tcPr>
                <w:tcW w:w="561" w:type="pct"/>
                <w:tcBorders>
                  <w:bottom w:val="single" w:sz="6" w:space="0" w:color="auto"/>
                </w:tcBorders>
                <w:shd w:val="clear" w:color="auto" w:fill="auto"/>
                <w:vAlign w:val="center"/>
              </w:tcPr>
              <w:p w:rsidR="004A3868" w:rsidRDefault="003F1AB5">
                <w:pPr>
                  <w:pStyle w:val="afffb"/>
                </w:pPr>
                <w:r>
                  <w:rPr>
                    <w:rFonts w:hint="eastAsia"/>
                  </w:rPr>
                  <w:t>账面余额</w:t>
                </w:r>
              </w:p>
            </w:tc>
          </w:sdtContent>
        </w:sdt>
        <w:sdt>
          <w:sdtPr>
            <w:tag w:val="_PLD_a654b9f6a8cf4e1797c1b5ccb7073aa0"/>
            <w:id w:val="-1762902755"/>
            <w:lock w:val="sdtLocked"/>
          </w:sdtPr>
          <w:sdtEndPr/>
          <w:sdtContent>
            <w:tc>
              <w:tcPr>
                <w:tcW w:w="562" w:type="pct"/>
                <w:tcBorders>
                  <w:bottom w:val="single" w:sz="6" w:space="0" w:color="auto"/>
                </w:tcBorders>
                <w:shd w:val="clear" w:color="auto" w:fill="auto"/>
                <w:vAlign w:val="center"/>
              </w:tcPr>
              <w:p w:rsidR="004A3868" w:rsidRDefault="003F1AB5">
                <w:pPr>
                  <w:pStyle w:val="afffb"/>
                </w:pPr>
                <w:r>
                  <w:rPr>
                    <w:rFonts w:hint="eastAsia"/>
                  </w:rPr>
                  <w:t>坏账准备</w:t>
                </w:r>
              </w:p>
            </w:tc>
          </w:sdtContent>
        </w:sdt>
        <w:sdt>
          <w:sdtPr>
            <w:tag w:val="_PLD_bccad3095dd04c1e9d8e38cc94818670"/>
            <w:id w:val="-635023747"/>
            <w:lock w:val="sdtLocked"/>
          </w:sdtPr>
          <w:sdtEndPr/>
          <w:sdtContent>
            <w:tc>
              <w:tcPr>
                <w:tcW w:w="643" w:type="pct"/>
                <w:tcBorders>
                  <w:bottom w:val="single" w:sz="6" w:space="0" w:color="auto"/>
                  <w:right w:val="single" w:sz="4" w:space="0" w:color="auto"/>
                </w:tcBorders>
                <w:shd w:val="clear" w:color="auto" w:fill="auto"/>
                <w:vAlign w:val="center"/>
              </w:tcPr>
              <w:p w:rsidR="004A3868" w:rsidRDefault="003F1AB5">
                <w:pPr>
                  <w:pStyle w:val="afffb"/>
                </w:pPr>
                <w:r>
                  <w:rPr>
                    <w:rFonts w:hint="eastAsia"/>
                  </w:rPr>
                  <w:t>账面价值</w:t>
                </w:r>
              </w:p>
            </w:tc>
          </w:sdtContent>
        </w:sdt>
        <w:tc>
          <w:tcPr>
            <w:tcW w:w="504" w:type="pct"/>
            <w:vMerge/>
            <w:tcBorders>
              <w:left w:val="single" w:sz="4" w:space="0" w:color="auto"/>
              <w:bottom w:val="single" w:sz="6" w:space="0" w:color="auto"/>
              <w:right w:val="single" w:sz="4" w:space="0" w:color="auto"/>
            </w:tcBorders>
            <w:shd w:val="clear" w:color="auto" w:fill="auto"/>
          </w:tcPr>
          <w:p w:rsidR="004A3868" w:rsidRDefault="004A3868">
            <w:pPr>
              <w:rPr>
                <w:sz w:val="18"/>
                <w:szCs w:val="18"/>
              </w:rPr>
            </w:pPr>
          </w:p>
        </w:tc>
      </w:tr>
      <w:tr w:rsidR="004A38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792" w:type="pct"/>
            <w:shd w:val="clear" w:color="auto" w:fill="auto"/>
            <w:vAlign w:val="center"/>
          </w:tcPr>
          <w:p w:rsidR="004A3868" w:rsidRDefault="003F1AB5">
            <w:pPr>
              <w:pStyle w:val="afff9"/>
            </w:pPr>
            <w:r>
              <w:rPr>
                <w:rFonts w:hint="eastAsia"/>
              </w:rPr>
              <w:lastRenderedPageBreak/>
              <w:t>融资租赁款</w:t>
            </w:r>
          </w:p>
        </w:tc>
        <w:tc>
          <w:tcPr>
            <w:tcW w:w="652" w:type="pct"/>
            <w:shd w:val="clear" w:color="auto" w:fill="auto"/>
            <w:vAlign w:val="center"/>
          </w:tcPr>
          <w:p w:rsidR="004A3868" w:rsidRDefault="003F1AB5">
            <w:pPr>
              <w:pStyle w:val="afff7"/>
            </w:pPr>
            <w:r>
              <w:t>68,683.88</w:t>
            </w:r>
          </w:p>
        </w:tc>
        <w:tc>
          <w:tcPr>
            <w:tcW w:w="562" w:type="pct"/>
            <w:shd w:val="clear" w:color="auto" w:fill="auto"/>
            <w:vAlign w:val="center"/>
          </w:tcPr>
          <w:p w:rsidR="004A3868" w:rsidRDefault="003F1AB5">
            <w:pPr>
              <w:pStyle w:val="afff7"/>
            </w:pPr>
            <w:r>
              <w:t>6,868.39</w:t>
            </w:r>
          </w:p>
        </w:tc>
        <w:tc>
          <w:tcPr>
            <w:tcW w:w="724" w:type="pct"/>
            <w:shd w:val="clear" w:color="auto" w:fill="auto"/>
            <w:vAlign w:val="center"/>
          </w:tcPr>
          <w:p w:rsidR="004A3868" w:rsidRDefault="003F1AB5">
            <w:pPr>
              <w:pStyle w:val="afff7"/>
            </w:pPr>
            <w:r>
              <w:t>61,815.49</w:t>
            </w:r>
          </w:p>
        </w:tc>
        <w:tc>
          <w:tcPr>
            <w:tcW w:w="561" w:type="pct"/>
            <w:shd w:val="clear" w:color="auto" w:fill="auto"/>
            <w:vAlign w:val="center"/>
          </w:tcPr>
          <w:p w:rsidR="004A3868" w:rsidRDefault="003F1AB5">
            <w:pPr>
              <w:pStyle w:val="afff7"/>
            </w:pPr>
            <w:r>
              <w:t>298,281.03</w:t>
            </w:r>
          </w:p>
        </w:tc>
        <w:tc>
          <w:tcPr>
            <w:tcW w:w="562" w:type="pct"/>
            <w:shd w:val="clear" w:color="auto" w:fill="auto"/>
            <w:vAlign w:val="center"/>
          </w:tcPr>
          <w:p w:rsidR="004A3868" w:rsidRDefault="003F1AB5">
            <w:pPr>
              <w:pStyle w:val="afff7"/>
            </w:pPr>
            <w:r>
              <w:t>26,193.63</w:t>
            </w:r>
          </w:p>
        </w:tc>
        <w:tc>
          <w:tcPr>
            <w:tcW w:w="643" w:type="pct"/>
            <w:tcBorders>
              <w:right w:val="single" w:sz="4" w:space="0" w:color="auto"/>
            </w:tcBorders>
            <w:shd w:val="clear" w:color="auto" w:fill="auto"/>
            <w:vAlign w:val="center"/>
          </w:tcPr>
          <w:p w:rsidR="004A3868" w:rsidRDefault="003F1AB5">
            <w:pPr>
              <w:pStyle w:val="afff7"/>
            </w:pPr>
            <w:r>
              <w:t>272,087.40</w:t>
            </w:r>
          </w:p>
        </w:tc>
        <w:tc>
          <w:tcPr>
            <w:tcW w:w="504" w:type="pct"/>
            <w:tcBorders>
              <w:left w:val="single" w:sz="4" w:space="0" w:color="auto"/>
            </w:tcBorders>
            <w:shd w:val="clear" w:color="auto" w:fill="auto"/>
            <w:vAlign w:val="center"/>
          </w:tcPr>
          <w:p w:rsidR="004A3868" w:rsidRDefault="003F1AB5">
            <w:pPr>
              <w:pStyle w:val="afff7"/>
            </w:pPr>
            <w:r>
              <w:rPr>
                <w:rFonts w:hint="eastAsia"/>
                <w:lang w:bidi="ar"/>
              </w:rPr>
              <w:t>3.85%~6%</w:t>
            </w:r>
          </w:p>
        </w:tc>
      </w:tr>
      <w:tr w:rsidR="004A38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792" w:type="pct"/>
            <w:shd w:val="clear" w:color="auto" w:fill="auto"/>
            <w:vAlign w:val="center"/>
          </w:tcPr>
          <w:p w:rsidR="004A3868" w:rsidRDefault="003F1AB5">
            <w:pPr>
              <w:pStyle w:val="afff9"/>
            </w:pPr>
            <w:r>
              <w:rPr>
                <w:rFonts w:hint="eastAsia"/>
              </w:rPr>
              <w:t>其中：未实现融资收益</w:t>
            </w:r>
          </w:p>
        </w:tc>
        <w:tc>
          <w:tcPr>
            <w:tcW w:w="652" w:type="pct"/>
            <w:shd w:val="clear" w:color="auto" w:fill="auto"/>
            <w:vAlign w:val="center"/>
          </w:tcPr>
          <w:p w:rsidR="004A3868" w:rsidRDefault="004A3868">
            <w:pPr>
              <w:pStyle w:val="afff7"/>
            </w:pPr>
          </w:p>
        </w:tc>
        <w:tc>
          <w:tcPr>
            <w:tcW w:w="562"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561" w:type="pct"/>
            <w:shd w:val="clear" w:color="auto" w:fill="auto"/>
            <w:vAlign w:val="center"/>
          </w:tcPr>
          <w:p w:rsidR="004A3868" w:rsidRDefault="003F1AB5">
            <w:pPr>
              <w:pStyle w:val="afff7"/>
            </w:pPr>
            <w:r>
              <w:t>9,933.35</w:t>
            </w:r>
          </w:p>
        </w:tc>
        <w:tc>
          <w:tcPr>
            <w:tcW w:w="562" w:type="pct"/>
            <w:shd w:val="clear" w:color="auto" w:fill="auto"/>
            <w:vAlign w:val="center"/>
          </w:tcPr>
          <w:p w:rsidR="004A3868" w:rsidRDefault="004A3868">
            <w:pPr>
              <w:pStyle w:val="afff7"/>
            </w:pPr>
          </w:p>
        </w:tc>
        <w:tc>
          <w:tcPr>
            <w:tcW w:w="643" w:type="pct"/>
            <w:tcBorders>
              <w:right w:val="single" w:sz="4" w:space="0" w:color="auto"/>
            </w:tcBorders>
            <w:shd w:val="clear" w:color="auto" w:fill="auto"/>
            <w:vAlign w:val="center"/>
          </w:tcPr>
          <w:p w:rsidR="004A3868" w:rsidRDefault="003F1AB5">
            <w:pPr>
              <w:pStyle w:val="afff7"/>
            </w:pPr>
            <w:r>
              <w:t>9,933.35</w:t>
            </w:r>
          </w:p>
        </w:tc>
        <w:tc>
          <w:tcPr>
            <w:tcW w:w="504" w:type="pct"/>
            <w:tcBorders>
              <w:left w:val="single" w:sz="4" w:space="0" w:color="auto"/>
            </w:tcBorders>
            <w:shd w:val="clear" w:color="auto" w:fill="auto"/>
            <w:vAlign w:val="center"/>
          </w:tcPr>
          <w:p w:rsidR="004A3868" w:rsidRDefault="004A3868">
            <w:pPr>
              <w:pStyle w:val="afff7"/>
            </w:pPr>
          </w:p>
        </w:tc>
      </w:tr>
      <w:tr w:rsidR="004A38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792" w:type="pct"/>
            <w:shd w:val="clear" w:color="auto" w:fill="auto"/>
            <w:vAlign w:val="center"/>
          </w:tcPr>
          <w:p w:rsidR="004A3868" w:rsidRDefault="003F1AB5">
            <w:pPr>
              <w:pStyle w:val="afff9"/>
            </w:pPr>
            <w:r>
              <w:rPr>
                <w:rFonts w:hint="eastAsia"/>
              </w:rPr>
              <w:t>渝巴专用铁路高站台代建应收款（注</w:t>
            </w:r>
            <w:r>
              <w:rPr>
                <w:rFonts w:hint="eastAsia"/>
              </w:rPr>
              <w:t>1</w:t>
            </w:r>
            <w:r>
              <w:rPr>
                <w:rFonts w:hint="eastAsia"/>
              </w:rPr>
              <w:t>）</w:t>
            </w:r>
          </w:p>
        </w:tc>
        <w:tc>
          <w:tcPr>
            <w:tcW w:w="652" w:type="pct"/>
            <w:shd w:val="clear" w:color="auto" w:fill="auto"/>
            <w:vAlign w:val="center"/>
          </w:tcPr>
          <w:p w:rsidR="004A3868" w:rsidRDefault="003F1AB5">
            <w:pPr>
              <w:pStyle w:val="afff7"/>
            </w:pPr>
            <w:r>
              <w:t>6,249,285.19</w:t>
            </w:r>
          </w:p>
        </w:tc>
        <w:tc>
          <w:tcPr>
            <w:tcW w:w="562" w:type="pct"/>
            <w:shd w:val="clear" w:color="auto" w:fill="auto"/>
            <w:vAlign w:val="center"/>
          </w:tcPr>
          <w:p w:rsidR="004A3868" w:rsidRDefault="004A3868">
            <w:pPr>
              <w:pStyle w:val="afff7"/>
            </w:pPr>
          </w:p>
        </w:tc>
        <w:tc>
          <w:tcPr>
            <w:tcW w:w="724" w:type="pct"/>
            <w:shd w:val="clear" w:color="auto" w:fill="auto"/>
            <w:vAlign w:val="center"/>
          </w:tcPr>
          <w:p w:rsidR="004A3868" w:rsidRDefault="003F1AB5">
            <w:pPr>
              <w:pStyle w:val="afff7"/>
            </w:pPr>
            <w:r>
              <w:t>6,249,285.19</w:t>
            </w:r>
          </w:p>
        </w:tc>
        <w:tc>
          <w:tcPr>
            <w:tcW w:w="561" w:type="pct"/>
            <w:shd w:val="clear" w:color="auto" w:fill="auto"/>
            <w:vAlign w:val="center"/>
          </w:tcPr>
          <w:p w:rsidR="004A3868" w:rsidRDefault="004A3868">
            <w:pPr>
              <w:pStyle w:val="afff7"/>
            </w:pPr>
          </w:p>
        </w:tc>
        <w:tc>
          <w:tcPr>
            <w:tcW w:w="562" w:type="pct"/>
            <w:shd w:val="clear" w:color="auto" w:fill="auto"/>
            <w:vAlign w:val="center"/>
          </w:tcPr>
          <w:p w:rsidR="004A3868" w:rsidRDefault="004A3868">
            <w:pPr>
              <w:pStyle w:val="afff7"/>
            </w:pPr>
          </w:p>
        </w:tc>
        <w:tc>
          <w:tcPr>
            <w:tcW w:w="643" w:type="pct"/>
            <w:tcBorders>
              <w:right w:val="single" w:sz="4" w:space="0" w:color="auto"/>
            </w:tcBorders>
            <w:shd w:val="clear" w:color="auto" w:fill="auto"/>
            <w:vAlign w:val="center"/>
          </w:tcPr>
          <w:p w:rsidR="004A3868" w:rsidRDefault="004A3868">
            <w:pPr>
              <w:pStyle w:val="afff7"/>
            </w:pPr>
          </w:p>
        </w:tc>
        <w:tc>
          <w:tcPr>
            <w:tcW w:w="504" w:type="pct"/>
            <w:tcBorders>
              <w:left w:val="single" w:sz="4" w:space="0" w:color="auto"/>
            </w:tcBorders>
            <w:shd w:val="clear" w:color="auto" w:fill="auto"/>
            <w:vAlign w:val="center"/>
          </w:tcPr>
          <w:p w:rsidR="004A3868" w:rsidRDefault="003F1AB5">
            <w:pPr>
              <w:pStyle w:val="afff7"/>
            </w:pPr>
            <w:r>
              <w:rPr>
                <w:rFonts w:hint="eastAsia"/>
                <w:lang w:bidi="ar"/>
              </w:rPr>
              <w:t>3.85%~6%</w:t>
            </w:r>
          </w:p>
        </w:tc>
      </w:tr>
      <w:tr w:rsidR="004A38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792" w:type="pct"/>
            <w:tcBorders>
              <w:bottom w:val="single" w:sz="6" w:space="0" w:color="auto"/>
            </w:tcBorders>
            <w:shd w:val="clear" w:color="auto" w:fill="auto"/>
            <w:vAlign w:val="center"/>
          </w:tcPr>
          <w:p w:rsidR="004A3868" w:rsidRDefault="003F1AB5">
            <w:pPr>
              <w:pStyle w:val="afff9"/>
            </w:pPr>
            <w:r>
              <w:rPr>
                <w:rFonts w:hint="eastAsia"/>
              </w:rPr>
              <w:t>减：一年内到期的长期应收款</w:t>
            </w:r>
          </w:p>
        </w:tc>
        <w:tc>
          <w:tcPr>
            <w:tcW w:w="652" w:type="pct"/>
            <w:shd w:val="clear" w:color="auto" w:fill="auto"/>
            <w:vAlign w:val="center"/>
          </w:tcPr>
          <w:p w:rsidR="004A3868" w:rsidRDefault="003F1AB5">
            <w:pPr>
              <w:pStyle w:val="afff7"/>
            </w:pPr>
            <w:r>
              <w:t>68,683.88</w:t>
            </w:r>
          </w:p>
        </w:tc>
        <w:tc>
          <w:tcPr>
            <w:tcW w:w="562" w:type="pct"/>
            <w:shd w:val="clear" w:color="auto" w:fill="auto"/>
            <w:vAlign w:val="center"/>
          </w:tcPr>
          <w:p w:rsidR="004A3868" w:rsidRDefault="003F1AB5">
            <w:pPr>
              <w:pStyle w:val="afff7"/>
            </w:pPr>
            <w:r>
              <w:t>6,868.39</w:t>
            </w:r>
          </w:p>
        </w:tc>
        <w:tc>
          <w:tcPr>
            <w:tcW w:w="724" w:type="pct"/>
            <w:shd w:val="clear" w:color="auto" w:fill="auto"/>
            <w:vAlign w:val="center"/>
          </w:tcPr>
          <w:p w:rsidR="004A3868" w:rsidRDefault="003F1AB5">
            <w:pPr>
              <w:pStyle w:val="afff7"/>
            </w:pPr>
            <w:r>
              <w:t>61,815.49</w:t>
            </w:r>
          </w:p>
        </w:tc>
        <w:tc>
          <w:tcPr>
            <w:tcW w:w="561" w:type="pct"/>
            <w:shd w:val="clear" w:color="auto" w:fill="auto"/>
            <w:vAlign w:val="center"/>
          </w:tcPr>
          <w:p w:rsidR="004A3868" w:rsidRDefault="003F1AB5">
            <w:pPr>
              <w:pStyle w:val="afff7"/>
            </w:pPr>
            <w:r>
              <w:t>298,281.03</w:t>
            </w:r>
          </w:p>
        </w:tc>
        <w:tc>
          <w:tcPr>
            <w:tcW w:w="562" w:type="pct"/>
            <w:shd w:val="clear" w:color="auto" w:fill="auto"/>
            <w:vAlign w:val="center"/>
          </w:tcPr>
          <w:p w:rsidR="004A3868" w:rsidRDefault="003F1AB5">
            <w:pPr>
              <w:pStyle w:val="afff7"/>
            </w:pPr>
            <w:r>
              <w:t>26,193.63</w:t>
            </w:r>
          </w:p>
        </w:tc>
        <w:tc>
          <w:tcPr>
            <w:tcW w:w="643" w:type="pct"/>
            <w:tcBorders>
              <w:right w:val="single" w:sz="4" w:space="0" w:color="auto"/>
            </w:tcBorders>
            <w:shd w:val="clear" w:color="auto" w:fill="auto"/>
            <w:vAlign w:val="center"/>
          </w:tcPr>
          <w:p w:rsidR="004A3868" w:rsidRDefault="003F1AB5">
            <w:pPr>
              <w:pStyle w:val="afff7"/>
            </w:pPr>
            <w:r>
              <w:t>272,087.40</w:t>
            </w:r>
          </w:p>
        </w:tc>
        <w:tc>
          <w:tcPr>
            <w:tcW w:w="504" w:type="pct"/>
            <w:tcBorders>
              <w:left w:val="single" w:sz="4" w:space="0" w:color="auto"/>
            </w:tcBorders>
            <w:shd w:val="clear" w:color="auto" w:fill="auto"/>
            <w:vAlign w:val="center"/>
          </w:tcPr>
          <w:p w:rsidR="004A3868" w:rsidRDefault="003F1AB5">
            <w:pPr>
              <w:pStyle w:val="afff7"/>
            </w:pPr>
            <w:r>
              <w:rPr>
                <w:rFonts w:hint="eastAsia"/>
                <w:lang w:bidi="ar"/>
              </w:rPr>
              <w:t>3.85%~6%</w:t>
            </w:r>
          </w:p>
        </w:tc>
      </w:tr>
      <w:tr w:rsidR="004A38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tblCellMar>
        </w:tblPrEx>
        <w:trPr>
          <w:trHeight w:val="397"/>
          <w:jc w:val="center"/>
        </w:trPr>
        <w:tc>
          <w:tcPr>
            <w:tcW w:w="792" w:type="pct"/>
            <w:shd w:val="clear" w:color="auto" w:fill="auto"/>
            <w:vAlign w:val="center"/>
          </w:tcPr>
          <w:p w:rsidR="004A3868" w:rsidRDefault="003F1AB5">
            <w:pPr>
              <w:pStyle w:val="afff9"/>
            </w:pPr>
            <w:r>
              <w:rPr>
                <w:rFonts w:hint="eastAsia"/>
              </w:rPr>
              <w:t>合计</w:t>
            </w:r>
          </w:p>
        </w:tc>
        <w:tc>
          <w:tcPr>
            <w:tcW w:w="652" w:type="pct"/>
            <w:shd w:val="clear" w:color="auto" w:fill="auto"/>
            <w:vAlign w:val="center"/>
          </w:tcPr>
          <w:p w:rsidR="004A3868" w:rsidRDefault="003F1AB5">
            <w:pPr>
              <w:pStyle w:val="afff7"/>
            </w:pPr>
            <w:r>
              <w:t>6,249,285.19</w:t>
            </w:r>
          </w:p>
        </w:tc>
        <w:tc>
          <w:tcPr>
            <w:tcW w:w="562" w:type="pct"/>
            <w:shd w:val="clear" w:color="auto" w:fill="auto"/>
            <w:vAlign w:val="center"/>
          </w:tcPr>
          <w:p w:rsidR="004A3868" w:rsidRDefault="004A3868">
            <w:pPr>
              <w:pStyle w:val="afff7"/>
            </w:pPr>
          </w:p>
        </w:tc>
        <w:tc>
          <w:tcPr>
            <w:tcW w:w="724" w:type="pct"/>
            <w:shd w:val="clear" w:color="auto" w:fill="auto"/>
            <w:vAlign w:val="center"/>
          </w:tcPr>
          <w:p w:rsidR="004A3868" w:rsidRDefault="003F1AB5">
            <w:pPr>
              <w:pStyle w:val="afff7"/>
            </w:pPr>
            <w:r>
              <w:t>6,249,285.19</w:t>
            </w:r>
          </w:p>
        </w:tc>
        <w:tc>
          <w:tcPr>
            <w:tcW w:w="561" w:type="pct"/>
            <w:shd w:val="clear" w:color="auto" w:fill="auto"/>
            <w:vAlign w:val="center"/>
          </w:tcPr>
          <w:p w:rsidR="004A3868" w:rsidRDefault="004A3868">
            <w:pPr>
              <w:pStyle w:val="afff7"/>
            </w:pPr>
          </w:p>
        </w:tc>
        <w:tc>
          <w:tcPr>
            <w:tcW w:w="562" w:type="pct"/>
            <w:shd w:val="clear" w:color="auto" w:fill="auto"/>
            <w:vAlign w:val="center"/>
          </w:tcPr>
          <w:p w:rsidR="004A3868" w:rsidRDefault="004A3868">
            <w:pPr>
              <w:pStyle w:val="afff7"/>
            </w:pPr>
          </w:p>
        </w:tc>
        <w:tc>
          <w:tcPr>
            <w:tcW w:w="643" w:type="pct"/>
            <w:tcBorders>
              <w:right w:val="single" w:sz="4" w:space="0" w:color="auto"/>
            </w:tcBorders>
            <w:shd w:val="clear" w:color="auto" w:fill="auto"/>
            <w:vAlign w:val="center"/>
          </w:tcPr>
          <w:p w:rsidR="004A3868" w:rsidRDefault="004A3868">
            <w:pPr>
              <w:pStyle w:val="afff7"/>
            </w:pPr>
          </w:p>
        </w:tc>
        <w:tc>
          <w:tcPr>
            <w:tcW w:w="504" w:type="pct"/>
            <w:tcBorders>
              <w:left w:val="single" w:sz="4" w:space="0" w:color="auto"/>
            </w:tcBorders>
            <w:shd w:val="clear" w:color="auto" w:fill="auto"/>
            <w:vAlign w:val="center"/>
          </w:tcPr>
          <w:p w:rsidR="004A3868" w:rsidRDefault="003F1AB5">
            <w:pPr>
              <w:pStyle w:val="afff7"/>
            </w:pPr>
            <w:r>
              <w:rPr>
                <w:rFonts w:hint="eastAsia"/>
              </w:rPr>
              <w:t>/</w:t>
            </w:r>
          </w:p>
        </w:tc>
      </w:tr>
    </w:tbl>
    <w:p w:rsidR="004A3868" w:rsidRDefault="003F1AB5">
      <w:pPr>
        <w:pStyle w:val="afff3"/>
        <w:ind w:firstLine="420"/>
      </w:pPr>
      <w:r>
        <w:rPr>
          <w:rFonts w:hint="eastAsia"/>
        </w:rPr>
        <w:t>注</w:t>
      </w:r>
      <w:r>
        <w:t>1：渝巴专用铁路高站台代建应收款系2022年公司与重庆渝巴物流有限责任公司（以下简称“渝巴公司”）签署的《渝巴专用铁路高站台共建合同》，由公司负责渝巴专用铁路高站台的投资及建设，工程建成后移交给渝巴公司运营，渝巴公司是渝巴专用铁路高站台最终项目业主，渝巴公司以高站台投用后使用吊装货物产生的专用铁路收益的50%支付公司建设成本并按年化6%计算资金占用利息，由于公司收取资金占用利息且专用铁路收益稳定，因而不存在预期信用减值损失，对其不确认相关减值准备。</w:t>
      </w:r>
    </w:p>
    <w:p w:rsidR="004A3868" w:rsidRDefault="003F1AB5">
      <w:pPr>
        <w:pStyle w:val="Style128"/>
        <w:numPr>
          <w:ilvl w:val="3"/>
          <w:numId w:val="75"/>
        </w:numPr>
      </w:pPr>
      <w:r>
        <w:rPr>
          <w:rFonts w:hint="eastAsia"/>
        </w:rPr>
        <w:t>按</w:t>
      </w:r>
      <w:r>
        <w:t>坏账计提方法分类披露</w:t>
      </w:r>
    </w:p>
    <w:bookmarkStart w:id="195" w:name="_Hlk153457348" w:displacedByCustomXml="next"/>
    <w:sdt>
      <w:sdtPr>
        <w:alias w:val="是否适用：按坏账计提方法分类披露[双击切换]"/>
        <w:tag w:val="_GBC_b88f58fcc61342f3b795c44388b6782b"/>
        <w:id w:val="180564664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按单项计提坏账准备：</w:t>
      </w:r>
    </w:p>
    <w:sdt>
      <w:sdtPr>
        <w:rPr>
          <w:sz w:val="21"/>
          <w:szCs w:val="21"/>
        </w:rPr>
        <w:alias w:val="是否适用：按单项计提坏账准备的详细情况[双击切换]"/>
        <w:tag w:val="_GBC_19243c464e23496a87380a02fccd7f4a"/>
        <w:id w:val="88607136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按单项计提坏账准备的说明：</w:t>
      </w:r>
    </w:p>
    <w:sdt>
      <w:sdtPr>
        <w:rPr>
          <w:sz w:val="21"/>
          <w:szCs w:val="21"/>
        </w:rPr>
        <w:alias w:val="是否适用：按单项计提坏账准备的说明[双击切换]"/>
        <w:tag w:val="_GBC_ee6f2bb0912a4ff4a6aa0561400844a8"/>
        <w:id w:val="-53534355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按组合计提坏账准备：</w:t>
      </w:r>
    </w:p>
    <w:sdt>
      <w:sdtPr>
        <w:rPr>
          <w:rFonts w:ascii="Calibri" w:hAnsi="Calibri"/>
        </w:rPr>
        <w:alias w:val="是否适用：按组合计提坏账准备的详细情况[双击切换]"/>
        <w:tag w:val="_GBC_e6c71fc91a6941b5af515956aed70086"/>
        <w:id w:val="629604444"/>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95"/>
    <w:p w:rsidR="004A3868" w:rsidRDefault="003F1AB5">
      <w:pPr>
        <w:pStyle w:val="Style128"/>
        <w:numPr>
          <w:ilvl w:val="3"/>
          <w:numId w:val="75"/>
        </w:numPr>
      </w:pPr>
      <w:r>
        <w:rPr>
          <w:rFonts w:hint="eastAsia"/>
        </w:rPr>
        <w:t>按预期信用损失一般模型计提坏账准备</w:t>
      </w:r>
    </w:p>
    <w:bookmarkStart w:id="196" w:name="_Hlk533872428" w:displacedByCustomXml="next"/>
    <w:sdt>
      <w:sdtPr>
        <w:alias w:val="是否适用：长期应收款坏账准备调节表[双击切换]"/>
        <w:tag w:val="_GBC_83c414b79fa243258be4f4c6998e475c"/>
        <w:id w:val="517126787"/>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长期应收款坏账准备调节表"/>
          <w:tag w:val="_GBC_7d2528c518494f00b0f6d9873d82b6b8"/>
          <w:id w:val="-19836845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长期应收款坏账准备调节表"/>
          <w:tag w:val="_GBC_5c4daf2984c3464ea5f009d8fc6503d4"/>
          <w:id w:val="8817526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766"/>
        <w:gridCol w:w="1521"/>
        <w:gridCol w:w="1936"/>
        <w:gridCol w:w="1936"/>
        <w:gridCol w:w="1664"/>
      </w:tblGrid>
      <w:tr w:rsidR="004A3868">
        <w:trPr>
          <w:trHeight w:val="397"/>
          <w:jc w:val="center"/>
        </w:trPr>
        <w:sdt>
          <w:sdtPr>
            <w:tag w:val="_PLD_53e254a36bf74b8aa6d62ff3627bc51c"/>
            <w:id w:val="-1812700615"/>
          </w:sdtPr>
          <w:sdtEndPr/>
          <w:sdtContent>
            <w:tc>
              <w:tcPr>
                <w:tcW w:w="1001" w:type="pct"/>
                <w:vMerge w:val="restart"/>
                <w:vAlign w:val="center"/>
              </w:tcPr>
              <w:p w:rsidR="004A3868" w:rsidRDefault="003F1AB5">
                <w:pPr>
                  <w:pStyle w:val="afffb"/>
                </w:pPr>
                <w:r>
                  <w:rPr>
                    <w:rFonts w:hint="eastAsia"/>
                  </w:rPr>
                  <w:t>坏账</w:t>
                </w:r>
                <w:r>
                  <w:t>准备</w:t>
                </w:r>
              </w:p>
            </w:tc>
          </w:sdtContent>
        </w:sdt>
        <w:sdt>
          <w:sdtPr>
            <w:tag w:val="_PLD_6728ea3d5ef54c4dbe708cf82174dd20"/>
            <w:id w:val="1952966974"/>
          </w:sdtPr>
          <w:sdtEndPr/>
          <w:sdtContent>
            <w:tc>
              <w:tcPr>
                <w:tcW w:w="862" w:type="pct"/>
                <w:vAlign w:val="center"/>
              </w:tcPr>
              <w:p w:rsidR="004A3868" w:rsidRDefault="003F1AB5">
                <w:pPr>
                  <w:pStyle w:val="afffb"/>
                </w:pPr>
                <w:r>
                  <w:t>第一阶段</w:t>
                </w:r>
              </w:p>
            </w:tc>
          </w:sdtContent>
        </w:sdt>
        <w:sdt>
          <w:sdtPr>
            <w:tag w:val="_PLD_02047fc355b74a09b8b179812acc2694"/>
            <w:id w:val="1807050077"/>
          </w:sdtPr>
          <w:sdtEndPr/>
          <w:sdtContent>
            <w:tc>
              <w:tcPr>
                <w:tcW w:w="1097" w:type="pct"/>
                <w:vAlign w:val="center"/>
              </w:tcPr>
              <w:p w:rsidR="004A3868" w:rsidRDefault="003F1AB5">
                <w:pPr>
                  <w:pStyle w:val="afffb"/>
                </w:pPr>
                <w:r>
                  <w:t>第二阶段</w:t>
                </w:r>
              </w:p>
            </w:tc>
          </w:sdtContent>
        </w:sdt>
        <w:sdt>
          <w:sdtPr>
            <w:tag w:val="_PLD_e5935642877d42508a235dc58315a0f2"/>
            <w:id w:val="90523019"/>
          </w:sdtPr>
          <w:sdtEndPr/>
          <w:sdtContent>
            <w:tc>
              <w:tcPr>
                <w:tcW w:w="1097" w:type="pct"/>
                <w:vAlign w:val="center"/>
              </w:tcPr>
              <w:p w:rsidR="004A3868" w:rsidRDefault="003F1AB5">
                <w:pPr>
                  <w:pStyle w:val="afffb"/>
                </w:pPr>
                <w:r>
                  <w:t>第三阶段</w:t>
                </w:r>
              </w:p>
            </w:tc>
          </w:sdtContent>
        </w:sdt>
        <w:sdt>
          <w:sdtPr>
            <w:tag w:val="_PLD_97eac4c32ede4977b86fdf2a821830f1"/>
            <w:id w:val="802193899"/>
          </w:sdtPr>
          <w:sdtEndPr/>
          <w:sdtContent>
            <w:tc>
              <w:tcPr>
                <w:tcW w:w="943" w:type="pct"/>
                <w:vMerge w:val="restart"/>
                <w:vAlign w:val="center"/>
              </w:tcPr>
              <w:p w:rsidR="004A3868" w:rsidRDefault="003F1AB5">
                <w:pPr>
                  <w:pStyle w:val="afffb"/>
                </w:pPr>
                <w:r>
                  <w:t>合计</w:t>
                </w:r>
              </w:p>
            </w:tc>
          </w:sdtContent>
        </w:sdt>
      </w:tr>
      <w:tr w:rsidR="004A3868">
        <w:trPr>
          <w:trHeight w:val="397"/>
          <w:jc w:val="center"/>
        </w:trPr>
        <w:tc>
          <w:tcPr>
            <w:tcW w:w="1001" w:type="pct"/>
            <w:vMerge/>
            <w:vAlign w:val="center"/>
          </w:tcPr>
          <w:p w:rsidR="004A3868" w:rsidRDefault="004A3868">
            <w:pPr>
              <w:pStyle w:val="Style207"/>
            </w:pPr>
          </w:p>
        </w:tc>
        <w:sdt>
          <w:sdtPr>
            <w:tag w:val="_PLD_a2c40398df0245aca8ae9b95349e294a"/>
            <w:id w:val="1592669858"/>
          </w:sdtPr>
          <w:sdtEndPr/>
          <w:sdtContent>
            <w:tc>
              <w:tcPr>
                <w:tcW w:w="862" w:type="pct"/>
                <w:vAlign w:val="center"/>
              </w:tcPr>
              <w:p w:rsidR="004A3868" w:rsidRDefault="003F1AB5">
                <w:pPr>
                  <w:pStyle w:val="afffb"/>
                </w:pPr>
                <w:r>
                  <w:t>未来12个月预期信用损失</w:t>
                </w:r>
              </w:p>
            </w:tc>
          </w:sdtContent>
        </w:sdt>
        <w:sdt>
          <w:sdtPr>
            <w:tag w:val="_PLD_0e42fbfea225447ba1a604708ea0e5cb"/>
            <w:id w:val="790405247"/>
          </w:sdtPr>
          <w:sdtEndPr/>
          <w:sdtContent>
            <w:tc>
              <w:tcPr>
                <w:tcW w:w="1097" w:type="pct"/>
                <w:vAlign w:val="center"/>
              </w:tcPr>
              <w:p w:rsidR="004A3868" w:rsidRDefault="003F1AB5">
                <w:pPr>
                  <w:pStyle w:val="afffb"/>
                </w:pPr>
                <w:r>
                  <w:t>整个存续期预期信用损失(未发生信用减值)</w:t>
                </w:r>
              </w:p>
            </w:tc>
          </w:sdtContent>
        </w:sdt>
        <w:sdt>
          <w:sdtPr>
            <w:tag w:val="_PLD_80c9178ef7da44f9a0fbcd79a28d1369"/>
            <w:id w:val="-1803219020"/>
          </w:sdtPr>
          <w:sdtEndPr/>
          <w:sdtContent>
            <w:tc>
              <w:tcPr>
                <w:tcW w:w="1097" w:type="pct"/>
                <w:vAlign w:val="center"/>
              </w:tcPr>
              <w:p w:rsidR="004A3868" w:rsidRDefault="003F1AB5">
                <w:pPr>
                  <w:pStyle w:val="afffb"/>
                </w:pPr>
                <w:r>
                  <w:t>整个存续期预期信用损失(已发生信用减值)</w:t>
                </w:r>
              </w:p>
            </w:tc>
          </w:sdtContent>
        </w:sdt>
        <w:tc>
          <w:tcPr>
            <w:tcW w:w="943" w:type="pct"/>
            <w:vMerge/>
          </w:tcPr>
          <w:p w:rsidR="004A3868" w:rsidRDefault="004A3868">
            <w:pPr>
              <w:rPr>
                <w:sz w:val="21"/>
                <w:szCs w:val="21"/>
              </w:rPr>
            </w:pPr>
          </w:p>
        </w:tc>
      </w:tr>
      <w:tr w:rsidR="004A3868">
        <w:trPr>
          <w:trHeight w:val="397"/>
          <w:jc w:val="center"/>
        </w:trPr>
        <w:tc>
          <w:tcPr>
            <w:tcW w:w="1001" w:type="pct"/>
            <w:vAlign w:val="center"/>
          </w:tcPr>
          <w:p w:rsidR="004A3868" w:rsidRDefault="003F1AB5">
            <w:pPr>
              <w:pStyle w:val="afff9"/>
            </w:pPr>
            <w:r>
              <w:t>2023</w:t>
            </w:r>
            <w:r>
              <w:t>年</w:t>
            </w:r>
            <w:r>
              <w:rPr>
                <w:rFonts w:hint="eastAsia"/>
              </w:rPr>
              <w:t>1</w:t>
            </w:r>
            <w:r>
              <w:rPr>
                <w:rFonts w:hint="eastAsia"/>
              </w:rPr>
              <w:t>月</w:t>
            </w:r>
            <w:r>
              <w:rPr>
                <w:rFonts w:hint="eastAsia"/>
              </w:rPr>
              <w:t>1</w:t>
            </w:r>
            <w:r>
              <w:rPr>
                <w:rFonts w:hint="eastAsia"/>
              </w:rPr>
              <w:t>日余额</w:t>
            </w:r>
          </w:p>
        </w:tc>
        <w:tc>
          <w:tcPr>
            <w:tcW w:w="862" w:type="pct"/>
            <w:vAlign w:val="center"/>
          </w:tcPr>
          <w:p w:rsidR="004A3868" w:rsidRDefault="003F1AB5">
            <w:pPr>
              <w:pStyle w:val="afff7"/>
            </w:pPr>
            <w:r>
              <w:t>26,193.63</w:t>
            </w: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3F1AB5">
            <w:pPr>
              <w:pStyle w:val="afff7"/>
            </w:pPr>
            <w:r>
              <w:t>26,193.63</w:t>
            </w:r>
          </w:p>
        </w:tc>
      </w:tr>
      <w:tr w:rsidR="004A3868">
        <w:trPr>
          <w:trHeight w:val="397"/>
          <w:jc w:val="center"/>
        </w:trPr>
        <w:tc>
          <w:tcPr>
            <w:tcW w:w="1001" w:type="pct"/>
            <w:vAlign w:val="center"/>
          </w:tcPr>
          <w:p w:rsidR="004A3868" w:rsidRDefault="003F1AB5">
            <w:pPr>
              <w:pStyle w:val="afff9"/>
            </w:pPr>
            <w:r>
              <w:rPr>
                <w:rFonts w:hint="eastAsia"/>
              </w:rPr>
              <w:t>2023</w:t>
            </w:r>
            <w:r>
              <w:rPr>
                <w:rFonts w:hint="eastAsia"/>
              </w:rPr>
              <w:t>年</w:t>
            </w:r>
            <w:r>
              <w:rPr>
                <w:rFonts w:hint="eastAsia"/>
              </w:rPr>
              <w:t>1</w:t>
            </w:r>
            <w:r>
              <w:rPr>
                <w:rFonts w:hint="eastAsia"/>
              </w:rPr>
              <w:t>月</w:t>
            </w:r>
            <w:r>
              <w:rPr>
                <w:rFonts w:hint="eastAsia"/>
              </w:rPr>
              <w:t>1</w:t>
            </w:r>
            <w:r>
              <w:rPr>
                <w:rFonts w:hint="eastAsia"/>
              </w:rPr>
              <w:t>日余额在本期</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rPr>
                <w:rFonts w:hint="eastAsia"/>
              </w:rPr>
              <w:t>--</w:t>
            </w:r>
            <w:r>
              <w:rPr>
                <w:rFonts w:hint="eastAsia"/>
              </w:rPr>
              <w:t>转入第二阶段</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rPr>
                <w:rFonts w:hint="eastAsia"/>
              </w:rPr>
              <w:t>--</w:t>
            </w:r>
            <w:r>
              <w:rPr>
                <w:rFonts w:hint="eastAsia"/>
              </w:rPr>
              <w:t>转入第三阶段</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rPr>
                <w:rFonts w:hint="eastAsia"/>
              </w:rPr>
              <w:t>--</w:t>
            </w:r>
            <w:r>
              <w:rPr>
                <w:rFonts w:hint="eastAsia"/>
              </w:rPr>
              <w:t>转回第二阶段</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rPr>
                <w:rFonts w:hint="eastAsia"/>
              </w:rPr>
              <w:lastRenderedPageBreak/>
              <w:t>--</w:t>
            </w:r>
            <w:r>
              <w:rPr>
                <w:rFonts w:hint="eastAsia"/>
              </w:rPr>
              <w:t>转回第一阶段</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rPr>
                <w:rFonts w:hint="eastAsia"/>
              </w:rPr>
              <w:t>本期计提</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rPr>
                <w:rFonts w:hint="eastAsia"/>
              </w:rPr>
              <w:t>本期转回</w:t>
            </w:r>
          </w:p>
        </w:tc>
        <w:tc>
          <w:tcPr>
            <w:tcW w:w="862" w:type="pct"/>
            <w:vAlign w:val="center"/>
          </w:tcPr>
          <w:p w:rsidR="004A3868" w:rsidRDefault="003F1AB5">
            <w:pPr>
              <w:pStyle w:val="afff7"/>
            </w:pPr>
            <w:r>
              <w:t>19,325.24</w:t>
            </w: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3F1AB5">
            <w:pPr>
              <w:pStyle w:val="afff7"/>
            </w:pPr>
            <w:r>
              <w:t>19,325.24</w:t>
            </w:r>
          </w:p>
        </w:tc>
      </w:tr>
      <w:tr w:rsidR="004A3868">
        <w:trPr>
          <w:trHeight w:val="397"/>
          <w:jc w:val="center"/>
        </w:trPr>
        <w:tc>
          <w:tcPr>
            <w:tcW w:w="1001" w:type="pct"/>
            <w:vAlign w:val="center"/>
          </w:tcPr>
          <w:p w:rsidR="004A3868" w:rsidRDefault="003F1AB5">
            <w:pPr>
              <w:pStyle w:val="afff9"/>
            </w:pPr>
            <w:r>
              <w:rPr>
                <w:rFonts w:hint="eastAsia"/>
              </w:rPr>
              <w:t>本期转销</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rPr>
                <w:rFonts w:hint="eastAsia"/>
              </w:rPr>
              <w:t>本期核销</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rPr>
                <w:rFonts w:hint="eastAsia"/>
              </w:rPr>
              <w:t>其他变动</w:t>
            </w:r>
          </w:p>
        </w:tc>
        <w:tc>
          <w:tcPr>
            <w:tcW w:w="862" w:type="pct"/>
            <w:vAlign w:val="center"/>
          </w:tcPr>
          <w:p w:rsidR="004A3868" w:rsidRDefault="004A3868">
            <w:pPr>
              <w:pStyle w:val="afff7"/>
            </w:pP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4A3868">
            <w:pPr>
              <w:pStyle w:val="afff7"/>
            </w:pPr>
          </w:p>
        </w:tc>
      </w:tr>
      <w:tr w:rsidR="004A3868">
        <w:trPr>
          <w:trHeight w:val="397"/>
          <w:jc w:val="center"/>
        </w:trPr>
        <w:tc>
          <w:tcPr>
            <w:tcW w:w="1001" w:type="pct"/>
            <w:vAlign w:val="center"/>
          </w:tcPr>
          <w:p w:rsidR="004A3868" w:rsidRDefault="003F1AB5">
            <w:pPr>
              <w:pStyle w:val="afff9"/>
            </w:pPr>
            <w:r>
              <w:t>2023</w:t>
            </w:r>
            <w:r>
              <w:t>年</w:t>
            </w:r>
            <w:r>
              <w:t>12</w:t>
            </w:r>
            <w:r>
              <w:t>月</w:t>
            </w:r>
            <w:r>
              <w:t>31</w:t>
            </w:r>
            <w:r>
              <w:t>日</w:t>
            </w:r>
            <w:r>
              <w:rPr>
                <w:rFonts w:hint="eastAsia"/>
              </w:rPr>
              <w:t>余额</w:t>
            </w:r>
          </w:p>
        </w:tc>
        <w:tc>
          <w:tcPr>
            <w:tcW w:w="862" w:type="pct"/>
            <w:vAlign w:val="center"/>
          </w:tcPr>
          <w:p w:rsidR="004A3868" w:rsidRDefault="003F1AB5">
            <w:pPr>
              <w:pStyle w:val="afff7"/>
            </w:pPr>
            <w:r>
              <w:t>6,868.39</w:t>
            </w:r>
          </w:p>
        </w:tc>
        <w:tc>
          <w:tcPr>
            <w:tcW w:w="1097" w:type="pct"/>
            <w:vAlign w:val="center"/>
          </w:tcPr>
          <w:p w:rsidR="004A3868" w:rsidRDefault="004A3868">
            <w:pPr>
              <w:pStyle w:val="afff7"/>
            </w:pPr>
          </w:p>
        </w:tc>
        <w:tc>
          <w:tcPr>
            <w:tcW w:w="1097" w:type="pct"/>
            <w:vAlign w:val="center"/>
          </w:tcPr>
          <w:p w:rsidR="004A3868" w:rsidRDefault="004A3868">
            <w:pPr>
              <w:pStyle w:val="afff7"/>
            </w:pPr>
          </w:p>
        </w:tc>
        <w:tc>
          <w:tcPr>
            <w:tcW w:w="943" w:type="pct"/>
            <w:vAlign w:val="center"/>
          </w:tcPr>
          <w:p w:rsidR="004A3868" w:rsidRDefault="003F1AB5">
            <w:pPr>
              <w:pStyle w:val="afff7"/>
            </w:pPr>
            <w:r>
              <w:t>6,868.39</w:t>
            </w:r>
          </w:p>
        </w:tc>
      </w:tr>
    </w:tbl>
    <w:p w:rsidR="004A3868" w:rsidRDefault="003F1AB5">
      <w:pPr>
        <w:rPr>
          <w:sz w:val="21"/>
          <w:szCs w:val="21"/>
        </w:rPr>
      </w:pPr>
      <w:r>
        <w:rPr>
          <w:rFonts w:hint="eastAsia"/>
          <w:sz w:val="21"/>
          <w:szCs w:val="21"/>
        </w:rPr>
        <w:t>各阶段划分依据和坏账准备计提比例</w:t>
      </w:r>
    </w:p>
    <w:sdt>
      <w:sdtPr>
        <w:rPr>
          <w:sz w:val="21"/>
          <w:szCs w:val="21"/>
        </w:rPr>
        <w:alias w:val="长期应收款各阶段划分依据和减值准备计提比例"/>
        <w:tag w:val="_GBC_1ce93281b7234898b8b1b4056be89182"/>
        <w:id w:val="-1229454598"/>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80"/>
        <w:rPr>
          <w:sz w:val="21"/>
          <w:szCs w:val="21"/>
        </w:rPr>
      </w:pPr>
      <w:r>
        <w:rPr>
          <w:rFonts w:hint="eastAsia"/>
          <w:sz w:val="21"/>
          <w:szCs w:val="21"/>
        </w:rPr>
        <w:t>对本期发生损失准备变动的长期应收款账面余额显著变动的情况说明：</w:t>
      </w:r>
    </w:p>
    <w:sdt>
      <w:sdtPr>
        <w:rPr>
          <w:sz w:val="21"/>
          <w:szCs w:val="21"/>
        </w:rPr>
        <w:alias w:val="是否适用：长期应收款本期发生损失准备变动且账面余额显著变动的情况说明[双击切换]"/>
        <w:tag w:val="_GBC_8e2c1b904a3a4c10829d424151d47109"/>
        <w:id w:val="-207865292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96"/>
    <w:p w:rsidR="004A3868" w:rsidRDefault="003F1AB5">
      <w:pPr>
        <w:pStyle w:val="Style180"/>
        <w:rPr>
          <w:sz w:val="21"/>
          <w:szCs w:val="21"/>
        </w:rPr>
      </w:pPr>
      <w:r>
        <w:rPr>
          <w:rFonts w:hint="eastAsia"/>
          <w:sz w:val="21"/>
          <w:szCs w:val="21"/>
        </w:rPr>
        <w:t>本期坏账准备计提金额以及评估金融工具的信用风险是否显著增加的采用依据</w:t>
      </w:r>
    </w:p>
    <w:sdt>
      <w:sdtPr>
        <w:rPr>
          <w:sz w:val="21"/>
          <w:szCs w:val="21"/>
        </w:rPr>
        <w:alias w:val="是否适用：长期应收款坏账准备计提金额以及评估金融工具的信用风险显著增加的采用依据[双击切换]"/>
        <w:tag w:val="_GBC_ceed52ae8ff44f9ca03fb80cb11f18fc"/>
        <w:id w:val="1335508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3"/>
          <w:numId w:val="75"/>
        </w:numPr>
      </w:pPr>
      <w:r>
        <w:rPr>
          <w:rFonts w:hint="eastAsia"/>
        </w:rPr>
        <w:t>坏账准备的情况</w:t>
      </w:r>
    </w:p>
    <w:bookmarkStart w:id="197" w:name="_Hlk154131356" w:displacedByCustomXml="next"/>
    <w:bookmarkStart w:id="198" w:name="_Hlk153457634" w:displacedByCustomXml="next"/>
    <w:sdt>
      <w:sdtPr>
        <w:alias w:val="是否适用：坏账准备情况[双击切换]"/>
        <w:tag w:val="_GBC_1878fe8dd18b4d7f9eb1b263bc7833d1"/>
        <w:id w:val="-1085683930"/>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坏账准备情况"/>
          <w:tag w:val="_GBC_bc8d00c0d3174cfcb352620f1eb8a667"/>
          <w:id w:val="16575657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坏账准备情况"/>
          <w:tag w:val="_GBC_91b48dea1a804a74bee76eea04035acd"/>
          <w:id w:val="14932201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44"/>
        <w:gridCol w:w="1213"/>
        <w:gridCol w:w="1317"/>
        <w:gridCol w:w="1212"/>
        <w:gridCol w:w="1216"/>
        <w:gridCol w:w="1212"/>
        <w:gridCol w:w="1209"/>
      </w:tblGrid>
      <w:tr w:rsidR="004A3868">
        <w:trPr>
          <w:trHeight w:val="397"/>
          <w:jc w:val="center"/>
        </w:trPr>
        <w:sdt>
          <w:sdtPr>
            <w:tag w:val="_PLD_1b57eec9eb0c4064b8160bee3fcae2b4"/>
            <w:id w:val="-19016115"/>
            <w:lock w:val="sdtLocked"/>
          </w:sdtPr>
          <w:sdtEndPr/>
          <w:sdtContent>
            <w:tc>
              <w:tcPr>
                <w:tcW w:w="818" w:type="pct"/>
                <w:vMerge w:val="restart"/>
                <w:shd w:val="clear" w:color="auto" w:fill="FFFFFF"/>
                <w:vAlign w:val="center"/>
              </w:tcPr>
              <w:p w:rsidR="004A3868" w:rsidRDefault="003F1AB5">
                <w:pPr>
                  <w:pStyle w:val="afffb"/>
                </w:pPr>
                <w:r>
                  <w:t>类别</w:t>
                </w:r>
              </w:p>
            </w:tc>
          </w:sdtContent>
        </w:sdt>
        <w:sdt>
          <w:sdtPr>
            <w:tag w:val="_PLD_35b59bfd9c7d401382d341cb7fd9f429"/>
            <w:id w:val="-1361978999"/>
            <w:lock w:val="sdtLocked"/>
          </w:sdtPr>
          <w:sdtEndPr/>
          <w:sdtContent>
            <w:tc>
              <w:tcPr>
                <w:tcW w:w="687" w:type="pct"/>
                <w:vMerge w:val="restart"/>
                <w:shd w:val="clear" w:color="auto" w:fill="FFFFFF"/>
                <w:vAlign w:val="center"/>
              </w:tcPr>
              <w:p w:rsidR="004A3868" w:rsidRDefault="003F1AB5">
                <w:pPr>
                  <w:pStyle w:val="afffb"/>
                </w:pPr>
                <w:r>
                  <w:t>期初余额</w:t>
                </w:r>
              </w:p>
            </w:tc>
          </w:sdtContent>
        </w:sdt>
        <w:sdt>
          <w:sdtPr>
            <w:rPr>
              <w:rFonts w:hint="eastAsia"/>
            </w:rPr>
            <w:tag w:val="_PLD_f832a927fbc74b77a4b316e48dd5b52d"/>
            <w:id w:val="-1175032030"/>
            <w:lock w:val="sdtLocked"/>
          </w:sdtPr>
          <w:sdtEndPr>
            <w:rPr>
              <w:rFonts w:hint="default"/>
            </w:rPr>
          </w:sdtEndPr>
          <w:sdtContent>
            <w:tc>
              <w:tcPr>
                <w:tcW w:w="2809" w:type="pct"/>
                <w:gridSpan w:val="4"/>
                <w:shd w:val="clear" w:color="auto" w:fill="FFFFFF"/>
                <w:vAlign w:val="center"/>
              </w:tcPr>
              <w:p w:rsidR="004A3868" w:rsidRDefault="003F1AB5">
                <w:pPr>
                  <w:pStyle w:val="afffb"/>
                </w:pPr>
                <w:r>
                  <w:rPr>
                    <w:rFonts w:hint="eastAsia"/>
                  </w:rPr>
                  <w:t>本期变动</w:t>
                </w:r>
                <w:r>
                  <w:t>金额</w:t>
                </w:r>
              </w:p>
            </w:tc>
          </w:sdtContent>
        </w:sdt>
        <w:tc>
          <w:tcPr>
            <w:tcW w:w="685" w:type="pct"/>
            <w:vMerge w:val="restart"/>
            <w:shd w:val="clear" w:color="auto" w:fill="FFFFFF"/>
            <w:vAlign w:val="center"/>
          </w:tcPr>
          <w:sdt>
            <w:sdtPr>
              <w:tag w:val="_PLD_ccc97add96524818a21d9404254ba0a1"/>
              <w:id w:val="-1134329157"/>
              <w:lock w:val="sdtLocked"/>
            </w:sdtPr>
            <w:sdtEndPr/>
            <w:sdtContent>
              <w:p w:rsidR="004A3868" w:rsidRDefault="003F1AB5">
                <w:pPr>
                  <w:pStyle w:val="afffb"/>
                </w:pPr>
                <w:r>
                  <w:t>期末余额</w:t>
                </w:r>
              </w:p>
            </w:sdtContent>
          </w:sdt>
        </w:tc>
      </w:tr>
      <w:tr w:rsidR="004A3868">
        <w:trPr>
          <w:trHeight w:val="397"/>
          <w:jc w:val="center"/>
        </w:trPr>
        <w:tc>
          <w:tcPr>
            <w:tcW w:w="818" w:type="pct"/>
            <w:vMerge/>
            <w:shd w:val="clear" w:color="auto" w:fill="FFFFFF"/>
            <w:vAlign w:val="center"/>
          </w:tcPr>
          <w:p w:rsidR="004A3868" w:rsidRDefault="004A3868">
            <w:pPr>
              <w:rPr>
                <w:sz w:val="21"/>
                <w:szCs w:val="21"/>
              </w:rPr>
            </w:pPr>
          </w:p>
        </w:tc>
        <w:tc>
          <w:tcPr>
            <w:tcW w:w="687" w:type="pct"/>
            <w:vMerge/>
            <w:shd w:val="clear" w:color="auto" w:fill="FFFFFF"/>
            <w:vAlign w:val="center"/>
          </w:tcPr>
          <w:p w:rsidR="004A3868" w:rsidRDefault="004A3868">
            <w:pPr>
              <w:rPr>
                <w:sz w:val="21"/>
                <w:szCs w:val="21"/>
              </w:rPr>
            </w:pPr>
          </w:p>
        </w:tc>
        <w:sdt>
          <w:sdtPr>
            <w:tag w:val="_PLD_8c73657619504c478224bb03d05744fb"/>
            <w:id w:val="2080631337"/>
            <w:lock w:val="sdtLocked"/>
          </w:sdtPr>
          <w:sdtEndPr/>
          <w:sdtContent>
            <w:tc>
              <w:tcPr>
                <w:tcW w:w="746" w:type="pct"/>
                <w:shd w:val="clear" w:color="auto" w:fill="FFFFFF"/>
                <w:vAlign w:val="center"/>
              </w:tcPr>
              <w:p w:rsidR="004A3868" w:rsidRDefault="003F1AB5">
                <w:pPr>
                  <w:pStyle w:val="afffb"/>
                </w:pPr>
                <w:r>
                  <w:t>计提</w:t>
                </w:r>
              </w:p>
            </w:tc>
          </w:sdtContent>
        </w:sdt>
        <w:sdt>
          <w:sdtPr>
            <w:rPr>
              <w:rFonts w:hint="eastAsia"/>
            </w:rPr>
            <w:tag w:val="_PLD_022cda494f134770bf3ef208bf599998"/>
            <w:id w:val="-1859425034"/>
            <w:lock w:val="sdtLocked"/>
          </w:sdtPr>
          <w:sdtEndPr/>
          <w:sdtContent>
            <w:tc>
              <w:tcPr>
                <w:tcW w:w="687" w:type="pct"/>
                <w:shd w:val="clear" w:color="auto" w:fill="FFFFFF"/>
                <w:vAlign w:val="center"/>
              </w:tcPr>
              <w:p w:rsidR="004A3868" w:rsidRDefault="003F1AB5">
                <w:pPr>
                  <w:pStyle w:val="afffb"/>
                </w:pPr>
                <w:r>
                  <w:rPr>
                    <w:rFonts w:hint="eastAsia"/>
                  </w:rPr>
                  <w:t>收回或转回</w:t>
                </w:r>
              </w:p>
            </w:tc>
          </w:sdtContent>
        </w:sdt>
        <w:sdt>
          <w:sdtPr>
            <w:rPr>
              <w:rFonts w:hint="eastAsia"/>
            </w:rPr>
            <w:tag w:val="_PLD_3c73b120957a4df8af659b57c66c504b"/>
            <w:id w:val="2132745297"/>
            <w:lock w:val="sdtLocked"/>
          </w:sdtPr>
          <w:sdtEndPr/>
          <w:sdtContent>
            <w:tc>
              <w:tcPr>
                <w:tcW w:w="689" w:type="pct"/>
                <w:shd w:val="clear" w:color="auto" w:fill="FFFFFF"/>
                <w:vAlign w:val="center"/>
              </w:tcPr>
              <w:p w:rsidR="004A3868" w:rsidRDefault="003F1AB5">
                <w:pPr>
                  <w:pStyle w:val="afffb"/>
                </w:pPr>
                <w:r>
                  <w:rPr>
                    <w:rFonts w:hint="eastAsia"/>
                  </w:rPr>
                  <w:t>转销或核销</w:t>
                </w:r>
              </w:p>
            </w:tc>
          </w:sdtContent>
        </w:sdt>
        <w:sdt>
          <w:sdtPr>
            <w:rPr>
              <w:rFonts w:hint="eastAsia"/>
            </w:rPr>
            <w:tag w:val="_PLD_3a826535e5024414812e143b3ba426dc"/>
            <w:id w:val="-1918782662"/>
            <w:lock w:val="sdtLocked"/>
          </w:sdtPr>
          <w:sdtEndPr/>
          <w:sdtContent>
            <w:tc>
              <w:tcPr>
                <w:tcW w:w="687" w:type="pct"/>
                <w:shd w:val="clear" w:color="auto" w:fill="FFFFFF"/>
                <w:vAlign w:val="center"/>
              </w:tcPr>
              <w:p w:rsidR="004A3868" w:rsidRDefault="003F1AB5">
                <w:pPr>
                  <w:pStyle w:val="afffb"/>
                </w:pPr>
                <w:r>
                  <w:rPr>
                    <w:rFonts w:hint="eastAsia"/>
                  </w:rPr>
                  <w:t>其他变动</w:t>
                </w:r>
              </w:p>
            </w:tc>
          </w:sdtContent>
        </w:sdt>
        <w:tc>
          <w:tcPr>
            <w:tcW w:w="685" w:type="pct"/>
            <w:vMerge/>
            <w:shd w:val="clear" w:color="auto" w:fill="FFFFFF"/>
          </w:tcPr>
          <w:p w:rsidR="004A3868" w:rsidRDefault="004A3868">
            <w:pPr>
              <w:rPr>
                <w:sz w:val="21"/>
                <w:szCs w:val="21"/>
              </w:rPr>
            </w:pPr>
          </w:p>
        </w:tc>
      </w:tr>
      <w:tr w:rsidR="004A3868">
        <w:trPr>
          <w:trHeight w:val="397"/>
          <w:jc w:val="center"/>
        </w:trPr>
        <w:tc>
          <w:tcPr>
            <w:tcW w:w="818" w:type="pct"/>
            <w:shd w:val="clear" w:color="auto" w:fill="auto"/>
            <w:vAlign w:val="center"/>
          </w:tcPr>
          <w:p w:rsidR="004A3868" w:rsidRDefault="003F1AB5">
            <w:pPr>
              <w:pStyle w:val="afff9"/>
            </w:pPr>
            <w:r>
              <w:t>融资租赁款</w:t>
            </w:r>
          </w:p>
        </w:tc>
        <w:tc>
          <w:tcPr>
            <w:tcW w:w="687" w:type="pct"/>
            <w:shd w:val="clear" w:color="auto" w:fill="auto"/>
            <w:vAlign w:val="center"/>
          </w:tcPr>
          <w:p w:rsidR="004A3868" w:rsidRDefault="003F1AB5">
            <w:pPr>
              <w:pStyle w:val="afff7"/>
            </w:pPr>
            <w:r>
              <w:t>26,193.63</w:t>
            </w:r>
          </w:p>
        </w:tc>
        <w:tc>
          <w:tcPr>
            <w:tcW w:w="746" w:type="pct"/>
            <w:shd w:val="clear" w:color="auto" w:fill="auto"/>
            <w:vAlign w:val="center"/>
          </w:tcPr>
          <w:p w:rsidR="004A3868" w:rsidRDefault="003F1AB5">
            <w:pPr>
              <w:pStyle w:val="afff7"/>
            </w:pPr>
            <w:r>
              <w:t xml:space="preserve">　</w:t>
            </w:r>
          </w:p>
        </w:tc>
        <w:tc>
          <w:tcPr>
            <w:tcW w:w="687" w:type="pct"/>
            <w:shd w:val="clear" w:color="auto" w:fill="auto"/>
            <w:vAlign w:val="center"/>
          </w:tcPr>
          <w:p w:rsidR="004A3868" w:rsidRDefault="003F1AB5">
            <w:pPr>
              <w:pStyle w:val="afff7"/>
            </w:pPr>
            <w:r>
              <w:t>19,325.24</w:t>
            </w:r>
          </w:p>
        </w:tc>
        <w:tc>
          <w:tcPr>
            <w:tcW w:w="689" w:type="pct"/>
            <w:vAlign w:val="center"/>
          </w:tcPr>
          <w:p w:rsidR="004A3868" w:rsidRDefault="004A3868">
            <w:pPr>
              <w:pStyle w:val="afff7"/>
            </w:pPr>
          </w:p>
        </w:tc>
        <w:tc>
          <w:tcPr>
            <w:tcW w:w="687" w:type="pct"/>
            <w:vAlign w:val="center"/>
          </w:tcPr>
          <w:p w:rsidR="004A3868" w:rsidRDefault="004A3868">
            <w:pPr>
              <w:pStyle w:val="afff7"/>
            </w:pPr>
          </w:p>
        </w:tc>
        <w:tc>
          <w:tcPr>
            <w:tcW w:w="685" w:type="pct"/>
            <w:shd w:val="clear" w:color="auto" w:fill="auto"/>
            <w:vAlign w:val="center"/>
          </w:tcPr>
          <w:p w:rsidR="004A3868" w:rsidRDefault="003F1AB5">
            <w:pPr>
              <w:pStyle w:val="afff7"/>
            </w:pPr>
            <w:r>
              <w:t>6,868.39</w:t>
            </w:r>
          </w:p>
        </w:tc>
      </w:tr>
      <w:tr w:rsidR="004A3868">
        <w:trPr>
          <w:trHeight w:val="397"/>
          <w:jc w:val="center"/>
        </w:trPr>
        <w:tc>
          <w:tcPr>
            <w:tcW w:w="818" w:type="pct"/>
            <w:shd w:val="clear" w:color="auto" w:fill="auto"/>
            <w:vAlign w:val="center"/>
          </w:tcPr>
          <w:p w:rsidR="004A3868" w:rsidRDefault="003F1AB5">
            <w:pPr>
              <w:pStyle w:val="afff9"/>
            </w:pPr>
            <w:r>
              <w:rPr>
                <w:rFonts w:hint="eastAsia"/>
              </w:rPr>
              <w:t>合计</w:t>
            </w:r>
          </w:p>
        </w:tc>
        <w:tc>
          <w:tcPr>
            <w:tcW w:w="687" w:type="pct"/>
            <w:shd w:val="clear" w:color="auto" w:fill="auto"/>
            <w:vAlign w:val="center"/>
          </w:tcPr>
          <w:p w:rsidR="004A3868" w:rsidRDefault="003F1AB5">
            <w:pPr>
              <w:pStyle w:val="afff7"/>
            </w:pPr>
            <w:r>
              <w:t>26,193.63</w:t>
            </w:r>
          </w:p>
        </w:tc>
        <w:tc>
          <w:tcPr>
            <w:tcW w:w="746" w:type="pct"/>
            <w:shd w:val="clear" w:color="auto" w:fill="auto"/>
            <w:vAlign w:val="center"/>
          </w:tcPr>
          <w:p w:rsidR="004A3868" w:rsidRDefault="004A3868">
            <w:pPr>
              <w:pStyle w:val="afff7"/>
            </w:pPr>
          </w:p>
        </w:tc>
        <w:tc>
          <w:tcPr>
            <w:tcW w:w="687" w:type="pct"/>
            <w:shd w:val="clear" w:color="auto" w:fill="auto"/>
            <w:vAlign w:val="center"/>
          </w:tcPr>
          <w:p w:rsidR="004A3868" w:rsidRDefault="003F1AB5">
            <w:pPr>
              <w:pStyle w:val="afff7"/>
            </w:pPr>
            <w:r>
              <w:t>19,325.24</w:t>
            </w:r>
          </w:p>
        </w:tc>
        <w:tc>
          <w:tcPr>
            <w:tcW w:w="689" w:type="pct"/>
            <w:vAlign w:val="center"/>
          </w:tcPr>
          <w:p w:rsidR="004A3868" w:rsidRDefault="004A3868">
            <w:pPr>
              <w:pStyle w:val="afff7"/>
            </w:pPr>
          </w:p>
        </w:tc>
        <w:tc>
          <w:tcPr>
            <w:tcW w:w="687" w:type="pct"/>
            <w:vAlign w:val="center"/>
          </w:tcPr>
          <w:p w:rsidR="004A3868" w:rsidRDefault="004A3868">
            <w:pPr>
              <w:pStyle w:val="afff7"/>
            </w:pPr>
          </w:p>
        </w:tc>
        <w:tc>
          <w:tcPr>
            <w:tcW w:w="685" w:type="pct"/>
            <w:shd w:val="clear" w:color="auto" w:fill="auto"/>
            <w:vAlign w:val="center"/>
          </w:tcPr>
          <w:p w:rsidR="004A3868" w:rsidRDefault="003F1AB5">
            <w:pPr>
              <w:pStyle w:val="afff7"/>
            </w:pPr>
            <w:r>
              <w:t>6,868.39</w:t>
            </w:r>
          </w:p>
        </w:tc>
      </w:tr>
    </w:tbl>
    <w:p w:rsidR="004A3868" w:rsidRDefault="003F1AB5">
      <w:pPr>
        <w:pStyle w:val="Style124"/>
      </w:pPr>
      <w:r>
        <w:rPr>
          <w:rFonts w:hint="eastAsia"/>
        </w:rPr>
        <w:t>其中本期坏账准备收回或转回金额重要的：</w:t>
      </w:r>
    </w:p>
    <w:bookmarkEnd w:id="197" w:displacedByCustomXml="next"/>
    <w:sdt>
      <w:sdtPr>
        <w:alias w:val="是否适用：本期坏账准备收回或转回金额重要的[双击切换]"/>
        <w:tag w:val="_GBC_b4e3b5deca584587a596a753699de6b7"/>
        <w:id w:val="44620221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alias w:val="坏账准备情况的说明"/>
        <w:tag w:val="_GBC_b5a80a414fe14b5c9e4001ca8a0f4bbf"/>
        <w:id w:val="1204747123"/>
        <w:placeholder>
          <w:docPart w:val="GBC22222222222222222222222222222"/>
        </w:placeholder>
      </w:sdtPr>
      <w:sdtEndPr/>
      <w:sdtContent>
        <w:p w:rsidR="004A3868" w:rsidRDefault="003F1AB5">
          <w:pPr>
            <w:pStyle w:val="Style842"/>
          </w:pPr>
          <w:r>
            <w:rPr>
              <w:rFonts w:hint="eastAsia"/>
            </w:rPr>
            <w:t>无</w:t>
          </w:r>
        </w:p>
      </w:sdtContent>
    </w:sdt>
    <w:p w:rsidR="004A3868" w:rsidRDefault="003F1AB5">
      <w:pPr>
        <w:pStyle w:val="Style128"/>
        <w:numPr>
          <w:ilvl w:val="3"/>
          <w:numId w:val="75"/>
        </w:numPr>
      </w:pPr>
      <w:r>
        <w:t>本期实际核销的</w:t>
      </w:r>
      <w:r>
        <w:rPr>
          <w:rFonts w:hint="eastAsia"/>
        </w:rPr>
        <w:t>长期应收款</w:t>
      </w:r>
      <w:r>
        <w:t>情况</w:t>
      </w:r>
    </w:p>
    <w:sdt>
      <w:sdtPr>
        <w:rPr>
          <w:sz w:val="21"/>
          <w:szCs w:val="21"/>
        </w:rPr>
        <w:alias w:val="是否适用：实际核销的情况[双击切换]"/>
        <w:tag w:val="_GBC_e9d4e4f95df144d1beb521844e7c35e7"/>
        <w:id w:val="-408924338"/>
        <w:lock w:val="sdtLocked"/>
        <w:placeholder>
          <w:docPart w:val="GBC22222222222222222222222222222"/>
        </w:placeholder>
      </w:sdtPr>
      <w:sdtEndPr>
        <w:rPr>
          <w:sz w:val="24"/>
          <w:szCs w:val="24"/>
        </w:rPr>
      </w:sdtEndPr>
      <w:sdtContent>
        <w:p w:rsidR="004A3868" w:rsidRDefault="003F1AB5">
          <w:pPr>
            <w:rPr>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842"/>
      </w:pPr>
      <w:r>
        <w:rPr>
          <w:rFonts w:hint="eastAsia"/>
        </w:rPr>
        <w:t>其中重要的长期应收款核销情况</w:t>
      </w:r>
    </w:p>
    <w:sdt>
      <w:sdtPr>
        <w:rPr>
          <w:rFonts w:hint="eastAsia"/>
        </w:rPr>
        <w:alias w:val="是否适用：重要的核销情况[双击切换]"/>
        <w:tag w:val="_GBC_17fbcf123507404b9fc25df0517e3788"/>
        <w:id w:val="-992563746"/>
        <w:lock w:val="sdtLocked"/>
        <w:placeholder>
          <w:docPart w:val="GBC22222222222222222222222222222"/>
        </w:placeholder>
      </w:sdtPr>
      <w:sdtEndPr/>
      <w:sdtContent>
        <w:p w:rsidR="004A3868" w:rsidRDefault="003F1AB5">
          <w:pPr>
            <w:pStyle w:val="Style842"/>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长期应收款核销说明：</w:t>
      </w:r>
    </w:p>
    <w:sdt>
      <w:sdtPr>
        <w:rPr>
          <w:sz w:val="21"/>
          <w:szCs w:val="21"/>
        </w:rPr>
        <w:alias w:val="是否适用：核销说明[双击切换]"/>
        <w:tag w:val="_GBC_b5e2283b2a954039b963ac2506245e4d"/>
        <w:id w:val="-213878721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198"/>
    <w:p w:rsidR="004A3868" w:rsidRDefault="003F1AB5">
      <w:pPr>
        <w:rPr>
          <w:sz w:val="21"/>
          <w:szCs w:val="21"/>
        </w:rPr>
      </w:pPr>
      <w:r>
        <w:rPr>
          <w:rFonts w:hint="eastAsia"/>
          <w:sz w:val="21"/>
          <w:szCs w:val="21"/>
        </w:rPr>
        <w:t>其他说明</w:t>
      </w:r>
    </w:p>
    <w:sdt>
      <w:sdtPr>
        <w:rPr>
          <w:sz w:val="21"/>
          <w:szCs w:val="21"/>
        </w:rPr>
        <w:alias w:val="是否适用：长期应收款的其他说明[双击切换]"/>
        <w:tag w:val="_GBC_374ef9a861254142b9ef8519d87eb5ac"/>
        <w:id w:val="-116546608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长期股权投资</w:t>
      </w:r>
    </w:p>
    <w:p w:rsidR="004A3868" w:rsidRDefault="003F1AB5">
      <w:pPr>
        <w:pStyle w:val="Style128"/>
        <w:numPr>
          <w:ilvl w:val="0"/>
          <w:numId w:val="76"/>
        </w:numPr>
      </w:pPr>
      <w:r>
        <w:rPr>
          <w:rFonts w:hint="eastAsia"/>
        </w:rPr>
        <w:t>长期股权投资情况</w:t>
      </w:r>
    </w:p>
    <w:bookmarkStart w:id="199" w:name="_Hlk152856977"/>
    <w:p w:rsidR="004A3868" w:rsidRDefault="00B34370">
      <w:pPr>
        <w:pStyle w:val="Style124"/>
      </w:pPr>
      <w:sdt>
        <w:sdtPr>
          <w:rPr>
            <w:rFonts w:hint="eastAsia"/>
          </w:rPr>
          <w:alias w:val="是否适用：长期股权投资[双击切换]"/>
          <w:tag w:val="_GBC_94e2c461d3d34280a0a5f1e908656d3e"/>
          <w:id w:val="281772655"/>
          <w:lock w:val="contentLocked"/>
          <w:placeholder>
            <w:docPart w:val="GBC22222222222222222222222222222"/>
          </w:placeholder>
        </w:sdtPr>
        <w:sdtEndPr/>
        <w:sdtContent>
          <w:r w:rsidR="003F1AB5">
            <w:fldChar w:fldCharType="begin"/>
          </w:r>
          <w:r w:rsidR="003F1AB5">
            <w:rPr>
              <w:rFonts w:hint="eastAsia"/>
            </w:rPr>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jc w:val="right"/>
        <w:rPr>
          <w:rStyle w:val="Char20"/>
        </w:rPr>
      </w:pPr>
      <w:r>
        <w:rPr>
          <w:rStyle w:val="Char20"/>
          <w:rFonts w:hint="eastAsia"/>
        </w:rPr>
        <w:lastRenderedPageBreak/>
        <w:t>单位：</w:t>
      </w:r>
      <w:sdt>
        <w:sdtPr>
          <w:rPr>
            <w:rStyle w:val="Char20"/>
            <w:rFonts w:hint="eastAsia"/>
          </w:rPr>
          <w:alias w:val="单位：财务附注：长期股权投资"/>
          <w:tag w:val="_GBC_9ef1128bd666425898c1d0386f4940f0"/>
          <w:id w:val="8128455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长期股权投资"/>
          <w:tag w:val="_GBC_3839232c7f594f79a27ec799cde377b3"/>
          <w:id w:val="4398880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21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798"/>
        <w:gridCol w:w="1325"/>
        <w:gridCol w:w="425"/>
        <w:gridCol w:w="387"/>
        <w:gridCol w:w="1031"/>
        <w:gridCol w:w="565"/>
        <w:gridCol w:w="553"/>
        <w:gridCol w:w="1291"/>
        <w:gridCol w:w="424"/>
        <w:gridCol w:w="541"/>
        <w:gridCol w:w="1304"/>
        <w:gridCol w:w="565"/>
      </w:tblGrid>
      <w:tr w:rsidR="004A3868">
        <w:trPr>
          <w:trHeight w:val="397"/>
          <w:jc w:val="center"/>
        </w:trPr>
        <w:bookmarkEnd w:id="199" w:displacedByCustomXml="next"/>
        <w:sdt>
          <w:sdtPr>
            <w:tag w:val="_PLD_904000e8ce384d4988e09c22d5f8f725"/>
            <w:id w:val="-1224980541"/>
            <w:lock w:val="sdtLocked"/>
          </w:sdtPr>
          <w:sdtEndPr/>
          <w:sdtContent>
            <w:tc>
              <w:tcPr>
                <w:tcW w:w="433"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被投资单位</w:t>
                </w:r>
              </w:p>
            </w:tc>
          </w:sdtContent>
        </w:sdt>
        <w:sdt>
          <w:sdtPr>
            <w:tag w:val="_PLD_2325481f20324f949b4d5af7cfe3ea45"/>
            <w:id w:val="1238981082"/>
            <w:lock w:val="sdtLocked"/>
          </w:sdtPr>
          <w:sdtEndPr/>
          <w:sdtContent>
            <w:tc>
              <w:tcPr>
                <w:tcW w:w="719"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期初</w:t>
                </w:r>
              </w:p>
              <w:p w:rsidR="004A3868" w:rsidRDefault="003F1AB5">
                <w:pPr>
                  <w:pStyle w:val="afffb"/>
                </w:pPr>
                <w:r>
                  <w:rPr>
                    <w:rFonts w:hint="eastAsia"/>
                  </w:rPr>
                  <w:t>余额</w:t>
                </w:r>
              </w:p>
            </w:tc>
          </w:sdtContent>
        </w:sdt>
        <w:sdt>
          <w:sdtPr>
            <w:tag w:val="_PLD_62e0836260734d34965d8070b1a6f2dd"/>
            <w:id w:val="1751851885"/>
            <w:lock w:val="sdtLocked"/>
          </w:sdtPr>
          <w:sdtEndPr/>
          <w:sdtContent>
            <w:tc>
              <w:tcPr>
                <w:tcW w:w="283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本期增减变动</w:t>
                </w:r>
              </w:p>
            </w:tc>
          </w:sdtContent>
        </w:sdt>
        <w:sdt>
          <w:sdtPr>
            <w:tag w:val="_PLD_7b9429fc29b64f4c83eea02ed0cad7ba"/>
            <w:id w:val="1569305029"/>
            <w:lock w:val="sdtLocked"/>
          </w:sdtPr>
          <w:sdtEndPr/>
          <w:sdtContent>
            <w:tc>
              <w:tcPr>
                <w:tcW w:w="708"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期末</w:t>
                </w:r>
              </w:p>
              <w:p w:rsidR="004A3868" w:rsidRDefault="003F1AB5">
                <w:pPr>
                  <w:pStyle w:val="afffb"/>
                </w:pPr>
                <w:r>
                  <w:rPr>
                    <w:rFonts w:hint="eastAsia"/>
                  </w:rPr>
                  <w:t>余额</w:t>
                </w:r>
              </w:p>
            </w:tc>
          </w:sdtContent>
        </w:sdt>
        <w:sdt>
          <w:sdtPr>
            <w:tag w:val="_PLD_79298dc466f54a239357520005d5d0d6"/>
            <w:id w:val="922694018"/>
            <w:lock w:val="sdtLocked"/>
          </w:sdtPr>
          <w:sdtEndPr/>
          <w:sdtContent>
            <w:tc>
              <w:tcPr>
                <w:tcW w:w="307"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减值准备期末余额</w:t>
                </w:r>
              </w:p>
            </w:tc>
          </w:sdtContent>
        </w:sdt>
      </w:tr>
      <w:tr w:rsidR="004A3868">
        <w:trPr>
          <w:trHeight w:val="397"/>
          <w:jc w:val="center"/>
        </w:trPr>
        <w:tc>
          <w:tcPr>
            <w:tcW w:w="433" w:type="pct"/>
            <w:vMerge/>
            <w:tcBorders>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719" w:type="pct"/>
            <w:vMerge/>
            <w:tcBorders>
              <w:left w:val="single" w:sz="4" w:space="0" w:color="auto"/>
              <w:bottom w:val="single" w:sz="4" w:space="0" w:color="auto"/>
              <w:right w:val="single" w:sz="4" w:space="0" w:color="auto"/>
            </w:tcBorders>
            <w:shd w:val="clear" w:color="auto" w:fill="auto"/>
          </w:tcPr>
          <w:p w:rsidR="004A3868" w:rsidRDefault="004A3868">
            <w:pPr>
              <w:rPr>
                <w:sz w:val="18"/>
                <w:szCs w:val="18"/>
              </w:rPr>
            </w:pPr>
          </w:p>
        </w:tc>
        <w:sdt>
          <w:sdtPr>
            <w:tag w:val="_PLD_32174384d8204c80ab4f8eb2ee1b7c00"/>
            <w:id w:val="-1418093784"/>
            <w:lock w:val="sdtLocked"/>
          </w:sdtPr>
          <w:sdtEndPr/>
          <w:sdtContent>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追加投资</w:t>
                </w:r>
              </w:p>
            </w:tc>
          </w:sdtContent>
        </w:sdt>
        <w:sdt>
          <w:sdtPr>
            <w:tag w:val="_PLD_095046b604db44b8b22c0d62f18b7d7b"/>
            <w:id w:val="-1588540495"/>
            <w:lock w:val="sdtLocked"/>
          </w:sdtPr>
          <w:sdtEndPr/>
          <w:sdtContent>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减少投资</w:t>
                </w:r>
              </w:p>
            </w:tc>
          </w:sdtContent>
        </w:sdt>
        <w:sdt>
          <w:sdtPr>
            <w:tag w:val="_PLD_6b1aa2f12a4b43c9acfdfe03af1b69b5"/>
            <w:id w:val="-1661617473"/>
            <w:lock w:val="sdtLocked"/>
          </w:sdtPr>
          <w:sdtEndPr/>
          <w:sdtConten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权益法下确认的投资损益</w:t>
                </w:r>
              </w:p>
            </w:tc>
          </w:sdtContent>
        </w:sdt>
        <w:sdt>
          <w:sdtPr>
            <w:tag w:val="_PLD_7843f54d0d14415a8d81c3e768bcd483"/>
            <w:id w:val="-1971578759"/>
            <w:lock w:val="sdtLocked"/>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其他综合收益调整</w:t>
                </w:r>
              </w:p>
            </w:tc>
          </w:sdtContent>
        </w:sdt>
        <w:sdt>
          <w:sdtPr>
            <w:tag w:val="_PLD_dd698127723b4ea0815eca9ac49240a1"/>
            <w:id w:val="967323333"/>
            <w:lock w:val="sdtLocked"/>
          </w:sdtPr>
          <w:sdtEndPr/>
          <w:sdtContent>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其他权益变动</w:t>
                </w:r>
              </w:p>
            </w:tc>
          </w:sdtContent>
        </w:sdt>
        <w:sdt>
          <w:sdtPr>
            <w:tag w:val="_PLD_6d37a876ad014b7ba59d452d3d7f5f15"/>
            <w:id w:val="-2012670189"/>
            <w:lock w:val="sdtLocked"/>
          </w:sdtPr>
          <w:sdtEndPr/>
          <w:sdtContent>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宣告发放现金股利或利润</w:t>
                </w:r>
              </w:p>
            </w:tc>
          </w:sdtContent>
        </w:sdt>
        <w:sdt>
          <w:sdtPr>
            <w:tag w:val="_PLD_050d96d5e62f42b9bb4f13a2ca047503"/>
            <w:id w:val="-2033722145"/>
            <w:lock w:val="sdtLocked"/>
          </w:sdtPr>
          <w:sdtEndPr/>
          <w:sdtContent>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计提减值准备</w:t>
                </w:r>
              </w:p>
            </w:tc>
          </w:sdtContent>
        </w:sdt>
        <w:sdt>
          <w:sdtPr>
            <w:tag w:val="_PLD_add111e25b4543c48121d495919f2030"/>
            <w:id w:val="-1082515216"/>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其他</w:t>
                </w:r>
              </w:p>
            </w:tc>
          </w:sdtContent>
        </w:sdt>
        <w:tc>
          <w:tcPr>
            <w:tcW w:w="708" w:type="pct"/>
            <w:vMerge/>
            <w:tcBorders>
              <w:left w:val="single" w:sz="4" w:space="0" w:color="auto"/>
              <w:bottom w:val="single" w:sz="4" w:space="0" w:color="auto"/>
              <w:right w:val="single" w:sz="4" w:space="0" w:color="auto"/>
            </w:tcBorders>
            <w:shd w:val="clear" w:color="auto" w:fill="auto"/>
            <w:vAlign w:val="center"/>
          </w:tcPr>
          <w:p w:rsidR="004A3868" w:rsidRDefault="004A3868">
            <w:pPr>
              <w:rPr>
                <w:sz w:val="18"/>
                <w:szCs w:val="18"/>
              </w:rPr>
            </w:pPr>
          </w:p>
        </w:tc>
        <w:tc>
          <w:tcPr>
            <w:tcW w:w="307" w:type="pct"/>
            <w:vMerge/>
            <w:tcBorders>
              <w:left w:val="single" w:sz="4" w:space="0" w:color="auto"/>
              <w:bottom w:val="single" w:sz="4" w:space="0" w:color="auto"/>
              <w:right w:val="single" w:sz="4" w:space="0" w:color="auto"/>
            </w:tcBorders>
            <w:shd w:val="clear" w:color="auto" w:fill="auto"/>
            <w:vAlign w:val="center"/>
          </w:tcPr>
          <w:p w:rsidR="004A3868" w:rsidRDefault="004A3868">
            <w:pPr>
              <w:rPr>
                <w:sz w:val="18"/>
                <w:szCs w:val="18"/>
              </w:rPr>
            </w:pPr>
          </w:p>
        </w:tc>
      </w:tr>
      <w:tr w:rsidR="004A3868">
        <w:trPr>
          <w:trHeight w:val="397"/>
          <w:jc w:val="center"/>
        </w:trPr>
        <w:sdt>
          <w:sdtPr>
            <w:rPr>
              <w:sz w:val="18"/>
              <w:szCs w:val="18"/>
            </w:rPr>
            <w:tag w:val="_PLD_35b755e14b594e4c91e0b7c9ecb32e60"/>
            <w:id w:val="-135803563"/>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18"/>
                    <w:szCs w:val="18"/>
                  </w:rPr>
                </w:pPr>
                <w:r>
                  <w:rPr>
                    <w:rFonts w:hint="eastAsia"/>
                    <w:sz w:val="18"/>
                    <w:szCs w:val="18"/>
                  </w:rPr>
                  <w:t>一、合营企业</w:t>
                </w:r>
              </w:p>
            </w:tc>
          </w:sdtContent>
        </w:sdt>
      </w:tr>
      <w:tr w:rsidR="004A3868">
        <w:trPr>
          <w:trHeight w:val="397"/>
          <w:jc w:val="center"/>
        </w:trPr>
        <w:tc>
          <w:tcPr>
            <w:tcW w:w="433"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r>
      <w:tr w:rsidR="004A3868">
        <w:trPr>
          <w:trHeight w:val="397"/>
          <w:jc w:val="center"/>
        </w:trPr>
        <w:tc>
          <w:tcPr>
            <w:tcW w:w="43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18"/>
                <w:szCs w:val="18"/>
              </w:rPr>
            </w:pPr>
            <w:r>
              <w:rPr>
                <w:rFonts w:hint="eastAsia"/>
                <w:sz w:val="18"/>
                <w:szCs w:val="18"/>
              </w:rPr>
              <w:t>小计</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23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18"/>
                <w:szCs w:val="18"/>
              </w:rPr>
            </w:pPr>
          </w:p>
        </w:tc>
      </w:tr>
      <w:tr w:rsidR="004A3868">
        <w:trPr>
          <w:trHeight w:val="397"/>
          <w:jc w:val="center"/>
        </w:trPr>
        <w:sdt>
          <w:sdtPr>
            <w:rPr>
              <w:sz w:val="18"/>
              <w:szCs w:val="18"/>
            </w:rPr>
            <w:tag w:val="_PLD_2c448562bca04f23a9ec97848768cd82"/>
            <w:id w:val="-1331903831"/>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sz w:val="18"/>
                    <w:szCs w:val="18"/>
                  </w:rPr>
                </w:pPr>
                <w:r>
                  <w:rPr>
                    <w:rFonts w:hint="eastAsia"/>
                    <w:sz w:val="18"/>
                    <w:szCs w:val="18"/>
                  </w:rPr>
                  <w:t>二、联营企业</w:t>
                </w:r>
              </w:p>
            </w:tc>
          </w:sdtContent>
        </w:sdt>
      </w:tr>
      <w:tr w:rsidR="004A3868">
        <w:trPr>
          <w:trHeight w:val="397"/>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重庆能投长寿经开区售电有限公司</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afff7"/>
            </w:pPr>
            <w:r>
              <w:t>16,014,232.96</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afff7"/>
            </w:pPr>
            <w:r>
              <w:t>323,689.95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afff7"/>
            </w:pPr>
            <w:r>
              <w:t>803,249.34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708"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afff7"/>
            </w:pPr>
            <w:r>
              <w:t>15,534,673.57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rPr>
                <w:sz w:val="18"/>
                <w:szCs w:val="18"/>
              </w:rPr>
            </w:pPr>
          </w:p>
        </w:tc>
      </w:tr>
      <w:tr w:rsidR="004A3868">
        <w:trPr>
          <w:trHeight w:val="397"/>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小计</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afff7"/>
            </w:pPr>
            <w:r>
              <w:t>16,014,232.96</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323,689.95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803,249.34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15,534,673.57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rPr>
                <w:sz w:val="18"/>
                <w:szCs w:val="18"/>
              </w:rPr>
            </w:pPr>
          </w:p>
        </w:tc>
      </w:tr>
      <w:tr w:rsidR="004A3868">
        <w:trPr>
          <w:trHeight w:val="397"/>
          <w:jc w:val="center"/>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afff7"/>
            </w:pPr>
            <w:r>
              <w:t>16,014,232.96</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323,689.95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803,249.34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15,534,673.57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rPr>
                <w:sz w:val="18"/>
                <w:szCs w:val="18"/>
              </w:rPr>
            </w:pPr>
          </w:p>
        </w:tc>
      </w:tr>
    </w:tbl>
    <w:p w:rsidR="004A3868" w:rsidRDefault="003F1AB5">
      <w:pPr>
        <w:pStyle w:val="Style128"/>
        <w:numPr>
          <w:ilvl w:val="0"/>
          <w:numId w:val="76"/>
        </w:numPr>
      </w:pPr>
      <w:r>
        <w:rPr>
          <w:rFonts w:hint="eastAsia"/>
        </w:rPr>
        <w:t>长期股权投资的减值测试情况</w:t>
      </w:r>
    </w:p>
    <w:sdt>
      <w:sdtPr>
        <w:alias w:val="是否适用：减值测试情况[双击切换]"/>
        <w:tag w:val="_GBC_869bca5d4169451086ae6ff386220647"/>
        <w:id w:val="71485646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可收回金额按公允价值减去处置费用后的净额确定</w:t>
      </w:r>
    </w:p>
    <w:sdt>
      <w:sdtPr>
        <w:alias w:val="是否适用：可收回金额按公允价值减去处置费用后的净额确定[双击切换]"/>
        <w:tag w:val="_GBC_5d79f5b7f9de47cfa1786c77c4f54e32"/>
        <w:id w:val="-1472598875"/>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可收回金额按预计未来现金流量的现值确定</w:t>
      </w:r>
    </w:p>
    <w:sdt>
      <w:sdtPr>
        <w:rPr>
          <w:rFonts w:hint="eastAsia"/>
        </w:rPr>
        <w:alias w:val="是否适用：可收回金额按预计未来现金流量的现值确定[双击切换]"/>
        <w:tag w:val="_GBC_9c34e274367e466a9303b2bac84fe555"/>
        <w:id w:val="-60426964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3e8603325834699a6bb2289afd95ba7"/>
        <w:id w:val="16822370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1e50d30deb44faca454e96c06d70792"/>
        <w:id w:val="104826923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其他说明</w:t>
      </w:r>
    </w:p>
    <w:p w:rsidR="004A3868" w:rsidRDefault="00B34370">
      <w:pPr>
        <w:rPr>
          <w:sz w:val="21"/>
          <w:szCs w:val="21"/>
        </w:rPr>
      </w:pPr>
      <w:sdt>
        <w:sdtPr>
          <w:rPr>
            <w:sz w:val="21"/>
            <w:szCs w:val="21"/>
          </w:rPr>
          <w:alias w:val="长期股票投资的说明"/>
          <w:tag w:val="_GBC_4023b747651f4831814ee17f68bb62d6"/>
          <w:id w:val="745457663"/>
          <w:placeholder>
            <w:docPart w:val="GBC22222222222222222222222222222"/>
          </w:placeholder>
        </w:sdtPr>
        <w:sdtEndPr/>
        <w:sdtContent>
          <w:r w:rsidR="003F1AB5">
            <w:rPr>
              <w:rFonts w:hint="eastAsia"/>
              <w:sz w:val="21"/>
              <w:szCs w:val="21"/>
            </w:rPr>
            <w:t>无</w:t>
          </w:r>
        </w:sdtContent>
      </w:sdt>
    </w:p>
    <w:p w:rsidR="004A3868" w:rsidRDefault="004A3868">
      <w:pPr>
        <w:sectPr w:rsidR="004A3868">
          <w:pgSz w:w="11906" w:h="16838"/>
          <w:pgMar w:top="1440" w:right="1797" w:bottom="1525" w:left="1276" w:header="856" w:footer="992" w:gutter="0"/>
          <w:cols w:space="425"/>
          <w:docGrid w:type="lines" w:linePitch="312"/>
        </w:sectPr>
      </w:pPr>
    </w:p>
    <w:p w:rsidR="004A3868" w:rsidRDefault="004A3868">
      <w:pPr>
        <w:pStyle w:val="Style842"/>
      </w:pPr>
    </w:p>
    <w:p w:rsidR="004A3868" w:rsidRDefault="003F1AB5">
      <w:pPr>
        <w:pStyle w:val="Style12711"/>
      </w:pPr>
      <w:r>
        <w:rPr>
          <w:rFonts w:hint="eastAsia"/>
        </w:rPr>
        <w:t>其他权益工具投资</w:t>
      </w:r>
    </w:p>
    <w:p w:rsidR="004A3868" w:rsidRDefault="003F1AB5">
      <w:pPr>
        <w:pStyle w:val="Style128"/>
        <w:numPr>
          <w:ilvl w:val="3"/>
          <w:numId w:val="77"/>
        </w:numPr>
      </w:pPr>
      <w:r>
        <w:rPr>
          <w:rFonts w:hint="eastAsia"/>
        </w:rPr>
        <w:t>其他权益工具投资情况</w:t>
      </w:r>
    </w:p>
    <w:bookmarkStart w:id="200" w:name="_Hlk152858292" w:displacedByCustomXml="next"/>
    <w:bookmarkStart w:id="201" w:name="_Hlk533409702" w:displacedByCustomXml="next"/>
    <w:sdt>
      <w:sdtPr>
        <w:alias w:val="是否适用：其他权益工具投资情况[双击切换]"/>
        <w:tag w:val="_GBC_d086d5c38ce84090b98eac90481c97aa"/>
        <w:id w:val="-46420278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1"/>
    <w:bookmarkEnd w:id="200"/>
    <w:p w:rsidR="004A3868" w:rsidRDefault="003F1AB5">
      <w:pPr>
        <w:pStyle w:val="Style128"/>
        <w:numPr>
          <w:ilvl w:val="3"/>
          <w:numId w:val="77"/>
        </w:numPr>
      </w:pPr>
      <w:r>
        <w:rPr>
          <w:rFonts w:hint="eastAsia"/>
        </w:rPr>
        <w:t>本期存在终止确认的情况说明</w:t>
      </w:r>
    </w:p>
    <w:sdt>
      <w:sdtPr>
        <w:alias w:val="是否适用：本期存在终止确认的情况说明[双击切换]"/>
        <w:tag w:val="_GBC_27e93a66690f439284ed9d6df3a9bd6c"/>
        <w:id w:val="8958637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w:t>
      </w:r>
      <w:r>
        <w:t>说明</w:t>
      </w:r>
      <w:r>
        <w:rPr>
          <w:rFonts w:hint="eastAsia"/>
        </w:rPr>
        <w:t>：</w:t>
      </w:r>
    </w:p>
    <w:sdt>
      <w:sdtPr>
        <w:rPr>
          <w:sz w:val="21"/>
          <w:szCs w:val="21"/>
        </w:rPr>
        <w:alias w:val="是否适用：其他权益工具投资其他说明[双击切换]"/>
        <w:tag w:val="_GBC_217dff5073ff4a12b86d342292038452"/>
        <w:id w:val="4303441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4A3868">
      <w:pPr>
        <w:sectPr w:rsidR="004A3868">
          <w:pgSz w:w="16838" w:h="11906" w:orient="landscape"/>
          <w:pgMar w:top="1276" w:right="1440" w:bottom="1797" w:left="1525" w:header="856" w:footer="992" w:gutter="0"/>
          <w:cols w:space="425"/>
          <w:docGrid w:linePitch="312"/>
        </w:sectPr>
      </w:pPr>
    </w:p>
    <w:p w:rsidR="004A3868" w:rsidRDefault="003F1AB5">
      <w:pPr>
        <w:pStyle w:val="Style12711"/>
      </w:pPr>
      <w:r>
        <w:rPr>
          <w:rFonts w:hint="eastAsia"/>
        </w:rPr>
        <w:lastRenderedPageBreak/>
        <w:t>其他非流动金融资产</w:t>
      </w:r>
    </w:p>
    <w:bookmarkStart w:id="202" w:name="_Hlk533409746" w:displacedByCustomXml="next"/>
    <w:sdt>
      <w:sdtPr>
        <w:alias w:val="是否适用：其他非流动金融资产[双击切换]"/>
        <w:tag w:val="_GBC_6b599068045d444b87b686a3b6690bf1"/>
        <w:id w:val="-134207892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w:t>
      </w:r>
      <w:r>
        <w:t>说明</w:t>
      </w:r>
      <w:r>
        <w:rPr>
          <w:rFonts w:hint="eastAsia"/>
        </w:rPr>
        <w:t>：</w:t>
      </w:r>
    </w:p>
    <w:bookmarkEnd w:id="202" w:displacedByCustomXml="next"/>
    <w:sdt>
      <w:sdtPr>
        <w:alias w:val="是否适用：其他非流动金融资产其他说明[双击切换]"/>
        <w:tag w:val="_GBC_037912ebdd3b4e80b4b66cf88f8cb3e7"/>
        <w:id w:val="857465518"/>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投资性房地产</w:t>
      </w:r>
    </w:p>
    <w:p w:rsidR="004A3868" w:rsidRDefault="003F1AB5">
      <w:pPr>
        <w:pStyle w:val="Style124"/>
      </w:pPr>
      <w:r>
        <w:t>投资性房地产</w:t>
      </w:r>
      <w:r>
        <w:rPr>
          <w:rFonts w:hint="eastAsia"/>
        </w:rPr>
        <w:t>计量模式</w:t>
      </w:r>
    </w:p>
    <w:p w:rsidR="004A3868" w:rsidRDefault="003F1AB5">
      <w:pPr>
        <w:rPr>
          <w:sz w:val="21"/>
          <w:szCs w:val="21"/>
        </w:rPr>
      </w:pPr>
      <w:r>
        <w:rPr>
          <w:rFonts w:hint="eastAsia"/>
          <w:sz w:val="21"/>
          <w:szCs w:val="21"/>
        </w:rPr>
        <w:t>不</w:t>
      </w:r>
      <w:sdt>
        <w:sdtPr>
          <w:rPr>
            <w:rFonts w:hint="eastAsia"/>
            <w:sz w:val="21"/>
            <w:szCs w:val="21"/>
          </w:rPr>
          <w:tag w:val="_PLD_04923bd149fe463fabfad2e2d6108628"/>
          <w:id w:val="-1543204719"/>
          <w:placeholder>
            <w:docPart w:val="GBC22222222222222222222222222222"/>
          </w:placeholder>
        </w:sdtPr>
        <w:sdtEndPr/>
        <w:sdtContent>
          <w:r>
            <w:rPr>
              <w:rFonts w:hint="eastAsia"/>
              <w:sz w:val="21"/>
              <w:szCs w:val="21"/>
              <w:shd w:val="solid" w:color="FFFFFF" w:fill="auto"/>
            </w:rPr>
            <w:t>适</w:t>
          </w:r>
          <w:r>
            <w:rPr>
              <w:rFonts w:hint="eastAsia"/>
              <w:sz w:val="21"/>
              <w:szCs w:val="21"/>
            </w:rPr>
            <w:t>用</w:t>
          </w:r>
        </w:sdtContent>
      </w:sdt>
    </w:p>
    <w:p w:rsidR="004A3868" w:rsidRDefault="003F1AB5">
      <w:pPr>
        <w:pStyle w:val="Style128"/>
        <w:numPr>
          <w:ilvl w:val="3"/>
          <w:numId w:val="78"/>
        </w:numPr>
      </w:pPr>
      <w:bookmarkStart w:id="203" w:name="_Hlk153460290"/>
      <w:r>
        <w:rPr>
          <w:rFonts w:hint="eastAsia"/>
        </w:rPr>
        <w:t>采用成本计量模式的投资性房地产的减值测试情况</w:t>
      </w:r>
    </w:p>
    <w:sdt>
      <w:sdtPr>
        <w:alias w:val="是否适用：减值测试情况[双击切换]"/>
        <w:tag w:val="_GBC_373a9d68c3e14bb29f489d169fab52f2"/>
        <w:id w:val="193285671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可收回金额按公允价值减去处置费用后的净额确定</w:t>
      </w:r>
    </w:p>
    <w:sdt>
      <w:sdtPr>
        <w:rPr>
          <w:sz w:val="21"/>
          <w:szCs w:val="21"/>
        </w:rPr>
        <w:alias w:val="是否适用：可收回金额按公允价值减去处置费用后的净额确定[双击切换]"/>
        <w:tag w:val="_GBC_3be67b0087dd42c48b53abff6a26fc1d"/>
        <w:id w:val="197718444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可收回金额按预计未来现金流量的现值确定</w:t>
      </w:r>
    </w:p>
    <w:sdt>
      <w:sdtPr>
        <w:rPr>
          <w:rFonts w:hint="eastAsia"/>
        </w:rPr>
        <w:alias w:val="是否适用：可收回金额按预计未来现金流量的现值确定[双击切换]"/>
        <w:tag w:val="_GBC_63c10c4a40934190a454e28fdd968fc0"/>
        <w:id w:val="7494570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35e9b1ccab8440eb0212cfebcd31b38"/>
        <w:id w:val="-1184974743"/>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szCs w:val="21"/>
        </w:rPr>
        <w:t>公司以前年度</w:t>
      </w:r>
      <w:r>
        <w:rPr>
          <w:rFonts w:hint="eastAsia"/>
        </w:rPr>
        <w:t>减值测试采用信息与当年实际情况明显不一致的差异原因</w:t>
      </w:r>
    </w:p>
    <w:sdt>
      <w:sdtPr>
        <w:alias w:val="是否适用：公司以前年度减值测试采用信息与当年实际情况明显不一致的差异原因[双击切换]"/>
        <w:tag w:val="_GBC_f12cdcc96dbc4c67858aed4e0f2967af"/>
        <w:id w:val="-37862711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固定资产</w:t>
      </w:r>
    </w:p>
    <w:p w:rsidR="004A3868" w:rsidRDefault="003F1AB5">
      <w:pPr>
        <w:pStyle w:val="Style128"/>
      </w:pPr>
      <w:bookmarkStart w:id="204" w:name="_Hlk532907583"/>
      <w:r>
        <w:rPr>
          <w:rFonts w:hint="eastAsia"/>
        </w:rPr>
        <w:t>项目列示</w:t>
      </w:r>
    </w:p>
    <w:bookmarkEnd w:id="203" w:displacedByCustomXml="next"/>
    <w:sdt>
      <w:sdtPr>
        <w:alias w:val="是否适用：固定资产分类列示[双击切换]"/>
        <w:tag w:val="_GBC_aa56cf68790e4b9d866b3ea7d6d8073d"/>
        <w:id w:val="-2078963904"/>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固定资产分类列示"/>
          <w:tag w:val="_GBC_857b5f6755c84b5aa235351580358065"/>
          <w:id w:val="-2254560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固定资产分类列示"/>
          <w:tag w:val="_GBC_726c882708c540a4a7832f00029fe5d4"/>
          <w:id w:val="20289023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225"/>
        <w:gridCol w:w="2792"/>
        <w:gridCol w:w="2806"/>
      </w:tblGrid>
      <w:tr w:rsidR="004A3868">
        <w:trPr>
          <w:trHeight w:val="397"/>
          <w:jc w:val="center"/>
        </w:trPr>
        <w:sdt>
          <w:sdtPr>
            <w:tag w:val="_PLD_a1c8e68343ee4b7fa02f5422a7fad5c0"/>
            <w:id w:val="1559278477"/>
          </w:sdtPr>
          <w:sdtEndPr/>
          <w:sdtContent>
            <w:tc>
              <w:tcPr>
                <w:tcW w:w="1828" w:type="pct"/>
                <w:shd w:val="clear" w:color="auto" w:fill="auto"/>
                <w:vAlign w:val="center"/>
              </w:tcPr>
              <w:p w:rsidR="004A3868" w:rsidRDefault="003F1AB5">
                <w:pPr>
                  <w:pStyle w:val="afffb"/>
                </w:pPr>
                <w:r>
                  <w:rPr>
                    <w:rFonts w:hint="eastAsia"/>
                  </w:rPr>
                  <w:t>项目</w:t>
                </w:r>
              </w:p>
            </w:tc>
          </w:sdtContent>
        </w:sdt>
        <w:sdt>
          <w:sdtPr>
            <w:tag w:val="_PLD_a7d9e039146b4c3ab8e71ba63a4ca55d"/>
            <w:id w:val="-1956861936"/>
          </w:sdtPr>
          <w:sdtEndPr/>
          <w:sdtContent>
            <w:tc>
              <w:tcPr>
                <w:tcW w:w="1582" w:type="pct"/>
                <w:shd w:val="clear" w:color="auto" w:fill="auto"/>
                <w:vAlign w:val="center"/>
              </w:tcPr>
              <w:p w:rsidR="004A3868" w:rsidRDefault="003F1AB5">
                <w:pPr>
                  <w:pStyle w:val="afffb"/>
                </w:pPr>
                <w:r>
                  <w:rPr>
                    <w:rFonts w:hint="eastAsia"/>
                  </w:rPr>
                  <w:t>期末余额</w:t>
                </w:r>
              </w:p>
            </w:tc>
          </w:sdtContent>
        </w:sdt>
        <w:sdt>
          <w:sdtPr>
            <w:tag w:val="_PLD_a075f0130f1f4334b8370490adf71764"/>
            <w:id w:val="-671798623"/>
          </w:sdtPr>
          <w:sdtEndPr/>
          <w:sdtContent>
            <w:tc>
              <w:tcPr>
                <w:tcW w:w="1590"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828" w:type="pct"/>
            <w:shd w:val="clear" w:color="auto" w:fill="auto"/>
          </w:tcPr>
          <w:p w:rsidR="004A3868" w:rsidRDefault="003F1AB5">
            <w:pPr>
              <w:rPr>
                <w:sz w:val="21"/>
                <w:szCs w:val="21"/>
              </w:rPr>
            </w:pPr>
            <w:r>
              <w:rPr>
                <w:rFonts w:hint="eastAsia"/>
                <w:sz w:val="21"/>
                <w:szCs w:val="21"/>
              </w:rPr>
              <w:t>固定资产</w:t>
            </w:r>
          </w:p>
        </w:tc>
        <w:tc>
          <w:tcPr>
            <w:tcW w:w="1582" w:type="pct"/>
            <w:shd w:val="clear" w:color="auto" w:fill="auto"/>
            <w:vAlign w:val="center"/>
          </w:tcPr>
          <w:p w:rsidR="004A3868" w:rsidRDefault="003F1AB5">
            <w:pPr>
              <w:pStyle w:val="afff7"/>
            </w:pPr>
            <w:r>
              <w:t>1,114,728,954.39</w:t>
            </w:r>
          </w:p>
        </w:tc>
        <w:tc>
          <w:tcPr>
            <w:tcW w:w="1590" w:type="pct"/>
            <w:shd w:val="clear" w:color="auto" w:fill="auto"/>
            <w:vAlign w:val="center"/>
          </w:tcPr>
          <w:p w:rsidR="004A3868" w:rsidRDefault="003F1AB5">
            <w:pPr>
              <w:pStyle w:val="afff7"/>
            </w:pPr>
            <w:r>
              <w:t>589,297,382.46</w:t>
            </w:r>
          </w:p>
        </w:tc>
      </w:tr>
      <w:tr w:rsidR="004A3868">
        <w:trPr>
          <w:trHeight w:val="397"/>
          <w:jc w:val="center"/>
        </w:trPr>
        <w:tc>
          <w:tcPr>
            <w:tcW w:w="1828" w:type="pct"/>
            <w:shd w:val="clear" w:color="auto" w:fill="auto"/>
          </w:tcPr>
          <w:p w:rsidR="004A3868" w:rsidRDefault="003F1AB5">
            <w:pPr>
              <w:rPr>
                <w:sz w:val="21"/>
                <w:szCs w:val="21"/>
              </w:rPr>
            </w:pPr>
            <w:r>
              <w:rPr>
                <w:rFonts w:hint="eastAsia"/>
                <w:sz w:val="21"/>
                <w:szCs w:val="21"/>
              </w:rPr>
              <w:t>固定资产清理</w:t>
            </w:r>
          </w:p>
        </w:tc>
        <w:tc>
          <w:tcPr>
            <w:tcW w:w="1582" w:type="pct"/>
            <w:shd w:val="clear" w:color="auto" w:fill="auto"/>
            <w:vAlign w:val="center"/>
          </w:tcPr>
          <w:p w:rsidR="004A3868" w:rsidRDefault="003F1AB5">
            <w:pPr>
              <w:pStyle w:val="afff7"/>
            </w:pPr>
            <w:r>
              <w:t>79,760.22</w:t>
            </w:r>
          </w:p>
        </w:tc>
        <w:tc>
          <w:tcPr>
            <w:tcW w:w="1590" w:type="pct"/>
            <w:shd w:val="clear" w:color="auto" w:fill="auto"/>
            <w:vAlign w:val="center"/>
          </w:tcPr>
          <w:p w:rsidR="004A3868" w:rsidRDefault="003F1AB5">
            <w:pPr>
              <w:pStyle w:val="afff7"/>
            </w:pPr>
            <w:r>
              <w:t>6,773.50</w:t>
            </w:r>
          </w:p>
        </w:tc>
      </w:tr>
      <w:tr w:rsidR="004A3868">
        <w:trPr>
          <w:trHeight w:val="397"/>
          <w:jc w:val="center"/>
        </w:trPr>
        <w:tc>
          <w:tcPr>
            <w:tcW w:w="1828" w:type="pct"/>
            <w:shd w:val="clear" w:color="auto" w:fill="auto"/>
            <w:vAlign w:val="center"/>
          </w:tcPr>
          <w:p w:rsidR="004A3868" w:rsidRDefault="003F1AB5">
            <w:pPr>
              <w:rPr>
                <w:sz w:val="21"/>
                <w:szCs w:val="21"/>
              </w:rPr>
            </w:pPr>
            <w:r>
              <w:rPr>
                <w:rFonts w:hint="eastAsia"/>
                <w:sz w:val="21"/>
                <w:szCs w:val="21"/>
              </w:rPr>
              <w:t>合计</w:t>
            </w:r>
          </w:p>
        </w:tc>
        <w:tc>
          <w:tcPr>
            <w:tcW w:w="1582" w:type="pct"/>
            <w:shd w:val="clear" w:color="auto" w:fill="auto"/>
            <w:vAlign w:val="center"/>
          </w:tcPr>
          <w:p w:rsidR="004A3868" w:rsidRDefault="003F1AB5">
            <w:pPr>
              <w:pStyle w:val="afff7"/>
            </w:pPr>
            <w:r>
              <w:t>1,114,808,714.61</w:t>
            </w:r>
          </w:p>
        </w:tc>
        <w:tc>
          <w:tcPr>
            <w:tcW w:w="1590" w:type="pct"/>
            <w:shd w:val="clear" w:color="auto" w:fill="auto"/>
            <w:vAlign w:val="center"/>
          </w:tcPr>
          <w:p w:rsidR="004A3868" w:rsidRDefault="003F1AB5">
            <w:pPr>
              <w:pStyle w:val="afff7"/>
            </w:pPr>
            <w:r>
              <w:t>589,304,155.96</w:t>
            </w:r>
          </w:p>
        </w:tc>
      </w:tr>
    </w:tbl>
    <w:p w:rsidR="004A3868" w:rsidRDefault="003F1AB5">
      <w:pPr>
        <w:rPr>
          <w:sz w:val="18"/>
          <w:szCs w:val="18"/>
        </w:rPr>
      </w:pPr>
      <w:r>
        <w:rPr>
          <w:rFonts w:hint="eastAsia"/>
          <w:sz w:val="18"/>
          <w:szCs w:val="18"/>
        </w:rPr>
        <w:t>其他说明：</w:t>
      </w:r>
    </w:p>
    <w:bookmarkEnd w:id="204" w:displacedByCustomXml="next"/>
    <w:sdt>
      <w:sdtPr>
        <w:rPr>
          <w:sz w:val="18"/>
          <w:szCs w:val="18"/>
        </w:rPr>
        <w:alias w:val="是否适用：固定资产分类列示其他说明[双击切换]"/>
        <w:tag w:val="_GBC_242c272ba3a1435aacea1f45ade5a2e0"/>
        <w:id w:val="-1260750498"/>
        <w:lock w:val="sdtLocked"/>
        <w:placeholder>
          <w:docPart w:val="GBC22222222222222222222222222222"/>
        </w:placeholder>
      </w:sdtPr>
      <w:sdtEndPr/>
      <w:sdtContent>
        <w:p w:rsidR="004A3868" w:rsidRDefault="003F1AB5">
          <w:pPr>
            <w:rPr>
              <w:sz w:val="18"/>
              <w:szCs w:val="18"/>
            </w:rPr>
          </w:pPr>
          <w:r>
            <w:rPr>
              <w:sz w:val="18"/>
              <w:szCs w:val="18"/>
            </w:rPr>
            <w:fldChar w:fldCharType="begin"/>
          </w:r>
          <w:r>
            <w:rPr>
              <w:sz w:val="18"/>
              <w:szCs w:val="18"/>
            </w:rPr>
            <w:instrText xml:space="preserve"> MACROBUTTON  SnrToggleCheckbox □适用 </w:instrText>
          </w:r>
          <w:r>
            <w:rPr>
              <w:sz w:val="18"/>
              <w:szCs w:val="18"/>
            </w:rPr>
            <w:fldChar w:fldCharType="end"/>
          </w:r>
          <w:r>
            <w:rPr>
              <w:sz w:val="18"/>
              <w:szCs w:val="18"/>
            </w:rPr>
            <w:fldChar w:fldCharType="begin"/>
          </w:r>
          <w:r>
            <w:rPr>
              <w:sz w:val="18"/>
              <w:szCs w:val="18"/>
            </w:rPr>
            <w:instrText xml:space="preserve"> MACROBUTTON  SnrToggleCheckbox √不适用 </w:instrText>
          </w:r>
          <w:r>
            <w:rPr>
              <w:sz w:val="18"/>
              <w:szCs w:val="18"/>
            </w:rPr>
            <w:fldChar w:fldCharType="end"/>
          </w:r>
        </w:p>
      </w:sdtContent>
    </w:sdt>
    <w:p w:rsidR="004A3868" w:rsidRDefault="003F1AB5">
      <w:pPr>
        <w:pStyle w:val="Style128"/>
      </w:pPr>
      <w:r>
        <w:rPr>
          <w:rFonts w:hint="eastAsia"/>
        </w:rPr>
        <w:t>固定资产</w:t>
      </w:r>
    </w:p>
    <w:p w:rsidR="004A3868" w:rsidRDefault="003F1AB5">
      <w:pPr>
        <w:pStyle w:val="Style129"/>
        <w:numPr>
          <w:ilvl w:val="0"/>
          <w:numId w:val="79"/>
        </w:numPr>
      </w:pPr>
      <w:r>
        <w:rPr>
          <w:rFonts w:hint="eastAsia"/>
        </w:rPr>
        <w:t>固定资产情况</w:t>
      </w:r>
    </w:p>
    <w:sdt>
      <w:sdtPr>
        <w:alias w:val="是否适用：固定资产情况[双击切换]"/>
        <w:tag w:val="_GBC_a44afb7019ae43b7a273970cf76154a3"/>
        <w:id w:val="193577812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财务附注：固定资产情况"/>
          <w:tag w:val="_GBC_6aff6dff3e7c47e2891bcccce5ef5b8c"/>
          <w:id w:val="9055666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固定资产情况"/>
          <w:tag w:val="_GBC_acfb726ad8bc4e37a6326a98b903d495"/>
          <w:id w:val="-8436219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886"/>
        <w:gridCol w:w="1565"/>
        <w:gridCol w:w="1578"/>
        <w:gridCol w:w="1473"/>
        <w:gridCol w:w="1473"/>
        <w:gridCol w:w="1848"/>
      </w:tblGrid>
      <w:tr w:rsidR="004A3868">
        <w:trPr>
          <w:trHeight w:val="397"/>
          <w:jc w:val="center"/>
        </w:trPr>
        <w:sdt>
          <w:sdtPr>
            <w:tag w:val="_PLD_0431b88b9ff14ebb90e5715c273e1c1d"/>
            <w:id w:val="1080567803"/>
          </w:sdtPr>
          <w:sdtEndPr/>
          <w:sdtContent>
            <w:tc>
              <w:tcPr>
                <w:tcW w:w="502" w:type="pct"/>
                <w:shd w:val="clear" w:color="auto" w:fill="auto"/>
                <w:vAlign w:val="center"/>
              </w:tcPr>
              <w:p w:rsidR="004A3868" w:rsidRDefault="003F1AB5">
                <w:pPr>
                  <w:pStyle w:val="afffb"/>
                </w:pPr>
                <w:r>
                  <w:rPr>
                    <w:rFonts w:hint="eastAsia"/>
                  </w:rPr>
                  <w:t>项目</w:t>
                </w:r>
              </w:p>
            </w:tc>
          </w:sdtContent>
        </w:sdt>
        <w:sdt>
          <w:sdtPr>
            <w:rPr>
              <w:rFonts w:hint="eastAsia"/>
            </w:rPr>
            <w:alias w:val="固定资产情况明细-项目名称"/>
            <w:tag w:val="_GBC_d421638fcfb34bbba0e548b4cb719a06"/>
            <w:id w:val="179015330"/>
            <w:text/>
          </w:sdtPr>
          <w:sdtEndPr/>
          <w:sdtContent>
            <w:tc>
              <w:tcPr>
                <w:tcW w:w="887" w:type="pct"/>
                <w:shd w:val="clear" w:color="auto" w:fill="auto"/>
                <w:vAlign w:val="center"/>
              </w:tcPr>
              <w:p w:rsidR="004A3868" w:rsidRDefault="003F1AB5">
                <w:pPr>
                  <w:pStyle w:val="afffb"/>
                </w:pPr>
                <w:r>
                  <w:rPr>
                    <w:rFonts w:hint="eastAsia"/>
                  </w:rPr>
                  <w:t>房屋及建筑物</w:t>
                </w:r>
              </w:p>
            </w:tc>
          </w:sdtContent>
        </w:sdt>
        <w:sdt>
          <w:sdtPr>
            <w:rPr>
              <w:rFonts w:hint="eastAsia"/>
            </w:rPr>
            <w:alias w:val="固定资产情况明细-项目名称"/>
            <w:tag w:val="_GBC_d421638fcfb34bbba0e548b4cb719a06"/>
            <w:id w:val="1001625860"/>
            <w:text/>
          </w:sdtPr>
          <w:sdtEndPr/>
          <w:sdtContent>
            <w:tc>
              <w:tcPr>
                <w:tcW w:w="894" w:type="pct"/>
                <w:shd w:val="clear" w:color="auto" w:fill="auto"/>
                <w:vAlign w:val="center"/>
              </w:tcPr>
              <w:p w:rsidR="004A3868" w:rsidRDefault="003F1AB5">
                <w:pPr>
                  <w:pStyle w:val="afffb"/>
                </w:pPr>
                <w:r>
                  <w:rPr>
                    <w:rFonts w:hint="eastAsia"/>
                  </w:rPr>
                  <w:t>机器设备</w:t>
                </w:r>
              </w:p>
            </w:tc>
          </w:sdtContent>
        </w:sdt>
        <w:sdt>
          <w:sdtPr>
            <w:rPr>
              <w:rFonts w:hint="eastAsia"/>
            </w:rPr>
            <w:alias w:val="固定资产情况明细-项目名称"/>
            <w:tag w:val="_GBC_d421638fcfb34bbba0e548b4cb719a06"/>
            <w:id w:val="2098211344"/>
            <w:text/>
          </w:sdtPr>
          <w:sdtEndPr/>
          <w:sdtContent>
            <w:tc>
              <w:tcPr>
                <w:tcW w:w="835" w:type="pct"/>
                <w:shd w:val="clear" w:color="auto" w:fill="auto"/>
                <w:vAlign w:val="center"/>
              </w:tcPr>
              <w:p w:rsidR="004A3868" w:rsidRDefault="003F1AB5">
                <w:pPr>
                  <w:pStyle w:val="afffb"/>
                </w:pPr>
                <w:r>
                  <w:rPr>
                    <w:rFonts w:hint="eastAsia"/>
                  </w:rPr>
                  <w:t>运输工具</w:t>
                </w:r>
              </w:p>
            </w:tc>
          </w:sdtContent>
        </w:sdt>
        <w:sdt>
          <w:sdtPr>
            <w:rPr>
              <w:rFonts w:hint="eastAsia"/>
            </w:rPr>
            <w:alias w:val="固定资产情况明细-项目名称"/>
            <w:tag w:val="_GBC_d421638fcfb34bbba0e548b4cb719a06"/>
            <w:id w:val="13590366"/>
            <w:text/>
          </w:sdtPr>
          <w:sdtEndPr/>
          <w:sdtContent>
            <w:tc>
              <w:tcPr>
                <w:tcW w:w="835" w:type="pct"/>
                <w:shd w:val="clear" w:color="auto" w:fill="auto"/>
                <w:vAlign w:val="center"/>
              </w:tcPr>
              <w:p w:rsidR="004A3868" w:rsidRDefault="003F1AB5">
                <w:pPr>
                  <w:pStyle w:val="afffb"/>
                </w:pPr>
                <w:r>
                  <w:rPr>
                    <w:rFonts w:hint="eastAsia"/>
                  </w:rPr>
                  <w:t>电子设备及办公设备</w:t>
                </w:r>
              </w:p>
            </w:tc>
          </w:sdtContent>
        </w:sdt>
        <w:sdt>
          <w:sdtPr>
            <w:tag w:val="_PLD_44989fc4cd3d46cc990c4d1941405a11"/>
            <w:id w:val="-150608995"/>
          </w:sdtPr>
          <w:sdtEndPr/>
          <w:sdtContent>
            <w:tc>
              <w:tcPr>
                <w:tcW w:w="1047" w:type="pct"/>
                <w:shd w:val="clear" w:color="auto" w:fill="auto"/>
                <w:vAlign w:val="center"/>
              </w:tcPr>
              <w:p w:rsidR="004A3868" w:rsidRDefault="003F1AB5">
                <w:pPr>
                  <w:pStyle w:val="afffb"/>
                </w:pPr>
                <w:r>
                  <w:rPr>
                    <w:rFonts w:hint="eastAsia"/>
                  </w:rPr>
                  <w:t>合计</w:t>
                </w:r>
              </w:p>
            </w:tc>
          </w:sdtContent>
        </w:sdt>
      </w:tr>
      <w:tr w:rsidR="004A3868">
        <w:trPr>
          <w:trHeight w:val="397"/>
          <w:jc w:val="center"/>
        </w:trPr>
        <w:sdt>
          <w:sdtPr>
            <w:rPr>
              <w:sz w:val="18"/>
              <w:szCs w:val="18"/>
            </w:rPr>
            <w:tag w:val="_PLD_baa91289996942f0a3579319b339b24d"/>
            <w:id w:val="1485431011"/>
          </w:sdtPr>
          <w:sdtEndPr/>
          <w:sdtContent>
            <w:tc>
              <w:tcPr>
                <w:tcW w:w="5000" w:type="pct"/>
                <w:gridSpan w:val="6"/>
                <w:shd w:val="clear" w:color="auto" w:fill="auto"/>
              </w:tcPr>
              <w:p w:rsidR="004A3868" w:rsidRDefault="003F1AB5">
                <w:pPr>
                  <w:rPr>
                    <w:sz w:val="18"/>
                    <w:szCs w:val="18"/>
                  </w:rPr>
                </w:pPr>
                <w:r>
                  <w:rPr>
                    <w:rFonts w:hint="eastAsia"/>
                    <w:sz w:val="18"/>
                    <w:szCs w:val="18"/>
                  </w:rPr>
                  <w:t>一、账面原值：</w:t>
                </w:r>
              </w:p>
            </w:tc>
          </w:sdtContent>
        </w:sdt>
      </w:tr>
      <w:tr w:rsidR="004A3868">
        <w:trPr>
          <w:trHeight w:val="397"/>
          <w:jc w:val="center"/>
        </w:trPr>
        <w:tc>
          <w:tcPr>
            <w:tcW w:w="502" w:type="pct"/>
            <w:shd w:val="clear" w:color="auto" w:fill="auto"/>
            <w:vAlign w:val="center"/>
          </w:tcPr>
          <w:p w:rsidR="004A3868" w:rsidRDefault="003F1AB5">
            <w:pPr>
              <w:pStyle w:val="afff9"/>
            </w:pPr>
            <w:r>
              <w:t>1.</w:t>
            </w:r>
            <w:r>
              <w:rPr>
                <w:rFonts w:hint="eastAsia"/>
              </w:rPr>
              <w:t>期初余额</w:t>
            </w:r>
          </w:p>
        </w:tc>
        <w:tc>
          <w:tcPr>
            <w:tcW w:w="887" w:type="pct"/>
            <w:shd w:val="clear" w:color="auto" w:fill="auto"/>
            <w:vAlign w:val="center"/>
          </w:tcPr>
          <w:p w:rsidR="004A3868" w:rsidRDefault="003F1AB5">
            <w:pPr>
              <w:pStyle w:val="afff7"/>
            </w:pPr>
            <w:r>
              <w:t>417,472,331.07</w:t>
            </w:r>
          </w:p>
        </w:tc>
        <w:tc>
          <w:tcPr>
            <w:tcW w:w="894" w:type="pct"/>
            <w:shd w:val="clear" w:color="auto" w:fill="auto"/>
            <w:vAlign w:val="center"/>
          </w:tcPr>
          <w:p w:rsidR="004A3868" w:rsidRDefault="003F1AB5">
            <w:pPr>
              <w:pStyle w:val="afff7"/>
            </w:pPr>
            <w:r>
              <w:t>400,920,548.32</w:t>
            </w:r>
          </w:p>
        </w:tc>
        <w:tc>
          <w:tcPr>
            <w:tcW w:w="835" w:type="pct"/>
            <w:shd w:val="clear" w:color="auto" w:fill="auto"/>
            <w:vAlign w:val="center"/>
          </w:tcPr>
          <w:p w:rsidR="004A3868" w:rsidRDefault="003F1AB5">
            <w:pPr>
              <w:pStyle w:val="afff7"/>
            </w:pPr>
            <w:r>
              <w:t>12,623,362.29</w:t>
            </w:r>
          </w:p>
        </w:tc>
        <w:tc>
          <w:tcPr>
            <w:tcW w:w="835" w:type="pct"/>
            <w:shd w:val="clear" w:color="auto" w:fill="auto"/>
            <w:vAlign w:val="center"/>
          </w:tcPr>
          <w:p w:rsidR="004A3868" w:rsidRDefault="003F1AB5">
            <w:pPr>
              <w:pStyle w:val="afff7"/>
            </w:pPr>
            <w:r>
              <w:t>6,564,746.72</w:t>
            </w:r>
          </w:p>
        </w:tc>
        <w:tc>
          <w:tcPr>
            <w:tcW w:w="1047" w:type="pct"/>
            <w:shd w:val="clear" w:color="auto" w:fill="auto"/>
            <w:vAlign w:val="center"/>
          </w:tcPr>
          <w:p w:rsidR="004A3868" w:rsidRDefault="003F1AB5">
            <w:pPr>
              <w:pStyle w:val="afff7"/>
            </w:pPr>
            <w:r>
              <w:t>837,580,988.40</w:t>
            </w:r>
          </w:p>
        </w:tc>
      </w:tr>
      <w:tr w:rsidR="004A3868">
        <w:trPr>
          <w:trHeight w:val="397"/>
          <w:jc w:val="center"/>
        </w:trPr>
        <w:tc>
          <w:tcPr>
            <w:tcW w:w="502" w:type="pct"/>
            <w:shd w:val="clear" w:color="auto" w:fill="auto"/>
            <w:vAlign w:val="center"/>
          </w:tcPr>
          <w:p w:rsidR="004A3868" w:rsidRDefault="003F1AB5">
            <w:pPr>
              <w:pStyle w:val="afff9"/>
            </w:pPr>
            <w:r>
              <w:lastRenderedPageBreak/>
              <w:t>2.</w:t>
            </w:r>
            <w:r>
              <w:rPr>
                <w:rFonts w:hint="eastAsia"/>
              </w:rPr>
              <w:t>本期增加金额</w:t>
            </w:r>
          </w:p>
        </w:tc>
        <w:tc>
          <w:tcPr>
            <w:tcW w:w="887" w:type="pct"/>
            <w:shd w:val="clear" w:color="auto" w:fill="auto"/>
            <w:vAlign w:val="center"/>
          </w:tcPr>
          <w:p w:rsidR="004A3868" w:rsidRDefault="003F1AB5">
            <w:pPr>
              <w:pStyle w:val="afff7"/>
            </w:pPr>
            <w:r>
              <w:t>235,722,106.17</w:t>
            </w:r>
          </w:p>
        </w:tc>
        <w:tc>
          <w:tcPr>
            <w:tcW w:w="894" w:type="pct"/>
            <w:shd w:val="clear" w:color="auto" w:fill="auto"/>
            <w:vAlign w:val="center"/>
          </w:tcPr>
          <w:p w:rsidR="004A3868" w:rsidRDefault="003F1AB5">
            <w:pPr>
              <w:pStyle w:val="afff7"/>
            </w:pPr>
            <w:r>
              <w:t>353,159,836.79</w:t>
            </w:r>
          </w:p>
        </w:tc>
        <w:tc>
          <w:tcPr>
            <w:tcW w:w="835" w:type="pct"/>
            <w:shd w:val="clear" w:color="auto" w:fill="auto"/>
            <w:vAlign w:val="center"/>
          </w:tcPr>
          <w:p w:rsidR="004A3868" w:rsidRDefault="003F1AB5">
            <w:pPr>
              <w:pStyle w:val="afff7"/>
            </w:pPr>
            <w:r>
              <w:t>1,826,920.37</w:t>
            </w:r>
          </w:p>
        </w:tc>
        <w:tc>
          <w:tcPr>
            <w:tcW w:w="835" w:type="pct"/>
            <w:shd w:val="clear" w:color="auto" w:fill="auto"/>
            <w:vAlign w:val="center"/>
          </w:tcPr>
          <w:p w:rsidR="004A3868" w:rsidRDefault="003F1AB5">
            <w:pPr>
              <w:pStyle w:val="afff7"/>
            </w:pPr>
            <w:r>
              <w:t>22,808,220.33</w:t>
            </w:r>
          </w:p>
        </w:tc>
        <w:tc>
          <w:tcPr>
            <w:tcW w:w="1047" w:type="pct"/>
            <w:shd w:val="clear" w:color="auto" w:fill="auto"/>
            <w:vAlign w:val="center"/>
          </w:tcPr>
          <w:p w:rsidR="004A3868" w:rsidRDefault="003F1AB5">
            <w:pPr>
              <w:pStyle w:val="afff7"/>
            </w:pPr>
            <w:r>
              <w:t>613,517,083.66</w:t>
            </w: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1</w:t>
            </w:r>
            <w:r>
              <w:rPr>
                <w:rFonts w:hint="eastAsia"/>
              </w:rPr>
              <w:t>）购置</w:t>
            </w:r>
          </w:p>
        </w:tc>
        <w:tc>
          <w:tcPr>
            <w:tcW w:w="887" w:type="pct"/>
            <w:shd w:val="clear" w:color="auto" w:fill="auto"/>
            <w:vAlign w:val="center"/>
          </w:tcPr>
          <w:p w:rsidR="004A3868" w:rsidRDefault="003F1AB5">
            <w:pPr>
              <w:pStyle w:val="afff7"/>
            </w:pPr>
            <w:r>
              <w:t>3,902,453.90</w:t>
            </w:r>
          </w:p>
        </w:tc>
        <w:tc>
          <w:tcPr>
            <w:tcW w:w="894" w:type="pct"/>
            <w:shd w:val="clear" w:color="auto" w:fill="auto"/>
            <w:vAlign w:val="center"/>
          </w:tcPr>
          <w:p w:rsidR="004A3868" w:rsidRDefault="003F1AB5">
            <w:pPr>
              <w:pStyle w:val="afff7"/>
            </w:pPr>
            <w:r>
              <w:t>4,108,917.11</w:t>
            </w:r>
          </w:p>
        </w:tc>
        <w:tc>
          <w:tcPr>
            <w:tcW w:w="835" w:type="pct"/>
            <w:shd w:val="clear" w:color="auto" w:fill="auto"/>
            <w:vAlign w:val="center"/>
          </w:tcPr>
          <w:p w:rsidR="004A3868" w:rsidRDefault="003F1AB5">
            <w:pPr>
              <w:pStyle w:val="afff7"/>
            </w:pPr>
            <w:r>
              <w:t>1,826,920.37</w:t>
            </w:r>
          </w:p>
        </w:tc>
        <w:tc>
          <w:tcPr>
            <w:tcW w:w="835" w:type="pct"/>
            <w:shd w:val="clear" w:color="auto" w:fill="auto"/>
            <w:vAlign w:val="center"/>
          </w:tcPr>
          <w:p w:rsidR="004A3868" w:rsidRDefault="003F1AB5">
            <w:pPr>
              <w:pStyle w:val="afff7"/>
            </w:pPr>
            <w:r>
              <w:t>1,644,905.32</w:t>
            </w:r>
          </w:p>
        </w:tc>
        <w:tc>
          <w:tcPr>
            <w:tcW w:w="1047" w:type="pct"/>
            <w:shd w:val="clear" w:color="auto" w:fill="auto"/>
            <w:vAlign w:val="center"/>
          </w:tcPr>
          <w:p w:rsidR="004A3868" w:rsidRDefault="003F1AB5">
            <w:pPr>
              <w:pStyle w:val="afff7"/>
            </w:pPr>
            <w:r>
              <w:t>11,483,196.70</w:t>
            </w: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2</w:t>
            </w:r>
            <w:r>
              <w:rPr>
                <w:rFonts w:hint="eastAsia"/>
              </w:rPr>
              <w:t>）在建工程转入</w:t>
            </w:r>
          </w:p>
        </w:tc>
        <w:tc>
          <w:tcPr>
            <w:tcW w:w="887" w:type="pct"/>
            <w:shd w:val="clear" w:color="auto" w:fill="auto"/>
            <w:vAlign w:val="center"/>
          </w:tcPr>
          <w:p w:rsidR="004A3868" w:rsidRDefault="003F1AB5">
            <w:pPr>
              <w:pStyle w:val="afff7"/>
            </w:pPr>
            <w:r>
              <w:t>231,819,652.27</w:t>
            </w:r>
          </w:p>
        </w:tc>
        <w:tc>
          <w:tcPr>
            <w:tcW w:w="894" w:type="pct"/>
            <w:shd w:val="clear" w:color="auto" w:fill="auto"/>
            <w:vAlign w:val="center"/>
          </w:tcPr>
          <w:p w:rsidR="004A3868" w:rsidRDefault="003F1AB5">
            <w:pPr>
              <w:pStyle w:val="afff7"/>
            </w:pPr>
            <w:r>
              <w:t>349,050,919.68</w:t>
            </w:r>
          </w:p>
        </w:tc>
        <w:tc>
          <w:tcPr>
            <w:tcW w:w="835" w:type="pct"/>
            <w:shd w:val="clear" w:color="auto" w:fill="auto"/>
            <w:vAlign w:val="center"/>
          </w:tcPr>
          <w:p w:rsidR="004A3868" w:rsidRDefault="004A3868">
            <w:pPr>
              <w:pStyle w:val="afff7"/>
            </w:pPr>
          </w:p>
        </w:tc>
        <w:tc>
          <w:tcPr>
            <w:tcW w:w="835" w:type="pct"/>
            <w:shd w:val="clear" w:color="auto" w:fill="auto"/>
            <w:vAlign w:val="center"/>
          </w:tcPr>
          <w:p w:rsidR="004A3868" w:rsidRDefault="003F1AB5">
            <w:pPr>
              <w:pStyle w:val="afff7"/>
            </w:pPr>
            <w:r>
              <w:t>21,163,315.01</w:t>
            </w:r>
          </w:p>
        </w:tc>
        <w:tc>
          <w:tcPr>
            <w:tcW w:w="1047" w:type="pct"/>
            <w:shd w:val="clear" w:color="auto" w:fill="auto"/>
            <w:vAlign w:val="center"/>
          </w:tcPr>
          <w:p w:rsidR="004A3868" w:rsidRDefault="003F1AB5">
            <w:pPr>
              <w:pStyle w:val="afff7"/>
            </w:pPr>
            <w:r>
              <w:t>602,033,886.96</w:t>
            </w: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3</w:t>
            </w:r>
            <w:r>
              <w:rPr>
                <w:rFonts w:hint="eastAsia"/>
              </w:rPr>
              <w:t>）企业合并增加</w:t>
            </w:r>
          </w:p>
        </w:tc>
        <w:tc>
          <w:tcPr>
            <w:tcW w:w="887" w:type="pct"/>
            <w:shd w:val="clear" w:color="auto" w:fill="auto"/>
            <w:vAlign w:val="center"/>
          </w:tcPr>
          <w:p w:rsidR="004A3868" w:rsidRDefault="004A3868">
            <w:pPr>
              <w:pStyle w:val="afff7"/>
            </w:pPr>
          </w:p>
        </w:tc>
        <w:tc>
          <w:tcPr>
            <w:tcW w:w="894" w:type="pct"/>
            <w:shd w:val="clear" w:color="auto" w:fill="auto"/>
            <w:vAlign w:val="center"/>
          </w:tcPr>
          <w:p w:rsidR="004A3868" w:rsidRDefault="004A3868">
            <w:pPr>
              <w:pStyle w:val="afff7"/>
            </w:pPr>
          </w:p>
        </w:tc>
        <w:tc>
          <w:tcPr>
            <w:tcW w:w="835" w:type="pct"/>
            <w:shd w:val="clear" w:color="auto" w:fill="auto"/>
            <w:vAlign w:val="center"/>
          </w:tcPr>
          <w:p w:rsidR="004A3868" w:rsidRDefault="004A3868">
            <w:pPr>
              <w:pStyle w:val="afff7"/>
            </w:pPr>
          </w:p>
        </w:tc>
        <w:tc>
          <w:tcPr>
            <w:tcW w:w="835" w:type="pct"/>
            <w:shd w:val="clear" w:color="auto" w:fill="auto"/>
            <w:vAlign w:val="center"/>
          </w:tcPr>
          <w:p w:rsidR="004A3868" w:rsidRDefault="004A3868">
            <w:pPr>
              <w:pStyle w:val="afff7"/>
            </w:pPr>
          </w:p>
        </w:tc>
        <w:tc>
          <w:tcPr>
            <w:tcW w:w="1047" w:type="pct"/>
            <w:shd w:val="clear" w:color="auto" w:fill="auto"/>
            <w:vAlign w:val="center"/>
          </w:tcPr>
          <w:p w:rsidR="004A3868" w:rsidRDefault="004A3868">
            <w:pPr>
              <w:pStyle w:val="afff7"/>
            </w:pPr>
          </w:p>
        </w:tc>
      </w:tr>
      <w:tr w:rsidR="004A3868">
        <w:trPr>
          <w:trHeight w:val="397"/>
          <w:jc w:val="center"/>
        </w:trPr>
        <w:tc>
          <w:tcPr>
            <w:tcW w:w="502" w:type="pct"/>
            <w:shd w:val="clear" w:color="auto" w:fill="auto"/>
            <w:vAlign w:val="center"/>
          </w:tcPr>
          <w:p w:rsidR="004A3868" w:rsidRDefault="003F1AB5">
            <w:pPr>
              <w:pStyle w:val="afff9"/>
            </w:pPr>
            <w:r>
              <w:rPr>
                <w:rFonts w:hint="eastAsia"/>
              </w:rPr>
              <w:t>3.</w:t>
            </w:r>
            <w:r>
              <w:rPr>
                <w:rFonts w:hint="eastAsia"/>
              </w:rPr>
              <w:t>本期减少金额</w:t>
            </w:r>
          </w:p>
        </w:tc>
        <w:tc>
          <w:tcPr>
            <w:tcW w:w="887" w:type="pct"/>
            <w:shd w:val="clear" w:color="auto" w:fill="auto"/>
            <w:vAlign w:val="center"/>
          </w:tcPr>
          <w:p w:rsidR="004A3868" w:rsidRDefault="003F1AB5">
            <w:pPr>
              <w:pStyle w:val="afff7"/>
            </w:pPr>
            <w:r>
              <w:t>1,663,834.39</w:t>
            </w:r>
          </w:p>
        </w:tc>
        <w:tc>
          <w:tcPr>
            <w:tcW w:w="894" w:type="pct"/>
            <w:shd w:val="clear" w:color="auto" w:fill="auto"/>
            <w:vAlign w:val="center"/>
          </w:tcPr>
          <w:p w:rsidR="004A3868" w:rsidRDefault="003F1AB5">
            <w:pPr>
              <w:pStyle w:val="afff7"/>
            </w:pPr>
            <w:r>
              <w:t>10,008,365.05</w:t>
            </w:r>
          </w:p>
        </w:tc>
        <w:tc>
          <w:tcPr>
            <w:tcW w:w="835" w:type="pct"/>
            <w:shd w:val="clear" w:color="auto" w:fill="auto"/>
            <w:vAlign w:val="center"/>
          </w:tcPr>
          <w:p w:rsidR="004A3868" w:rsidRDefault="003F1AB5">
            <w:pPr>
              <w:pStyle w:val="afff7"/>
            </w:pPr>
            <w:r>
              <w:t>636,384.00</w:t>
            </w:r>
          </w:p>
        </w:tc>
        <w:tc>
          <w:tcPr>
            <w:tcW w:w="835" w:type="pct"/>
            <w:shd w:val="clear" w:color="auto" w:fill="auto"/>
            <w:vAlign w:val="center"/>
          </w:tcPr>
          <w:p w:rsidR="004A3868" w:rsidRDefault="003F1AB5">
            <w:pPr>
              <w:pStyle w:val="afff7"/>
            </w:pPr>
            <w:r>
              <w:t>4,188.03</w:t>
            </w:r>
          </w:p>
        </w:tc>
        <w:tc>
          <w:tcPr>
            <w:tcW w:w="1047" w:type="pct"/>
            <w:shd w:val="clear" w:color="auto" w:fill="auto"/>
            <w:vAlign w:val="center"/>
          </w:tcPr>
          <w:p w:rsidR="004A3868" w:rsidRDefault="003F1AB5">
            <w:pPr>
              <w:pStyle w:val="afff7"/>
            </w:pPr>
            <w:r>
              <w:t>12,312,771.47</w:t>
            </w: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1</w:t>
            </w:r>
            <w:r>
              <w:rPr>
                <w:rFonts w:hint="eastAsia"/>
              </w:rPr>
              <w:t>）处置或报废</w:t>
            </w:r>
          </w:p>
        </w:tc>
        <w:tc>
          <w:tcPr>
            <w:tcW w:w="887" w:type="pct"/>
            <w:shd w:val="clear" w:color="auto" w:fill="auto"/>
            <w:vAlign w:val="center"/>
          </w:tcPr>
          <w:p w:rsidR="004A3868" w:rsidRDefault="003F1AB5">
            <w:pPr>
              <w:pStyle w:val="afff7"/>
            </w:pPr>
            <w:r>
              <w:t>1,663,834.39</w:t>
            </w:r>
          </w:p>
        </w:tc>
        <w:tc>
          <w:tcPr>
            <w:tcW w:w="894" w:type="pct"/>
            <w:shd w:val="clear" w:color="auto" w:fill="auto"/>
            <w:vAlign w:val="center"/>
          </w:tcPr>
          <w:p w:rsidR="004A3868" w:rsidRDefault="003F1AB5">
            <w:pPr>
              <w:pStyle w:val="afff7"/>
            </w:pPr>
            <w:r>
              <w:t>8,703,027.44</w:t>
            </w:r>
          </w:p>
        </w:tc>
        <w:tc>
          <w:tcPr>
            <w:tcW w:w="835" w:type="pct"/>
            <w:shd w:val="clear" w:color="auto" w:fill="auto"/>
            <w:vAlign w:val="center"/>
          </w:tcPr>
          <w:p w:rsidR="004A3868" w:rsidRDefault="003F1AB5">
            <w:pPr>
              <w:pStyle w:val="afff7"/>
            </w:pPr>
            <w:r>
              <w:t>636,384.00</w:t>
            </w:r>
          </w:p>
        </w:tc>
        <w:tc>
          <w:tcPr>
            <w:tcW w:w="835" w:type="pct"/>
            <w:shd w:val="clear" w:color="auto" w:fill="auto"/>
            <w:vAlign w:val="center"/>
          </w:tcPr>
          <w:p w:rsidR="004A3868" w:rsidRDefault="003F1AB5">
            <w:pPr>
              <w:pStyle w:val="afff7"/>
            </w:pPr>
            <w:r>
              <w:t>4,188.03</w:t>
            </w:r>
          </w:p>
        </w:tc>
        <w:tc>
          <w:tcPr>
            <w:tcW w:w="1047" w:type="pct"/>
            <w:shd w:val="clear" w:color="auto" w:fill="auto"/>
            <w:vAlign w:val="center"/>
          </w:tcPr>
          <w:p w:rsidR="004A3868" w:rsidRDefault="003F1AB5">
            <w:pPr>
              <w:pStyle w:val="afff7"/>
              <w:rPr>
                <w:rFonts w:asciiTheme="minorEastAsia" w:eastAsiaTheme="minorEastAsia" w:hAnsiTheme="minorEastAsia"/>
              </w:rPr>
            </w:pPr>
            <w:r>
              <w:t>11,007,433.86</w:t>
            </w: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2</w:t>
            </w:r>
            <w:r>
              <w:rPr>
                <w:rFonts w:hint="eastAsia"/>
              </w:rPr>
              <w:t>）其他减少</w:t>
            </w:r>
          </w:p>
          <w:p w:rsidR="004A3868" w:rsidRDefault="004A3868">
            <w:pPr>
              <w:pStyle w:val="afff9"/>
            </w:pPr>
          </w:p>
        </w:tc>
        <w:tc>
          <w:tcPr>
            <w:tcW w:w="887" w:type="pct"/>
            <w:shd w:val="clear" w:color="auto" w:fill="auto"/>
            <w:vAlign w:val="center"/>
          </w:tcPr>
          <w:p w:rsidR="004A3868" w:rsidRDefault="004A3868">
            <w:pPr>
              <w:pStyle w:val="afff7"/>
            </w:pPr>
          </w:p>
        </w:tc>
        <w:tc>
          <w:tcPr>
            <w:tcW w:w="894" w:type="pct"/>
            <w:shd w:val="clear" w:color="auto" w:fill="auto"/>
            <w:vAlign w:val="center"/>
          </w:tcPr>
          <w:p w:rsidR="004A3868" w:rsidRDefault="003F1AB5">
            <w:pPr>
              <w:pStyle w:val="afff7"/>
            </w:pPr>
            <w:r>
              <w:t>1,305,337.61</w:t>
            </w:r>
          </w:p>
        </w:tc>
        <w:tc>
          <w:tcPr>
            <w:tcW w:w="835" w:type="pct"/>
            <w:shd w:val="clear" w:color="auto" w:fill="auto"/>
            <w:vAlign w:val="center"/>
          </w:tcPr>
          <w:p w:rsidR="004A3868" w:rsidRDefault="004A3868">
            <w:pPr>
              <w:pStyle w:val="afff7"/>
            </w:pPr>
          </w:p>
        </w:tc>
        <w:tc>
          <w:tcPr>
            <w:tcW w:w="835" w:type="pct"/>
            <w:shd w:val="clear" w:color="auto" w:fill="auto"/>
            <w:vAlign w:val="center"/>
          </w:tcPr>
          <w:p w:rsidR="004A3868" w:rsidRDefault="004A3868">
            <w:pPr>
              <w:pStyle w:val="afff7"/>
            </w:pPr>
          </w:p>
        </w:tc>
        <w:tc>
          <w:tcPr>
            <w:tcW w:w="1047" w:type="pct"/>
            <w:shd w:val="clear" w:color="auto" w:fill="auto"/>
            <w:vAlign w:val="center"/>
          </w:tcPr>
          <w:p w:rsidR="004A3868" w:rsidRDefault="003F1AB5">
            <w:pPr>
              <w:pStyle w:val="afff7"/>
              <w:rPr>
                <w:rFonts w:asciiTheme="minorEastAsia" w:eastAsiaTheme="minorEastAsia" w:hAnsiTheme="minorEastAsia"/>
              </w:rPr>
            </w:pPr>
            <w:r>
              <w:t>1,305,337.61</w:t>
            </w:r>
          </w:p>
        </w:tc>
      </w:tr>
      <w:tr w:rsidR="004A3868">
        <w:trPr>
          <w:trHeight w:val="397"/>
          <w:jc w:val="center"/>
        </w:trPr>
        <w:tc>
          <w:tcPr>
            <w:tcW w:w="502" w:type="pct"/>
            <w:shd w:val="clear" w:color="auto" w:fill="auto"/>
            <w:vAlign w:val="center"/>
          </w:tcPr>
          <w:p w:rsidR="004A3868" w:rsidRDefault="003F1AB5">
            <w:pPr>
              <w:pStyle w:val="afff9"/>
            </w:pPr>
            <w:r>
              <w:rPr>
                <w:rFonts w:hint="eastAsia"/>
              </w:rPr>
              <w:t>4.</w:t>
            </w:r>
            <w:r>
              <w:rPr>
                <w:rFonts w:hint="eastAsia"/>
              </w:rPr>
              <w:t>期末余额</w:t>
            </w:r>
          </w:p>
        </w:tc>
        <w:tc>
          <w:tcPr>
            <w:tcW w:w="887" w:type="pct"/>
            <w:shd w:val="clear" w:color="auto" w:fill="auto"/>
          </w:tcPr>
          <w:p w:rsidR="004A3868" w:rsidRDefault="003F1AB5">
            <w:pPr>
              <w:pStyle w:val="afff7"/>
            </w:pPr>
            <w:r>
              <w:t>651,530,602.85</w:t>
            </w:r>
          </w:p>
        </w:tc>
        <w:tc>
          <w:tcPr>
            <w:tcW w:w="894" w:type="pct"/>
            <w:shd w:val="clear" w:color="auto" w:fill="auto"/>
          </w:tcPr>
          <w:p w:rsidR="004A3868" w:rsidRDefault="003F1AB5">
            <w:pPr>
              <w:pStyle w:val="afff7"/>
            </w:pPr>
            <w:r>
              <w:t>744,072,020.06</w:t>
            </w:r>
          </w:p>
        </w:tc>
        <w:tc>
          <w:tcPr>
            <w:tcW w:w="835" w:type="pct"/>
            <w:shd w:val="clear" w:color="auto" w:fill="auto"/>
          </w:tcPr>
          <w:p w:rsidR="004A3868" w:rsidRDefault="003F1AB5">
            <w:pPr>
              <w:pStyle w:val="afff7"/>
            </w:pPr>
            <w:r>
              <w:t>13,813,898.66</w:t>
            </w:r>
          </w:p>
        </w:tc>
        <w:tc>
          <w:tcPr>
            <w:tcW w:w="835" w:type="pct"/>
            <w:shd w:val="clear" w:color="auto" w:fill="auto"/>
          </w:tcPr>
          <w:p w:rsidR="004A3868" w:rsidRDefault="003F1AB5">
            <w:pPr>
              <w:pStyle w:val="afff7"/>
            </w:pPr>
            <w:r>
              <w:t>29,368,779.02</w:t>
            </w:r>
          </w:p>
        </w:tc>
        <w:tc>
          <w:tcPr>
            <w:tcW w:w="1047" w:type="pct"/>
            <w:shd w:val="clear" w:color="auto" w:fill="auto"/>
          </w:tcPr>
          <w:p w:rsidR="004A3868" w:rsidRDefault="003F1AB5">
            <w:pPr>
              <w:pStyle w:val="afff7"/>
            </w:pPr>
            <w:r>
              <w:t>1,438,785,300.59</w:t>
            </w:r>
          </w:p>
        </w:tc>
      </w:tr>
      <w:tr w:rsidR="004A3868">
        <w:trPr>
          <w:trHeight w:val="397"/>
          <w:jc w:val="center"/>
        </w:trPr>
        <w:sdt>
          <w:sdtPr>
            <w:rPr>
              <w:sz w:val="18"/>
              <w:szCs w:val="18"/>
            </w:rPr>
            <w:tag w:val="_PLD_14f44e7a4341414ca27a4047f9622e44"/>
            <w:id w:val="-1079745978"/>
          </w:sdtPr>
          <w:sdtEndPr/>
          <w:sdtContent>
            <w:tc>
              <w:tcPr>
                <w:tcW w:w="5000" w:type="pct"/>
                <w:gridSpan w:val="6"/>
                <w:shd w:val="clear" w:color="auto" w:fill="auto"/>
                <w:vAlign w:val="center"/>
              </w:tcPr>
              <w:p w:rsidR="004A3868" w:rsidRDefault="003F1AB5">
                <w:pPr>
                  <w:rPr>
                    <w:sz w:val="18"/>
                    <w:szCs w:val="18"/>
                  </w:rPr>
                </w:pPr>
                <w:r>
                  <w:rPr>
                    <w:rFonts w:hint="eastAsia"/>
                    <w:sz w:val="18"/>
                    <w:szCs w:val="18"/>
                  </w:rPr>
                  <w:t>二、累计折旧</w:t>
                </w:r>
              </w:p>
            </w:tc>
          </w:sdtContent>
        </w:sdt>
      </w:tr>
      <w:tr w:rsidR="004A3868">
        <w:trPr>
          <w:trHeight w:val="397"/>
          <w:jc w:val="center"/>
        </w:trPr>
        <w:tc>
          <w:tcPr>
            <w:tcW w:w="502" w:type="pct"/>
            <w:shd w:val="clear" w:color="auto" w:fill="auto"/>
            <w:vAlign w:val="center"/>
          </w:tcPr>
          <w:p w:rsidR="004A3868" w:rsidRDefault="003F1AB5">
            <w:pPr>
              <w:pStyle w:val="afff9"/>
            </w:pPr>
            <w:r>
              <w:t>1.</w:t>
            </w:r>
            <w:r>
              <w:rPr>
                <w:rFonts w:hint="eastAsia"/>
              </w:rPr>
              <w:t>期初余额</w:t>
            </w:r>
          </w:p>
        </w:tc>
        <w:tc>
          <w:tcPr>
            <w:tcW w:w="887" w:type="pct"/>
            <w:shd w:val="clear" w:color="auto" w:fill="auto"/>
            <w:vAlign w:val="center"/>
          </w:tcPr>
          <w:p w:rsidR="004A3868" w:rsidRDefault="003F1AB5">
            <w:pPr>
              <w:pStyle w:val="afff7"/>
            </w:pPr>
            <w:r>
              <w:t>89,106,454.30</w:t>
            </w:r>
          </w:p>
        </w:tc>
        <w:tc>
          <w:tcPr>
            <w:tcW w:w="894" w:type="pct"/>
            <w:shd w:val="clear" w:color="auto" w:fill="auto"/>
            <w:vAlign w:val="center"/>
          </w:tcPr>
          <w:p w:rsidR="004A3868" w:rsidRDefault="003F1AB5">
            <w:pPr>
              <w:pStyle w:val="afff7"/>
            </w:pPr>
            <w:r>
              <w:t>146,439,781.86</w:t>
            </w:r>
          </w:p>
        </w:tc>
        <w:tc>
          <w:tcPr>
            <w:tcW w:w="835" w:type="pct"/>
            <w:shd w:val="clear" w:color="auto" w:fill="auto"/>
            <w:vAlign w:val="center"/>
          </w:tcPr>
          <w:p w:rsidR="004A3868" w:rsidRDefault="003F1AB5">
            <w:pPr>
              <w:pStyle w:val="afff7"/>
            </w:pPr>
            <w:r>
              <w:t>9,411,594.06</w:t>
            </w:r>
          </w:p>
        </w:tc>
        <w:tc>
          <w:tcPr>
            <w:tcW w:w="835" w:type="pct"/>
            <w:shd w:val="clear" w:color="auto" w:fill="auto"/>
            <w:vAlign w:val="center"/>
          </w:tcPr>
          <w:p w:rsidR="004A3868" w:rsidRDefault="003F1AB5">
            <w:pPr>
              <w:pStyle w:val="afff7"/>
            </w:pPr>
            <w:r>
              <w:t>3,325,775.72</w:t>
            </w:r>
          </w:p>
        </w:tc>
        <w:tc>
          <w:tcPr>
            <w:tcW w:w="1047" w:type="pct"/>
            <w:shd w:val="clear" w:color="auto" w:fill="auto"/>
            <w:vAlign w:val="center"/>
          </w:tcPr>
          <w:p w:rsidR="004A3868" w:rsidRDefault="003F1AB5">
            <w:pPr>
              <w:pStyle w:val="afff7"/>
            </w:pPr>
            <w:r>
              <w:t>248,283,605.94</w:t>
            </w:r>
          </w:p>
        </w:tc>
      </w:tr>
      <w:tr w:rsidR="004A3868">
        <w:trPr>
          <w:trHeight w:val="397"/>
          <w:jc w:val="center"/>
        </w:trPr>
        <w:tc>
          <w:tcPr>
            <w:tcW w:w="502" w:type="pct"/>
            <w:shd w:val="clear" w:color="auto" w:fill="auto"/>
            <w:vAlign w:val="center"/>
          </w:tcPr>
          <w:p w:rsidR="004A3868" w:rsidRDefault="003F1AB5">
            <w:pPr>
              <w:pStyle w:val="afff9"/>
            </w:pPr>
            <w:r>
              <w:t>2.</w:t>
            </w:r>
            <w:r>
              <w:rPr>
                <w:rFonts w:hint="eastAsia"/>
              </w:rPr>
              <w:t>本期增加金额</w:t>
            </w:r>
          </w:p>
        </w:tc>
        <w:tc>
          <w:tcPr>
            <w:tcW w:w="887" w:type="pct"/>
            <w:shd w:val="clear" w:color="auto" w:fill="auto"/>
            <w:vAlign w:val="center"/>
          </w:tcPr>
          <w:p w:rsidR="004A3868" w:rsidRDefault="003F1AB5">
            <w:pPr>
              <w:pStyle w:val="afff7"/>
            </w:pPr>
            <w:r>
              <w:t>26,332,217.07</w:t>
            </w:r>
          </w:p>
        </w:tc>
        <w:tc>
          <w:tcPr>
            <w:tcW w:w="894" w:type="pct"/>
            <w:shd w:val="clear" w:color="auto" w:fill="auto"/>
          </w:tcPr>
          <w:p w:rsidR="004A3868" w:rsidRDefault="003F1AB5">
            <w:pPr>
              <w:pStyle w:val="afff7"/>
            </w:pPr>
            <w:r>
              <w:t>56,623,200.54</w:t>
            </w:r>
          </w:p>
        </w:tc>
        <w:tc>
          <w:tcPr>
            <w:tcW w:w="835" w:type="pct"/>
            <w:shd w:val="clear" w:color="auto" w:fill="auto"/>
            <w:vAlign w:val="center"/>
          </w:tcPr>
          <w:p w:rsidR="004A3868" w:rsidRDefault="003F1AB5">
            <w:pPr>
              <w:pStyle w:val="afff7"/>
            </w:pPr>
            <w:r>
              <w:t>760,500.00</w:t>
            </w:r>
          </w:p>
        </w:tc>
        <w:tc>
          <w:tcPr>
            <w:tcW w:w="835" w:type="pct"/>
            <w:shd w:val="clear" w:color="auto" w:fill="auto"/>
            <w:vAlign w:val="center"/>
          </w:tcPr>
          <w:p w:rsidR="004A3868" w:rsidRDefault="003F1AB5">
            <w:pPr>
              <w:pStyle w:val="afff7"/>
            </w:pPr>
            <w:r>
              <w:t>1,443,353.90</w:t>
            </w:r>
          </w:p>
        </w:tc>
        <w:tc>
          <w:tcPr>
            <w:tcW w:w="1047" w:type="pct"/>
            <w:shd w:val="clear" w:color="auto" w:fill="auto"/>
          </w:tcPr>
          <w:p w:rsidR="004A3868" w:rsidRDefault="003F1AB5">
            <w:pPr>
              <w:pStyle w:val="afff7"/>
            </w:pPr>
            <w:r>
              <w:t>85,159,271.51</w:t>
            </w: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1</w:t>
            </w:r>
            <w:r>
              <w:rPr>
                <w:rFonts w:hint="eastAsia"/>
              </w:rPr>
              <w:t>）计提</w:t>
            </w:r>
          </w:p>
        </w:tc>
        <w:tc>
          <w:tcPr>
            <w:tcW w:w="887" w:type="pct"/>
            <w:shd w:val="clear" w:color="auto" w:fill="auto"/>
            <w:vAlign w:val="center"/>
          </w:tcPr>
          <w:p w:rsidR="004A3868" w:rsidRDefault="003F1AB5">
            <w:pPr>
              <w:pStyle w:val="afff7"/>
            </w:pPr>
            <w:r>
              <w:t>26,332,217.07</w:t>
            </w:r>
          </w:p>
        </w:tc>
        <w:tc>
          <w:tcPr>
            <w:tcW w:w="894" w:type="pct"/>
            <w:shd w:val="clear" w:color="auto" w:fill="auto"/>
          </w:tcPr>
          <w:p w:rsidR="004A3868" w:rsidRDefault="003F1AB5">
            <w:pPr>
              <w:pStyle w:val="afff7"/>
            </w:pPr>
            <w:r>
              <w:t>56,623,200.54</w:t>
            </w:r>
          </w:p>
        </w:tc>
        <w:tc>
          <w:tcPr>
            <w:tcW w:w="835" w:type="pct"/>
            <w:shd w:val="clear" w:color="auto" w:fill="auto"/>
            <w:vAlign w:val="center"/>
          </w:tcPr>
          <w:p w:rsidR="004A3868" w:rsidRDefault="003F1AB5">
            <w:pPr>
              <w:pStyle w:val="afff7"/>
            </w:pPr>
            <w:r>
              <w:t>760,500.00</w:t>
            </w:r>
          </w:p>
        </w:tc>
        <w:tc>
          <w:tcPr>
            <w:tcW w:w="835" w:type="pct"/>
            <w:shd w:val="clear" w:color="auto" w:fill="auto"/>
            <w:vAlign w:val="center"/>
          </w:tcPr>
          <w:p w:rsidR="004A3868" w:rsidRDefault="003F1AB5">
            <w:pPr>
              <w:pStyle w:val="afff7"/>
            </w:pPr>
            <w:r>
              <w:t>1,443,353.90</w:t>
            </w:r>
          </w:p>
        </w:tc>
        <w:tc>
          <w:tcPr>
            <w:tcW w:w="1047" w:type="pct"/>
            <w:shd w:val="clear" w:color="auto" w:fill="auto"/>
          </w:tcPr>
          <w:p w:rsidR="004A3868" w:rsidRDefault="003F1AB5">
            <w:pPr>
              <w:pStyle w:val="afff7"/>
            </w:pPr>
            <w:r>
              <w:t>85,159,271.51</w:t>
            </w:r>
          </w:p>
        </w:tc>
      </w:tr>
      <w:tr w:rsidR="004A3868">
        <w:trPr>
          <w:trHeight w:val="397"/>
          <w:jc w:val="center"/>
        </w:trPr>
        <w:tc>
          <w:tcPr>
            <w:tcW w:w="502" w:type="pct"/>
            <w:shd w:val="clear" w:color="auto" w:fill="auto"/>
            <w:vAlign w:val="center"/>
          </w:tcPr>
          <w:p w:rsidR="004A3868" w:rsidRDefault="003F1AB5">
            <w:pPr>
              <w:pStyle w:val="afff9"/>
            </w:pPr>
            <w:r>
              <w:rPr>
                <w:rFonts w:hint="eastAsia"/>
              </w:rPr>
              <w:t>3.</w:t>
            </w:r>
            <w:r>
              <w:rPr>
                <w:rFonts w:hint="eastAsia"/>
              </w:rPr>
              <w:t>本期减少金额</w:t>
            </w:r>
          </w:p>
        </w:tc>
        <w:tc>
          <w:tcPr>
            <w:tcW w:w="887" w:type="pct"/>
            <w:shd w:val="clear" w:color="auto" w:fill="auto"/>
            <w:vAlign w:val="center"/>
          </w:tcPr>
          <w:p w:rsidR="004A3868" w:rsidRDefault="003F1AB5">
            <w:pPr>
              <w:pStyle w:val="afff7"/>
            </w:pPr>
            <w:r>
              <w:t>315,222.88</w:t>
            </w:r>
          </w:p>
        </w:tc>
        <w:tc>
          <w:tcPr>
            <w:tcW w:w="894" w:type="pct"/>
            <w:shd w:val="clear" w:color="auto" w:fill="auto"/>
            <w:vAlign w:val="center"/>
          </w:tcPr>
          <w:p w:rsidR="004A3868" w:rsidRDefault="003F1AB5">
            <w:pPr>
              <w:pStyle w:val="afff7"/>
            </w:pPr>
            <w:r>
              <w:t>8,462,764.94</w:t>
            </w:r>
          </w:p>
        </w:tc>
        <w:tc>
          <w:tcPr>
            <w:tcW w:w="835" w:type="pct"/>
            <w:shd w:val="clear" w:color="auto" w:fill="auto"/>
            <w:vAlign w:val="center"/>
          </w:tcPr>
          <w:p w:rsidR="004A3868" w:rsidRDefault="003F1AB5">
            <w:pPr>
              <w:pStyle w:val="afff7"/>
            </w:pPr>
            <w:r>
              <w:t>604,564.80</w:t>
            </w:r>
          </w:p>
        </w:tc>
        <w:tc>
          <w:tcPr>
            <w:tcW w:w="835" w:type="pct"/>
            <w:shd w:val="clear" w:color="auto" w:fill="auto"/>
            <w:vAlign w:val="center"/>
          </w:tcPr>
          <w:p w:rsidR="004A3868" w:rsidRDefault="003F1AB5">
            <w:pPr>
              <w:pStyle w:val="afff7"/>
            </w:pPr>
            <w:r>
              <w:t>3,978.63</w:t>
            </w:r>
          </w:p>
        </w:tc>
        <w:tc>
          <w:tcPr>
            <w:tcW w:w="1047" w:type="pct"/>
            <w:shd w:val="clear" w:color="auto" w:fill="auto"/>
            <w:vAlign w:val="center"/>
          </w:tcPr>
          <w:p w:rsidR="004A3868" w:rsidRDefault="003F1AB5">
            <w:pPr>
              <w:pStyle w:val="afff7"/>
            </w:pPr>
            <w:r>
              <w:t>9,386,531.25</w:t>
            </w: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1</w:t>
            </w:r>
            <w:r>
              <w:rPr>
                <w:rFonts w:hint="eastAsia"/>
              </w:rPr>
              <w:t>）处置或报废</w:t>
            </w:r>
          </w:p>
        </w:tc>
        <w:tc>
          <w:tcPr>
            <w:tcW w:w="887" w:type="pct"/>
            <w:shd w:val="clear" w:color="auto" w:fill="auto"/>
            <w:vAlign w:val="center"/>
          </w:tcPr>
          <w:p w:rsidR="004A3868" w:rsidRDefault="003F1AB5">
            <w:pPr>
              <w:pStyle w:val="afff7"/>
            </w:pPr>
            <w:r>
              <w:t>315,222.88</w:t>
            </w:r>
          </w:p>
        </w:tc>
        <w:tc>
          <w:tcPr>
            <w:tcW w:w="894" w:type="pct"/>
            <w:shd w:val="clear" w:color="auto" w:fill="auto"/>
            <w:vAlign w:val="center"/>
          </w:tcPr>
          <w:p w:rsidR="004A3868" w:rsidRDefault="003F1AB5">
            <w:pPr>
              <w:pStyle w:val="afff7"/>
            </w:pPr>
            <w:r>
              <w:t>7,553,820.84</w:t>
            </w:r>
          </w:p>
        </w:tc>
        <w:tc>
          <w:tcPr>
            <w:tcW w:w="835" w:type="pct"/>
            <w:shd w:val="clear" w:color="auto" w:fill="auto"/>
            <w:vAlign w:val="center"/>
          </w:tcPr>
          <w:p w:rsidR="004A3868" w:rsidRDefault="003F1AB5">
            <w:pPr>
              <w:pStyle w:val="afff7"/>
            </w:pPr>
            <w:r>
              <w:t>604,564.80</w:t>
            </w:r>
          </w:p>
        </w:tc>
        <w:tc>
          <w:tcPr>
            <w:tcW w:w="835" w:type="pct"/>
            <w:shd w:val="clear" w:color="auto" w:fill="auto"/>
            <w:vAlign w:val="center"/>
          </w:tcPr>
          <w:p w:rsidR="004A3868" w:rsidRDefault="003F1AB5">
            <w:pPr>
              <w:pStyle w:val="afff7"/>
            </w:pPr>
            <w:r>
              <w:t>3,978.63</w:t>
            </w:r>
          </w:p>
        </w:tc>
        <w:tc>
          <w:tcPr>
            <w:tcW w:w="1047" w:type="pct"/>
            <w:shd w:val="clear" w:color="auto" w:fill="auto"/>
            <w:vAlign w:val="center"/>
          </w:tcPr>
          <w:p w:rsidR="004A3868" w:rsidRDefault="003F1AB5">
            <w:pPr>
              <w:pStyle w:val="afff7"/>
            </w:pPr>
            <w:r>
              <w:t>8,477,587.15</w:t>
            </w: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2</w:t>
            </w:r>
            <w:r>
              <w:rPr>
                <w:rFonts w:hint="eastAsia"/>
              </w:rPr>
              <w:t>）其他减少</w:t>
            </w:r>
          </w:p>
          <w:p w:rsidR="004A3868" w:rsidRDefault="004A3868">
            <w:pPr>
              <w:pStyle w:val="afff9"/>
            </w:pPr>
          </w:p>
        </w:tc>
        <w:tc>
          <w:tcPr>
            <w:tcW w:w="887" w:type="pct"/>
            <w:shd w:val="clear" w:color="auto" w:fill="auto"/>
            <w:vAlign w:val="center"/>
          </w:tcPr>
          <w:p w:rsidR="004A3868" w:rsidRDefault="004A3868">
            <w:pPr>
              <w:pStyle w:val="afff7"/>
            </w:pPr>
          </w:p>
        </w:tc>
        <w:tc>
          <w:tcPr>
            <w:tcW w:w="894" w:type="pct"/>
            <w:shd w:val="clear" w:color="auto" w:fill="auto"/>
            <w:vAlign w:val="center"/>
          </w:tcPr>
          <w:p w:rsidR="004A3868" w:rsidRDefault="003F1AB5">
            <w:pPr>
              <w:pStyle w:val="afff7"/>
            </w:pPr>
            <w:r>
              <w:t>908,944.10</w:t>
            </w:r>
          </w:p>
        </w:tc>
        <w:tc>
          <w:tcPr>
            <w:tcW w:w="835" w:type="pct"/>
            <w:shd w:val="clear" w:color="auto" w:fill="auto"/>
            <w:vAlign w:val="center"/>
          </w:tcPr>
          <w:p w:rsidR="004A3868" w:rsidRDefault="004A3868">
            <w:pPr>
              <w:pStyle w:val="afff7"/>
            </w:pPr>
          </w:p>
        </w:tc>
        <w:tc>
          <w:tcPr>
            <w:tcW w:w="835" w:type="pct"/>
            <w:shd w:val="clear" w:color="auto" w:fill="auto"/>
            <w:vAlign w:val="center"/>
          </w:tcPr>
          <w:p w:rsidR="004A3868" w:rsidRDefault="004A3868">
            <w:pPr>
              <w:pStyle w:val="afff7"/>
            </w:pPr>
          </w:p>
        </w:tc>
        <w:tc>
          <w:tcPr>
            <w:tcW w:w="1047" w:type="pct"/>
            <w:shd w:val="clear" w:color="auto" w:fill="auto"/>
            <w:vAlign w:val="center"/>
          </w:tcPr>
          <w:p w:rsidR="004A3868" w:rsidRDefault="003F1AB5">
            <w:pPr>
              <w:pStyle w:val="afff7"/>
            </w:pPr>
            <w:r>
              <w:t>908,944.10</w:t>
            </w:r>
          </w:p>
        </w:tc>
      </w:tr>
      <w:tr w:rsidR="004A3868">
        <w:trPr>
          <w:trHeight w:val="397"/>
          <w:jc w:val="center"/>
        </w:trPr>
        <w:tc>
          <w:tcPr>
            <w:tcW w:w="502" w:type="pct"/>
            <w:shd w:val="clear" w:color="auto" w:fill="auto"/>
            <w:vAlign w:val="center"/>
          </w:tcPr>
          <w:p w:rsidR="004A3868" w:rsidRDefault="003F1AB5">
            <w:pPr>
              <w:pStyle w:val="afff9"/>
            </w:pPr>
            <w:r>
              <w:rPr>
                <w:rFonts w:hint="eastAsia"/>
              </w:rPr>
              <w:t>4.</w:t>
            </w:r>
            <w:r>
              <w:rPr>
                <w:rFonts w:hint="eastAsia"/>
              </w:rPr>
              <w:t>期末余额</w:t>
            </w:r>
          </w:p>
        </w:tc>
        <w:tc>
          <w:tcPr>
            <w:tcW w:w="887" w:type="pct"/>
            <w:shd w:val="clear" w:color="auto" w:fill="auto"/>
            <w:vAlign w:val="center"/>
          </w:tcPr>
          <w:p w:rsidR="004A3868" w:rsidRDefault="003F1AB5">
            <w:pPr>
              <w:pStyle w:val="afff7"/>
            </w:pPr>
            <w:r>
              <w:t>115,123,448.49</w:t>
            </w:r>
          </w:p>
        </w:tc>
        <w:tc>
          <w:tcPr>
            <w:tcW w:w="894" w:type="pct"/>
            <w:shd w:val="clear" w:color="auto" w:fill="auto"/>
            <w:vAlign w:val="center"/>
          </w:tcPr>
          <w:p w:rsidR="004A3868" w:rsidRDefault="003F1AB5">
            <w:pPr>
              <w:pStyle w:val="afff7"/>
            </w:pPr>
            <w:r>
              <w:t>194,600,217.46</w:t>
            </w:r>
          </w:p>
        </w:tc>
        <w:tc>
          <w:tcPr>
            <w:tcW w:w="835" w:type="pct"/>
            <w:shd w:val="clear" w:color="auto" w:fill="auto"/>
            <w:vAlign w:val="center"/>
          </w:tcPr>
          <w:p w:rsidR="004A3868" w:rsidRDefault="003F1AB5">
            <w:pPr>
              <w:pStyle w:val="afff7"/>
            </w:pPr>
            <w:r>
              <w:t>9,567,529.26</w:t>
            </w:r>
          </w:p>
        </w:tc>
        <w:tc>
          <w:tcPr>
            <w:tcW w:w="835" w:type="pct"/>
            <w:shd w:val="clear" w:color="auto" w:fill="auto"/>
            <w:vAlign w:val="center"/>
          </w:tcPr>
          <w:p w:rsidR="004A3868" w:rsidRDefault="003F1AB5">
            <w:pPr>
              <w:pStyle w:val="afff7"/>
            </w:pPr>
            <w:r>
              <w:t>4,765,150.99</w:t>
            </w:r>
          </w:p>
        </w:tc>
        <w:tc>
          <w:tcPr>
            <w:tcW w:w="1047" w:type="pct"/>
            <w:shd w:val="clear" w:color="auto" w:fill="auto"/>
            <w:vAlign w:val="center"/>
          </w:tcPr>
          <w:p w:rsidR="004A3868" w:rsidRDefault="003F1AB5">
            <w:pPr>
              <w:pStyle w:val="afff7"/>
            </w:pPr>
            <w:r>
              <w:t>324,056,346.20</w:t>
            </w:r>
          </w:p>
        </w:tc>
      </w:tr>
      <w:tr w:rsidR="004A3868">
        <w:trPr>
          <w:trHeight w:val="397"/>
          <w:jc w:val="center"/>
        </w:trPr>
        <w:sdt>
          <w:sdtPr>
            <w:rPr>
              <w:sz w:val="18"/>
              <w:szCs w:val="18"/>
            </w:rPr>
            <w:tag w:val="_PLD_b98cd9e8075a44b28b16fc9fd4c3c81f"/>
            <w:id w:val="2036301449"/>
          </w:sdtPr>
          <w:sdtEndPr/>
          <w:sdtContent>
            <w:tc>
              <w:tcPr>
                <w:tcW w:w="5000" w:type="pct"/>
                <w:gridSpan w:val="6"/>
                <w:shd w:val="clear" w:color="auto" w:fill="auto"/>
                <w:vAlign w:val="center"/>
              </w:tcPr>
              <w:p w:rsidR="004A3868" w:rsidRDefault="003F1AB5">
                <w:pPr>
                  <w:rPr>
                    <w:sz w:val="18"/>
                    <w:szCs w:val="18"/>
                  </w:rPr>
                </w:pPr>
                <w:r>
                  <w:rPr>
                    <w:rFonts w:hint="eastAsia"/>
                    <w:sz w:val="18"/>
                    <w:szCs w:val="18"/>
                  </w:rPr>
                  <w:t>三、减值准备</w:t>
                </w:r>
              </w:p>
            </w:tc>
          </w:sdtContent>
        </w:sdt>
      </w:tr>
      <w:tr w:rsidR="004A3868">
        <w:trPr>
          <w:trHeight w:val="397"/>
          <w:jc w:val="center"/>
        </w:trPr>
        <w:tc>
          <w:tcPr>
            <w:tcW w:w="502" w:type="pct"/>
            <w:shd w:val="clear" w:color="auto" w:fill="auto"/>
            <w:vAlign w:val="center"/>
          </w:tcPr>
          <w:p w:rsidR="004A3868" w:rsidRDefault="003F1AB5">
            <w:pPr>
              <w:pStyle w:val="afff9"/>
            </w:pPr>
            <w:r>
              <w:t>1.</w:t>
            </w:r>
            <w:r>
              <w:rPr>
                <w:rFonts w:hint="eastAsia"/>
              </w:rPr>
              <w:t>期初余额</w:t>
            </w:r>
          </w:p>
        </w:tc>
        <w:tc>
          <w:tcPr>
            <w:tcW w:w="887" w:type="pct"/>
            <w:shd w:val="clear" w:color="auto" w:fill="auto"/>
            <w:vAlign w:val="center"/>
          </w:tcPr>
          <w:p w:rsidR="004A3868" w:rsidRDefault="004A3868">
            <w:pPr>
              <w:rPr>
                <w:sz w:val="18"/>
                <w:szCs w:val="18"/>
              </w:rPr>
            </w:pPr>
          </w:p>
        </w:tc>
        <w:tc>
          <w:tcPr>
            <w:tcW w:w="894" w:type="pct"/>
            <w:shd w:val="clear" w:color="auto" w:fill="auto"/>
            <w:vAlign w:val="center"/>
          </w:tcPr>
          <w:p w:rsidR="004A3868" w:rsidRDefault="004A3868">
            <w:pPr>
              <w:rPr>
                <w:sz w:val="18"/>
                <w:szCs w:val="18"/>
              </w:rPr>
            </w:pPr>
          </w:p>
        </w:tc>
        <w:tc>
          <w:tcPr>
            <w:tcW w:w="835" w:type="pct"/>
            <w:shd w:val="clear" w:color="auto" w:fill="auto"/>
            <w:vAlign w:val="center"/>
          </w:tcPr>
          <w:p w:rsidR="004A3868" w:rsidRDefault="004A3868">
            <w:pPr>
              <w:rPr>
                <w:sz w:val="18"/>
                <w:szCs w:val="18"/>
              </w:rPr>
            </w:pPr>
          </w:p>
        </w:tc>
        <w:tc>
          <w:tcPr>
            <w:tcW w:w="835" w:type="pct"/>
            <w:shd w:val="clear" w:color="auto" w:fill="auto"/>
            <w:vAlign w:val="center"/>
          </w:tcPr>
          <w:p w:rsidR="004A3868" w:rsidRDefault="004A3868">
            <w:pPr>
              <w:rPr>
                <w:sz w:val="18"/>
                <w:szCs w:val="18"/>
              </w:rPr>
            </w:pPr>
          </w:p>
        </w:tc>
        <w:tc>
          <w:tcPr>
            <w:tcW w:w="1047" w:type="pct"/>
            <w:shd w:val="clear" w:color="auto" w:fill="auto"/>
            <w:vAlign w:val="center"/>
          </w:tcPr>
          <w:p w:rsidR="004A3868" w:rsidRDefault="004A3868">
            <w:pPr>
              <w:rPr>
                <w:sz w:val="18"/>
                <w:szCs w:val="18"/>
              </w:rPr>
            </w:pPr>
          </w:p>
        </w:tc>
      </w:tr>
      <w:tr w:rsidR="004A3868">
        <w:trPr>
          <w:trHeight w:val="397"/>
          <w:jc w:val="center"/>
        </w:trPr>
        <w:tc>
          <w:tcPr>
            <w:tcW w:w="502" w:type="pct"/>
            <w:shd w:val="clear" w:color="auto" w:fill="auto"/>
            <w:vAlign w:val="center"/>
          </w:tcPr>
          <w:p w:rsidR="004A3868" w:rsidRDefault="003F1AB5">
            <w:pPr>
              <w:pStyle w:val="afff9"/>
            </w:pPr>
            <w:r>
              <w:t>2.</w:t>
            </w:r>
            <w:r>
              <w:rPr>
                <w:rFonts w:hint="eastAsia"/>
              </w:rPr>
              <w:t>本期增加金额</w:t>
            </w:r>
          </w:p>
        </w:tc>
        <w:tc>
          <w:tcPr>
            <w:tcW w:w="887" w:type="pct"/>
            <w:shd w:val="clear" w:color="auto" w:fill="auto"/>
            <w:vAlign w:val="center"/>
          </w:tcPr>
          <w:p w:rsidR="004A3868" w:rsidRDefault="004A3868">
            <w:pPr>
              <w:rPr>
                <w:sz w:val="18"/>
                <w:szCs w:val="18"/>
              </w:rPr>
            </w:pPr>
          </w:p>
        </w:tc>
        <w:tc>
          <w:tcPr>
            <w:tcW w:w="894" w:type="pct"/>
            <w:shd w:val="clear" w:color="auto" w:fill="auto"/>
            <w:vAlign w:val="center"/>
          </w:tcPr>
          <w:p w:rsidR="004A3868" w:rsidRDefault="004A3868">
            <w:pPr>
              <w:rPr>
                <w:sz w:val="18"/>
                <w:szCs w:val="18"/>
              </w:rPr>
            </w:pPr>
          </w:p>
        </w:tc>
        <w:tc>
          <w:tcPr>
            <w:tcW w:w="835" w:type="pct"/>
            <w:shd w:val="clear" w:color="auto" w:fill="auto"/>
            <w:vAlign w:val="center"/>
          </w:tcPr>
          <w:p w:rsidR="004A3868" w:rsidRDefault="004A3868">
            <w:pPr>
              <w:rPr>
                <w:sz w:val="18"/>
                <w:szCs w:val="18"/>
              </w:rPr>
            </w:pPr>
          </w:p>
        </w:tc>
        <w:tc>
          <w:tcPr>
            <w:tcW w:w="835" w:type="pct"/>
            <w:shd w:val="clear" w:color="auto" w:fill="auto"/>
            <w:vAlign w:val="center"/>
          </w:tcPr>
          <w:p w:rsidR="004A3868" w:rsidRDefault="004A3868">
            <w:pPr>
              <w:rPr>
                <w:sz w:val="18"/>
                <w:szCs w:val="18"/>
              </w:rPr>
            </w:pPr>
          </w:p>
        </w:tc>
        <w:tc>
          <w:tcPr>
            <w:tcW w:w="1047" w:type="pct"/>
            <w:shd w:val="clear" w:color="auto" w:fill="auto"/>
            <w:vAlign w:val="center"/>
          </w:tcPr>
          <w:p w:rsidR="004A3868" w:rsidRDefault="004A3868">
            <w:pPr>
              <w:rPr>
                <w:sz w:val="18"/>
                <w:szCs w:val="18"/>
              </w:rPr>
            </w:pPr>
          </w:p>
        </w:tc>
      </w:tr>
      <w:tr w:rsidR="004A3868">
        <w:trPr>
          <w:trHeight w:val="397"/>
          <w:jc w:val="center"/>
        </w:trPr>
        <w:tc>
          <w:tcPr>
            <w:tcW w:w="502" w:type="pct"/>
            <w:shd w:val="clear" w:color="auto" w:fill="auto"/>
            <w:vAlign w:val="center"/>
          </w:tcPr>
          <w:p w:rsidR="004A3868" w:rsidRDefault="003F1AB5">
            <w:pPr>
              <w:pStyle w:val="afff9"/>
            </w:pPr>
            <w:r>
              <w:rPr>
                <w:rFonts w:hint="eastAsia"/>
              </w:rPr>
              <w:t>3.</w:t>
            </w:r>
            <w:r>
              <w:rPr>
                <w:rFonts w:hint="eastAsia"/>
              </w:rPr>
              <w:t>本期减少金额</w:t>
            </w:r>
          </w:p>
        </w:tc>
        <w:tc>
          <w:tcPr>
            <w:tcW w:w="887" w:type="pct"/>
            <w:shd w:val="clear" w:color="auto" w:fill="auto"/>
            <w:vAlign w:val="center"/>
          </w:tcPr>
          <w:p w:rsidR="004A3868" w:rsidRDefault="004A3868">
            <w:pPr>
              <w:rPr>
                <w:sz w:val="18"/>
                <w:szCs w:val="18"/>
              </w:rPr>
            </w:pPr>
          </w:p>
        </w:tc>
        <w:tc>
          <w:tcPr>
            <w:tcW w:w="894" w:type="pct"/>
            <w:shd w:val="clear" w:color="auto" w:fill="auto"/>
            <w:vAlign w:val="center"/>
          </w:tcPr>
          <w:p w:rsidR="004A3868" w:rsidRDefault="004A3868">
            <w:pPr>
              <w:rPr>
                <w:sz w:val="18"/>
                <w:szCs w:val="18"/>
              </w:rPr>
            </w:pPr>
          </w:p>
        </w:tc>
        <w:tc>
          <w:tcPr>
            <w:tcW w:w="835" w:type="pct"/>
            <w:shd w:val="clear" w:color="auto" w:fill="auto"/>
            <w:vAlign w:val="center"/>
          </w:tcPr>
          <w:p w:rsidR="004A3868" w:rsidRDefault="004A3868">
            <w:pPr>
              <w:rPr>
                <w:sz w:val="18"/>
                <w:szCs w:val="18"/>
              </w:rPr>
            </w:pPr>
          </w:p>
        </w:tc>
        <w:tc>
          <w:tcPr>
            <w:tcW w:w="835" w:type="pct"/>
            <w:shd w:val="clear" w:color="auto" w:fill="auto"/>
            <w:vAlign w:val="center"/>
          </w:tcPr>
          <w:p w:rsidR="004A3868" w:rsidRDefault="004A3868">
            <w:pPr>
              <w:rPr>
                <w:sz w:val="18"/>
                <w:szCs w:val="18"/>
              </w:rPr>
            </w:pPr>
          </w:p>
        </w:tc>
        <w:tc>
          <w:tcPr>
            <w:tcW w:w="1047" w:type="pct"/>
            <w:shd w:val="clear" w:color="auto" w:fill="auto"/>
            <w:vAlign w:val="center"/>
          </w:tcPr>
          <w:p w:rsidR="004A3868" w:rsidRDefault="004A3868">
            <w:pPr>
              <w:rPr>
                <w:sz w:val="18"/>
                <w:szCs w:val="18"/>
              </w:rPr>
            </w:pPr>
          </w:p>
        </w:tc>
      </w:tr>
      <w:tr w:rsidR="004A3868">
        <w:trPr>
          <w:trHeight w:val="397"/>
          <w:jc w:val="center"/>
        </w:trPr>
        <w:tc>
          <w:tcPr>
            <w:tcW w:w="502" w:type="pct"/>
            <w:shd w:val="clear" w:color="auto" w:fill="auto"/>
            <w:vAlign w:val="center"/>
          </w:tcPr>
          <w:p w:rsidR="004A3868" w:rsidRDefault="003F1AB5">
            <w:pPr>
              <w:pStyle w:val="afff9"/>
            </w:pPr>
            <w:r>
              <w:rPr>
                <w:rFonts w:hint="eastAsia"/>
              </w:rPr>
              <w:t>（</w:t>
            </w:r>
            <w:r>
              <w:rPr>
                <w:rFonts w:hint="eastAsia"/>
              </w:rPr>
              <w:t>1</w:t>
            </w:r>
            <w:r>
              <w:rPr>
                <w:rFonts w:hint="eastAsia"/>
              </w:rPr>
              <w:t>）处置或报废</w:t>
            </w:r>
          </w:p>
        </w:tc>
        <w:tc>
          <w:tcPr>
            <w:tcW w:w="887" w:type="pct"/>
            <w:shd w:val="clear" w:color="auto" w:fill="auto"/>
            <w:vAlign w:val="center"/>
          </w:tcPr>
          <w:p w:rsidR="004A3868" w:rsidRDefault="004A3868">
            <w:pPr>
              <w:rPr>
                <w:sz w:val="21"/>
                <w:szCs w:val="21"/>
              </w:rPr>
            </w:pPr>
          </w:p>
        </w:tc>
        <w:tc>
          <w:tcPr>
            <w:tcW w:w="894" w:type="pct"/>
            <w:shd w:val="clear" w:color="auto" w:fill="auto"/>
            <w:vAlign w:val="center"/>
          </w:tcPr>
          <w:p w:rsidR="004A3868" w:rsidRDefault="004A3868">
            <w:pPr>
              <w:rPr>
                <w:sz w:val="21"/>
                <w:szCs w:val="21"/>
              </w:rPr>
            </w:pPr>
          </w:p>
        </w:tc>
        <w:tc>
          <w:tcPr>
            <w:tcW w:w="835" w:type="pct"/>
            <w:shd w:val="clear" w:color="auto" w:fill="auto"/>
            <w:vAlign w:val="center"/>
          </w:tcPr>
          <w:p w:rsidR="004A3868" w:rsidRDefault="004A3868">
            <w:pPr>
              <w:rPr>
                <w:sz w:val="21"/>
                <w:szCs w:val="21"/>
              </w:rPr>
            </w:pPr>
          </w:p>
        </w:tc>
        <w:tc>
          <w:tcPr>
            <w:tcW w:w="835" w:type="pct"/>
            <w:shd w:val="clear" w:color="auto" w:fill="auto"/>
            <w:vAlign w:val="center"/>
          </w:tcPr>
          <w:p w:rsidR="004A3868" w:rsidRDefault="004A3868">
            <w:pPr>
              <w:rPr>
                <w:sz w:val="21"/>
                <w:szCs w:val="21"/>
              </w:rPr>
            </w:pPr>
          </w:p>
        </w:tc>
        <w:tc>
          <w:tcPr>
            <w:tcW w:w="1047" w:type="pct"/>
            <w:shd w:val="clear" w:color="auto" w:fill="auto"/>
            <w:vAlign w:val="center"/>
          </w:tcPr>
          <w:p w:rsidR="004A3868" w:rsidRDefault="004A3868">
            <w:pPr>
              <w:rPr>
                <w:sz w:val="21"/>
                <w:szCs w:val="21"/>
              </w:rPr>
            </w:pPr>
          </w:p>
        </w:tc>
      </w:tr>
      <w:tr w:rsidR="004A3868">
        <w:trPr>
          <w:trHeight w:val="397"/>
          <w:jc w:val="center"/>
        </w:trPr>
        <w:tc>
          <w:tcPr>
            <w:tcW w:w="502" w:type="pct"/>
            <w:shd w:val="clear" w:color="auto" w:fill="auto"/>
            <w:vAlign w:val="center"/>
          </w:tcPr>
          <w:p w:rsidR="004A3868" w:rsidRDefault="003F1AB5">
            <w:pPr>
              <w:pStyle w:val="afff9"/>
            </w:pPr>
            <w:r>
              <w:rPr>
                <w:rFonts w:hint="eastAsia"/>
              </w:rPr>
              <w:t>4.</w:t>
            </w:r>
            <w:r>
              <w:rPr>
                <w:rFonts w:hint="eastAsia"/>
              </w:rPr>
              <w:t>期末余额</w:t>
            </w:r>
          </w:p>
        </w:tc>
        <w:tc>
          <w:tcPr>
            <w:tcW w:w="887" w:type="pct"/>
            <w:shd w:val="clear" w:color="auto" w:fill="auto"/>
            <w:vAlign w:val="center"/>
          </w:tcPr>
          <w:p w:rsidR="004A3868" w:rsidRDefault="004A3868">
            <w:pPr>
              <w:rPr>
                <w:sz w:val="21"/>
                <w:szCs w:val="21"/>
              </w:rPr>
            </w:pPr>
          </w:p>
        </w:tc>
        <w:tc>
          <w:tcPr>
            <w:tcW w:w="894" w:type="pct"/>
            <w:shd w:val="clear" w:color="auto" w:fill="auto"/>
            <w:vAlign w:val="center"/>
          </w:tcPr>
          <w:p w:rsidR="004A3868" w:rsidRDefault="004A3868">
            <w:pPr>
              <w:rPr>
                <w:sz w:val="21"/>
                <w:szCs w:val="21"/>
              </w:rPr>
            </w:pPr>
          </w:p>
        </w:tc>
        <w:tc>
          <w:tcPr>
            <w:tcW w:w="835" w:type="pct"/>
            <w:shd w:val="clear" w:color="auto" w:fill="auto"/>
            <w:vAlign w:val="center"/>
          </w:tcPr>
          <w:p w:rsidR="004A3868" w:rsidRDefault="004A3868">
            <w:pPr>
              <w:rPr>
                <w:sz w:val="21"/>
                <w:szCs w:val="21"/>
              </w:rPr>
            </w:pPr>
          </w:p>
        </w:tc>
        <w:tc>
          <w:tcPr>
            <w:tcW w:w="835" w:type="pct"/>
            <w:shd w:val="clear" w:color="auto" w:fill="auto"/>
            <w:vAlign w:val="center"/>
          </w:tcPr>
          <w:p w:rsidR="004A3868" w:rsidRDefault="004A3868">
            <w:pPr>
              <w:rPr>
                <w:sz w:val="21"/>
                <w:szCs w:val="21"/>
              </w:rPr>
            </w:pPr>
          </w:p>
        </w:tc>
        <w:tc>
          <w:tcPr>
            <w:tcW w:w="1047" w:type="pct"/>
            <w:shd w:val="clear" w:color="auto" w:fill="auto"/>
            <w:vAlign w:val="center"/>
          </w:tcPr>
          <w:p w:rsidR="004A3868" w:rsidRDefault="004A3868">
            <w:pPr>
              <w:rPr>
                <w:sz w:val="21"/>
                <w:szCs w:val="21"/>
              </w:rPr>
            </w:pPr>
          </w:p>
        </w:tc>
      </w:tr>
      <w:tr w:rsidR="004A3868">
        <w:trPr>
          <w:trHeight w:val="397"/>
          <w:jc w:val="center"/>
        </w:trPr>
        <w:sdt>
          <w:sdtPr>
            <w:rPr>
              <w:sz w:val="21"/>
              <w:szCs w:val="21"/>
            </w:rPr>
            <w:tag w:val="_PLD_e1d51c426bd84ffbb9a1a19b00d3b374"/>
            <w:id w:val="-1697070571"/>
          </w:sdtPr>
          <w:sdtEndPr/>
          <w:sdtContent>
            <w:tc>
              <w:tcPr>
                <w:tcW w:w="5000" w:type="pct"/>
                <w:gridSpan w:val="6"/>
                <w:shd w:val="clear" w:color="auto" w:fill="auto"/>
                <w:vAlign w:val="center"/>
              </w:tcPr>
              <w:p w:rsidR="004A3868" w:rsidRDefault="003F1AB5">
                <w:pPr>
                  <w:rPr>
                    <w:sz w:val="21"/>
                    <w:szCs w:val="21"/>
                  </w:rPr>
                </w:pPr>
                <w:r>
                  <w:rPr>
                    <w:rFonts w:hint="eastAsia"/>
                    <w:sz w:val="21"/>
                    <w:szCs w:val="21"/>
                  </w:rPr>
                  <w:t>四、账面价值</w:t>
                </w:r>
              </w:p>
            </w:tc>
          </w:sdtContent>
        </w:sdt>
      </w:tr>
      <w:tr w:rsidR="004A3868">
        <w:trPr>
          <w:trHeight w:val="397"/>
          <w:jc w:val="center"/>
        </w:trPr>
        <w:tc>
          <w:tcPr>
            <w:tcW w:w="502" w:type="pct"/>
            <w:shd w:val="clear" w:color="auto" w:fill="auto"/>
            <w:vAlign w:val="center"/>
          </w:tcPr>
          <w:p w:rsidR="004A3868" w:rsidRDefault="003F1AB5">
            <w:pPr>
              <w:pStyle w:val="afff9"/>
            </w:pPr>
            <w:r>
              <w:rPr>
                <w:rFonts w:hint="eastAsia"/>
              </w:rPr>
              <w:t>1.</w:t>
            </w:r>
            <w:r>
              <w:rPr>
                <w:rFonts w:hint="eastAsia"/>
              </w:rPr>
              <w:t>期末账面价值</w:t>
            </w:r>
          </w:p>
        </w:tc>
        <w:tc>
          <w:tcPr>
            <w:tcW w:w="887" w:type="pct"/>
            <w:shd w:val="clear" w:color="auto" w:fill="auto"/>
          </w:tcPr>
          <w:p w:rsidR="004A3868" w:rsidRDefault="003F1AB5">
            <w:pPr>
              <w:pStyle w:val="afff7"/>
            </w:pPr>
            <w:r>
              <w:t>536,407,154.36</w:t>
            </w:r>
          </w:p>
        </w:tc>
        <w:tc>
          <w:tcPr>
            <w:tcW w:w="894" w:type="pct"/>
            <w:shd w:val="clear" w:color="auto" w:fill="auto"/>
          </w:tcPr>
          <w:p w:rsidR="004A3868" w:rsidRDefault="003F1AB5">
            <w:pPr>
              <w:pStyle w:val="afff7"/>
            </w:pPr>
            <w:r>
              <w:t>549,471,802.60</w:t>
            </w:r>
          </w:p>
        </w:tc>
        <w:tc>
          <w:tcPr>
            <w:tcW w:w="835" w:type="pct"/>
            <w:shd w:val="clear" w:color="auto" w:fill="auto"/>
          </w:tcPr>
          <w:p w:rsidR="004A3868" w:rsidRDefault="003F1AB5">
            <w:pPr>
              <w:pStyle w:val="afff7"/>
            </w:pPr>
            <w:r>
              <w:t>4,246,369.40</w:t>
            </w:r>
          </w:p>
        </w:tc>
        <w:tc>
          <w:tcPr>
            <w:tcW w:w="835" w:type="pct"/>
            <w:shd w:val="clear" w:color="auto" w:fill="auto"/>
          </w:tcPr>
          <w:p w:rsidR="004A3868" w:rsidRDefault="003F1AB5">
            <w:pPr>
              <w:pStyle w:val="afff7"/>
            </w:pPr>
            <w:r>
              <w:t>24,603,628.03</w:t>
            </w:r>
          </w:p>
        </w:tc>
        <w:tc>
          <w:tcPr>
            <w:tcW w:w="1047" w:type="pct"/>
            <w:shd w:val="clear" w:color="auto" w:fill="auto"/>
          </w:tcPr>
          <w:p w:rsidR="004A3868" w:rsidRDefault="003F1AB5">
            <w:pPr>
              <w:pStyle w:val="afff7"/>
            </w:pPr>
            <w:r>
              <w:t>1,114,728,954.39</w:t>
            </w:r>
          </w:p>
        </w:tc>
      </w:tr>
      <w:tr w:rsidR="004A3868">
        <w:trPr>
          <w:trHeight w:val="397"/>
          <w:jc w:val="center"/>
        </w:trPr>
        <w:tc>
          <w:tcPr>
            <w:tcW w:w="502" w:type="pct"/>
            <w:shd w:val="clear" w:color="auto" w:fill="auto"/>
            <w:vAlign w:val="center"/>
          </w:tcPr>
          <w:p w:rsidR="004A3868" w:rsidRDefault="003F1AB5">
            <w:pPr>
              <w:pStyle w:val="afff9"/>
            </w:pPr>
            <w:r>
              <w:rPr>
                <w:rFonts w:hint="eastAsia"/>
              </w:rPr>
              <w:t>2.</w:t>
            </w:r>
            <w:r>
              <w:rPr>
                <w:rFonts w:hint="eastAsia"/>
              </w:rPr>
              <w:t>期初账面价值</w:t>
            </w:r>
          </w:p>
        </w:tc>
        <w:tc>
          <w:tcPr>
            <w:tcW w:w="887" w:type="pct"/>
            <w:shd w:val="clear" w:color="auto" w:fill="auto"/>
            <w:vAlign w:val="center"/>
          </w:tcPr>
          <w:p w:rsidR="004A3868" w:rsidRDefault="003F1AB5">
            <w:pPr>
              <w:pStyle w:val="afff7"/>
            </w:pPr>
            <w:r>
              <w:t>328,365,876.77</w:t>
            </w:r>
          </w:p>
        </w:tc>
        <w:tc>
          <w:tcPr>
            <w:tcW w:w="894" w:type="pct"/>
            <w:shd w:val="clear" w:color="auto" w:fill="auto"/>
            <w:vAlign w:val="center"/>
          </w:tcPr>
          <w:p w:rsidR="004A3868" w:rsidRDefault="003F1AB5">
            <w:pPr>
              <w:pStyle w:val="afff7"/>
            </w:pPr>
            <w:r>
              <w:t>254,480,766.46</w:t>
            </w:r>
          </w:p>
        </w:tc>
        <w:tc>
          <w:tcPr>
            <w:tcW w:w="835" w:type="pct"/>
            <w:shd w:val="clear" w:color="auto" w:fill="auto"/>
            <w:vAlign w:val="center"/>
          </w:tcPr>
          <w:p w:rsidR="004A3868" w:rsidRDefault="003F1AB5">
            <w:pPr>
              <w:pStyle w:val="afff7"/>
            </w:pPr>
            <w:r>
              <w:t>3,211,768.23</w:t>
            </w:r>
          </w:p>
        </w:tc>
        <w:tc>
          <w:tcPr>
            <w:tcW w:w="835" w:type="pct"/>
            <w:shd w:val="clear" w:color="auto" w:fill="auto"/>
            <w:vAlign w:val="center"/>
          </w:tcPr>
          <w:p w:rsidR="004A3868" w:rsidRDefault="003F1AB5">
            <w:pPr>
              <w:pStyle w:val="afff7"/>
            </w:pPr>
            <w:r>
              <w:t>3,238,971.00</w:t>
            </w:r>
          </w:p>
        </w:tc>
        <w:tc>
          <w:tcPr>
            <w:tcW w:w="1047" w:type="pct"/>
            <w:shd w:val="clear" w:color="auto" w:fill="auto"/>
            <w:vAlign w:val="center"/>
          </w:tcPr>
          <w:p w:rsidR="004A3868" w:rsidRDefault="003F1AB5">
            <w:pPr>
              <w:pStyle w:val="afff7"/>
            </w:pPr>
            <w:r>
              <w:t>589,297,382.46</w:t>
            </w:r>
          </w:p>
        </w:tc>
      </w:tr>
    </w:tbl>
    <w:p w:rsidR="004A3868" w:rsidRDefault="004A3868">
      <w:pPr>
        <w:pStyle w:val="Style124"/>
      </w:pPr>
    </w:p>
    <w:p w:rsidR="004A3868" w:rsidRDefault="003F1AB5">
      <w:pPr>
        <w:pStyle w:val="Style129"/>
        <w:numPr>
          <w:ilvl w:val="0"/>
          <w:numId w:val="79"/>
        </w:numPr>
      </w:pPr>
      <w:r>
        <w:rPr>
          <w:rFonts w:hint="eastAsia"/>
        </w:rPr>
        <w:t>暂时闲置的固定资产情况</w:t>
      </w:r>
    </w:p>
    <w:sdt>
      <w:sdtPr>
        <w:alias w:val="是否适用：暂时闲置的固定资产情况[双击切换]"/>
        <w:tag w:val="_GBC_2fdfdf37e427442eb50e14c905c59fbe"/>
        <w:id w:val="397564251"/>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numPr>
          <w:ilvl w:val="0"/>
          <w:numId w:val="79"/>
        </w:numPr>
      </w:pPr>
      <w:r>
        <w:rPr>
          <w:rFonts w:hint="eastAsia"/>
        </w:rPr>
        <w:t>通过经营租赁租出的固定资产</w:t>
      </w:r>
    </w:p>
    <w:sdt>
      <w:sdtPr>
        <w:rPr>
          <w:sz w:val="21"/>
          <w:szCs w:val="21"/>
        </w:rPr>
        <w:alias w:val="是否适用：通过经营租赁租出的固定资产[双击切换]"/>
        <w:tag w:val="_GBC_c2ddde62aad742b6997b43c9077b5c4b"/>
        <w:id w:val="1000697581"/>
        <w:lock w:val="sdtLocked"/>
        <w:placeholder>
          <w:docPart w:val="GBC22222222222222222222222222222"/>
        </w:placeholder>
      </w:sdtPr>
      <w:sdtEndPr/>
      <w:sdtContent>
        <w:p w:rsidR="004A3868" w:rsidRDefault="003F1AB5">
          <w:pPr>
            <w:rPr>
              <w:color w:val="FF0000"/>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numPr>
          <w:ilvl w:val="0"/>
          <w:numId w:val="79"/>
        </w:numPr>
      </w:pPr>
      <w:r>
        <w:rPr>
          <w:rFonts w:hint="eastAsia"/>
        </w:rPr>
        <w:t>未办妥产权证书的固定资产情况</w:t>
      </w:r>
    </w:p>
    <w:p w:rsidR="004A3868" w:rsidRDefault="00B34370">
      <w:pPr>
        <w:pStyle w:val="Style124"/>
      </w:pPr>
      <w:sdt>
        <w:sdtPr>
          <w:alias w:val="是否适用：未办妥产权证书的固定资产情况[双击切换]"/>
          <w:tag w:val="_GBC_46625a97c34c4326af56ee4f005058fb"/>
          <w:id w:val="-614677576"/>
          <w:placeholder>
            <w:docPart w:val="GBC22222222222222222222222222222"/>
          </w:placeholder>
        </w:sdtPr>
        <w:sdtEndPr/>
        <w:sdtContent>
          <w:r w:rsidR="003F1AB5">
            <w:fldChar w:fldCharType="begin"/>
          </w:r>
          <w:r w:rsidR="003F1AB5">
            <w:rPr>
              <w:rFonts w:hint="eastAsia"/>
            </w:rPr>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afff5"/>
        <w:rPr>
          <w:sz w:val="21"/>
          <w:szCs w:val="21"/>
        </w:rPr>
      </w:pPr>
      <w:r>
        <w:rPr>
          <w:rFonts w:hint="eastAsia"/>
          <w:sz w:val="21"/>
          <w:szCs w:val="21"/>
        </w:rPr>
        <w:t>单位：</w:t>
      </w:r>
      <w:sdt>
        <w:sdtPr>
          <w:rPr>
            <w:rFonts w:hint="eastAsia"/>
            <w:sz w:val="21"/>
            <w:szCs w:val="21"/>
          </w:rPr>
          <w:alias w:val="单位：财务附注：未办妥产权证书的固定资产情况"/>
          <w:tag w:val="_GBC_af0b65f779a444509a345fcc235c4e13"/>
          <w:id w:val="-6075773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未办妥产权证书的固定资产情况"/>
          <w:tag w:val="_GBC_8b4f91db9e314b61ac2d85b092fd5832"/>
          <w:id w:val="-9385164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75"/>
        <w:gridCol w:w="2966"/>
        <w:gridCol w:w="2982"/>
      </w:tblGrid>
      <w:tr w:rsidR="004A3868">
        <w:trPr>
          <w:trHeight w:val="397"/>
          <w:jc w:val="center"/>
        </w:trPr>
        <w:bookmarkStart w:id="205" w:name="_Hlk153460880" w:displacedByCustomXml="next"/>
        <w:sdt>
          <w:sdtPr>
            <w:tag w:val="_PLD_3112d13ed7a04a10bce803acc672660e"/>
            <w:id w:val="-357515280"/>
            <w:lock w:val="sdtLocked"/>
          </w:sdtPr>
          <w:sdtEndPr/>
          <w:sdtContent>
            <w:tc>
              <w:tcPr>
                <w:tcW w:w="1629" w:type="pct"/>
                <w:vAlign w:val="center"/>
              </w:tcPr>
              <w:p w:rsidR="004A3868" w:rsidRDefault="003F1AB5">
                <w:pPr>
                  <w:pStyle w:val="afffb"/>
                </w:pPr>
                <w:r>
                  <w:rPr>
                    <w:rFonts w:hint="eastAsia"/>
                  </w:rPr>
                  <w:t>项目</w:t>
                </w:r>
              </w:p>
            </w:tc>
          </w:sdtContent>
        </w:sdt>
        <w:sdt>
          <w:sdtPr>
            <w:tag w:val="_PLD_5fca73223de74724a06b56d07c06e26b"/>
            <w:id w:val="-927189668"/>
            <w:lock w:val="sdtLocked"/>
          </w:sdtPr>
          <w:sdtEndPr/>
          <w:sdtContent>
            <w:tc>
              <w:tcPr>
                <w:tcW w:w="1681" w:type="pct"/>
                <w:vAlign w:val="center"/>
              </w:tcPr>
              <w:p w:rsidR="004A3868" w:rsidRDefault="003F1AB5">
                <w:pPr>
                  <w:pStyle w:val="afffb"/>
                </w:pPr>
                <w:r>
                  <w:rPr>
                    <w:rFonts w:hint="eastAsia"/>
                  </w:rPr>
                  <w:t>账面价值</w:t>
                </w:r>
              </w:p>
            </w:tc>
          </w:sdtContent>
        </w:sdt>
        <w:sdt>
          <w:sdtPr>
            <w:tag w:val="_PLD_0f07869ee4694758ae54754a2afb45dd"/>
            <w:id w:val="1507631927"/>
            <w:lock w:val="sdtLocked"/>
          </w:sdtPr>
          <w:sdtEndPr/>
          <w:sdtContent>
            <w:tc>
              <w:tcPr>
                <w:tcW w:w="1690" w:type="pct"/>
                <w:vAlign w:val="center"/>
              </w:tcPr>
              <w:p w:rsidR="004A3868" w:rsidRDefault="003F1AB5">
                <w:pPr>
                  <w:pStyle w:val="afffb"/>
                </w:pPr>
                <w:r>
                  <w:rPr>
                    <w:rFonts w:hint="eastAsia"/>
                  </w:rPr>
                  <w:t>未办妥产权证书的原因</w:t>
                </w:r>
              </w:p>
            </w:tc>
          </w:sdtContent>
        </w:sdt>
      </w:tr>
      <w:tr w:rsidR="004A3868">
        <w:trPr>
          <w:trHeight w:val="397"/>
          <w:jc w:val="center"/>
        </w:trPr>
        <w:tc>
          <w:tcPr>
            <w:tcW w:w="1629" w:type="pct"/>
            <w:vAlign w:val="center"/>
          </w:tcPr>
          <w:p w:rsidR="004A3868" w:rsidRDefault="003F1AB5">
            <w:pPr>
              <w:pStyle w:val="afffb"/>
            </w:pPr>
            <w:r>
              <w:t>房屋及建筑物</w:t>
            </w:r>
          </w:p>
        </w:tc>
        <w:tc>
          <w:tcPr>
            <w:tcW w:w="1681" w:type="pct"/>
            <w:vAlign w:val="center"/>
          </w:tcPr>
          <w:p w:rsidR="004A3868" w:rsidRDefault="003F1AB5">
            <w:pPr>
              <w:pStyle w:val="afff7"/>
            </w:pPr>
            <w:r>
              <w:t>155,684,000.02</w:t>
            </w:r>
          </w:p>
        </w:tc>
        <w:tc>
          <w:tcPr>
            <w:tcW w:w="1690" w:type="pct"/>
            <w:vAlign w:val="center"/>
          </w:tcPr>
          <w:p w:rsidR="004A3868" w:rsidRDefault="003F1AB5">
            <w:pPr>
              <w:pStyle w:val="afffb"/>
            </w:pPr>
            <w:r>
              <w:rPr>
                <w:rFonts w:hint="eastAsia"/>
              </w:rPr>
              <w:t>成套一期正在办理产权证；二、三期、新材料未完成整体验收，待验收完成后方可办理。</w:t>
            </w:r>
          </w:p>
        </w:tc>
      </w:tr>
      <w:tr w:rsidR="004A3868">
        <w:trPr>
          <w:trHeight w:val="397"/>
          <w:jc w:val="center"/>
        </w:trPr>
        <w:tc>
          <w:tcPr>
            <w:tcW w:w="1629" w:type="pct"/>
          </w:tcPr>
          <w:p w:rsidR="004A3868" w:rsidRDefault="003F1AB5">
            <w:pPr>
              <w:pStyle w:val="afffb"/>
            </w:pPr>
            <w:r>
              <w:rPr>
                <w:rFonts w:hint="eastAsia"/>
              </w:rPr>
              <w:t>合计</w:t>
            </w:r>
          </w:p>
        </w:tc>
        <w:tc>
          <w:tcPr>
            <w:tcW w:w="1681" w:type="pct"/>
            <w:vAlign w:val="center"/>
          </w:tcPr>
          <w:p w:rsidR="004A3868" w:rsidRDefault="003F1AB5">
            <w:pPr>
              <w:pStyle w:val="afff7"/>
            </w:pPr>
            <w:r>
              <w:t>155,684,000.02</w:t>
            </w:r>
          </w:p>
        </w:tc>
        <w:tc>
          <w:tcPr>
            <w:tcW w:w="1690" w:type="pct"/>
            <w:vAlign w:val="center"/>
          </w:tcPr>
          <w:p w:rsidR="004A3868" w:rsidRDefault="004A3868">
            <w:pPr>
              <w:pStyle w:val="afffb"/>
            </w:pPr>
          </w:p>
        </w:tc>
      </w:tr>
    </w:tbl>
    <w:p w:rsidR="004A3868" w:rsidRDefault="003F1AB5">
      <w:pPr>
        <w:pStyle w:val="Style129"/>
        <w:numPr>
          <w:ilvl w:val="0"/>
          <w:numId w:val="79"/>
        </w:numPr>
      </w:pPr>
      <w:r>
        <w:rPr>
          <w:rFonts w:hint="eastAsia"/>
        </w:rPr>
        <w:t>固定资产的减值测试情况</w:t>
      </w:r>
    </w:p>
    <w:sdt>
      <w:sdtPr>
        <w:alias w:val="是否适用：减值测试情况[双击切换]"/>
        <w:tag w:val="_GBC_d1f21a00be1347f697689e4105263cab"/>
        <w:id w:val="-47760784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30"/>
        <w:ind w:left="120"/>
      </w:pPr>
      <w:r>
        <w:rPr>
          <w:rFonts w:hint="eastAsia"/>
        </w:rPr>
        <w:t>可收回金额按公允价值减去处置费用后的净额确定</w:t>
      </w:r>
    </w:p>
    <w:sdt>
      <w:sdtPr>
        <w:alias w:val="是否适用：可收回金额按公允价值减去处置费用后的净额确定[双击切换]"/>
        <w:tag w:val="_GBC_aec0e7ccc02e434bb7a5dfe43b1c37d3"/>
        <w:id w:val="-887496856"/>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30"/>
        <w:ind w:left="120"/>
      </w:pPr>
      <w:r>
        <w:rPr>
          <w:rFonts w:hint="eastAsia"/>
        </w:rPr>
        <w:t>可收回金额按预计未来现金流量的现值确定</w:t>
      </w:r>
    </w:p>
    <w:sdt>
      <w:sdtPr>
        <w:rPr>
          <w:rFonts w:hint="eastAsia"/>
        </w:rPr>
        <w:alias w:val="是否适用：可收回金额按预计未来现金流量的现值确定[双击切换]"/>
        <w:tag w:val="_GBC_b055a04d423142e49f0ae9a4c4233c8f"/>
        <w:id w:val="-3428389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30"/>
        <w:ind w:left="120"/>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ba56aaa91cde4124a94058c2d90e3a2f"/>
        <w:id w:val="127498231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30"/>
        <w:ind w:left="120"/>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36374ae92164ce4ba5e4bcf3c57e9e9"/>
        <w:id w:val="-135016953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5"/>
    <w:p w:rsidR="004A3868" w:rsidRDefault="003F1AB5">
      <w:pPr>
        <w:rPr>
          <w:sz w:val="21"/>
          <w:szCs w:val="21"/>
        </w:rPr>
      </w:pPr>
      <w:r>
        <w:rPr>
          <w:rFonts w:hint="eastAsia"/>
          <w:sz w:val="21"/>
          <w:szCs w:val="21"/>
        </w:rPr>
        <w:t>其他说明：</w:t>
      </w:r>
    </w:p>
    <w:sdt>
      <w:sdtPr>
        <w:rPr>
          <w:sz w:val="21"/>
          <w:szCs w:val="21"/>
        </w:rPr>
        <w:alias w:val="是否适用：固定资产的说明[双击切换]"/>
        <w:tag w:val="_GBC_a7ec4df8fd354d7d9980e0f731a85e12"/>
        <w:id w:val="143215805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pPr>
      <w:r>
        <w:rPr>
          <w:rFonts w:hint="eastAsia"/>
        </w:rPr>
        <w:t>固定资产清理</w:t>
      </w:r>
    </w:p>
    <w:sdt>
      <w:sdtPr>
        <w:alias w:val="是否适用：固定资产清理[双击切换]"/>
        <w:tag w:val="_GBC_e3c92a1042004e36882d16145109bd0e"/>
        <w:id w:val="15433618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固定资产清理"/>
          <w:tag w:val="_GBC_dd9fac0435e34162af7691578328c197"/>
          <w:id w:val="12461456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固定资产清理"/>
          <w:tag w:val="_GBC_0a3f7129159d46aa90131f740f7a333d"/>
          <w:id w:val="-9200256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406"/>
        <w:gridCol w:w="3295"/>
        <w:gridCol w:w="3122"/>
      </w:tblGrid>
      <w:tr w:rsidR="004A3868">
        <w:trPr>
          <w:trHeight w:val="397"/>
          <w:jc w:val="center"/>
        </w:trPr>
        <w:sdt>
          <w:sdtPr>
            <w:tag w:val="_PLD_72ed8e60b9b44aee824af33d3a0e1e45"/>
            <w:id w:val="1503852565"/>
            <w:lock w:val="sdtLocked"/>
          </w:sdtPr>
          <w:sdtEndPr/>
          <w:sdtContent>
            <w:tc>
              <w:tcPr>
                <w:tcW w:w="1364" w:type="pct"/>
                <w:shd w:val="clear" w:color="auto" w:fill="auto"/>
                <w:vAlign w:val="center"/>
              </w:tcPr>
              <w:p w:rsidR="004A3868" w:rsidRDefault="003F1AB5">
                <w:pPr>
                  <w:pStyle w:val="afffb"/>
                </w:pPr>
                <w:r>
                  <w:rPr>
                    <w:rFonts w:hint="eastAsia"/>
                  </w:rPr>
                  <w:t>项目</w:t>
                </w:r>
              </w:p>
            </w:tc>
          </w:sdtContent>
        </w:sdt>
        <w:sdt>
          <w:sdtPr>
            <w:tag w:val="_PLD_5116ba95ffe94c9abd82d232062969bb"/>
            <w:id w:val="-1099252996"/>
            <w:lock w:val="sdtLocked"/>
          </w:sdtPr>
          <w:sdtEndPr/>
          <w:sdtContent>
            <w:tc>
              <w:tcPr>
                <w:tcW w:w="1867" w:type="pct"/>
                <w:shd w:val="clear" w:color="auto" w:fill="auto"/>
                <w:vAlign w:val="center"/>
              </w:tcPr>
              <w:p w:rsidR="004A3868" w:rsidRDefault="003F1AB5">
                <w:pPr>
                  <w:pStyle w:val="afffb"/>
                </w:pPr>
                <w:r>
                  <w:rPr>
                    <w:rFonts w:hint="eastAsia"/>
                  </w:rPr>
                  <w:t>期末余额</w:t>
                </w:r>
              </w:p>
            </w:tc>
          </w:sdtContent>
        </w:sdt>
        <w:sdt>
          <w:sdtPr>
            <w:tag w:val="_PLD_27fd89dc7db94a19a2bd7ad6296eabf8"/>
            <w:id w:val="-1243098308"/>
            <w:lock w:val="sdtLocked"/>
          </w:sdtPr>
          <w:sdtEndPr/>
          <w:sdtContent>
            <w:tc>
              <w:tcPr>
                <w:tcW w:w="1769"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364" w:type="pct"/>
            <w:shd w:val="clear" w:color="auto" w:fill="auto"/>
          </w:tcPr>
          <w:p w:rsidR="004A3868" w:rsidRDefault="003F1AB5">
            <w:pPr>
              <w:rPr>
                <w:sz w:val="21"/>
                <w:szCs w:val="21"/>
              </w:rPr>
            </w:pPr>
            <w:r>
              <w:rPr>
                <w:sz w:val="21"/>
                <w:szCs w:val="21"/>
              </w:rPr>
              <w:t>运输设备</w:t>
            </w:r>
          </w:p>
        </w:tc>
        <w:tc>
          <w:tcPr>
            <w:tcW w:w="1867" w:type="pct"/>
            <w:shd w:val="clear" w:color="auto" w:fill="auto"/>
            <w:vAlign w:val="center"/>
          </w:tcPr>
          <w:p w:rsidR="004A3868" w:rsidRDefault="003F1AB5">
            <w:pPr>
              <w:pStyle w:val="afff7"/>
            </w:pPr>
            <w:r>
              <w:t>17,801.70</w:t>
            </w:r>
          </w:p>
        </w:tc>
        <w:tc>
          <w:tcPr>
            <w:tcW w:w="1769" w:type="pct"/>
            <w:shd w:val="clear" w:color="auto" w:fill="auto"/>
            <w:vAlign w:val="center"/>
          </w:tcPr>
          <w:p w:rsidR="004A3868" w:rsidRDefault="003F1AB5">
            <w:pPr>
              <w:pStyle w:val="afff7"/>
            </w:pPr>
            <w:r>
              <w:t>6,773.50</w:t>
            </w:r>
          </w:p>
        </w:tc>
      </w:tr>
      <w:tr w:rsidR="004A3868">
        <w:trPr>
          <w:trHeight w:val="397"/>
          <w:jc w:val="center"/>
        </w:trPr>
        <w:tc>
          <w:tcPr>
            <w:tcW w:w="1364" w:type="pct"/>
            <w:shd w:val="clear" w:color="auto" w:fill="auto"/>
          </w:tcPr>
          <w:p w:rsidR="004A3868" w:rsidRDefault="003F1AB5">
            <w:pPr>
              <w:rPr>
                <w:sz w:val="21"/>
                <w:szCs w:val="21"/>
              </w:rPr>
            </w:pPr>
            <w:r>
              <w:rPr>
                <w:sz w:val="21"/>
                <w:szCs w:val="21"/>
              </w:rPr>
              <w:t>机器设备</w:t>
            </w:r>
          </w:p>
        </w:tc>
        <w:tc>
          <w:tcPr>
            <w:tcW w:w="1867" w:type="pct"/>
            <w:shd w:val="clear" w:color="auto" w:fill="auto"/>
            <w:vAlign w:val="center"/>
          </w:tcPr>
          <w:p w:rsidR="004A3868" w:rsidRDefault="003F1AB5">
            <w:pPr>
              <w:pStyle w:val="afff7"/>
            </w:pPr>
            <w:r>
              <w:t>61,958.52</w:t>
            </w:r>
          </w:p>
        </w:tc>
        <w:tc>
          <w:tcPr>
            <w:tcW w:w="1769" w:type="pct"/>
            <w:shd w:val="clear" w:color="auto" w:fill="auto"/>
            <w:vAlign w:val="center"/>
          </w:tcPr>
          <w:p w:rsidR="004A3868" w:rsidRDefault="003F1AB5">
            <w:pPr>
              <w:pStyle w:val="afff7"/>
            </w:pPr>
            <w:r>
              <w:t xml:space="preserve">　</w:t>
            </w:r>
          </w:p>
        </w:tc>
      </w:tr>
      <w:tr w:rsidR="004A3868">
        <w:trPr>
          <w:trHeight w:val="397"/>
          <w:jc w:val="center"/>
        </w:trPr>
        <w:tc>
          <w:tcPr>
            <w:tcW w:w="1364" w:type="pct"/>
            <w:shd w:val="clear" w:color="auto" w:fill="auto"/>
            <w:vAlign w:val="center"/>
          </w:tcPr>
          <w:p w:rsidR="004A3868" w:rsidRDefault="003F1AB5">
            <w:pPr>
              <w:rPr>
                <w:sz w:val="21"/>
                <w:szCs w:val="21"/>
              </w:rPr>
            </w:pPr>
            <w:r>
              <w:rPr>
                <w:rFonts w:hint="eastAsia"/>
                <w:sz w:val="21"/>
                <w:szCs w:val="21"/>
              </w:rPr>
              <w:t>合计</w:t>
            </w:r>
          </w:p>
        </w:tc>
        <w:tc>
          <w:tcPr>
            <w:tcW w:w="1867" w:type="pct"/>
            <w:shd w:val="clear" w:color="auto" w:fill="auto"/>
            <w:vAlign w:val="center"/>
          </w:tcPr>
          <w:p w:rsidR="004A3868" w:rsidRDefault="003F1AB5">
            <w:pPr>
              <w:pStyle w:val="afff7"/>
            </w:pPr>
            <w:r>
              <w:t>79,760.22</w:t>
            </w:r>
          </w:p>
        </w:tc>
        <w:tc>
          <w:tcPr>
            <w:tcW w:w="1769" w:type="pct"/>
            <w:shd w:val="clear" w:color="auto" w:fill="auto"/>
            <w:vAlign w:val="center"/>
          </w:tcPr>
          <w:p w:rsidR="004A3868" w:rsidRDefault="003F1AB5">
            <w:pPr>
              <w:pStyle w:val="afff7"/>
            </w:pPr>
            <w:r>
              <w:t>6,773.50</w:t>
            </w:r>
          </w:p>
        </w:tc>
      </w:tr>
    </w:tbl>
    <w:p w:rsidR="004A3868" w:rsidRDefault="003F1AB5">
      <w:pPr>
        <w:rPr>
          <w:sz w:val="21"/>
          <w:szCs w:val="21"/>
        </w:rPr>
      </w:pPr>
      <w:r>
        <w:rPr>
          <w:rFonts w:hint="eastAsia"/>
          <w:sz w:val="21"/>
          <w:szCs w:val="21"/>
        </w:rPr>
        <w:lastRenderedPageBreak/>
        <w:t>其他说明：</w:t>
      </w:r>
    </w:p>
    <w:sdt>
      <w:sdtPr>
        <w:rPr>
          <w:rFonts w:hint="eastAsia"/>
          <w:sz w:val="21"/>
          <w:szCs w:val="21"/>
        </w:rPr>
        <w:alias w:val="固定资产清理的说明"/>
        <w:tag w:val="_GBC_e89c49a1ebd443eca7b8c08e14d56fca"/>
        <w:id w:val="397718336"/>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在建工程</w:t>
      </w:r>
    </w:p>
    <w:p w:rsidR="004A3868" w:rsidRDefault="003F1AB5">
      <w:pPr>
        <w:pStyle w:val="Style128"/>
        <w:rPr>
          <w:rFonts w:ascii="宋体" w:hAnsi="宋体"/>
          <w:szCs w:val="21"/>
        </w:rPr>
      </w:pPr>
      <w:r>
        <w:rPr>
          <w:rFonts w:hint="eastAsia"/>
        </w:rPr>
        <w:t>项目列示</w:t>
      </w:r>
    </w:p>
    <w:sdt>
      <w:sdtPr>
        <w:alias w:val="是否适用：在建工程分类列示[双击切换]"/>
        <w:tag w:val="_GBC_c1e2db0ea96a470497d3e7b3545f11ff"/>
        <w:id w:val="103555198"/>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在建工程分类列示"/>
          <w:tag w:val="_GBC_c3fc0d9041a1447580d30c51269288ae"/>
          <w:id w:val="-8924984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在建工程分类列示"/>
          <w:tag w:val="_GBC_1bdb2a3deae044179993a80635469bb5"/>
          <w:id w:val="-13110918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05"/>
        <w:gridCol w:w="3106"/>
        <w:gridCol w:w="2612"/>
      </w:tblGrid>
      <w:tr w:rsidR="004A3868">
        <w:trPr>
          <w:cantSplit/>
          <w:trHeight w:val="397"/>
          <w:jc w:val="center"/>
        </w:trPr>
        <w:sdt>
          <w:sdtPr>
            <w:tag w:val="_PLD_e3fac3cdac65475ca8ba6bb772e3b841"/>
            <w:id w:val="-1158688118"/>
          </w:sdtPr>
          <w:sdtEndPr/>
          <w:sdtContent>
            <w:tc>
              <w:tcPr>
                <w:tcW w:w="1760" w:type="pct"/>
                <w:vAlign w:val="center"/>
              </w:tcPr>
              <w:p w:rsidR="004A3868" w:rsidRDefault="003F1AB5">
                <w:pPr>
                  <w:pStyle w:val="afffb"/>
                </w:pPr>
                <w:r>
                  <w:rPr>
                    <w:rFonts w:hint="eastAsia"/>
                  </w:rPr>
                  <w:t>项目</w:t>
                </w:r>
              </w:p>
            </w:tc>
          </w:sdtContent>
        </w:sdt>
        <w:sdt>
          <w:sdtPr>
            <w:tag w:val="_PLD_4e98919cdcd84191b541b2ee895e77bf"/>
            <w:id w:val="1680777818"/>
          </w:sdtPr>
          <w:sdtEndPr/>
          <w:sdtContent>
            <w:tc>
              <w:tcPr>
                <w:tcW w:w="1760" w:type="pct"/>
                <w:vAlign w:val="center"/>
              </w:tcPr>
              <w:p w:rsidR="004A3868" w:rsidRDefault="003F1AB5">
                <w:pPr>
                  <w:pStyle w:val="afffb"/>
                </w:pPr>
                <w:r>
                  <w:rPr>
                    <w:rFonts w:hint="eastAsia"/>
                  </w:rPr>
                  <w:t>期末余额</w:t>
                </w:r>
              </w:p>
            </w:tc>
          </w:sdtContent>
        </w:sdt>
        <w:sdt>
          <w:sdtPr>
            <w:tag w:val="_PLD_4ce0928269bc47149a98320193bd0b0a"/>
            <w:id w:val="-1024398668"/>
          </w:sdtPr>
          <w:sdtEndPr/>
          <w:sdtContent>
            <w:tc>
              <w:tcPr>
                <w:tcW w:w="1760" w:type="pct"/>
                <w:vAlign w:val="center"/>
              </w:tcPr>
              <w:p w:rsidR="004A3868" w:rsidRDefault="003F1AB5">
                <w:pPr>
                  <w:pStyle w:val="afffb"/>
                </w:pPr>
                <w:r>
                  <w:rPr>
                    <w:rFonts w:hint="eastAsia"/>
                  </w:rPr>
                  <w:t>期初余额</w:t>
                </w:r>
              </w:p>
            </w:tc>
          </w:sdtContent>
        </w:sdt>
      </w:tr>
      <w:tr w:rsidR="004A3868">
        <w:trPr>
          <w:cantSplit/>
          <w:trHeight w:val="397"/>
          <w:jc w:val="center"/>
        </w:trPr>
        <w:tc>
          <w:tcPr>
            <w:tcW w:w="1760" w:type="pct"/>
          </w:tcPr>
          <w:p w:rsidR="004A3868" w:rsidRDefault="003F1AB5">
            <w:pPr>
              <w:rPr>
                <w:sz w:val="21"/>
                <w:szCs w:val="21"/>
              </w:rPr>
            </w:pPr>
            <w:r>
              <w:rPr>
                <w:rFonts w:hint="eastAsia"/>
                <w:sz w:val="21"/>
                <w:szCs w:val="21"/>
              </w:rPr>
              <w:t>在建工程</w:t>
            </w:r>
          </w:p>
        </w:tc>
        <w:tc>
          <w:tcPr>
            <w:tcW w:w="1760" w:type="pct"/>
            <w:vAlign w:val="center"/>
          </w:tcPr>
          <w:p w:rsidR="004A3868" w:rsidRDefault="003F1AB5">
            <w:pPr>
              <w:pStyle w:val="afff7"/>
            </w:pPr>
            <w:r>
              <w:t>376,194,776.83</w:t>
            </w:r>
          </w:p>
        </w:tc>
        <w:tc>
          <w:tcPr>
            <w:tcW w:w="1760" w:type="pct"/>
            <w:vAlign w:val="center"/>
          </w:tcPr>
          <w:p w:rsidR="004A3868" w:rsidRDefault="003F1AB5">
            <w:pPr>
              <w:pStyle w:val="afff7"/>
            </w:pPr>
            <w:r>
              <w:t>224,737,290.89</w:t>
            </w:r>
          </w:p>
        </w:tc>
      </w:tr>
      <w:tr w:rsidR="004A3868">
        <w:trPr>
          <w:cantSplit/>
          <w:trHeight w:val="397"/>
          <w:jc w:val="center"/>
        </w:trPr>
        <w:tc>
          <w:tcPr>
            <w:tcW w:w="1760" w:type="pct"/>
          </w:tcPr>
          <w:p w:rsidR="004A3868" w:rsidRDefault="003F1AB5">
            <w:pPr>
              <w:rPr>
                <w:sz w:val="21"/>
                <w:szCs w:val="21"/>
              </w:rPr>
            </w:pPr>
            <w:r>
              <w:rPr>
                <w:rFonts w:hint="eastAsia"/>
                <w:sz w:val="21"/>
                <w:szCs w:val="21"/>
              </w:rPr>
              <w:t>工程物资</w:t>
            </w:r>
          </w:p>
        </w:tc>
        <w:tc>
          <w:tcPr>
            <w:tcW w:w="1760" w:type="pct"/>
            <w:vAlign w:val="center"/>
          </w:tcPr>
          <w:p w:rsidR="004A3868" w:rsidRDefault="003F1AB5">
            <w:pPr>
              <w:pStyle w:val="afff7"/>
            </w:pPr>
            <w:r>
              <w:t>1,612,357.92</w:t>
            </w:r>
          </w:p>
        </w:tc>
        <w:tc>
          <w:tcPr>
            <w:tcW w:w="1760" w:type="pct"/>
            <w:vAlign w:val="center"/>
          </w:tcPr>
          <w:p w:rsidR="004A3868" w:rsidRDefault="003F1AB5">
            <w:pPr>
              <w:pStyle w:val="afff7"/>
            </w:pPr>
            <w:r>
              <w:t>95,130.93</w:t>
            </w:r>
          </w:p>
        </w:tc>
      </w:tr>
      <w:tr w:rsidR="004A3868">
        <w:trPr>
          <w:cantSplit/>
          <w:trHeight w:val="397"/>
          <w:jc w:val="center"/>
        </w:trPr>
        <w:tc>
          <w:tcPr>
            <w:tcW w:w="1760" w:type="pct"/>
            <w:vAlign w:val="center"/>
          </w:tcPr>
          <w:p w:rsidR="004A3868" w:rsidRDefault="003F1AB5">
            <w:pPr>
              <w:rPr>
                <w:sz w:val="21"/>
                <w:szCs w:val="21"/>
              </w:rPr>
            </w:pPr>
            <w:r>
              <w:rPr>
                <w:rFonts w:hint="eastAsia"/>
                <w:sz w:val="21"/>
                <w:szCs w:val="21"/>
              </w:rPr>
              <w:t>合计</w:t>
            </w:r>
          </w:p>
        </w:tc>
        <w:tc>
          <w:tcPr>
            <w:tcW w:w="1760" w:type="pct"/>
            <w:vAlign w:val="center"/>
          </w:tcPr>
          <w:p w:rsidR="004A3868" w:rsidRDefault="003F1AB5">
            <w:pPr>
              <w:pStyle w:val="afff7"/>
            </w:pPr>
            <w:r>
              <w:t>377,807,134.75</w:t>
            </w:r>
          </w:p>
        </w:tc>
        <w:tc>
          <w:tcPr>
            <w:tcW w:w="1760" w:type="pct"/>
            <w:vAlign w:val="center"/>
          </w:tcPr>
          <w:p w:rsidR="004A3868" w:rsidRDefault="003F1AB5">
            <w:pPr>
              <w:pStyle w:val="afff7"/>
            </w:pPr>
            <w:r>
              <w:t>224,832,421.82</w:t>
            </w:r>
          </w:p>
        </w:tc>
      </w:tr>
    </w:tbl>
    <w:p w:rsidR="004A3868" w:rsidRDefault="003F1AB5">
      <w:pPr>
        <w:rPr>
          <w:sz w:val="21"/>
          <w:szCs w:val="21"/>
        </w:rPr>
      </w:pPr>
      <w:r>
        <w:rPr>
          <w:rFonts w:hint="eastAsia"/>
          <w:sz w:val="21"/>
          <w:szCs w:val="21"/>
        </w:rPr>
        <w:t>其他说明：</w:t>
      </w:r>
    </w:p>
    <w:bookmarkStart w:id="206" w:name="_Hlk532915382" w:displacedByCustomXml="next"/>
    <w:sdt>
      <w:sdtPr>
        <w:rPr>
          <w:sz w:val="21"/>
          <w:szCs w:val="21"/>
        </w:rPr>
        <w:alias w:val="是否适用：在建工程分类列示其他说明[双击切换]"/>
        <w:tag w:val="_GBC_97da24841dd24220bc5206311fc28039"/>
        <w:id w:val="205149420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06"/>
    <w:p w:rsidR="004A3868" w:rsidRDefault="003F1AB5">
      <w:pPr>
        <w:pStyle w:val="Style128"/>
      </w:pPr>
      <w:r>
        <w:rPr>
          <w:rFonts w:hint="eastAsia"/>
        </w:rPr>
        <w:t>在建工程</w:t>
      </w:r>
    </w:p>
    <w:p w:rsidR="004A3868" w:rsidRDefault="003F1AB5">
      <w:pPr>
        <w:pStyle w:val="Style129"/>
        <w:numPr>
          <w:ilvl w:val="0"/>
          <w:numId w:val="80"/>
        </w:numPr>
      </w:pPr>
      <w:r>
        <w:rPr>
          <w:rFonts w:hint="eastAsia"/>
        </w:rPr>
        <w:t>在建工程情况</w:t>
      </w:r>
    </w:p>
    <w:sdt>
      <w:sdtPr>
        <w:alias w:val="是否适用：在建工程情况[双击切换]"/>
        <w:tag w:val="_GBC_3d1e0f4f19d8472c9f5250b0ba025185"/>
        <w:id w:val="134898417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在建工程"/>
          <w:tag w:val="_GBC_c20f70bc9d1e4476bd65c1988111664f"/>
          <w:id w:val="-1236953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在建工程"/>
          <w:tag w:val="_GBC_8057969f154445809d2bd47ba3a4ee1d"/>
          <w:id w:val="-20872212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13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12"/>
        <w:gridCol w:w="1416"/>
        <w:gridCol w:w="850"/>
        <w:gridCol w:w="1705"/>
        <w:gridCol w:w="1558"/>
        <w:gridCol w:w="566"/>
        <w:gridCol w:w="1560"/>
      </w:tblGrid>
      <w:tr w:rsidR="004A3868">
        <w:trPr>
          <w:cantSplit/>
          <w:trHeight w:val="397"/>
          <w:jc w:val="center"/>
        </w:trPr>
        <w:sdt>
          <w:sdtPr>
            <w:rPr>
              <w:rFonts w:hint="eastAsia"/>
            </w:rPr>
            <w:tag w:val="_PLD_64c6d788b0564cf39dd83135bd94fa33"/>
            <w:id w:val="735447620"/>
            <w:lock w:val="sdtLocked"/>
          </w:sdtPr>
          <w:sdtEndPr/>
          <w:sdtContent>
            <w:tc>
              <w:tcPr>
                <w:tcW w:w="779" w:type="pct"/>
                <w:vMerge w:val="restart"/>
                <w:vAlign w:val="center"/>
              </w:tcPr>
              <w:p w:rsidR="004A3868" w:rsidRDefault="003F1AB5">
                <w:pPr>
                  <w:pStyle w:val="afffb"/>
                </w:pPr>
                <w:r>
                  <w:rPr>
                    <w:rFonts w:hint="eastAsia"/>
                  </w:rPr>
                  <w:t>项目</w:t>
                </w:r>
              </w:p>
            </w:tc>
          </w:sdtContent>
        </w:sdt>
        <w:sdt>
          <w:sdtPr>
            <w:rPr>
              <w:rFonts w:hint="eastAsia"/>
            </w:rPr>
            <w:tag w:val="_PLD_0f8aeba685c643d8bbe995cb6221e768"/>
            <w:id w:val="647173997"/>
            <w:lock w:val="sdtLocked"/>
          </w:sdtPr>
          <w:sdtEndPr/>
          <w:sdtContent>
            <w:tc>
              <w:tcPr>
                <w:tcW w:w="2190" w:type="pct"/>
                <w:gridSpan w:val="3"/>
                <w:vAlign w:val="center"/>
              </w:tcPr>
              <w:p w:rsidR="004A3868" w:rsidRDefault="003F1AB5">
                <w:pPr>
                  <w:pStyle w:val="afffb"/>
                </w:pPr>
                <w:r>
                  <w:rPr>
                    <w:rFonts w:hint="eastAsia"/>
                  </w:rPr>
                  <w:t>期末余额</w:t>
                </w:r>
              </w:p>
            </w:tc>
          </w:sdtContent>
        </w:sdt>
        <w:sdt>
          <w:sdtPr>
            <w:rPr>
              <w:rFonts w:hint="eastAsia"/>
            </w:rPr>
            <w:tag w:val="_PLD_87e3270219434e9f8494ce0079d505fd"/>
            <w:id w:val="141242227"/>
            <w:lock w:val="sdtLocked"/>
          </w:sdtPr>
          <w:sdtEndPr/>
          <w:sdtContent>
            <w:tc>
              <w:tcPr>
                <w:tcW w:w="2031" w:type="pct"/>
                <w:gridSpan w:val="3"/>
                <w:vAlign w:val="center"/>
              </w:tcPr>
              <w:p w:rsidR="004A3868" w:rsidRDefault="003F1AB5">
                <w:pPr>
                  <w:pStyle w:val="afffb"/>
                </w:pPr>
                <w:r>
                  <w:rPr>
                    <w:rFonts w:hint="eastAsia"/>
                  </w:rPr>
                  <w:t>期初余额</w:t>
                </w:r>
              </w:p>
            </w:tc>
          </w:sdtContent>
        </w:sdt>
      </w:tr>
      <w:tr w:rsidR="004A3868">
        <w:trPr>
          <w:cantSplit/>
          <w:trHeight w:val="397"/>
          <w:jc w:val="center"/>
        </w:trPr>
        <w:tc>
          <w:tcPr>
            <w:tcW w:w="779" w:type="pct"/>
            <w:vMerge/>
            <w:vAlign w:val="center"/>
          </w:tcPr>
          <w:p w:rsidR="004A3868" w:rsidRDefault="004A3868">
            <w:pPr>
              <w:pStyle w:val="afffb"/>
            </w:pPr>
          </w:p>
        </w:tc>
        <w:sdt>
          <w:sdtPr>
            <w:rPr>
              <w:rFonts w:hint="eastAsia"/>
            </w:rPr>
            <w:tag w:val="_PLD_38fd2fe6396a41ae994e421a6ad8573a"/>
            <w:id w:val="-1709873868"/>
            <w:lock w:val="sdtLocked"/>
          </w:sdtPr>
          <w:sdtEndPr/>
          <w:sdtContent>
            <w:tc>
              <w:tcPr>
                <w:tcW w:w="781" w:type="pct"/>
                <w:vAlign w:val="center"/>
              </w:tcPr>
              <w:p w:rsidR="004A3868" w:rsidRDefault="003F1AB5">
                <w:pPr>
                  <w:pStyle w:val="afffb"/>
                </w:pPr>
                <w:r>
                  <w:rPr>
                    <w:rFonts w:hint="eastAsia"/>
                  </w:rPr>
                  <w:t>账面余额</w:t>
                </w:r>
              </w:p>
            </w:tc>
          </w:sdtContent>
        </w:sdt>
        <w:sdt>
          <w:sdtPr>
            <w:rPr>
              <w:rFonts w:hint="eastAsia"/>
            </w:rPr>
            <w:tag w:val="_PLD_efb5f565ae7d43338576e6ba69d207b2"/>
            <w:id w:val="1368263478"/>
            <w:lock w:val="sdtLocked"/>
          </w:sdtPr>
          <w:sdtEndPr/>
          <w:sdtContent>
            <w:tc>
              <w:tcPr>
                <w:tcW w:w="469" w:type="pct"/>
                <w:vAlign w:val="center"/>
              </w:tcPr>
              <w:p w:rsidR="004A3868" w:rsidRDefault="003F1AB5">
                <w:pPr>
                  <w:pStyle w:val="afffb"/>
                </w:pPr>
                <w:r>
                  <w:rPr>
                    <w:rFonts w:hint="eastAsia"/>
                  </w:rPr>
                  <w:t>减值准备</w:t>
                </w:r>
              </w:p>
            </w:tc>
          </w:sdtContent>
        </w:sdt>
        <w:sdt>
          <w:sdtPr>
            <w:rPr>
              <w:rFonts w:hint="eastAsia"/>
            </w:rPr>
            <w:tag w:val="_PLD_74e2fff2faeb4e10b56ba612a8b3b4e8"/>
            <w:id w:val="1750690632"/>
            <w:lock w:val="sdtLocked"/>
          </w:sdtPr>
          <w:sdtEndPr/>
          <w:sdtContent>
            <w:tc>
              <w:tcPr>
                <w:tcW w:w="939" w:type="pct"/>
                <w:vAlign w:val="center"/>
              </w:tcPr>
              <w:p w:rsidR="004A3868" w:rsidRDefault="003F1AB5">
                <w:pPr>
                  <w:pStyle w:val="afffb"/>
                </w:pPr>
                <w:r>
                  <w:rPr>
                    <w:rFonts w:hint="eastAsia"/>
                  </w:rPr>
                  <w:t>账面价值</w:t>
                </w:r>
              </w:p>
            </w:tc>
          </w:sdtContent>
        </w:sdt>
        <w:sdt>
          <w:sdtPr>
            <w:rPr>
              <w:rFonts w:hint="eastAsia"/>
            </w:rPr>
            <w:tag w:val="_PLD_320b5c6e751a40cb8f8d6cb989669680"/>
            <w:id w:val="-77680747"/>
            <w:lock w:val="sdtLocked"/>
          </w:sdtPr>
          <w:sdtEndPr/>
          <w:sdtContent>
            <w:tc>
              <w:tcPr>
                <w:tcW w:w="859" w:type="pct"/>
                <w:vAlign w:val="center"/>
              </w:tcPr>
              <w:p w:rsidR="004A3868" w:rsidRDefault="003F1AB5">
                <w:pPr>
                  <w:pStyle w:val="afffb"/>
                </w:pPr>
                <w:r>
                  <w:rPr>
                    <w:rFonts w:hint="eastAsia"/>
                  </w:rPr>
                  <w:t>账面余额</w:t>
                </w:r>
              </w:p>
            </w:tc>
          </w:sdtContent>
        </w:sdt>
        <w:sdt>
          <w:sdtPr>
            <w:rPr>
              <w:rFonts w:hint="eastAsia"/>
            </w:rPr>
            <w:tag w:val="_PLD_887f924a18a14763b7d38b336e4eca91"/>
            <w:id w:val="1525825733"/>
            <w:lock w:val="sdtLocked"/>
          </w:sdtPr>
          <w:sdtEndPr/>
          <w:sdtContent>
            <w:tc>
              <w:tcPr>
                <w:tcW w:w="312" w:type="pct"/>
                <w:vAlign w:val="center"/>
              </w:tcPr>
              <w:p w:rsidR="004A3868" w:rsidRDefault="003F1AB5">
                <w:pPr>
                  <w:pStyle w:val="afffb"/>
                </w:pPr>
                <w:r>
                  <w:rPr>
                    <w:rFonts w:hint="eastAsia"/>
                  </w:rPr>
                  <w:t>减值准备</w:t>
                </w:r>
              </w:p>
            </w:tc>
          </w:sdtContent>
        </w:sdt>
        <w:sdt>
          <w:sdtPr>
            <w:rPr>
              <w:rFonts w:hint="eastAsia"/>
            </w:rPr>
            <w:tag w:val="_PLD_56d3163c60044998bf2f3d80a83c26a6"/>
            <w:id w:val="115262938"/>
            <w:lock w:val="sdtLocked"/>
          </w:sdtPr>
          <w:sdtEndPr/>
          <w:sdtContent>
            <w:tc>
              <w:tcPr>
                <w:tcW w:w="860" w:type="pct"/>
                <w:vAlign w:val="center"/>
              </w:tcPr>
              <w:p w:rsidR="004A3868" w:rsidRDefault="003F1AB5">
                <w:pPr>
                  <w:pStyle w:val="afffb"/>
                </w:pPr>
                <w:r>
                  <w:rPr>
                    <w:rFonts w:hint="eastAsia"/>
                  </w:rPr>
                  <w:t>账面价值</w:t>
                </w:r>
              </w:p>
            </w:tc>
          </w:sdtContent>
        </w:sdt>
      </w:tr>
      <w:tr w:rsidR="004A3868">
        <w:trPr>
          <w:cantSplit/>
          <w:trHeight w:val="397"/>
          <w:jc w:val="center"/>
        </w:trPr>
        <w:tc>
          <w:tcPr>
            <w:tcW w:w="779" w:type="pct"/>
            <w:vAlign w:val="center"/>
          </w:tcPr>
          <w:p w:rsidR="004A3868" w:rsidRDefault="003F1AB5">
            <w:pPr>
              <w:pStyle w:val="afff9"/>
              <w:rPr>
                <w:rFonts w:cstheme="minorEastAsia"/>
              </w:rPr>
            </w:pPr>
            <w:r>
              <w:rPr>
                <w:rFonts w:hint="eastAsia"/>
              </w:rPr>
              <w:t>八万吨高端磁性新材料项目</w:t>
            </w:r>
          </w:p>
        </w:tc>
        <w:tc>
          <w:tcPr>
            <w:tcW w:w="781" w:type="pct"/>
            <w:vAlign w:val="center"/>
          </w:tcPr>
          <w:p w:rsidR="004A3868" w:rsidRDefault="003F1AB5">
            <w:pPr>
              <w:pStyle w:val="afff7"/>
              <w:rPr>
                <w:rFonts w:cstheme="minorEastAsia"/>
              </w:rPr>
            </w:pPr>
            <w:r>
              <w:t>157,827,852.37</w:t>
            </w:r>
          </w:p>
        </w:tc>
        <w:tc>
          <w:tcPr>
            <w:tcW w:w="469" w:type="pct"/>
            <w:vAlign w:val="center"/>
          </w:tcPr>
          <w:p w:rsidR="004A3868" w:rsidRDefault="004A3868">
            <w:pPr>
              <w:pStyle w:val="afff7"/>
            </w:pPr>
          </w:p>
        </w:tc>
        <w:tc>
          <w:tcPr>
            <w:tcW w:w="939" w:type="pct"/>
            <w:vAlign w:val="center"/>
          </w:tcPr>
          <w:p w:rsidR="004A3868" w:rsidRDefault="003F1AB5">
            <w:pPr>
              <w:pStyle w:val="afff7"/>
              <w:rPr>
                <w:rFonts w:cstheme="minorEastAsia"/>
              </w:rPr>
            </w:pPr>
            <w:r>
              <w:t>157,827,852.37</w:t>
            </w:r>
          </w:p>
        </w:tc>
        <w:tc>
          <w:tcPr>
            <w:tcW w:w="859" w:type="pct"/>
            <w:vAlign w:val="center"/>
          </w:tcPr>
          <w:p w:rsidR="004A3868" w:rsidRDefault="003F1AB5">
            <w:pPr>
              <w:pStyle w:val="afff7"/>
              <w:rPr>
                <w:rFonts w:cstheme="minorEastAsia"/>
              </w:rPr>
            </w:pPr>
            <w:r>
              <w:t>34,071,767.10</w:t>
            </w:r>
          </w:p>
        </w:tc>
        <w:tc>
          <w:tcPr>
            <w:tcW w:w="312" w:type="pct"/>
            <w:vAlign w:val="center"/>
          </w:tcPr>
          <w:p w:rsidR="004A3868" w:rsidRDefault="004A3868">
            <w:pPr>
              <w:pStyle w:val="afff7"/>
            </w:pPr>
          </w:p>
        </w:tc>
        <w:tc>
          <w:tcPr>
            <w:tcW w:w="860" w:type="pct"/>
            <w:vAlign w:val="center"/>
          </w:tcPr>
          <w:p w:rsidR="004A3868" w:rsidRDefault="003F1AB5">
            <w:pPr>
              <w:pStyle w:val="afff7"/>
              <w:rPr>
                <w:rFonts w:cstheme="minorEastAsia"/>
              </w:rPr>
            </w:pPr>
            <w:r>
              <w:t>34,071,767.10</w:t>
            </w:r>
          </w:p>
        </w:tc>
      </w:tr>
      <w:tr w:rsidR="004A3868">
        <w:trPr>
          <w:cantSplit/>
          <w:trHeight w:val="397"/>
          <w:jc w:val="center"/>
        </w:trPr>
        <w:tc>
          <w:tcPr>
            <w:tcW w:w="779" w:type="pct"/>
            <w:vAlign w:val="center"/>
          </w:tcPr>
          <w:p w:rsidR="004A3868" w:rsidRDefault="003F1AB5">
            <w:pPr>
              <w:pStyle w:val="afff9"/>
              <w:rPr>
                <w:rFonts w:cstheme="minorEastAsia"/>
              </w:rPr>
            </w:pPr>
            <w:r>
              <w:rPr>
                <w:rFonts w:hint="eastAsia"/>
              </w:rPr>
              <w:t>智能成套电气设备产业基地建设项目</w:t>
            </w:r>
          </w:p>
        </w:tc>
        <w:tc>
          <w:tcPr>
            <w:tcW w:w="781" w:type="pct"/>
            <w:vAlign w:val="center"/>
          </w:tcPr>
          <w:p w:rsidR="004A3868" w:rsidRDefault="003F1AB5">
            <w:pPr>
              <w:pStyle w:val="afff7"/>
              <w:rPr>
                <w:rFonts w:cstheme="minorEastAsia"/>
              </w:rPr>
            </w:pPr>
            <w:r>
              <w:t>97,381,277.58</w:t>
            </w:r>
          </w:p>
        </w:tc>
        <w:tc>
          <w:tcPr>
            <w:tcW w:w="469" w:type="pct"/>
            <w:vAlign w:val="center"/>
          </w:tcPr>
          <w:p w:rsidR="004A3868" w:rsidRDefault="004A3868">
            <w:pPr>
              <w:pStyle w:val="afff7"/>
            </w:pPr>
          </w:p>
        </w:tc>
        <w:tc>
          <w:tcPr>
            <w:tcW w:w="939" w:type="pct"/>
            <w:vAlign w:val="center"/>
          </w:tcPr>
          <w:p w:rsidR="004A3868" w:rsidRDefault="003F1AB5">
            <w:pPr>
              <w:pStyle w:val="afff7"/>
              <w:rPr>
                <w:rFonts w:cstheme="minorEastAsia"/>
              </w:rPr>
            </w:pPr>
            <w:r>
              <w:t>97,381,277.58</w:t>
            </w:r>
          </w:p>
        </w:tc>
        <w:tc>
          <w:tcPr>
            <w:tcW w:w="859" w:type="pct"/>
            <w:vAlign w:val="center"/>
          </w:tcPr>
          <w:p w:rsidR="004A3868" w:rsidRDefault="003F1AB5">
            <w:pPr>
              <w:pStyle w:val="afff7"/>
              <w:rPr>
                <w:rFonts w:cstheme="minorEastAsia"/>
              </w:rPr>
            </w:pPr>
            <w:r>
              <w:t>69,609,728.97</w:t>
            </w:r>
          </w:p>
        </w:tc>
        <w:tc>
          <w:tcPr>
            <w:tcW w:w="312" w:type="pct"/>
            <w:vAlign w:val="center"/>
          </w:tcPr>
          <w:p w:rsidR="004A3868" w:rsidRDefault="004A3868">
            <w:pPr>
              <w:pStyle w:val="afff7"/>
            </w:pPr>
          </w:p>
        </w:tc>
        <w:tc>
          <w:tcPr>
            <w:tcW w:w="860" w:type="pct"/>
            <w:vAlign w:val="center"/>
          </w:tcPr>
          <w:p w:rsidR="004A3868" w:rsidRDefault="003F1AB5">
            <w:pPr>
              <w:pStyle w:val="afff7"/>
              <w:rPr>
                <w:rFonts w:cstheme="minorEastAsia"/>
              </w:rPr>
            </w:pPr>
            <w:r>
              <w:t>69,609,728.97</w:t>
            </w:r>
          </w:p>
        </w:tc>
      </w:tr>
      <w:tr w:rsidR="004A3868">
        <w:trPr>
          <w:cantSplit/>
          <w:trHeight w:val="397"/>
          <w:jc w:val="center"/>
        </w:trPr>
        <w:tc>
          <w:tcPr>
            <w:tcW w:w="779" w:type="pct"/>
            <w:vAlign w:val="center"/>
          </w:tcPr>
          <w:p w:rsidR="004A3868" w:rsidRDefault="003F1AB5">
            <w:pPr>
              <w:pStyle w:val="afff9"/>
              <w:rPr>
                <w:rFonts w:cstheme="minorEastAsia"/>
              </w:rPr>
            </w:pPr>
            <w:r>
              <w:rPr>
                <w:rFonts w:hint="eastAsia"/>
              </w:rPr>
              <w:t>低铁损高磁感硅钢铁心智能制造项目</w:t>
            </w:r>
          </w:p>
        </w:tc>
        <w:tc>
          <w:tcPr>
            <w:tcW w:w="781" w:type="pct"/>
            <w:vAlign w:val="center"/>
          </w:tcPr>
          <w:p w:rsidR="004A3868" w:rsidRDefault="003F1AB5">
            <w:pPr>
              <w:pStyle w:val="afff7"/>
              <w:rPr>
                <w:rFonts w:cstheme="minorEastAsia"/>
              </w:rPr>
            </w:pPr>
            <w:r>
              <w:t>48,282,967.82</w:t>
            </w:r>
          </w:p>
        </w:tc>
        <w:tc>
          <w:tcPr>
            <w:tcW w:w="469" w:type="pct"/>
            <w:vAlign w:val="center"/>
          </w:tcPr>
          <w:p w:rsidR="004A3868" w:rsidRDefault="004A3868">
            <w:pPr>
              <w:pStyle w:val="afff7"/>
            </w:pPr>
          </w:p>
        </w:tc>
        <w:tc>
          <w:tcPr>
            <w:tcW w:w="939" w:type="pct"/>
            <w:vAlign w:val="center"/>
          </w:tcPr>
          <w:p w:rsidR="004A3868" w:rsidRDefault="003F1AB5">
            <w:pPr>
              <w:pStyle w:val="afff7"/>
              <w:rPr>
                <w:rFonts w:cstheme="minorEastAsia"/>
              </w:rPr>
            </w:pPr>
            <w:r>
              <w:t>48,282,967.82</w:t>
            </w:r>
          </w:p>
        </w:tc>
        <w:tc>
          <w:tcPr>
            <w:tcW w:w="859" w:type="pct"/>
            <w:vAlign w:val="center"/>
          </w:tcPr>
          <w:p w:rsidR="004A3868" w:rsidRDefault="003F1AB5">
            <w:pPr>
              <w:pStyle w:val="afff7"/>
              <w:rPr>
                <w:rFonts w:cstheme="minorEastAsia"/>
              </w:rPr>
            </w:pPr>
            <w:r>
              <w:t>106,244,787.48</w:t>
            </w:r>
          </w:p>
        </w:tc>
        <w:tc>
          <w:tcPr>
            <w:tcW w:w="312" w:type="pct"/>
            <w:vAlign w:val="center"/>
          </w:tcPr>
          <w:p w:rsidR="004A3868" w:rsidRDefault="004A3868">
            <w:pPr>
              <w:pStyle w:val="afff7"/>
            </w:pPr>
          </w:p>
        </w:tc>
        <w:tc>
          <w:tcPr>
            <w:tcW w:w="860" w:type="pct"/>
            <w:vAlign w:val="center"/>
          </w:tcPr>
          <w:p w:rsidR="004A3868" w:rsidRDefault="003F1AB5">
            <w:pPr>
              <w:pStyle w:val="afff7"/>
              <w:rPr>
                <w:rFonts w:cstheme="minorEastAsia"/>
              </w:rPr>
            </w:pPr>
            <w:r>
              <w:t>106,244,787.48</w:t>
            </w:r>
          </w:p>
        </w:tc>
      </w:tr>
      <w:tr w:rsidR="004A3868">
        <w:trPr>
          <w:cantSplit/>
          <w:trHeight w:val="397"/>
          <w:jc w:val="center"/>
        </w:trPr>
        <w:tc>
          <w:tcPr>
            <w:tcW w:w="779" w:type="pct"/>
            <w:vAlign w:val="center"/>
          </w:tcPr>
          <w:p w:rsidR="004A3868" w:rsidRDefault="003F1AB5">
            <w:pPr>
              <w:pStyle w:val="afff9"/>
              <w:rPr>
                <w:rFonts w:cstheme="minorEastAsia"/>
              </w:rPr>
            </w:pPr>
            <w:r>
              <w:rPr>
                <w:rFonts w:hint="eastAsia"/>
              </w:rPr>
              <w:t>智控设备及金属制品智能工厂建设项目（一期）</w:t>
            </w:r>
          </w:p>
        </w:tc>
        <w:tc>
          <w:tcPr>
            <w:tcW w:w="781" w:type="pct"/>
            <w:vAlign w:val="center"/>
          </w:tcPr>
          <w:p w:rsidR="004A3868" w:rsidRDefault="003F1AB5">
            <w:pPr>
              <w:pStyle w:val="afff7"/>
              <w:rPr>
                <w:rFonts w:cstheme="minorEastAsia"/>
              </w:rPr>
            </w:pPr>
            <w:r>
              <w:t>42,469,536.11</w:t>
            </w:r>
          </w:p>
        </w:tc>
        <w:tc>
          <w:tcPr>
            <w:tcW w:w="469" w:type="pct"/>
            <w:vAlign w:val="center"/>
          </w:tcPr>
          <w:p w:rsidR="004A3868" w:rsidRDefault="004A3868">
            <w:pPr>
              <w:pStyle w:val="afff7"/>
            </w:pPr>
          </w:p>
        </w:tc>
        <w:tc>
          <w:tcPr>
            <w:tcW w:w="939" w:type="pct"/>
            <w:vAlign w:val="center"/>
          </w:tcPr>
          <w:p w:rsidR="004A3868" w:rsidRDefault="003F1AB5">
            <w:pPr>
              <w:pStyle w:val="afff7"/>
              <w:rPr>
                <w:rFonts w:cstheme="minorEastAsia"/>
              </w:rPr>
            </w:pPr>
            <w:r>
              <w:t>42,469,536.11</w:t>
            </w:r>
          </w:p>
        </w:tc>
        <w:tc>
          <w:tcPr>
            <w:tcW w:w="859" w:type="pct"/>
            <w:vAlign w:val="center"/>
          </w:tcPr>
          <w:p w:rsidR="004A3868" w:rsidRDefault="003F1AB5">
            <w:pPr>
              <w:pStyle w:val="afff7"/>
              <w:rPr>
                <w:rFonts w:cstheme="minorEastAsia"/>
              </w:rPr>
            </w:pPr>
            <w:r>
              <w:t xml:space="preserve">  </w:t>
            </w:r>
          </w:p>
        </w:tc>
        <w:tc>
          <w:tcPr>
            <w:tcW w:w="312" w:type="pct"/>
            <w:vAlign w:val="center"/>
          </w:tcPr>
          <w:p w:rsidR="004A3868" w:rsidRDefault="004A3868">
            <w:pPr>
              <w:pStyle w:val="afff7"/>
            </w:pPr>
          </w:p>
        </w:tc>
        <w:tc>
          <w:tcPr>
            <w:tcW w:w="860" w:type="pct"/>
            <w:vAlign w:val="center"/>
          </w:tcPr>
          <w:p w:rsidR="004A3868" w:rsidRDefault="003F1AB5">
            <w:pPr>
              <w:pStyle w:val="afff7"/>
              <w:rPr>
                <w:rFonts w:cstheme="minorEastAsia"/>
              </w:rPr>
            </w:pPr>
            <w:r>
              <w:t xml:space="preserve">  </w:t>
            </w:r>
          </w:p>
        </w:tc>
      </w:tr>
      <w:tr w:rsidR="004A3868">
        <w:trPr>
          <w:cantSplit/>
          <w:trHeight w:val="397"/>
          <w:jc w:val="center"/>
        </w:trPr>
        <w:tc>
          <w:tcPr>
            <w:tcW w:w="779" w:type="pct"/>
            <w:vAlign w:val="center"/>
          </w:tcPr>
          <w:p w:rsidR="004A3868" w:rsidRDefault="003F1AB5">
            <w:pPr>
              <w:pStyle w:val="afff9"/>
              <w:rPr>
                <w:rFonts w:cstheme="minorEastAsia"/>
              </w:rPr>
            </w:pPr>
            <w:r>
              <w:t>110</w:t>
            </w:r>
            <w:r>
              <w:rPr>
                <w:rFonts w:hint="eastAsia"/>
              </w:rPr>
              <w:t>kV</w:t>
            </w:r>
            <w:r>
              <w:t>及以下节能型变压器智能化工厂技改项目</w:t>
            </w:r>
          </w:p>
        </w:tc>
        <w:tc>
          <w:tcPr>
            <w:tcW w:w="781" w:type="pct"/>
            <w:vAlign w:val="center"/>
          </w:tcPr>
          <w:p w:rsidR="004A3868" w:rsidRDefault="003F1AB5">
            <w:pPr>
              <w:pStyle w:val="afff7"/>
              <w:rPr>
                <w:rFonts w:cstheme="minorEastAsia"/>
              </w:rPr>
            </w:pPr>
            <w:r>
              <w:t>17,950,569.76</w:t>
            </w:r>
          </w:p>
        </w:tc>
        <w:tc>
          <w:tcPr>
            <w:tcW w:w="469" w:type="pct"/>
            <w:vAlign w:val="center"/>
          </w:tcPr>
          <w:p w:rsidR="004A3868" w:rsidRDefault="004A3868">
            <w:pPr>
              <w:pStyle w:val="afff7"/>
            </w:pPr>
          </w:p>
        </w:tc>
        <w:tc>
          <w:tcPr>
            <w:tcW w:w="939" w:type="pct"/>
            <w:vAlign w:val="center"/>
          </w:tcPr>
          <w:p w:rsidR="004A3868" w:rsidRDefault="003F1AB5">
            <w:pPr>
              <w:pStyle w:val="afff7"/>
              <w:rPr>
                <w:rFonts w:cstheme="minorEastAsia"/>
              </w:rPr>
            </w:pPr>
            <w:r>
              <w:t>17,950,569.76</w:t>
            </w:r>
          </w:p>
        </w:tc>
        <w:tc>
          <w:tcPr>
            <w:tcW w:w="859" w:type="pct"/>
            <w:vAlign w:val="center"/>
          </w:tcPr>
          <w:p w:rsidR="004A3868" w:rsidRDefault="003F1AB5">
            <w:pPr>
              <w:pStyle w:val="afff7"/>
              <w:rPr>
                <w:rFonts w:cstheme="minorEastAsia"/>
              </w:rPr>
            </w:pPr>
            <w:r>
              <w:t>1,879,697.35</w:t>
            </w:r>
          </w:p>
        </w:tc>
        <w:tc>
          <w:tcPr>
            <w:tcW w:w="312" w:type="pct"/>
            <w:vAlign w:val="center"/>
          </w:tcPr>
          <w:p w:rsidR="004A3868" w:rsidRDefault="004A3868">
            <w:pPr>
              <w:pStyle w:val="afff7"/>
            </w:pPr>
          </w:p>
        </w:tc>
        <w:tc>
          <w:tcPr>
            <w:tcW w:w="860" w:type="pct"/>
            <w:vAlign w:val="center"/>
          </w:tcPr>
          <w:p w:rsidR="004A3868" w:rsidRDefault="003F1AB5">
            <w:pPr>
              <w:pStyle w:val="afff7"/>
              <w:rPr>
                <w:rFonts w:cstheme="minorEastAsia"/>
              </w:rPr>
            </w:pPr>
            <w:r>
              <w:t>1,879,697.35</w:t>
            </w:r>
          </w:p>
        </w:tc>
      </w:tr>
      <w:tr w:rsidR="004A3868">
        <w:trPr>
          <w:cantSplit/>
          <w:trHeight w:val="397"/>
          <w:jc w:val="center"/>
        </w:trPr>
        <w:tc>
          <w:tcPr>
            <w:tcW w:w="779" w:type="pct"/>
            <w:vAlign w:val="center"/>
          </w:tcPr>
          <w:p w:rsidR="004A3868" w:rsidRDefault="003F1AB5">
            <w:pPr>
              <w:pStyle w:val="afff9"/>
              <w:rPr>
                <w:rFonts w:cstheme="minorEastAsia"/>
              </w:rPr>
            </w:pPr>
            <w:r>
              <w:rPr>
                <w:rFonts w:hint="eastAsia"/>
              </w:rPr>
              <w:t>研发中心及信息化建设项目</w:t>
            </w:r>
          </w:p>
        </w:tc>
        <w:tc>
          <w:tcPr>
            <w:tcW w:w="781" w:type="pct"/>
            <w:vAlign w:val="center"/>
          </w:tcPr>
          <w:p w:rsidR="004A3868" w:rsidRDefault="003F1AB5">
            <w:pPr>
              <w:pStyle w:val="afff7"/>
              <w:rPr>
                <w:rFonts w:cstheme="minorEastAsia"/>
              </w:rPr>
            </w:pPr>
            <w:r>
              <w:t>5,865,013.51</w:t>
            </w:r>
          </w:p>
        </w:tc>
        <w:tc>
          <w:tcPr>
            <w:tcW w:w="469" w:type="pct"/>
            <w:vAlign w:val="center"/>
          </w:tcPr>
          <w:p w:rsidR="004A3868" w:rsidRDefault="004A3868">
            <w:pPr>
              <w:pStyle w:val="afff7"/>
            </w:pPr>
          </w:p>
        </w:tc>
        <w:tc>
          <w:tcPr>
            <w:tcW w:w="939" w:type="pct"/>
            <w:vAlign w:val="center"/>
          </w:tcPr>
          <w:p w:rsidR="004A3868" w:rsidRDefault="003F1AB5">
            <w:pPr>
              <w:pStyle w:val="afff7"/>
              <w:rPr>
                <w:rFonts w:cstheme="minorEastAsia"/>
              </w:rPr>
            </w:pPr>
            <w:r>
              <w:t>5,865,013.51</w:t>
            </w:r>
          </w:p>
        </w:tc>
        <w:tc>
          <w:tcPr>
            <w:tcW w:w="859" w:type="pct"/>
            <w:vAlign w:val="center"/>
          </w:tcPr>
          <w:p w:rsidR="004A3868" w:rsidRDefault="003F1AB5">
            <w:pPr>
              <w:pStyle w:val="afff7"/>
              <w:rPr>
                <w:rFonts w:cstheme="minorEastAsia"/>
              </w:rPr>
            </w:pPr>
            <w:r>
              <w:t>12,868,050.28</w:t>
            </w:r>
          </w:p>
        </w:tc>
        <w:tc>
          <w:tcPr>
            <w:tcW w:w="312" w:type="pct"/>
            <w:vAlign w:val="center"/>
          </w:tcPr>
          <w:p w:rsidR="004A3868" w:rsidRDefault="004A3868">
            <w:pPr>
              <w:pStyle w:val="afff7"/>
            </w:pPr>
          </w:p>
        </w:tc>
        <w:tc>
          <w:tcPr>
            <w:tcW w:w="860" w:type="pct"/>
            <w:vAlign w:val="center"/>
          </w:tcPr>
          <w:p w:rsidR="004A3868" w:rsidRDefault="003F1AB5">
            <w:pPr>
              <w:pStyle w:val="afff7"/>
              <w:rPr>
                <w:rFonts w:cstheme="minorEastAsia"/>
              </w:rPr>
            </w:pPr>
            <w:r>
              <w:t>12,868,050.28</w:t>
            </w:r>
          </w:p>
        </w:tc>
      </w:tr>
      <w:tr w:rsidR="004A3868">
        <w:trPr>
          <w:cantSplit/>
          <w:trHeight w:val="397"/>
          <w:jc w:val="center"/>
        </w:trPr>
        <w:tc>
          <w:tcPr>
            <w:tcW w:w="779" w:type="pct"/>
            <w:vAlign w:val="center"/>
          </w:tcPr>
          <w:p w:rsidR="004A3868" w:rsidRDefault="003F1AB5">
            <w:pPr>
              <w:pStyle w:val="afff9"/>
              <w:rPr>
                <w:rFonts w:cstheme="minorEastAsia"/>
              </w:rPr>
            </w:pPr>
            <w:r>
              <w:rPr>
                <w:rFonts w:hint="eastAsia"/>
              </w:rPr>
              <w:t>其他项目</w:t>
            </w:r>
          </w:p>
        </w:tc>
        <w:tc>
          <w:tcPr>
            <w:tcW w:w="781" w:type="pct"/>
            <w:vAlign w:val="center"/>
          </w:tcPr>
          <w:p w:rsidR="004A3868" w:rsidRDefault="003F1AB5">
            <w:pPr>
              <w:pStyle w:val="afff7"/>
              <w:rPr>
                <w:rFonts w:cstheme="minorEastAsia"/>
              </w:rPr>
            </w:pPr>
            <w:r>
              <w:t>6,417,559.68</w:t>
            </w:r>
          </w:p>
        </w:tc>
        <w:tc>
          <w:tcPr>
            <w:tcW w:w="469" w:type="pct"/>
            <w:vAlign w:val="center"/>
          </w:tcPr>
          <w:p w:rsidR="004A3868" w:rsidRDefault="004A3868">
            <w:pPr>
              <w:pStyle w:val="afff7"/>
            </w:pPr>
          </w:p>
        </w:tc>
        <w:tc>
          <w:tcPr>
            <w:tcW w:w="939" w:type="pct"/>
            <w:vAlign w:val="center"/>
          </w:tcPr>
          <w:p w:rsidR="004A3868" w:rsidRDefault="003F1AB5">
            <w:pPr>
              <w:pStyle w:val="afff7"/>
              <w:rPr>
                <w:rFonts w:cstheme="minorEastAsia"/>
              </w:rPr>
            </w:pPr>
            <w:r>
              <w:t>6,417,559.68</w:t>
            </w:r>
          </w:p>
        </w:tc>
        <w:tc>
          <w:tcPr>
            <w:tcW w:w="859" w:type="pct"/>
            <w:vAlign w:val="center"/>
          </w:tcPr>
          <w:p w:rsidR="004A3868" w:rsidRDefault="003F1AB5">
            <w:pPr>
              <w:pStyle w:val="afff7"/>
              <w:rPr>
                <w:rFonts w:cstheme="minorEastAsia"/>
              </w:rPr>
            </w:pPr>
            <w:r>
              <w:t>63,259.71</w:t>
            </w:r>
          </w:p>
        </w:tc>
        <w:tc>
          <w:tcPr>
            <w:tcW w:w="312" w:type="pct"/>
            <w:vAlign w:val="center"/>
          </w:tcPr>
          <w:p w:rsidR="004A3868" w:rsidRDefault="004A3868">
            <w:pPr>
              <w:pStyle w:val="afff7"/>
            </w:pPr>
          </w:p>
        </w:tc>
        <w:tc>
          <w:tcPr>
            <w:tcW w:w="860" w:type="pct"/>
            <w:vAlign w:val="center"/>
          </w:tcPr>
          <w:p w:rsidR="004A3868" w:rsidRDefault="003F1AB5">
            <w:pPr>
              <w:pStyle w:val="afff7"/>
              <w:rPr>
                <w:rFonts w:cstheme="minorEastAsia"/>
              </w:rPr>
            </w:pPr>
            <w:r>
              <w:t>63,259.71</w:t>
            </w:r>
          </w:p>
        </w:tc>
      </w:tr>
      <w:tr w:rsidR="004A3868">
        <w:trPr>
          <w:cantSplit/>
          <w:trHeight w:val="397"/>
          <w:jc w:val="center"/>
        </w:trPr>
        <w:tc>
          <w:tcPr>
            <w:tcW w:w="779" w:type="pct"/>
            <w:vAlign w:val="center"/>
          </w:tcPr>
          <w:p w:rsidR="004A3868" w:rsidRDefault="003F1AB5">
            <w:pPr>
              <w:pStyle w:val="afff9"/>
            </w:pPr>
            <w:r>
              <w:rPr>
                <w:rFonts w:hint="eastAsia"/>
              </w:rPr>
              <w:lastRenderedPageBreak/>
              <w:t>合计</w:t>
            </w:r>
          </w:p>
        </w:tc>
        <w:tc>
          <w:tcPr>
            <w:tcW w:w="781" w:type="pct"/>
            <w:vAlign w:val="center"/>
          </w:tcPr>
          <w:p w:rsidR="004A3868" w:rsidRDefault="003F1AB5">
            <w:pPr>
              <w:pStyle w:val="afff7"/>
              <w:rPr>
                <w:rFonts w:cstheme="minorEastAsia"/>
              </w:rPr>
            </w:pPr>
            <w:r>
              <w:t>376,194,776.83</w:t>
            </w:r>
          </w:p>
        </w:tc>
        <w:tc>
          <w:tcPr>
            <w:tcW w:w="469" w:type="pct"/>
            <w:vAlign w:val="center"/>
          </w:tcPr>
          <w:p w:rsidR="004A3868" w:rsidRDefault="004A3868">
            <w:pPr>
              <w:pStyle w:val="afff7"/>
            </w:pPr>
          </w:p>
        </w:tc>
        <w:tc>
          <w:tcPr>
            <w:tcW w:w="939" w:type="pct"/>
            <w:vAlign w:val="center"/>
          </w:tcPr>
          <w:p w:rsidR="004A3868" w:rsidRDefault="003F1AB5">
            <w:pPr>
              <w:pStyle w:val="afff7"/>
              <w:rPr>
                <w:rFonts w:cstheme="minorEastAsia"/>
              </w:rPr>
            </w:pPr>
            <w:r>
              <w:t>376,194,776.83</w:t>
            </w:r>
          </w:p>
        </w:tc>
        <w:tc>
          <w:tcPr>
            <w:tcW w:w="859" w:type="pct"/>
            <w:vAlign w:val="center"/>
          </w:tcPr>
          <w:p w:rsidR="004A3868" w:rsidRDefault="003F1AB5">
            <w:pPr>
              <w:pStyle w:val="afff7"/>
              <w:rPr>
                <w:rFonts w:cstheme="minorEastAsia"/>
              </w:rPr>
            </w:pPr>
            <w:r>
              <w:t>224,737,290.89</w:t>
            </w:r>
          </w:p>
        </w:tc>
        <w:tc>
          <w:tcPr>
            <w:tcW w:w="312" w:type="pct"/>
            <w:vAlign w:val="center"/>
          </w:tcPr>
          <w:p w:rsidR="004A3868" w:rsidRDefault="004A3868">
            <w:pPr>
              <w:pStyle w:val="afff7"/>
            </w:pPr>
          </w:p>
        </w:tc>
        <w:tc>
          <w:tcPr>
            <w:tcW w:w="860" w:type="pct"/>
            <w:vAlign w:val="center"/>
          </w:tcPr>
          <w:p w:rsidR="004A3868" w:rsidRDefault="003F1AB5">
            <w:pPr>
              <w:pStyle w:val="afff7"/>
              <w:rPr>
                <w:rFonts w:cstheme="minorEastAsia"/>
              </w:rPr>
            </w:pPr>
            <w:r>
              <w:t>224,737,290.89</w:t>
            </w:r>
          </w:p>
        </w:tc>
      </w:tr>
    </w:tbl>
    <w:p w:rsidR="004A3868" w:rsidRDefault="004A3868">
      <w:pPr>
        <w:rPr>
          <w:sz w:val="21"/>
          <w:szCs w:val="21"/>
        </w:rPr>
      </w:pPr>
    </w:p>
    <w:p w:rsidR="004A3868" w:rsidRDefault="003F1AB5">
      <w:pPr>
        <w:pStyle w:val="Style129"/>
        <w:numPr>
          <w:ilvl w:val="0"/>
          <w:numId w:val="80"/>
        </w:numPr>
      </w:pPr>
      <w:r>
        <w:rPr>
          <w:rFonts w:hint="eastAsia"/>
        </w:rPr>
        <w:t>重要在建工程项目本期变动情况</w:t>
      </w:r>
    </w:p>
    <w:sdt>
      <w:sdtPr>
        <w:alias w:val="是否适用：重要在建工程项目本期变动情况[双击切换]"/>
        <w:tag w:val="_GBC_964f4529e8234c358a8541e8c4754ec8"/>
        <w:id w:val="-174163794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财务附注：在建工程项目变动情况"/>
          <w:tag w:val="_GBC_9057dff5be8544c398fdbd55cff334f7"/>
          <w:id w:val="13041972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在建工程项目变动情况"/>
          <w:tag w:val="_GBC_110e0fe0dd4f471bae83a62e58e88d74"/>
          <w:id w:val="20301412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485"/>
        <w:gridCol w:w="976"/>
        <w:gridCol w:w="976"/>
        <w:gridCol w:w="976"/>
        <w:gridCol w:w="976"/>
        <w:gridCol w:w="325"/>
        <w:gridCol w:w="976"/>
        <w:gridCol w:w="379"/>
        <w:gridCol w:w="325"/>
        <w:gridCol w:w="866"/>
        <w:gridCol w:w="866"/>
        <w:gridCol w:w="379"/>
        <w:gridCol w:w="318"/>
      </w:tblGrid>
      <w:tr w:rsidR="004A3868">
        <w:trPr>
          <w:cantSplit/>
          <w:trHeight w:val="397"/>
          <w:jc w:val="center"/>
        </w:trPr>
        <w:sdt>
          <w:sdtPr>
            <w:tag w:val="_PLD_0072ffbc51294cefbe17dde844d0e5ed"/>
            <w:id w:val="2016340301"/>
            <w:lock w:val="sdtLocked"/>
          </w:sdtPr>
          <w:sdtEndPr/>
          <w:sdtContent>
            <w:tc>
              <w:tcPr>
                <w:tcW w:w="275" w:type="pct"/>
                <w:shd w:val="clear" w:color="auto" w:fill="auto"/>
                <w:vAlign w:val="center"/>
              </w:tcPr>
              <w:p w:rsidR="004A3868" w:rsidRDefault="003F1AB5">
                <w:pPr>
                  <w:pStyle w:val="afffb"/>
                </w:pPr>
                <w:r>
                  <w:rPr>
                    <w:rFonts w:hint="eastAsia"/>
                  </w:rPr>
                  <w:t>项目名称</w:t>
                </w:r>
              </w:p>
            </w:tc>
          </w:sdtContent>
        </w:sdt>
        <w:sdt>
          <w:sdtPr>
            <w:tag w:val="_PLD_6349ea6a696f4d27b00b071275a38ea5"/>
            <w:id w:val="-1648119267"/>
            <w:lock w:val="sdtLocked"/>
          </w:sdtPr>
          <w:sdtEndPr/>
          <w:sdtContent>
            <w:tc>
              <w:tcPr>
                <w:tcW w:w="553" w:type="pct"/>
                <w:shd w:val="clear" w:color="auto" w:fill="auto"/>
                <w:vAlign w:val="center"/>
              </w:tcPr>
              <w:p w:rsidR="004A3868" w:rsidRDefault="003F1AB5">
                <w:pPr>
                  <w:pStyle w:val="afffb"/>
                </w:pPr>
                <w:r>
                  <w:rPr>
                    <w:rFonts w:hint="eastAsia"/>
                  </w:rPr>
                  <w:t>预算数</w:t>
                </w:r>
              </w:p>
            </w:tc>
          </w:sdtContent>
        </w:sdt>
        <w:sdt>
          <w:sdtPr>
            <w:tag w:val="_PLD_392420deb7e94f0a8026947a325da4f4"/>
            <w:id w:val="1571237270"/>
            <w:lock w:val="sdtLocked"/>
          </w:sdtPr>
          <w:sdtEndPr/>
          <w:sdtContent>
            <w:tc>
              <w:tcPr>
                <w:tcW w:w="553" w:type="pct"/>
                <w:shd w:val="clear" w:color="auto" w:fill="auto"/>
                <w:vAlign w:val="center"/>
              </w:tcPr>
              <w:p w:rsidR="004A3868" w:rsidRDefault="003F1AB5">
                <w:pPr>
                  <w:pStyle w:val="afffb"/>
                </w:pPr>
                <w:r>
                  <w:rPr>
                    <w:rFonts w:hint="eastAsia"/>
                  </w:rPr>
                  <w:t>期初</w:t>
                </w:r>
              </w:p>
              <w:p w:rsidR="004A3868" w:rsidRDefault="003F1AB5">
                <w:pPr>
                  <w:pStyle w:val="afffb"/>
                </w:pPr>
                <w:r>
                  <w:rPr>
                    <w:rFonts w:hint="eastAsia"/>
                  </w:rPr>
                  <w:t>余额</w:t>
                </w:r>
              </w:p>
            </w:tc>
          </w:sdtContent>
        </w:sdt>
        <w:sdt>
          <w:sdtPr>
            <w:tag w:val="_PLD_de4faed3465b4da6b8ac35d7e677431c"/>
            <w:id w:val="902796762"/>
            <w:lock w:val="sdtLocked"/>
          </w:sdtPr>
          <w:sdtEndPr/>
          <w:sdtContent>
            <w:tc>
              <w:tcPr>
                <w:tcW w:w="553" w:type="pct"/>
                <w:shd w:val="clear" w:color="auto" w:fill="auto"/>
                <w:vAlign w:val="center"/>
              </w:tcPr>
              <w:p w:rsidR="004A3868" w:rsidRDefault="003F1AB5">
                <w:pPr>
                  <w:pStyle w:val="afffb"/>
                </w:pPr>
                <w:r>
                  <w:rPr>
                    <w:rFonts w:hint="eastAsia"/>
                  </w:rPr>
                  <w:t>本期增加金额</w:t>
                </w:r>
              </w:p>
            </w:tc>
          </w:sdtContent>
        </w:sdt>
        <w:sdt>
          <w:sdtPr>
            <w:tag w:val="_PLD_51ce4224316b4f4b99a8fb0c8e4500a5"/>
            <w:id w:val="865636037"/>
            <w:lock w:val="sdtLocked"/>
          </w:sdtPr>
          <w:sdtEndPr/>
          <w:sdtContent>
            <w:tc>
              <w:tcPr>
                <w:tcW w:w="553" w:type="pct"/>
                <w:shd w:val="clear" w:color="auto" w:fill="auto"/>
                <w:vAlign w:val="center"/>
              </w:tcPr>
              <w:p w:rsidR="004A3868" w:rsidRDefault="003F1AB5">
                <w:pPr>
                  <w:pStyle w:val="afffb"/>
                </w:pPr>
                <w:r>
                  <w:rPr>
                    <w:rFonts w:hint="eastAsia"/>
                  </w:rPr>
                  <w:t>本期转入固定资产金额</w:t>
                </w:r>
              </w:p>
            </w:tc>
          </w:sdtContent>
        </w:sdt>
        <w:sdt>
          <w:sdtPr>
            <w:tag w:val="_PLD_d80ffbe10b944f57a31723041ffbcbdf"/>
            <w:id w:val="1978105242"/>
            <w:lock w:val="sdtLocked"/>
          </w:sdtPr>
          <w:sdtEndPr/>
          <w:sdtContent>
            <w:tc>
              <w:tcPr>
                <w:tcW w:w="184" w:type="pct"/>
                <w:shd w:val="clear" w:color="auto" w:fill="auto"/>
                <w:vAlign w:val="center"/>
              </w:tcPr>
              <w:p w:rsidR="004A3868" w:rsidRDefault="003F1AB5">
                <w:pPr>
                  <w:pStyle w:val="afffb"/>
                </w:pPr>
                <w:r>
                  <w:rPr>
                    <w:rFonts w:hint="eastAsia"/>
                  </w:rPr>
                  <w:t>本期其他减少金额</w:t>
                </w:r>
              </w:p>
            </w:tc>
          </w:sdtContent>
        </w:sdt>
        <w:sdt>
          <w:sdtPr>
            <w:tag w:val="_PLD_c8b617c64ad64a03834695d9bc0b8d2f"/>
            <w:id w:val="-765076887"/>
            <w:lock w:val="sdtLocked"/>
          </w:sdtPr>
          <w:sdtEndPr/>
          <w:sdtContent>
            <w:tc>
              <w:tcPr>
                <w:tcW w:w="553" w:type="pct"/>
                <w:vAlign w:val="center"/>
              </w:tcPr>
              <w:p w:rsidR="004A3868" w:rsidRDefault="003F1AB5">
                <w:pPr>
                  <w:pStyle w:val="afffb"/>
                </w:pPr>
                <w:r>
                  <w:rPr>
                    <w:rFonts w:hint="eastAsia"/>
                  </w:rPr>
                  <w:t>期末</w:t>
                </w:r>
              </w:p>
              <w:p w:rsidR="004A3868" w:rsidRDefault="003F1AB5">
                <w:pPr>
                  <w:pStyle w:val="afffb"/>
                </w:pPr>
                <w:r>
                  <w:rPr>
                    <w:rFonts w:hint="eastAsia"/>
                  </w:rPr>
                  <w:t>余额</w:t>
                </w:r>
              </w:p>
            </w:tc>
          </w:sdtContent>
        </w:sdt>
        <w:sdt>
          <w:sdtPr>
            <w:tag w:val="_PLD_738551d97ef741f093f852402c423e47"/>
            <w:id w:val="1162270826"/>
            <w:lock w:val="sdtLocked"/>
          </w:sdtPr>
          <w:sdtEndPr/>
          <w:sdtContent>
            <w:tc>
              <w:tcPr>
                <w:tcW w:w="215" w:type="pct"/>
                <w:shd w:val="clear" w:color="auto" w:fill="auto"/>
                <w:vAlign w:val="center"/>
              </w:tcPr>
              <w:p w:rsidR="004A3868" w:rsidRDefault="003F1AB5">
                <w:pPr>
                  <w:pStyle w:val="afffb"/>
                </w:pPr>
                <w:r>
                  <w:rPr>
                    <w:rFonts w:hint="eastAsia"/>
                  </w:rPr>
                  <w:t>工程累计投入占预算比例(%)</w:t>
                </w:r>
              </w:p>
            </w:tc>
          </w:sdtContent>
        </w:sdt>
        <w:sdt>
          <w:sdtPr>
            <w:tag w:val="_PLD_0f7f749f98e74f33ae9032c17002d136"/>
            <w:id w:val="-716498397"/>
            <w:lock w:val="sdtLocked"/>
          </w:sdtPr>
          <w:sdtEndPr/>
          <w:sdtContent>
            <w:tc>
              <w:tcPr>
                <w:tcW w:w="184" w:type="pct"/>
                <w:shd w:val="clear" w:color="auto" w:fill="auto"/>
                <w:vAlign w:val="center"/>
              </w:tcPr>
              <w:p w:rsidR="004A3868" w:rsidRDefault="003F1AB5">
                <w:pPr>
                  <w:pStyle w:val="afffb"/>
                </w:pPr>
                <w:r>
                  <w:rPr>
                    <w:rFonts w:hint="eastAsia"/>
                  </w:rPr>
                  <w:t>工程进度</w:t>
                </w:r>
              </w:p>
            </w:tc>
          </w:sdtContent>
        </w:sdt>
        <w:sdt>
          <w:sdtPr>
            <w:tag w:val="_PLD_0b58d44121d2475586a13d1ce8eaed0a"/>
            <w:id w:val="-318658585"/>
            <w:lock w:val="sdtLocked"/>
          </w:sdtPr>
          <w:sdtEndPr/>
          <w:sdtContent>
            <w:tc>
              <w:tcPr>
                <w:tcW w:w="491" w:type="pct"/>
                <w:shd w:val="clear" w:color="auto" w:fill="auto"/>
                <w:vAlign w:val="center"/>
              </w:tcPr>
              <w:p w:rsidR="004A3868" w:rsidRDefault="003F1AB5">
                <w:pPr>
                  <w:pStyle w:val="afffb"/>
                </w:pPr>
                <w:r>
                  <w:rPr>
                    <w:rFonts w:hint="eastAsia"/>
                  </w:rPr>
                  <w:t>利息资本化累计金额</w:t>
                </w:r>
              </w:p>
            </w:tc>
          </w:sdtContent>
        </w:sdt>
        <w:sdt>
          <w:sdtPr>
            <w:tag w:val="_PLD_2250f692e957437687c2cafcae1d7f81"/>
            <w:id w:val="-1372455054"/>
            <w:lock w:val="sdtLocked"/>
          </w:sdtPr>
          <w:sdtEndPr/>
          <w:sdtContent>
            <w:tc>
              <w:tcPr>
                <w:tcW w:w="491" w:type="pct"/>
                <w:shd w:val="clear" w:color="auto" w:fill="auto"/>
                <w:vAlign w:val="center"/>
              </w:tcPr>
              <w:p w:rsidR="004A3868" w:rsidRDefault="003F1AB5">
                <w:pPr>
                  <w:pStyle w:val="afffb"/>
                </w:pPr>
                <w:r>
                  <w:rPr>
                    <w:rFonts w:hint="eastAsia"/>
                  </w:rPr>
                  <w:t>其中：本期利息资本化金额</w:t>
                </w:r>
              </w:p>
            </w:tc>
          </w:sdtContent>
        </w:sdt>
        <w:sdt>
          <w:sdtPr>
            <w:tag w:val="_PLD_7a9834f354d948e19f071bbf4b5baafe"/>
            <w:id w:val="947040034"/>
            <w:lock w:val="sdtLocked"/>
          </w:sdtPr>
          <w:sdtEndPr/>
          <w:sdtContent>
            <w:tc>
              <w:tcPr>
                <w:tcW w:w="215" w:type="pct"/>
                <w:shd w:val="clear" w:color="auto" w:fill="auto"/>
                <w:vAlign w:val="center"/>
              </w:tcPr>
              <w:p w:rsidR="004A3868" w:rsidRDefault="003F1AB5">
                <w:pPr>
                  <w:pStyle w:val="afffb"/>
                </w:pPr>
                <w:r>
                  <w:rPr>
                    <w:rFonts w:hint="eastAsia"/>
                  </w:rPr>
                  <w:t>本期利息资本化率(%)</w:t>
                </w:r>
              </w:p>
            </w:tc>
          </w:sdtContent>
        </w:sdt>
        <w:sdt>
          <w:sdtPr>
            <w:tag w:val="_PLD_6015e39597424a7ea59d45da3ff56e99"/>
            <w:id w:val="463314758"/>
            <w:lock w:val="sdtLocked"/>
          </w:sdtPr>
          <w:sdtEndPr/>
          <w:sdtContent>
            <w:tc>
              <w:tcPr>
                <w:tcW w:w="184" w:type="pct"/>
                <w:shd w:val="clear" w:color="auto" w:fill="auto"/>
                <w:vAlign w:val="center"/>
              </w:tcPr>
              <w:p w:rsidR="004A3868" w:rsidRDefault="003F1AB5">
                <w:pPr>
                  <w:pStyle w:val="afffb"/>
                </w:pPr>
                <w:r>
                  <w:rPr>
                    <w:rFonts w:hint="eastAsia"/>
                  </w:rPr>
                  <w:t>资金来源</w:t>
                </w:r>
              </w:p>
            </w:tc>
          </w:sdtContent>
        </w:sdt>
      </w:tr>
      <w:tr w:rsidR="004A3868">
        <w:trPr>
          <w:cantSplit/>
          <w:trHeight w:val="397"/>
          <w:jc w:val="center"/>
        </w:trPr>
        <w:tc>
          <w:tcPr>
            <w:tcW w:w="275" w:type="pct"/>
            <w:shd w:val="clear" w:color="auto" w:fill="auto"/>
          </w:tcPr>
          <w:p w:rsidR="004A3868" w:rsidRDefault="003F1AB5">
            <w:pPr>
              <w:pStyle w:val="afff9"/>
              <w:rPr>
                <w:rFonts w:asciiTheme="minorEastAsia" w:hAnsiTheme="minorEastAsia"/>
              </w:rPr>
            </w:pPr>
            <w:r>
              <w:rPr>
                <w:rFonts w:hint="eastAsia"/>
              </w:rPr>
              <w:t>八万吨高端磁性新材料项目</w:t>
            </w:r>
          </w:p>
        </w:tc>
        <w:tc>
          <w:tcPr>
            <w:tcW w:w="553" w:type="pct"/>
            <w:shd w:val="clear" w:color="auto" w:fill="auto"/>
            <w:vAlign w:val="center"/>
          </w:tcPr>
          <w:p w:rsidR="004A3868" w:rsidRDefault="003F1AB5">
            <w:pPr>
              <w:pStyle w:val="afff7"/>
              <w:rPr>
                <w:rFonts w:asciiTheme="minorEastAsia" w:hAnsiTheme="minorEastAsia"/>
              </w:rPr>
            </w:pPr>
            <w:r>
              <w:t>835,280,000.00</w:t>
            </w:r>
          </w:p>
        </w:tc>
        <w:tc>
          <w:tcPr>
            <w:tcW w:w="553" w:type="pct"/>
            <w:shd w:val="clear" w:color="auto" w:fill="auto"/>
            <w:vAlign w:val="center"/>
          </w:tcPr>
          <w:p w:rsidR="004A3868" w:rsidRDefault="003F1AB5">
            <w:pPr>
              <w:pStyle w:val="afff7"/>
              <w:rPr>
                <w:rFonts w:asciiTheme="minorEastAsia" w:hAnsiTheme="minorEastAsia"/>
              </w:rPr>
            </w:pPr>
            <w:r>
              <w:t>34,071,767.10</w:t>
            </w:r>
          </w:p>
        </w:tc>
        <w:tc>
          <w:tcPr>
            <w:tcW w:w="553" w:type="pct"/>
            <w:shd w:val="clear" w:color="auto" w:fill="auto"/>
            <w:vAlign w:val="center"/>
          </w:tcPr>
          <w:p w:rsidR="004A3868" w:rsidRDefault="003F1AB5">
            <w:pPr>
              <w:pStyle w:val="afff7"/>
              <w:rPr>
                <w:rFonts w:asciiTheme="minorEastAsia" w:hAnsiTheme="minorEastAsia"/>
              </w:rPr>
            </w:pPr>
            <w:r>
              <w:t>498,743,530.49</w:t>
            </w:r>
          </w:p>
        </w:tc>
        <w:tc>
          <w:tcPr>
            <w:tcW w:w="553" w:type="pct"/>
            <w:shd w:val="clear" w:color="auto" w:fill="auto"/>
            <w:vAlign w:val="center"/>
          </w:tcPr>
          <w:p w:rsidR="004A3868" w:rsidRDefault="003F1AB5">
            <w:pPr>
              <w:pStyle w:val="afff7"/>
              <w:rPr>
                <w:rFonts w:asciiTheme="minorEastAsia" w:hAnsiTheme="minorEastAsia"/>
              </w:rPr>
            </w:pPr>
            <w:r>
              <w:t>374,987,445.22</w:t>
            </w:r>
          </w:p>
        </w:tc>
        <w:tc>
          <w:tcPr>
            <w:tcW w:w="184" w:type="pct"/>
            <w:shd w:val="clear" w:color="auto" w:fill="auto"/>
            <w:vAlign w:val="center"/>
          </w:tcPr>
          <w:p w:rsidR="004A3868" w:rsidRDefault="004A3868">
            <w:pPr>
              <w:pStyle w:val="afff7"/>
            </w:pPr>
          </w:p>
        </w:tc>
        <w:tc>
          <w:tcPr>
            <w:tcW w:w="553" w:type="pct"/>
            <w:vAlign w:val="center"/>
          </w:tcPr>
          <w:p w:rsidR="004A3868" w:rsidRDefault="003F1AB5">
            <w:pPr>
              <w:pStyle w:val="afff7"/>
              <w:rPr>
                <w:rFonts w:asciiTheme="minorEastAsia" w:hAnsiTheme="minorEastAsia"/>
              </w:rPr>
            </w:pPr>
            <w:r>
              <w:t>157,827,852.37</w:t>
            </w:r>
          </w:p>
        </w:tc>
        <w:tc>
          <w:tcPr>
            <w:tcW w:w="215" w:type="pct"/>
            <w:shd w:val="clear" w:color="auto" w:fill="auto"/>
            <w:vAlign w:val="center"/>
          </w:tcPr>
          <w:p w:rsidR="004A3868" w:rsidRDefault="003F1AB5">
            <w:pPr>
              <w:pStyle w:val="afff7"/>
              <w:rPr>
                <w:rFonts w:asciiTheme="minorEastAsia" w:hAnsiTheme="minorEastAsia"/>
              </w:rPr>
            </w:pPr>
            <w:r>
              <w:t>54</w:t>
            </w:r>
          </w:p>
        </w:tc>
        <w:tc>
          <w:tcPr>
            <w:tcW w:w="184" w:type="pct"/>
            <w:shd w:val="clear" w:color="auto" w:fill="auto"/>
            <w:vAlign w:val="center"/>
          </w:tcPr>
          <w:p w:rsidR="004A3868" w:rsidRDefault="003F1AB5">
            <w:pPr>
              <w:pStyle w:val="afff7"/>
              <w:rPr>
                <w:rFonts w:asciiTheme="minorEastAsia" w:hAnsiTheme="minorEastAsia"/>
              </w:rPr>
            </w:pPr>
            <w:r>
              <w:t>63</w:t>
            </w:r>
          </w:p>
        </w:tc>
        <w:tc>
          <w:tcPr>
            <w:tcW w:w="491" w:type="pct"/>
            <w:shd w:val="clear" w:color="auto" w:fill="auto"/>
            <w:vAlign w:val="center"/>
          </w:tcPr>
          <w:p w:rsidR="004A3868" w:rsidRDefault="003F1AB5">
            <w:pPr>
              <w:pStyle w:val="afff7"/>
              <w:rPr>
                <w:rFonts w:asciiTheme="minorEastAsia" w:hAnsiTheme="minorEastAsia"/>
              </w:rPr>
            </w:pPr>
            <w:r>
              <w:t>4,935,580.01</w:t>
            </w:r>
          </w:p>
        </w:tc>
        <w:tc>
          <w:tcPr>
            <w:tcW w:w="491" w:type="pct"/>
            <w:shd w:val="clear" w:color="auto" w:fill="auto"/>
            <w:vAlign w:val="center"/>
          </w:tcPr>
          <w:p w:rsidR="004A3868" w:rsidRDefault="003F1AB5">
            <w:pPr>
              <w:pStyle w:val="afff7"/>
              <w:rPr>
                <w:rFonts w:asciiTheme="minorEastAsia" w:hAnsiTheme="minorEastAsia"/>
              </w:rPr>
            </w:pPr>
            <w:r>
              <w:t>4,725,007.36</w:t>
            </w:r>
          </w:p>
        </w:tc>
        <w:tc>
          <w:tcPr>
            <w:tcW w:w="215" w:type="pct"/>
            <w:shd w:val="clear" w:color="auto" w:fill="auto"/>
            <w:vAlign w:val="center"/>
          </w:tcPr>
          <w:p w:rsidR="004A3868" w:rsidRDefault="003F1AB5">
            <w:pPr>
              <w:pStyle w:val="afff7"/>
              <w:rPr>
                <w:rFonts w:asciiTheme="minorEastAsia" w:hAnsiTheme="minorEastAsia"/>
              </w:rPr>
            </w:pPr>
            <w:r>
              <w:t>3.2</w:t>
            </w:r>
          </w:p>
        </w:tc>
        <w:tc>
          <w:tcPr>
            <w:tcW w:w="184" w:type="pct"/>
            <w:shd w:val="clear" w:color="auto" w:fill="auto"/>
            <w:vAlign w:val="center"/>
          </w:tcPr>
          <w:p w:rsidR="004A3868" w:rsidRDefault="003F1AB5">
            <w:pPr>
              <w:pStyle w:val="afffb"/>
              <w:rPr>
                <w:rFonts w:asciiTheme="minorEastAsia" w:hAnsiTheme="minorEastAsia"/>
              </w:rPr>
            </w:pPr>
            <w:r>
              <w:t>自筹资金</w:t>
            </w:r>
          </w:p>
        </w:tc>
      </w:tr>
      <w:tr w:rsidR="004A3868">
        <w:trPr>
          <w:cantSplit/>
          <w:trHeight w:val="397"/>
          <w:jc w:val="center"/>
        </w:trPr>
        <w:tc>
          <w:tcPr>
            <w:tcW w:w="275" w:type="pct"/>
            <w:shd w:val="clear" w:color="auto" w:fill="auto"/>
          </w:tcPr>
          <w:p w:rsidR="004A3868" w:rsidRDefault="003F1AB5">
            <w:pPr>
              <w:pStyle w:val="afff9"/>
              <w:rPr>
                <w:rFonts w:asciiTheme="minorEastAsia" w:hAnsiTheme="minorEastAsia"/>
              </w:rPr>
            </w:pPr>
            <w:r>
              <w:rPr>
                <w:rFonts w:hint="eastAsia"/>
              </w:rPr>
              <w:t>智控设备及金属制品智能工厂建设项目（一期）</w:t>
            </w:r>
          </w:p>
        </w:tc>
        <w:tc>
          <w:tcPr>
            <w:tcW w:w="553" w:type="pct"/>
            <w:shd w:val="clear" w:color="auto" w:fill="auto"/>
            <w:vAlign w:val="center"/>
          </w:tcPr>
          <w:p w:rsidR="004A3868" w:rsidRDefault="003F1AB5">
            <w:pPr>
              <w:pStyle w:val="afff7"/>
              <w:rPr>
                <w:rFonts w:asciiTheme="minorEastAsia" w:hAnsiTheme="minorEastAsia"/>
              </w:rPr>
            </w:pPr>
            <w:r>
              <w:t>248,008,700.00</w:t>
            </w:r>
          </w:p>
        </w:tc>
        <w:tc>
          <w:tcPr>
            <w:tcW w:w="553" w:type="pct"/>
            <w:shd w:val="clear" w:color="auto" w:fill="auto"/>
            <w:vAlign w:val="center"/>
          </w:tcPr>
          <w:p w:rsidR="004A3868" w:rsidRDefault="004A3868">
            <w:pPr>
              <w:pStyle w:val="afff7"/>
            </w:pPr>
          </w:p>
        </w:tc>
        <w:tc>
          <w:tcPr>
            <w:tcW w:w="553" w:type="pct"/>
            <w:shd w:val="clear" w:color="auto" w:fill="auto"/>
            <w:vAlign w:val="center"/>
          </w:tcPr>
          <w:p w:rsidR="004A3868" w:rsidRDefault="003F1AB5">
            <w:pPr>
              <w:pStyle w:val="afff7"/>
              <w:rPr>
                <w:rFonts w:asciiTheme="minorEastAsia" w:hAnsiTheme="minorEastAsia"/>
              </w:rPr>
            </w:pPr>
            <w:r>
              <w:t>42,469,536.11</w:t>
            </w:r>
          </w:p>
        </w:tc>
        <w:tc>
          <w:tcPr>
            <w:tcW w:w="553" w:type="pct"/>
            <w:shd w:val="clear" w:color="auto" w:fill="auto"/>
            <w:vAlign w:val="center"/>
          </w:tcPr>
          <w:p w:rsidR="004A3868" w:rsidRDefault="004A3868">
            <w:pPr>
              <w:pStyle w:val="afff7"/>
            </w:pPr>
          </w:p>
        </w:tc>
        <w:tc>
          <w:tcPr>
            <w:tcW w:w="184" w:type="pct"/>
            <w:shd w:val="clear" w:color="auto" w:fill="auto"/>
            <w:vAlign w:val="center"/>
          </w:tcPr>
          <w:p w:rsidR="004A3868" w:rsidRDefault="004A3868">
            <w:pPr>
              <w:pStyle w:val="afff7"/>
            </w:pPr>
          </w:p>
        </w:tc>
        <w:tc>
          <w:tcPr>
            <w:tcW w:w="553" w:type="pct"/>
            <w:vAlign w:val="center"/>
          </w:tcPr>
          <w:p w:rsidR="004A3868" w:rsidRDefault="003F1AB5">
            <w:pPr>
              <w:pStyle w:val="afff7"/>
              <w:rPr>
                <w:rFonts w:asciiTheme="minorEastAsia" w:hAnsiTheme="minorEastAsia"/>
              </w:rPr>
            </w:pPr>
            <w:r>
              <w:t>42,469,536.11</w:t>
            </w:r>
          </w:p>
        </w:tc>
        <w:tc>
          <w:tcPr>
            <w:tcW w:w="215" w:type="pct"/>
            <w:shd w:val="clear" w:color="auto" w:fill="auto"/>
            <w:vAlign w:val="center"/>
          </w:tcPr>
          <w:p w:rsidR="004A3868" w:rsidRDefault="003F1AB5">
            <w:pPr>
              <w:pStyle w:val="afff7"/>
              <w:rPr>
                <w:rFonts w:asciiTheme="minorEastAsia" w:hAnsiTheme="minorEastAsia"/>
              </w:rPr>
            </w:pPr>
            <w:r>
              <w:t>38</w:t>
            </w:r>
          </w:p>
        </w:tc>
        <w:tc>
          <w:tcPr>
            <w:tcW w:w="184" w:type="pct"/>
            <w:shd w:val="clear" w:color="auto" w:fill="auto"/>
            <w:vAlign w:val="center"/>
          </w:tcPr>
          <w:p w:rsidR="004A3868" w:rsidRDefault="003F1AB5">
            <w:pPr>
              <w:pStyle w:val="afff7"/>
              <w:rPr>
                <w:rFonts w:asciiTheme="minorEastAsia" w:hAnsiTheme="minorEastAsia"/>
              </w:rPr>
            </w:pPr>
            <w:r>
              <w:t>17</w:t>
            </w:r>
          </w:p>
        </w:tc>
        <w:tc>
          <w:tcPr>
            <w:tcW w:w="491" w:type="pct"/>
            <w:shd w:val="clear" w:color="auto" w:fill="auto"/>
            <w:vAlign w:val="center"/>
          </w:tcPr>
          <w:p w:rsidR="004A3868" w:rsidRDefault="004A3868">
            <w:pPr>
              <w:pStyle w:val="afff7"/>
            </w:pPr>
          </w:p>
        </w:tc>
        <w:tc>
          <w:tcPr>
            <w:tcW w:w="491" w:type="pct"/>
            <w:shd w:val="clear" w:color="auto" w:fill="auto"/>
            <w:vAlign w:val="center"/>
          </w:tcPr>
          <w:p w:rsidR="004A3868" w:rsidRDefault="004A3868">
            <w:pPr>
              <w:pStyle w:val="afff7"/>
            </w:pPr>
          </w:p>
        </w:tc>
        <w:tc>
          <w:tcPr>
            <w:tcW w:w="215" w:type="pct"/>
            <w:shd w:val="clear" w:color="auto" w:fill="auto"/>
          </w:tcPr>
          <w:p w:rsidR="004A3868" w:rsidRDefault="004A3868">
            <w:pPr>
              <w:rPr>
                <w:sz w:val="15"/>
                <w:szCs w:val="15"/>
              </w:rPr>
            </w:pPr>
          </w:p>
        </w:tc>
        <w:tc>
          <w:tcPr>
            <w:tcW w:w="184" w:type="pct"/>
            <w:shd w:val="clear" w:color="auto" w:fill="auto"/>
            <w:vAlign w:val="center"/>
          </w:tcPr>
          <w:p w:rsidR="004A3868" w:rsidRDefault="003F1AB5">
            <w:pPr>
              <w:pStyle w:val="afffb"/>
              <w:rPr>
                <w:rFonts w:asciiTheme="minorEastAsia" w:hAnsiTheme="minorEastAsia"/>
              </w:rPr>
            </w:pPr>
            <w:r>
              <w:t>募集资金及自筹资金</w:t>
            </w:r>
          </w:p>
        </w:tc>
      </w:tr>
      <w:tr w:rsidR="004A3868">
        <w:trPr>
          <w:cantSplit/>
          <w:trHeight w:val="397"/>
          <w:jc w:val="center"/>
        </w:trPr>
        <w:tc>
          <w:tcPr>
            <w:tcW w:w="275" w:type="pct"/>
            <w:shd w:val="clear" w:color="auto" w:fill="auto"/>
          </w:tcPr>
          <w:p w:rsidR="004A3868" w:rsidRDefault="003F1AB5">
            <w:pPr>
              <w:pStyle w:val="afff9"/>
              <w:rPr>
                <w:rFonts w:asciiTheme="minorEastAsia" w:hAnsiTheme="minorEastAsia"/>
              </w:rPr>
            </w:pPr>
            <w:r>
              <w:rPr>
                <w:rFonts w:hint="eastAsia"/>
              </w:rPr>
              <w:t>智能成套电气设备产业基地建设项目</w:t>
            </w:r>
          </w:p>
        </w:tc>
        <w:tc>
          <w:tcPr>
            <w:tcW w:w="553" w:type="pct"/>
            <w:shd w:val="clear" w:color="auto" w:fill="auto"/>
            <w:vAlign w:val="center"/>
          </w:tcPr>
          <w:p w:rsidR="004A3868" w:rsidRDefault="003F1AB5">
            <w:pPr>
              <w:pStyle w:val="afff7"/>
              <w:rPr>
                <w:rFonts w:asciiTheme="minorEastAsia" w:hAnsiTheme="minorEastAsia"/>
              </w:rPr>
            </w:pPr>
            <w:r>
              <w:t>242,684,700.00</w:t>
            </w:r>
          </w:p>
        </w:tc>
        <w:tc>
          <w:tcPr>
            <w:tcW w:w="553" w:type="pct"/>
            <w:shd w:val="clear" w:color="auto" w:fill="auto"/>
            <w:vAlign w:val="center"/>
          </w:tcPr>
          <w:p w:rsidR="004A3868" w:rsidRDefault="003F1AB5">
            <w:pPr>
              <w:pStyle w:val="afff7"/>
              <w:rPr>
                <w:rFonts w:asciiTheme="minorEastAsia" w:hAnsiTheme="minorEastAsia"/>
              </w:rPr>
            </w:pPr>
            <w:r>
              <w:t>69,609,728.97</w:t>
            </w:r>
          </w:p>
        </w:tc>
        <w:tc>
          <w:tcPr>
            <w:tcW w:w="553" w:type="pct"/>
            <w:shd w:val="clear" w:color="auto" w:fill="auto"/>
            <w:vAlign w:val="center"/>
          </w:tcPr>
          <w:p w:rsidR="004A3868" w:rsidRDefault="003F1AB5">
            <w:pPr>
              <w:pStyle w:val="afff7"/>
              <w:rPr>
                <w:rFonts w:asciiTheme="minorEastAsia" w:hAnsiTheme="minorEastAsia"/>
              </w:rPr>
            </w:pPr>
            <w:r>
              <w:t>88,075,949.50</w:t>
            </w:r>
          </w:p>
        </w:tc>
        <w:tc>
          <w:tcPr>
            <w:tcW w:w="553" w:type="pct"/>
            <w:shd w:val="clear" w:color="auto" w:fill="auto"/>
            <w:vAlign w:val="center"/>
          </w:tcPr>
          <w:p w:rsidR="004A3868" w:rsidRDefault="003F1AB5">
            <w:pPr>
              <w:pStyle w:val="afff7"/>
              <w:rPr>
                <w:rFonts w:asciiTheme="minorEastAsia" w:hAnsiTheme="minorEastAsia"/>
              </w:rPr>
            </w:pPr>
            <w:r>
              <w:t>60,304,400.89</w:t>
            </w:r>
          </w:p>
        </w:tc>
        <w:tc>
          <w:tcPr>
            <w:tcW w:w="184" w:type="pct"/>
            <w:shd w:val="clear" w:color="auto" w:fill="auto"/>
            <w:vAlign w:val="center"/>
          </w:tcPr>
          <w:p w:rsidR="004A3868" w:rsidRDefault="004A3868">
            <w:pPr>
              <w:pStyle w:val="afff7"/>
            </w:pPr>
          </w:p>
        </w:tc>
        <w:tc>
          <w:tcPr>
            <w:tcW w:w="553" w:type="pct"/>
            <w:vAlign w:val="center"/>
          </w:tcPr>
          <w:p w:rsidR="004A3868" w:rsidRDefault="003F1AB5">
            <w:pPr>
              <w:pStyle w:val="afff7"/>
              <w:rPr>
                <w:rFonts w:asciiTheme="minorEastAsia" w:hAnsiTheme="minorEastAsia"/>
              </w:rPr>
            </w:pPr>
            <w:r>
              <w:t>97,381,277.58</w:t>
            </w:r>
          </w:p>
        </w:tc>
        <w:tc>
          <w:tcPr>
            <w:tcW w:w="215" w:type="pct"/>
            <w:shd w:val="clear" w:color="auto" w:fill="auto"/>
            <w:vAlign w:val="center"/>
          </w:tcPr>
          <w:p w:rsidR="004A3868" w:rsidRDefault="003F1AB5">
            <w:pPr>
              <w:pStyle w:val="afff7"/>
              <w:rPr>
                <w:rFonts w:asciiTheme="minorEastAsia" w:hAnsiTheme="minorEastAsia"/>
              </w:rPr>
            </w:pPr>
            <w:r>
              <w:t>82</w:t>
            </w:r>
          </w:p>
        </w:tc>
        <w:tc>
          <w:tcPr>
            <w:tcW w:w="184" w:type="pct"/>
            <w:shd w:val="clear" w:color="auto" w:fill="auto"/>
            <w:vAlign w:val="center"/>
          </w:tcPr>
          <w:p w:rsidR="004A3868" w:rsidRDefault="003F1AB5">
            <w:pPr>
              <w:pStyle w:val="afff7"/>
              <w:rPr>
                <w:rFonts w:asciiTheme="minorEastAsia" w:hAnsiTheme="minorEastAsia"/>
              </w:rPr>
            </w:pPr>
            <w:r>
              <w:t>96</w:t>
            </w:r>
          </w:p>
        </w:tc>
        <w:tc>
          <w:tcPr>
            <w:tcW w:w="491" w:type="pct"/>
            <w:shd w:val="clear" w:color="auto" w:fill="auto"/>
            <w:vAlign w:val="center"/>
          </w:tcPr>
          <w:p w:rsidR="004A3868" w:rsidRDefault="004A3868">
            <w:pPr>
              <w:pStyle w:val="afff7"/>
            </w:pPr>
          </w:p>
        </w:tc>
        <w:tc>
          <w:tcPr>
            <w:tcW w:w="491" w:type="pct"/>
            <w:shd w:val="clear" w:color="auto" w:fill="auto"/>
            <w:vAlign w:val="center"/>
          </w:tcPr>
          <w:p w:rsidR="004A3868" w:rsidRDefault="004A3868">
            <w:pPr>
              <w:pStyle w:val="afff7"/>
            </w:pPr>
          </w:p>
        </w:tc>
        <w:tc>
          <w:tcPr>
            <w:tcW w:w="215" w:type="pct"/>
            <w:shd w:val="clear" w:color="auto" w:fill="auto"/>
          </w:tcPr>
          <w:p w:rsidR="004A3868" w:rsidRDefault="004A3868">
            <w:pPr>
              <w:rPr>
                <w:sz w:val="15"/>
                <w:szCs w:val="15"/>
              </w:rPr>
            </w:pPr>
          </w:p>
        </w:tc>
        <w:tc>
          <w:tcPr>
            <w:tcW w:w="184" w:type="pct"/>
            <w:shd w:val="clear" w:color="auto" w:fill="auto"/>
            <w:vAlign w:val="center"/>
          </w:tcPr>
          <w:p w:rsidR="004A3868" w:rsidRDefault="003F1AB5">
            <w:pPr>
              <w:pStyle w:val="afffb"/>
              <w:rPr>
                <w:rFonts w:asciiTheme="minorEastAsia" w:hAnsiTheme="minorEastAsia"/>
              </w:rPr>
            </w:pPr>
            <w:r>
              <w:t>募集资金</w:t>
            </w:r>
          </w:p>
        </w:tc>
      </w:tr>
      <w:tr w:rsidR="004A3868">
        <w:trPr>
          <w:cantSplit/>
          <w:trHeight w:val="397"/>
          <w:jc w:val="center"/>
        </w:trPr>
        <w:tc>
          <w:tcPr>
            <w:tcW w:w="275" w:type="pct"/>
            <w:shd w:val="clear" w:color="auto" w:fill="auto"/>
          </w:tcPr>
          <w:p w:rsidR="004A3868" w:rsidRDefault="003F1AB5">
            <w:pPr>
              <w:pStyle w:val="afff9"/>
              <w:rPr>
                <w:rFonts w:asciiTheme="minorEastAsia" w:hAnsiTheme="minorEastAsia"/>
              </w:rPr>
            </w:pPr>
            <w:r>
              <w:rPr>
                <w:rFonts w:hint="eastAsia"/>
              </w:rPr>
              <w:lastRenderedPageBreak/>
              <w:t>低铁损高磁感硅钢铁心智能制造项目</w:t>
            </w:r>
          </w:p>
        </w:tc>
        <w:tc>
          <w:tcPr>
            <w:tcW w:w="553" w:type="pct"/>
            <w:shd w:val="clear" w:color="auto" w:fill="auto"/>
            <w:vAlign w:val="center"/>
          </w:tcPr>
          <w:p w:rsidR="004A3868" w:rsidRDefault="003F1AB5">
            <w:pPr>
              <w:pStyle w:val="afff7"/>
              <w:rPr>
                <w:rFonts w:asciiTheme="minorEastAsia" w:hAnsiTheme="minorEastAsia"/>
              </w:rPr>
            </w:pPr>
            <w:r>
              <w:t>201,000,000.00</w:t>
            </w:r>
          </w:p>
        </w:tc>
        <w:tc>
          <w:tcPr>
            <w:tcW w:w="553" w:type="pct"/>
            <w:shd w:val="clear" w:color="auto" w:fill="auto"/>
            <w:vAlign w:val="center"/>
          </w:tcPr>
          <w:p w:rsidR="004A3868" w:rsidRDefault="003F1AB5">
            <w:pPr>
              <w:pStyle w:val="afff7"/>
              <w:rPr>
                <w:rFonts w:asciiTheme="minorEastAsia" w:hAnsiTheme="minorEastAsia"/>
              </w:rPr>
            </w:pPr>
            <w:r>
              <w:t>106,244,787.48</w:t>
            </w:r>
          </w:p>
        </w:tc>
        <w:tc>
          <w:tcPr>
            <w:tcW w:w="553" w:type="pct"/>
            <w:shd w:val="clear" w:color="auto" w:fill="auto"/>
            <w:vAlign w:val="center"/>
          </w:tcPr>
          <w:p w:rsidR="004A3868" w:rsidRDefault="003F1AB5">
            <w:pPr>
              <w:pStyle w:val="afff7"/>
              <w:rPr>
                <w:rFonts w:asciiTheme="minorEastAsia" w:hAnsiTheme="minorEastAsia"/>
              </w:rPr>
            </w:pPr>
            <w:r>
              <w:t>60,872,626.41</w:t>
            </w:r>
          </w:p>
        </w:tc>
        <w:tc>
          <w:tcPr>
            <w:tcW w:w="553" w:type="pct"/>
            <w:shd w:val="clear" w:color="auto" w:fill="auto"/>
            <w:vAlign w:val="center"/>
          </w:tcPr>
          <w:p w:rsidR="004A3868" w:rsidRDefault="003F1AB5">
            <w:pPr>
              <w:pStyle w:val="afff7"/>
              <w:rPr>
                <w:rFonts w:asciiTheme="minorEastAsia" w:hAnsiTheme="minorEastAsia"/>
              </w:rPr>
            </w:pPr>
            <w:r>
              <w:t>118,834,446.07</w:t>
            </w:r>
          </w:p>
        </w:tc>
        <w:tc>
          <w:tcPr>
            <w:tcW w:w="184" w:type="pct"/>
            <w:shd w:val="clear" w:color="auto" w:fill="auto"/>
            <w:vAlign w:val="center"/>
          </w:tcPr>
          <w:p w:rsidR="004A3868" w:rsidRDefault="004A3868">
            <w:pPr>
              <w:pStyle w:val="afff7"/>
            </w:pPr>
          </w:p>
        </w:tc>
        <w:tc>
          <w:tcPr>
            <w:tcW w:w="553" w:type="pct"/>
            <w:vAlign w:val="center"/>
          </w:tcPr>
          <w:p w:rsidR="004A3868" w:rsidRDefault="003F1AB5">
            <w:pPr>
              <w:pStyle w:val="afff7"/>
              <w:rPr>
                <w:rFonts w:asciiTheme="minorEastAsia" w:hAnsiTheme="minorEastAsia"/>
              </w:rPr>
            </w:pPr>
            <w:r>
              <w:t>48,282,967.82</w:t>
            </w:r>
          </w:p>
        </w:tc>
        <w:tc>
          <w:tcPr>
            <w:tcW w:w="215" w:type="pct"/>
            <w:shd w:val="clear" w:color="auto" w:fill="auto"/>
            <w:vAlign w:val="center"/>
          </w:tcPr>
          <w:p w:rsidR="004A3868" w:rsidRDefault="003F1AB5">
            <w:pPr>
              <w:pStyle w:val="afff7"/>
              <w:rPr>
                <w:rFonts w:asciiTheme="minorEastAsia" w:hAnsiTheme="minorEastAsia"/>
              </w:rPr>
            </w:pPr>
            <w:r>
              <w:t>71</w:t>
            </w:r>
          </w:p>
        </w:tc>
        <w:tc>
          <w:tcPr>
            <w:tcW w:w="184" w:type="pct"/>
            <w:shd w:val="clear" w:color="auto" w:fill="auto"/>
            <w:vAlign w:val="center"/>
          </w:tcPr>
          <w:p w:rsidR="004A3868" w:rsidRDefault="003F1AB5">
            <w:pPr>
              <w:pStyle w:val="afff7"/>
              <w:rPr>
                <w:rFonts w:asciiTheme="minorEastAsia" w:hAnsiTheme="minorEastAsia"/>
              </w:rPr>
            </w:pPr>
            <w:r>
              <w:t>83</w:t>
            </w:r>
          </w:p>
        </w:tc>
        <w:tc>
          <w:tcPr>
            <w:tcW w:w="491" w:type="pct"/>
            <w:shd w:val="clear" w:color="auto" w:fill="auto"/>
            <w:vAlign w:val="center"/>
          </w:tcPr>
          <w:p w:rsidR="004A3868" w:rsidRDefault="004A3868">
            <w:pPr>
              <w:pStyle w:val="afff7"/>
            </w:pPr>
          </w:p>
        </w:tc>
        <w:tc>
          <w:tcPr>
            <w:tcW w:w="491" w:type="pct"/>
            <w:shd w:val="clear" w:color="auto" w:fill="auto"/>
            <w:vAlign w:val="center"/>
          </w:tcPr>
          <w:p w:rsidR="004A3868" w:rsidRDefault="004A3868">
            <w:pPr>
              <w:pStyle w:val="afff7"/>
            </w:pPr>
          </w:p>
        </w:tc>
        <w:tc>
          <w:tcPr>
            <w:tcW w:w="215" w:type="pct"/>
            <w:shd w:val="clear" w:color="auto" w:fill="auto"/>
          </w:tcPr>
          <w:p w:rsidR="004A3868" w:rsidRDefault="004A3868">
            <w:pPr>
              <w:rPr>
                <w:sz w:val="15"/>
                <w:szCs w:val="15"/>
              </w:rPr>
            </w:pPr>
          </w:p>
        </w:tc>
        <w:tc>
          <w:tcPr>
            <w:tcW w:w="184" w:type="pct"/>
            <w:shd w:val="clear" w:color="auto" w:fill="auto"/>
            <w:vAlign w:val="center"/>
          </w:tcPr>
          <w:p w:rsidR="004A3868" w:rsidRDefault="003F1AB5">
            <w:pPr>
              <w:pStyle w:val="afffb"/>
              <w:rPr>
                <w:rFonts w:asciiTheme="minorEastAsia" w:hAnsiTheme="minorEastAsia"/>
              </w:rPr>
            </w:pPr>
            <w:r>
              <w:t>募集资金及自筹资金</w:t>
            </w:r>
          </w:p>
        </w:tc>
      </w:tr>
      <w:tr w:rsidR="004A3868">
        <w:trPr>
          <w:cantSplit/>
          <w:trHeight w:val="397"/>
          <w:jc w:val="center"/>
        </w:trPr>
        <w:tc>
          <w:tcPr>
            <w:tcW w:w="275" w:type="pct"/>
            <w:shd w:val="clear" w:color="auto" w:fill="auto"/>
          </w:tcPr>
          <w:p w:rsidR="004A3868" w:rsidRDefault="003F1AB5">
            <w:pPr>
              <w:pStyle w:val="afff9"/>
              <w:rPr>
                <w:rFonts w:asciiTheme="minorEastAsia" w:hAnsiTheme="minorEastAsia"/>
              </w:rPr>
            </w:pPr>
            <w:r>
              <w:t>110</w:t>
            </w:r>
            <w:r>
              <w:rPr>
                <w:rFonts w:hint="eastAsia"/>
              </w:rPr>
              <w:t>kV</w:t>
            </w:r>
            <w:r>
              <w:t>及以下节能型变压器智能化工厂技改项目</w:t>
            </w:r>
          </w:p>
        </w:tc>
        <w:tc>
          <w:tcPr>
            <w:tcW w:w="553" w:type="pct"/>
            <w:shd w:val="clear" w:color="auto" w:fill="auto"/>
            <w:vAlign w:val="center"/>
          </w:tcPr>
          <w:p w:rsidR="004A3868" w:rsidRDefault="003F1AB5">
            <w:pPr>
              <w:pStyle w:val="afff7"/>
              <w:rPr>
                <w:rFonts w:asciiTheme="minorEastAsia" w:hAnsiTheme="minorEastAsia"/>
              </w:rPr>
            </w:pPr>
            <w:r>
              <w:t>118,181,700.00</w:t>
            </w:r>
          </w:p>
        </w:tc>
        <w:tc>
          <w:tcPr>
            <w:tcW w:w="553" w:type="pct"/>
            <w:shd w:val="clear" w:color="auto" w:fill="auto"/>
            <w:vAlign w:val="center"/>
          </w:tcPr>
          <w:p w:rsidR="004A3868" w:rsidRDefault="003F1AB5">
            <w:pPr>
              <w:pStyle w:val="afff7"/>
              <w:rPr>
                <w:rFonts w:asciiTheme="minorEastAsia" w:hAnsiTheme="minorEastAsia"/>
              </w:rPr>
            </w:pPr>
            <w:r>
              <w:t>1,879,697.35</w:t>
            </w:r>
          </w:p>
        </w:tc>
        <w:tc>
          <w:tcPr>
            <w:tcW w:w="553" w:type="pct"/>
            <w:shd w:val="clear" w:color="auto" w:fill="auto"/>
            <w:vAlign w:val="center"/>
          </w:tcPr>
          <w:p w:rsidR="004A3868" w:rsidRDefault="003F1AB5">
            <w:pPr>
              <w:pStyle w:val="afff7"/>
              <w:rPr>
                <w:rFonts w:asciiTheme="minorEastAsia" w:hAnsiTheme="minorEastAsia"/>
              </w:rPr>
            </w:pPr>
            <w:r>
              <w:t>18,224,097.27</w:t>
            </w:r>
          </w:p>
        </w:tc>
        <w:tc>
          <w:tcPr>
            <w:tcW w:w="553" w:type="pct"/>
            <w:shd w:val="clear" w:color="auto" w:fill="auto"/>
            <w:vAlign w:val="center"/>
          </w:tcPr>
          <w:p w:rsidR="004A3868" w:rsidRDefault="003F1AB5">
            <w:pPr>
              <w:pStyle w:val="afff7"/>
              <w:rPr>
                <w:rFonts w:asciiTheme="minorEastAsia" w:hAnsiTheme="minorEastAsia"/>
              </w:rPr>
            </w:pPr>
            <w:r>
              <w:t>2,153,224.86</w:t>
            </w:r>
          </w:p>
        </w:tc>
        <w:tc>
          <w:tcPr>
            <w:tcW w:w="184" w:type="pct"/>
            <w:shd w:val="clear" w:color="auto" w:fill="auto"/>
            <w:vAlign w:val="center"/>
          </w:tcPr>
          <w:p w:rsidR="004A3868" w:rsidRDefault="004A3868">
            <w:pPr>
              <w:pStyle w:val="afff7"/>
            </w:pPr>
          </w:p>
        </w:tc>
        <w:tc>
          <w:tcPr>
            <w:tcW w:w="553" w:type="pct"/>
            <w:vAlign w:val="center"/>
          </w:tcPr>
          <w:p w:rsidR="004A3868" w:rsidRDefault="003F1AB5">
            <w:pPr>
              <w:pStyle w:val="afff7"/>
              <w:rPr>
                <w:rFonts w:asciiTheme="minorEastAsia" w:hAnsiTheme="minorEastAsia"/>
              </w:rPr>
            </w:pPr>
            <w:r>
              <w:t>17,950,569.76</w:t>
            </w:r>
          </w:p>
        </w:tc>
        <w:tc>
          <w:tcPr>
            <w:tcW w:w="215" w:type="pct"/>
            <w:shd w:val="clear" w:color="auto" w:fill="auto"/>
            <w:vAlign w:val="center"/>
          </w:tcPr>
          <w:p w:rsidR="004A3868" w:rsidRDefault="003F1AB5">
            <w:pPr>
              <w:pStyle w:val="afff7"/>
              <w:rPr>
                <w:rFonts w:asciiTheme="minorEastAsia" w:hAnsiTheme="minorEastAsia"/>
              </w:rPr>
            </w:pPr>
            <w:r>
              <w:t>31</w:t>
            </w:r>
          </w:p>
        </w:tc>
        <w:tc>
          <w:tcPr>
            <w:tcW w:w="184" w:type="pct"/>
            <w:shd w:val="clear" w:color="auto" w:fill="auto"/>
            <w:vAlign w:val="center"/>
          </w:tcPr>
          <w:p w:rsidR="004A3868" w:rsidRDefault="003F1AB5">
            <w:pPr>
              <w:pStyle w:val="afff7"/>
              <w:rPr>
                <w:rFonts w:asciiTheme="minorEastAsia" w:hAnsiTheme="minorEastAsia"/>
              </w:rPr>
            </w:pPr>
            <w:r>
              <w:t>17</w:t>
            </w:r>
          </w:p>
        </w:tc>
        <w:tc>
          <w:tcPr>
            <w:tcW w:w="491" w:type="pct"/>
            <w:shd w:val="clear" w:color="auto" w:fill="auto"/>
            <w:vAlign w:val="center"/>
          </w:tcPr>
          <w:p w:rsidR="004A3868" w:rsidRDefault="004A3868">
            <w:pPr>
              <w:pStyle w:val="afff7"/>
            </w:pPr>
          </w:p>
        </w:tc>
        <w:tc>
          <w:tcPr>
            <w:tcW w:w="491" w:type="pct"/>
            <w:shd w:val="clear" w:color="auto" w:fill="auto"/>
            <w:vAlign w:val="center"/>
          </w:tcPr>
          <w:p w:rsidR="004A3868" w:rsidRDefault="004A3868">
            <w:pPr>
              <w:pStyle w:val="afff7"/>
            </w:pPr>
          </w:p>
        </w:tc>
        <w:tc>
          <w:tcPr>
            <w:tcW w:w="215" w:type="pct"/>
            <w:shd w:val="clear" w:color="auto" w:fill="auto"/>
          </w:tcPr>
          <w:p w:rsidR="004A3868" w:rsidRDefault="004A3868">
            <w:pPr>
              <w:rPr>
                <w:sz w:val="15"/>
                <w:szCs w:val="15"/>
              </w:rPr>
            </w:pPr>
          </w:p>
        </w:tc>
        <w:tc>
          <w:tcPr>
            <w:tcW w:w="184" w:type="pct"/>
            <w:shd w:val="clear" w:color="auto" w:fill="auto"/>
            <w:vAlign w:val="center"/>
          </w:tcPr>
          <w:p w:rsidR="004A3868" w:rsidRDefault="003F1AB5">
            <w:pPr>
              <w:pStyle w:val="afffb"/>
              <w:rPr>
                <w:rFonts w:asciiTheme="minorEastAsia" w:hAnsiTheme="minorEastAsia"/>
              </w:rPr>
            </w:pPr>
            <w:r>
              <w:t>募集资金</w:t>
            </w:r>
          </w:p>
        </w:tc>
      </w:tr>
      <w:tr w:rsidR="004A3868">
        <w:trPr>
          <w:cantSplit/>
          <w:trHeight w:val="397"/>
          <w:jc w:val="center"/>
        </w:trPr>
        <w:tc>
          <w:tcPr>
            <w:tcW w:w="275" w:type="pct"/>
            <w:shd w:val="clear" w:color="auto" w:fill="auto"/>
          </w:tcPr>
          <w:p w:rsidR="004A3868" w:rsidRDefault="003F1AB5">
            <w:pPr>
              <w:pStyle w:val="afff9"/>
              <w:rPr>
                <w:rFonts w:asciiTheme="minorEastAsia" w:hAnsiTheme="minorEastAsia"/>
              </w:rPr>
            </w:pPr>
            <w:r>
              <w:rPr>
                <w:rFonts w:hint="eastAsia"/>
              </w:rPr>
              <w:t>研发中心及信息化建设项目</w:t>
            </w:r>
          </w:p>
        </w:tc>
        <w:tc>
          <w:tcPr>
            <w:tcW w:w="553" w:type="pct"/>
            <w:shd w:val="clear" w:color="auto" w:fill="auto"/>
            <w:vAlign w:val="center"/>
          </w:tcPr>
          <w:p w:rsidR="004A3868" w:rsidRDefault="003F1AB5">
            <w:pPr>
              <w:pStyle w:val="afff7"/>
              <w:rPr>
                <w:rFonts w:asciiTheme="minorEastAsia" w:hAnsiTheme="minorEastAsia"/>
              </w:rPr>
            </w:pPr>
            <w:r>
              <w:t>62,500,000.00</w:t>
            </w:r>
          </w:p>
        </w:tc>
        <w:tc>
          <w:tcPr>
            <w:tcW w:w="553" w:type="pct"/>
            <w:shd w:val="clear" w:color="auto" w:fill="auto"/>
            <w:vAlign w:val="center"/>
          </w:tcPr>
          <w:p w:rsidR="004A3868" w:rsidRDefault="003F1AB5">
            <w:pPr>
              <w:pStyle w:val="afff7"/>
              <w:rPr>
                <w:rFonts w:asciiTheme="minorEastAsia" w:hAnsiTheme="minorEastAsia"/>
              </w:rPr>
            </w:pPr>
            <w:r>
              <w:t>12,868,050.28</w:t>
            </w:r>
          </w:p>
        </w:tc>
        <w:tc>
          <w:tcPr>
            <w:tcW w:w="553" w:type="pct"/>
            <w:shd w:val="clear" w:color="auto" w:fill="auto"/>
            <w:vAlign w:val="center"/>
          </w:tcPr>
          <w:p w:rsidR="004A3868" w:rsidRDefault="003F1AB5">
            <w:pPr>
              <w:pStyle w:val="afff7"/>
              <w:rPr>
                <w:rFonts w:asciiTheme="minorEastAsia" w:hAnsiTheme="minorEastAsia"/>
              </w:rPr>
            </w:pPr>
            <w:r>
              <w:t>15,988,636.12</w:t>
            </w:r>
          </w:p>
        </w:tc>
        <w:tc>
          <w:tcPr>
            <w:tcW w:w="553" w:type="pct"/>
            <w:shd w:val="clear" w:color="auto" w:fill="auto"/>
            <w:vAlign w:val="center"/>
          </w:tcPr>
          <w:p w:rsidR="004A3868" w:rsidRDefault="003F1AB5">
            <w:pPr>
              <w:pStyle w:val="afff7"/>
              <w:rPr>
                <w:rFonts w:asciiTheme="minorEastAsia" w:hAnsiTheme="minorEastAsia"/>
              </w:rPr>
            </w:pPr>
            <w:r>
              <w:t>22,991,672.89</w:t>
            </w:r>
          </w:p>
        </w:tc>
        <w:tc>
          <w:tcPr>
            <w:tcW w:w="184" w:type="pct"/>
            <w:shd w:val="clear" w:color="auto" w:fill="auto"/>
            <w:vAlign w:val="center"/>
          </w:tcPr>
          <w:p w:rsidR="004A3868" w:rsidRDefault="004A3868">
            <w:pPr>
              <w:pStyle w:val="afff7"/>
            </w:pPr>
          </w:p>
        </w:tc>
        <w:tc>
          <w:tcPr>
            <w:tcW w:w="553" w:type="pct"/>
            <w:vAlign w:val="center"/>
          </w:tcPr>
          <w:p w:rsidR="004A3868" w:rsidRDefault="003F1AB5">
            <w:pPr>
              <w:pStyle w:val="afff7"/>
              <w:rPr>
                <w:rFonts w:asciiTheme="minorEastAsia" w:hAnsiTheme="minorEastAsia"/>
              </w:rPr>
            </w:pPr>
            <w:r>
              <w:t>5,865,013.51</w:t>
            </w:r>
          </w:p>
        </w:tc>
        <w:tc>
          <w:tcPr>
            <w:tcW w:w="215" w:type="pct"/>
            <w:shd w:val="clear" w:color="auto" w:fill="auto"/>
            <w:vAlign w:val="center"/>
          </w:tcPr>
          <w:p w:rsidR="004A3868" w:rsidRDefault="003F1AB5">
            <w:pPr>
              <w:pStyle w:val="afff7"/>
              <w:rPr>
                <w:rFonts w:asciiTheme="minorEastAsia" w:hAnsiTheme="minorEastAsia"/>
              </w:rPr>
            </w:pPr>
            <w:r>
              <w:t>54</w:t>
            </w:r>
          </w:p>
        </w:tc>
        <w:tc>
          <w:tcPr>
            <w:tcW w:w="184" w:type="pct"/>
            <w:shd w:val="clear" w:color="auto" w:fill="auto"/>
            <w:vAlign w:val="center"/>
          </w:tcPr>
          <w:p w:rsidR="004A3868" w:rsidRDefault="003F1AB5">
            <w:pPr>
              <w:pStyle w:val="afff7"/>
              <w:rPr>
                <w:rFonts w:asciiTheme="minorEastAsia" w:hAnsiTheme="minorEastAsia"/>
              </w:rPr>
            </w:pPr>
            <w:r>
              <w:t>49</w:t>
            </w:r>
          </w:p>
        </w:tc>
        <w:tc>
          <w:tcPr>
            <w:tcW w:w="491" w:type="pct"/>
            <w:shd w:val="clear" w:color="auto" w:fill="auto"/>
            <w:vAlign w:val="center"/>
          </w:tcPr>
          <w:p w:rsidR="004A3868" w:rsidRDefault="004A3868">
            <w:pPr>
              <w:pStyle w:val="afff7"/>
            </w:pPr>
          </w:p>
        </w:tc>
        <w:tc>
          <w:tcPr>
            <w:tcW w:w="491" w:type="pct"/>
            <w:shd w:val="clear" w:color="auto" w:fill="auto"/>
            <w:vAlign w:val="center"/>
          </w:tcPr>
          <w:p w:rsidR="004A3868" w:rsidRDefault="004A3868">
            <w:pPr>
              <w:pStyle w:val="afff7"/>
            </w:pPr>
          </w:p>
        </w:tc>
        <w:tc>
          <w:tcPr>
            <w:tcW w:w="215" w:type="pct"/>
            <w:shd w:val="clear" w:color="auto" w:fill="auto"/>
          </w:tcPr>
          <w:p w:rsidR="004A3868" w:rsidRDefault="003F1AB5">
            <w:pPr>
              <w:rPr>
                <w:rFonts w:asciiTheme="minorEastAsia" w:hAnsiTheme="minorEastAsia"/>
                <w:sz w:val="15"/>
                <w:szCs w:val="15"/>
              </w:rPr>
            </w:pPr>
            <w:r>
              <w:rPr>
                <w:sz w:val="15"/>
                <w:szCs w:val="15"/>
              </w:rPr>
              <w:t xml:space="preserve"> </w:t>
            </w:r>
          </w:p>
        </w:tc>
        <w:tc>
          <w:tcPr>
            <w:tcW w:w="184" w:type="pct"/>
            <w:shd w:val="clear" w:color="auto" w:fill="auto"/>
            <w:vAlign w:val="center"/>
          </w:tcPr>
          <w:p w:rsidR="004A3868" w:rsidRDefault="003F1AB5">
            <w:pPr>
              <w:pStyle w:val="afffb"/>
              <w:rPr>
                <w:rFonts w:asciiTheme="minorEastAsia" w:hAnsiTheme="minorEastAsia"/>
              </w:rPr>
            </w:pPr>
            <w:r>
              <w:t>募集资金</w:t>
            </w:r>
          </w:p>
        </w:tc>
      </w:tr>
      <w:tr w:rsidR="004A3868">
        <w:trPr>
          <w:cantSplit/>
          <w:trHeight w:val="397"/>
          <w:jc w:val="center"/>
        </w:trPr>
        <w:tc>
          <w:tcPr>
            <w:tcW w:w="275" w:type="pct"/>
            <w:shd w:val="clear" w:color="auto" w:fill="auto"/>
            <w:vAlign w:val="center"/>
          </w:tcPr>
          <w:p w:rsidR="004A3868" w:rsidRDefault="003F1AB5">
            <w:pPr>
              <w:pStyle w:val="afff9"/>
            </w:pPr>
            <w:r>
              <w:rPr>
                <w:rFonts w:hint="eastAsia"/>
              </w:rPr>
              <w:t>合计</w:t>
            </w:r>
          </w:p>
        </w:tc>
        <w:tc>
          <w:tcPr>
            <w:tcW w:w="553" w:type="pct"/>
            <w:shd w:val="clear" w:color="auto" w:fill="auto"/>
            <w:vAlign w:val="center"/>
          </w:tcPr>
          <w:p w:rsidR="004A3868" w:rsidRDefault="003F1AB5">
            <w:pPr>
              <w:pStyle w:val="afff7"/>
              <w:rPr>
                <w:rFonts w:asciiTheme="minorEastAsia" w:hAnsiTheme="minorEastAsia"/>
              </w:rPr>
            </w:pPr>
            <w:r>
              <w:t>1,707,655,100.00</w:t>
            </w:r>
          </w:p>
        </w:tc>
        <w:tc>
          <w:tcPr>
            <w:tcW w:w="553" w:type="pct"/>
            <w:shd w:val="clear" w:color="auto" w:fill="auto"/>
            <w:vAlign w:val="center"/>
          </w:tcPr>
          <w:p w:rsidR="004A3868" w:rsidRDefault="003F1AB5">
            <w:pPr>
              <w:pStyle w:val="afff7"/>
              <w:rPr>
                <w:rFonts w:asciiTheme="minorEastAsia" w:hAnsiTheme="minorEastAsia"/>
              </w:rPr>
            </w:pPr>
            <w:r>
              <w:t>224,674,031.18</w:t>
            </w:r>
          </w:p>
        </w:tc>
        <w:tc>
          <w:tcPr>
            <w:tcW w:w="553" w:type="pct"/>
            <w:shd w:val="clear" w:color="auto" w:fill="auto"/>
            <w:vAlign w:val="center"/>
          </w:tcPr>
          <w:p w:rsidR="004A3868" w:rsidRDefault="003F1AB5">
            <w:pPr>
              <w:pStyle w:val="afff7"/>
              <w:rPr>
                <w:rFonts w:asciiTheme="minorEastAsia" w:hAnsiTheme="minorEastAsia"/>
              </w:rPr>
            </w:pPr>
            <w:r>
              <w:t>724,374,375.90</w:t>
            </w:r>
          </w:p>
        </w:tc>
        <w:tc>
          <w:tcPr>
            <w:tcW w:w="553" w:type="pct"/>
            <w:shd w:val="clear" w:color="auto" w:fill="auto"/>
            <w:vAlign w:val="center"/>
          </w:tcPr>
          <w:p w:rsidR="004A3868" w:rsidRDefault="003F1AB5">
            <w:pPr>
              <w:pStyle w:val="afff7"/>
              <w:rPr>
                <w:rFonts w:asciiTheme="minorEastAsia" w:hAnsiTheme="minorEastAsia"/>
              </w:rPr>
            </w:pPr>
            <w:r>
              <w:t>579,271,189.93</w:t>
            </w:r>
          </w:p>
        </w:tc>
        <w:tc>
          <w:tcPr>
            <w:tcW w:w="184" w:type="pct"/>
            <w:shd w:val="clear" w:color="auto" w:fill="auto"/>
            <w:vAlign w:val="center"/>
          </w:tcPr>
          <w:p w:rsidR="004A3868" w:rsidRDefault="004A3868">
            <w:pPr>
              <w:pStyle w:val="afff7"/>
            </w:pPr>
          </w:p>
        </w:tc>
        <w:tc>
          <w:tcPr>
            <w:tcW w:w="553" w:type="pct"/>
            <w:vAlign w:val="center"/>
          </w:tcPr>
          <w:p w:rsidR="004A3868" w:rsidRDefault="003F1AB5">
            <w:pPr>
              <w:pStyle w:val="afff7"/>
              <w:rPr>
                <w:rFonts w:asciiTheme="minorEastAsia" w:hAnsiTheme="minorEastAsia"/>
              </w:rPr>
            </w:pPr>
            <w:r>
              <w:t>369,777,217.15</w:t>
            </w:r>
          </w:p>
        </w:tc>
        <w:tc>
          <w:tcPr>
            <w:tcW w:w="215" w:type="pct"/>
            <w:shd w:val="clear" w:color="auto" w:fill="auto"/>
            <w:vAlign w:val="center"/>
          </w:tcPr>
          <w:p w:rsidR="004A3868" w:rsidRDefault="003F1AB5">
            <w:pPr>
              <w:pStyle w:val="afff7"/>
            </w:pPr>
            <w:r>
              <w:t>/</w:t>
            </w:r>
          </w:p>
        </w:tc>
        <w:tc>
          <w:tcPr>
            <w:tcW w:w="184" w:type="pct"/>
            <w:shd w:val="clear" w:color="auto" w:fill="auto"/>
            <w:vAlign w:val="center"/>
          </w:tcPr>
          <w:p w:rsidR="004A3868" w:rsidRDefault="003F1AB5">
            <w:pPr>
              <w:pStyle w:val="afff7"/>
            </w:pPr>
            <w:r>
              <w:t>/</w:t>
            </w:r>
          </w:p>
        </w:tc>
        <w:tc>
          <w:tcPr>
            <w:tcW w:w="491" w:type="pct"/>
            <w:shd w:val="clear" w:color="auto" w:fill="auto"/>
            <w:vAlign w:val="center"/>
          </w:tcPr>
          <w:p w:rsidR="004A3868" w:rsidRDefault="003F1AB5">
            <w:pPr>
              <w:pStyle w:val="afff7"/>
              <w:rPr>
                <w:rFonts w:asciiTheme="minorEastAsia" w:hAnsiTheme="minorEastAsia"/>
              </w:rPr>
            </w:pPr>
            <w:r>
              <w:t>4,935,580.01</w:t>
            </w:r>
          </w:p>
        </w:tc>
        <w:tc>
          <w:tcPr>
            <w:tcW w:w="491" w:type="pct"/>
            <w:shd w:val="clear" w:color="auto" w:fill="auto"/>
            <w:vAlign w:val="center"/>
          </w:tcPr>
          <w:p w:rsidR="004A3868" w:rsidRDefault="003F1AB5">
            <w:pPr>
              <w:pStyle w:val="afff7"/>
              <w:rPr>
                <w:rFonts w:asciiTheme="minorEastAsia" w:hAnsiTheme="minorEastAsia"/>
              </w:rPr>
            </w:pPr>
            <w:r>
              <w:t>4,725,007.36</w:t>
            </w:r>
          </w:p>
        </w:tc>
        <w:tc>
          <w:tcPr>
            <w:tcW w:w="215" w:type="pct"/>
            <w:shd w:val="clear" w:color="auto" w:fill="auto"/>
            <w:vAlign w:val="center"/>
          </w:tcPr>
          <w:p w:rsidR="004A3868" w:rsidRDefault="003F1AB5">
            <w:pPr>
              <w:rPr>
                <w:sz w:val="15"/>
                <w:szCs w:val="15"/>
              </w:rPr>
            </w:pPr>
            <w:r>
              <w:rPr>
                <w:sz w:val="15"/>
                <w:szCs w:val="15"/>
              </w:rPr>
              <w:t>/</w:t>
            </w:r>
          </w:p>
        </w:tc>
        <w:tc>
          <w:tcPr>
            <w:tcW w:w="184" w:type="pct"/>
            <w:shd w:val="clear" w:color="auto" w:fill="auto"/>
            <w:vAlign w:val="center"/>
          </w:tcPr>
          <w:p w:rsidR="004A3868" w:rsidRDefault="003F1AB5">
            <w:pPr>
              <w:pStyle w:val="afffb"/>
            </w:pPr>
            <w:r>
              <w:t>/</w:t>
            </w:r>
          </w:p>
        </w:tc>
      </w:tr>
    </w:tbl>
    <w:p w:rsidR="004A3868" w:rsidRDefault="004A3868">
      <w:pPr>
        <w:pStyle w:val="Style842"/>
      </w:pPr>
    </w:p>
    <w:p w:rsidR="004A3868" w:rsidRDefault="003F1AB5">
      <w:pPr>
        <w:pStyle w:val="Style129"/>
        <w:numPr>
          <w:ilvl w:val="0"/>
          <w:numId w:val="80"/>
        </w:numPr>
      </w:pPr>
      <w:r>
        <w:rPr>
          <w:rFonts w:hint="eastAsia"/>
        </w:rPr>
        <w:t>本期计提在建工程减值准备情况</w:t>
      </w:r>
    </w:p>
    <w:sdt>
      <w:sdtPr>
        <w:alias w:val="是否适用：本期计提在建工程减值准备情况[双击切换]"/>
        <w:tag w:val="_GBC_f0a78e682a314d34a7b55dd88c219307"/>
        <w:id w:val="-1488777912"/>
        <w:lock w:val="sdtLocked"/>
        <w:placeholder>
          <w:docPart w:val="GBC22222222222222222222222222222"/>
        </w:placeholder>
      </w:sdtPr>
      <w:sdtEndPr>
        <w:rPr>
          <w:sz w:val="21"/>
          <w:szCs w:val="21"/>
        </w:rPr>
      </w:sdtEndPr>
      <w:sdtContent>
        <w:p w:rsidR="004A3868" w:rsidRDefault="003F1AB5">
          <w:pPr>
            <w:rPr>
              <w:rFonts w:asciiTheme="minorHAnsi" w:hAnsiTheme="minorHAnsi" w:cstheme="minorBidi"/>
              <w:kern w:val="2"/>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numPr>
          <w:ilvl w:val="0"/>
          <w:numId w:val="80"/>
        </w:numPr>
      </w:pPr>
      <w:r>
        <w:rPr>
          <w:rFonts w:hint="eastAsia"/>
        </w:rPr>
        <w:t>在建工程的减值测试情况</w:t>
      </w:r>
    </w:p>
    <w:sdt>
      <w:sdtPr>
        <w:alias w:val="是否适用：减值测试情况[双击切换]"/>
        <w:tag w:val="_GBC_d3e3ceb3450d42e8a3d61da2c2d7d3cb"/>
        <w:id w:val="-76113216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30"/>
        <w:ind w:left="120"/>
      </w:pPr>
      <w:r>
        <w:rPr>
          <w:rFonts w:hint="eastAsia"/>
        </w:rPr>
        <w:t>可收回金额按公允价值减去处置费用后的净额确定</w:t>
      </w:r>
    </w:p>
    <w:sdt>
      <w:sdtPr>
        <w:rPr>
          <w:sz w:val="21"/>
          <w:szCs w:val="21"/>
        </w:rPr>
        <w:alias w:val="是否适用：可收回金额按公允价值减去处置费用后的净额确定[双击切换]"/>
        <w:tag w:val="_GBC_5d3bced30472464198eed0ab56e1e93b"/>
        <w:id w:val="-69314981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30"/>
        <w:ind w:left="120"/>
      </w:pPr>
      <w:r>
        <w:rPr>
          <w:rFonts w:hint="eastAsia"/>
        </w:rPr>
        <w:t>可收回金额按预计未来现金流量的现值确定</w:t>
      </w:r>
    </w:p>
    <w:sdt>
      <w:sdtPr>
        <w:rPr>
          <w:rFonts w:hint="eastAsia"/>
        </w:rPr>
        <w:alias w:val="是否适用：可收回金额按预计未来现金流量的现值确定[双击切换]"/>
        <w:tag w:val="_GBC_ea285cba95d04aae86fc950e09c04394"/>
        <w:id w:val="174059570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30"/>
        <w:ind w:left="120"/>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773ceb30e8424e53bb816ca62cef3995"/>
        <w:id w:val="2453185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30"/>
        <w:ind w:left="120"/>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92dac75ad56344d69181c076d6d1699a"/>
        <w:id w:val="109797914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lastRenderedPageBreak/>
        <w:t>其他说明</w:t>
      </w:r>
    </w:p>
    <w:sdt>
      <w:sdtPr>
        <w:rPr>
          <w:sz w:val="21"/>
          <w:szCs w:val="21"/>
        </w:rPr>
        <w:alias w:val="是否适用：在建工程的说明[双击切换]"/>
        <w:tag w:val="_GBC_e6220a45d928426882f5c3ad23ff2098"/>
        <w:id w:val="381302456"/>
        <w:lock w:val="sdtLocked"/>
        <w:placeholder>
          <w:docPart w:val="GBC22222222222222222222222222222"/>
        </w:placeholder>
      </w:sdtPr>
      <w:sdtEndPr/>
      <w:sdtContent>
        <w:p w:rsidR="004A3868" w:rsidRDefault="003F1AB5">
          <w:pPr>
            <w:rPr>
              <w:color w:val="FF0000"/>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pPr>
      <w:r>
        <w:rPr>
          <w:rFonts w:hint="eastAsia"/>
        </w:rPr>
        <w:t>工程物资</w:t>
      </w:r>
    </w:p>
    <w:p w:rsidR="004A3868" w:rsidRDefault="003F1AB5">
      <w:pPr>
        <w:pStyle w:val="Style129"/>
        <w:numPr>
          <w:ilvl w:val="0"/>
          <w:numId w:val="80"/>
        </w:numPr>
      </w:pPr>
      <w:r>
        <w:rPr>
          <w:rFonts w:hint="eastAsia"/>
        </w:rPr>
        <w:t>工程物资情况</w:t>
      </w:r>
    </w:p>
    <w:bookmarkStart w:id="207" w:name="_Hlk532903321" w:displacedByCustomXml="next"/>
    <w:sdt>
      <w:sdtPr>
        <w:alias w:val="是否适用：工程物资[双击切换]"/>
        <w:tag w:val="_GBC_91916c11fa864423a1c0e6a4024fdda5"/>
        <w:id w:val="-210047813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工程物资"/>
          <w:tag w:val="_GBC_a40c6cc569784dd2a386bf11c5341d09"/>
          <w:id w:val="-11532145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工程物资"/>
          <w:tag w:val="_GBC_c2efa10903a54aa7b99e42d262b982db"/>
          <w:id w:val="-17032432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882"/>
        <w:gridCol w:w="1666"/>
        <w:gridCol w:w="498"/>
        <w:gridCol w:w="1666"/>
        <w:gridCol w:w="1306"/>
        <w:gridCol w:w="499"/>
        <w:gridCol w:w="1306"/>
      </w:tblGrid>
      <w:tr w:rsidR="004A3868">
        <w:trPr>
          <w:trHeight w:val="397"/>
          <w:jc w:val="center"/>
        </w:trPr>
        <w:sdt>
          <w:sdtPr>
            <w:tag w:val="_PLD_0cfa871461644b9b8e4b0b72f4dd74a3"/>
            <w:id w:val="-1827896645"/>
          </w:sdtPr>
          <w:sdtEndPr/>
          <w:sdtContent>
            <w:tc>
              <w:tcPr>
                <w:tcW w:w="1067" w:type="pct"/>
                <w:vMerge w:val="restart"/>
                <w:vAlign w:val="center"/>
              </w:tcPr>
              <w:p w:rsidR="004A3868" w:rsidRDefault="003F1AB5">
                <w:pPr>
                  <w:pStyle w:val="afffb"/>
                </w:pPr>
                <w:r>
                  <w:rPr>
                    <w:rFonts w:hint="eastAsia"/>
                  </w:rPr>
                  <w:t>项目</w:t>
                </w:r>
              </w:p>
            </w:tc>
          </w:sdtContent>
        </w:sdt>
        <w:sdt>
          <w:sdtPr>
            <w:tag w:val="_PLD_194738ba26034ba7a36d50bb7f00acd1"/>
            <w:id w:val="-1915388266"/>
          </w:sdtPr>
          <w:sdtEndPr/>
          <w:sdtContent>
            <w:tc>
              <w:tcPr>
                <w:tcW w:w="2170" w:type="pct"/>
                <w:gridSpan w:val="3"/>
                <w:vAlign w:val="center"/>
              </w:tcPr>
              <w:p w:rsidR="004A3868" w:rsidRDefault="003F1AB5">
                <w:pPr>
                  <w:pStyle w:val="afffb"/>
                </w:pPr>
                <w:r>
                  <w:rPr>
                    <w:rFonts w:hint="eastAsia"/>
                  </w:rPr>
                  <w:t>期末余额</w:t>
                </w:r>
              </w:p>
            </w:tc>
          </w:sdtContent>
        </w:sdt>
        <w:sdt>
          <w:sdtPr>
            <w:tag w:val="_PLD_4ee885b65de945c3b26ea7d47743f650"/>
            <w:id w:val="-1444376332"/>
          </w:sdtPr>
          <w:sdtEndPr/>
          <w:sdtContent>
            <w:tc>
              <w:tcPr>
                <w:tcW w:w="1763" w:type="pct"/>
                <w:gridSpan w:val="3"/>
                <w:vAlign w:val="center"/>
              </w:tcPr>
              <w:p w:rsidR="004A3868" w:rsidRDefault="003F1AB5">
                <w:pPr>
                  <w:pStyle w:val="afffb"/>
                </w:pPr>
                <w:r>
                  <w:rPr>
                    <w:rFonts w:hint="eastAsia"/>
                  </w:rPr>
                  <w:t>期初余额</w:t>
                </w:r>
              </w:p>
            </w:tc>
          </w:sdtContent>
        </w:sdt>
      </w:tr>
      <w:tr w:rsidR="004A3868">
        <w:trPr>
          <w:trHeight w:val="397"/>
          <w:jc w:val="center"/>
        </w:trPr>
        <w:tc>
          <w:tcPr>
            <w:tcW w:w="1067" w:type="pct"/>
            <w:vMerge/>
            <w:vAlign w:val="center"/>
          </w:tcPr>
          <w:p w:rsidR="004A3868" w:rsidRDefault="004A3868">
            <w:pPr>
              <w:pStyle w:val="afffb"/>
            </w:pPr>
          </w:p>
        </w:tc>
        <w:sdt>
          <w:sdtPr>
            <w:tag w:val="_PLD_9b969466be6d44448cac4c054dc1111f"/>
            <w:id w:val="1231727028"/>
          </w:sdtPr>
          <w:sdtEndPr/>
          <w:sdtContent>
            <w:tc>
              <w:tcPr>
                <w:tcW w:w="944" w:type="pct"/>
                <w:vAlign w:val="center"/>
              </w:tcPr>
              <w:p w:rsidR="004A3868" w:rsidRDefault="003F1AB5">
                <w:pPr>
                  <w:pStyle w:val="afffb"/>
                </w:pPr>
                <w:r>
                  <w:rPr>
                    <w:rFonts w:hint="eastAsia"/>
                  </w:rPr>
                  <w:t>账面余额</w:t>
                </w:r>
              </w:p>
            </w:tc>
          </w:sdtContent>
        </w:sdt>
        <w:sdt>
          <w:sdtPr>
            <w:tag w:val="_PLD_a1dddc5d46d640129ee888a65d1f5cc5"/>
            <w:id w:val="-793134060"/>
          </w:sdtPr>
          <w:sdtEndPr/>
          <w:sdtContent>
            <w:tc>
              <w:tcPr>
                <w:tcW w:w="282" w:type="pct"/>
                <w:vAlign w:val="center"/>
              </w:tcPr>
              <w:p w:rsidR="004A3868" w:rsidRDefault="003F1AB5">
                <w:pPr>
                  <w:pStyle w:val="afffb"/>
                </w:pPr>
                <w:r>
                  <w:rPr>
                    <w:rFonts w:hint="eastAsia"/>
                  </w:rPr>
                  <w:t>减值准备</w:t>
                </w:r>
              </w:p>
            </w:tc>
          </w:sdtContent>
        </w:sdt>
        <w:sdt>
          <w:sdtPr>
            <w:tag w:val="_PLD_61a4c467683445398bf805b309c73205"/>
            <w:id w:val="-1243021176"/>
          </w:sdtPr>
          <w:sdtEndPr/>
          <w:sdtContent>
            <w:tc>
              <w:tcPr>
                <w:tcW w:w="944" w:type="pct"/>
                <w:vAlign w:val="center"/>
              </w:tcPr>
              <w:p w:rsidR="004A3868" w:rsidRDefault="003F1AB5">
                <w:pPr>
                  <w:pStyle w:val="afffb"/>
                </w:pPr>
                <w:r>
                  <w:rPr>
                    <w:rFonts w:hint="eastAsia"/>
                  </w:rPr>
                  <w:t>账面价值</w:t>
                </w:r>
              </w:p>
            </w:tc>
          </w:sdtContent>
        </w:sdt>
        <w:sdt>
          <w:sdtPr>
            <w:tag w:val="_PLD_2d2f3c607c204e2696f188a3eae40f3b"/>
            <w:id w:val="-1123989651"/>
          </w:sdtPr>
          <w:sdtEndPr/>
          <w:sdtContent>
            <w:tc>
              <w:tcPr>
                <w:tcW w:w="740" w:type="pct"/>
                <w:vAlign w:val="center"/>
              </w:tcPr>
              <w:p w:rsidR="004A3868" w:rsidRDefault="003F1AB5">
                <w:pPr>
                  <w:pStyle w:val="afffb"/>
                </w:pPr>
                <w:r>
                  <w:rPr>
                    <w:rFonts w:hint="eastAsia"/>
                  </w:rPr>
                  <w:t>账面余额</w:t>
                </w:r>
              </w:p>
            </w:tc>
          </w:sdtContent>
        </w:sdt>
        <w:sdt>
          <w:sdtPr>
            <w:tag w:val="_PLD_ed9ead6c3160495197db769792c2961f"/>
            <w:id w:val="1730722337"/>
          </w:sdtPr>
          <w:sdtEndPr/>
          <w:sdtContent>
            <w:tc>
              <w:tcPr>
                <w:tcW w:w="283" w:type="pct"/>
                <w:vAlign w:val="center"/>
              </w:tcPr>
              <w:p w:rsidR="004A3868" w:rsidRDefault="003F1AB5">
                <w:pPr>
                  <w:pStyle w:val="afffb"/>
                </w:pPr>
                <w:r>
                  <w:rPr>
                    <w:rFonts w:hint="eastAsia"/>
                  </w:rPr>
                  <w:t>减值准备</w:t>
                </w:r>
              </w:p>
            </w:tc>
          </w:sdtContent>
        </w:sdt>
        <w:sdt>
          <w:sdtPr>
            <w:tag w:val="_PLD_2191bad5d10542179c09f759a877d72d"/>
            <w:id w:val="-583841579"/>
          </w:sdtPr>
          <w:sdtEndPr/>
          <w:sdtContent>
            <w:tc>
              <w:tcPr>
                <w:tcW w:w="740" w:type="pct"/>
                <w:vAlign w:val="center"/>
              </w:tcPr>
              <w:p w:rsidR="004A3868" w:rsidRDefault="003F1AB5">
                <w:pPr>
                  <w:pStyle w:val="afffb"/>
                </w:pPr>
                <w:r>
                  <w:rPr>
                    <w:rFonts w:hint="eastAsia"/>
                  </w:rPr>
                  <w:t>账面价值</w:t>
                </w:r>
              </w:p>
            </w:tc>
          </w:sdtContent>
        </w:sdt>
      </w:tr>
      <w:tr w:rsidR="004A3868">
        <w:trPr>
          <w:trHeight w:val="397"/>
          <w:jc w:val="center"/>
        </w:trPr>
        <w:tc>
          <w:tcPr>
            <w:tcW w:w="1067" w:type="pct"/>
          </w:tcPr>
          <w:p w:rsidR="004A3868" w:rsidRDefault="003F1AB5">
            <w:pPr>
              <w:pStyle w:val="afff9"/>
            </w:pPr>
            <w:r>
              <w:rPr>
                <w:rFonts w:hint="eastAsia"/>
              </w:rPr>
              <w:t>八万吨高端磁性新材料项目工程用材料</w:t>
            </w:r>
          </w:p>
        </w:tc>
        <w:tc>
          <w:tcPr>
            <w:tcW w:w="944" w:type="pct"/>
            <w:vAlign w:val="center"/>
          </w:tcPr>
          <w:p w:rsidR="004A3868" w:rsidRDefault="003F1AB5">
            <w:pPr>
              <w:pStyle w:val="afff7"/>
            </w:pPr>
            <w:r>
              <w:t>1,612,357.92</w:t>
            </w:r>
          </w:p>
        </w:tc>
        <w:tc>
          <w:tcPr>
            <w:tcW w:w="282" w:type="pct"/>
            <w:vAlign w:val="center"/>
          </w:tcPr>
          <w:p w:rsidR="004A3868" w:rsidRDefault="004A3868">
            <w:pPr>
              <w:pStyle w:val="afff7"/>
            </w:pPr>
          </w:p>
        </w:tc>
        <w:tc>
          <w:tcPr>
            <w:tcW w:w="944" w:type="pct"/>
            <w:vAlign w:val="center"/>
          </w:tcPr>
          <w:p w:rsidR="004A3868" w:rsidRDefault="003F1AB5">
            <w:pPr>
              <w:pStyle w:val="afff7"/>
            </w:pPr>
            <w:r>
              <w:t>1,612,357.92</w:t>
            </w:r>
          </w:p>
        </w:tc>
        <w:tc>
          <w:tcPr>
            <w:tcW w:w="740" w:type="pct"/>
            <w:vAlign w:val="center"/>
          </w:tcPr>
          <w:p w:rsidR="004A3868" w:rsidRDefault="003F1AB5">
            <w:pPr>
              <w:pStyle w:val="afff7"/>
            </w:pPr>
            <w:r>
              <w:t>95,130.93</w:t>
            </w:r>
          </w:p>
        </w:tc>
        <w:tc>
          <w:tcPr>
            <w:tcW w:w="283" w:type="pct"/>
            <w:vAlign w:val="center"/>
          </w:tcPr>
          <w:p w:rsidR="004A3868" w:rsidRDefault="004A3868">
            <w:pPr>
              <w:pStyle w:val="afff7"/>
            </w:pPr>
          </w:p>
        </w:tc>
        <w:tc>
          <w:tcPr>
            <w:tcW w:w="740" w:type="pct"/>
            <w:vAlign w:val="center"/>
          </w:tcPr>
          <w:p w:rsidR="004A3868" w:rsidRDefault="003F1AB5">
            <w:pPr>
              <w:pStyle w:val="afff7"/>
            </w:pPr>
            <w:r>
              <w:t>95,130.93</w:t>
            </w:r>
          </w:p>
        </w:tc>
      </w:tr>
      <w:tr w:rsidR="004A3868">
        <w:trPr>
          <w:trHeight w:val="397"/>
          <w:jc w:val="center"/>
        </w:trPr>
        <w:tc>
          <w:tcPr>
            <w:tcW w:w="1067" w:type="pct"/>
            <w:vAlign w:val="center"/>
          </w:tcPr>
          <w:p w:rsidR="004A3868" w:rsidRDefault="003F1AB5">
            <w:pPr>
              <w:pStyle w:val="afff9"/>
            </w:pPr>
            <w:r>
              <w:rPr>
                <w:rFonts w:hint="eastAsia"/>
              </w:rPr>
              <w:t>合计</w:t>
            </w:r>
          </w:p>
        </w:tc>
        <w:tc>
          <w:tcPr>
            <w:tcW w:w="944" w:type="pct"/>
            <w:vAlign w:val="center"/>
          </w:tcPr>
          <w:p w:rsidR="004A3868" w:rsidRDefault="003F1AB5">
            <w:pPr>
              <w:pStyle w:val="afff7"/>
            </w:pPr>
            <w:r>
              <w:t>1,612,357.92</w:t>
            </w:r>
          </w:p>
        </w:tc>
        <w:tc>
          <w:tcPr>
            <w:tcW w:w="282" w:type="pct"/>
            <w:vAlign w:val="center"/>
          </w:tcPr>
          <w:p w:rsidR="004A3868" w:rsidRDefault="004A3868">
            <w:pPr>
              <w:pStyle w:val="afff7"/>
            </w:pPr>
          </w:p>
        </w:tc>
        <w:tc>
          <w:tcPr>
            <w:tcW w:w="944" w:type="pct"/>
            <w:vAlign w:val="center"/>
          </w:tcPr>
          <w:p w:rsidR="004A3868" w:rsidRDefault="003F1AB5">
            <w:pPr>
              <w:pStyle w:val="afff7"/>
            </w:pPr>
            <w:r>
              <w:t>1,612,357.92</w:t>
            </w:r>
          </w:p>
        </w:tc>
        <w:tc>
          <w:tcPr>
            <w:tcW w:w="740" w:type="pct"/>
            <w:vAlign w:val="center"/>
          </w:tcPr>
          <w:p w:rsidR="004A3868" w:rsidRDefault="003F1AB5">
            <w:pPr>
              <w:pStyle w:val="afff7"/>
            </w:pPr>
            <w:r>
              <w:t>95,130.93</w:t>
            </w:r>
          </w:p>
        </w:tc>
        <w:tc>
          <w:tcPr>
            <w:tcW w:w="283" w:type="pct"/>
            <w:vAlign w:val="center"/>
          </w:tcPr>
          <w:p w:rsidR="004A3868" w:rsidRDefault="004A3868">
            <w:pPr>
              <w:pStyle w:val="afff7"/>
            </w:pPr>
          </w:p>
        </w:tc>
        <w:tc>
          <w:tcPr>
            <w:tcW w:w="740" w:type="pct"/>
            <w:vAlign w:val="center"/>
          </w:tcPr>
          <w:p w:rsidR="004A3868" w:rsidRDefault="003F1AB5">
            <w:pPr>
              <w:pStyle w:val="afff7"/>
            </w:pPr>
            <w:r>
              <w:t>95,130.93</w:t>
            </w:r>
          </w:p>
        </w:tc>
      </w:tr>
    </w:tbl>
    <w:p w:rsidR="004A3868" w:rsidRDefault="003F1AB5">
      <w:pPr>
        <w:rPr>
          <w:sz w:val="21"/>
          <w:szCs w:val="21"/>
        </w:rPr>
      </w:pPr>
      <w:r>
        <w:rPr>
          <w:rFonts w:hint="eastAsia"/>
          <w:sz w:val="21"/>
          <w:szCs w:val="21"/>
        </w:rPr>
        <w:t>其他说明：</w:t>
      </w:r>
    </w:p>
    <w:sdt>
      <w:sdtPr>
        <w:rPr>
          <w:sz w:val="21"/>
          <w:szCs w:val="21"/>
        </w:rPr>
        <w:alias w:val="工程物资的说明"/>
        <w:tag w:val="_GBC_de7567c3100e4445a83f668d291d7aac"/>
        <w:id w:val="1429770569"/>
        <w:placeholder>
          <w:docPart w:val="GBC22222222222222222222222222222"/>
        </w:placeholder>
      </w:sdtPr>
      <w:sdtEndPr/>
      <w:sdtContent>
        <w:p w:rsidR="004A3868" w:rsidRDefault="003F1AB5">
          <w:pPr>
            <w:rPr>
              <w:sz w:val="21"/>
              <w:szCs w:val="21"/>
            </w:rPr>
          </w:pPr>
          <w:r>
            <w:rPr>
              <w:rFonts w:hint="eastAsia"/>
              <w:sz w:val="21"/>
              <w:szCs w:val="21"/>
            </w:rPr>
            <w:t>无</w:t>
          </w:r>
        </w:p>
      </w:sdtContent>
    </w:sdt>
    <w:bookmarkEnd w:id="207"/>
    <w:p w:rsidR="004A3868" w:rsidRDefault="003F1AB5">
      <w:pPr>
        <w:pStyle w:val="Style12711"/>
      </w:pPr>
      <w:r>
        <w:rPr>
          <w:rFonts w:hint="eastAsia"/>
        </w:rPr>
        <w:t>生产性生物资产</w:t>
      </w:r>
    </w:p>
    <w:p w:rsidR="004A3868" w:rsidRDefault="003F1AB5">
      <w:pPr>
        <w:pStyle w:val="Style128"/>
        <w:numPr>
          <w:ilvl w:val="3"/>
          <w:numId w:val="81"/>
        </w:numPr>
      </w:pPr>
      <w:r>
        <w:rPr>
          <w:rFonts w:hint="eastAsia"/>
        </w:rPr>
        <w:t>采用成本计量模式的生产性生物资产</w:t>
      </w:r>
    </w:p>
    <w:sdt>
      <w:sdtPr>
        <w:rPr>
          <w:rFonts w:hint="eastAsia"/>
          <w:sz w:val="21"/>
          <w:szCs w:val="21"/>
        </w:rPr>
        <w:alias w:val="是否适用：财务附注：以成本计量的生产性生物资产[双击切换]"/>
        <w:tag w:val="_GBC_925c2a7345d74ba1bae908f2c1695459"/>
        <w:id w:val="-340937249"/>
        <w:lock w:val="sdtLocked"/>
        <w:placeholder>
          <w:docPart w:val="GBC22222222222222222222222222222"/>
        </w:placeholder>
      </w:sdtPr>
      <w:sdtEndPr/>
      <w:sdtContent>
        <w:p w:rsidR="004A3868" w:rsidRDefault="003F1AB5">
          <w:pPr>
            <w:rPr>
              <w:rFonts w:cstheme="minorBidi"/>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3"/>
          <w:numId w:val="81"/>
        </w:numPr>
      </w:pPr>
      <w:r>
        <w:rPr>
          <w:rFonts w:hint="eastAsia"/>
        </w:rPr>
        <w:t>采用成本计量模式的生产性生物资产的减值测试情况</w:t>
      </w:r>
    </w:p>
    <w:sdt>
      <w:sdtPr>
        <w:alias w:val="是否适用：减值测试情况[双击切换]"/>
        <w:tag w:val="_GBC_1463ca9b414a4cb28d5d13fd1d3b8486"/>
        <w:id w:val="2103366833"/>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可收回金额按公允价值减去处置费用后的净额确定</w:t>
      </w:r>
    </w:p>
    <w:sdt>
      <w:sdtPr>
        <w:alias w:val="是否适用：可收回金额按公允价值减去处置费用后的净额确定[双击切换]"/>
        <w:tag w:val="_GBC_1acd719dc56741df8335a956e1d05e9f"/>
        <w:id w:val="-74824631"/>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可收回金额按预计未来现金流量的现值确定</w:t>
      </w:r>
    </w:p>
    <w:sdt>
      <w:sdtPr>
        <w:rPr>
          <w:rFonts w:hint="eastAsia"/>
        </w:rPr>
        <w:alias w:val="是否适用：可收回金额按预计未来现金流量的现值确定[双击切换]"/>
        <w:tag w:val="_GBC_a627235c4b11443b95a69fc5ac0f0026"/>
        <w:id w:val="-192233153"/>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197b8f01263a4a3c81aa83a71bb28283"/>
        <w:id w:val="75484173"/>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szCs w:val="21"/>
        </w:rPr>
        <w:t>公司以前年度减</w:t>
      </w:r>
      <w:r>
        <w:rPr>
          <w:rFonts w:hint="eastAsia"/>
        </w:rPr>
        <w:t>值测试采用信息与当年实际情况明显不一致的差异原因</w:t>
      </w:r>
    </w:p>
    <w:sdt>
      <w:sdtPr>
        <w:alias w:val="是否适用：公司以前年度减值测试采用信息与当年实际情况明显不一致的差异原因[双击切换]"/>
        <w:tag w:val="_GBC_ec22e7f84b5d47c8a1b810d274fcc92f"/>
        <w:id w:val="178384854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3"/>
          <w:numId w:val="81"/>
        </w:numPr>
      </w:pPr>
      <w:r>
        <w:rPr>
          <w:rFonts w:hint="eastAsia"/>
        </w:rPr>
        <w:t>采用公允价值计量模式的生产性生物资产</w:t>
      </w:r>
    </w:p>
    <w:sdt>
      <w:sdtPr>
        <w:alias w:val="是否适用：财务附注：以公允价值计量的生产性生物资产[双击切换]"/>
        <w:tag w:val="_GBC_9b7a21a74fee4d22abc99ad9ee747e07"/>
        <w:id w:val="-1579200003"/>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842"/>
      </w:pPr>
      <w:r>
        <w:rPr>
          <w:rFonts w:hint="eastAsia"/>
        </w:rPr>
        <w:t>其他说明</w:t>
      </w:r>
    </w:p>
    <w:sdt>
      <w:sdtPr>
        <w:alias w:val="是否适用：生产性生物资产的说明[双击切换]"/>
        <w:tag w:val="_GBC_d3e0f749d04b4097a0886c38dadda8f4"/>
        <w:id w:val="-1476215697"/>
        <w:lock w:val="sdtLocked"/>
        <w:placeholder>
          <w:docPart w:val="GBC22222222222222222222222222222"/>
        </w:placeholder>
      </w:sdtPr>
      <w:sdtEndPr/>
      <w:sdtContent>
        <w:p w:rsidR="004A3868" w:rsidRDefault="003F1AB5">
          <w:pPr>
            <w:pStyle w:val="Style842"/>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油气资产</w:t>
      </w:r>
    </w:p>
    <w:p w:rsidR="004A3868" w:rsidRDefault="003F1AB5">
      <w:pPr>
        <w:pStyle w:val="Style128"/>
        <w:numPr>
          <w:ilvl w:val="0"/>
          <w:numId w:val="82"/>
        </w:numPr>
      </w:pPr>
      <w:r>
        <w:rPr>
          <w:rFonts w:hint="eastAsia"/>
        </w:rPr>
        <w:t>油气资产情况</w:t>
      </w:r>
    </w:p>
    <w:sdt>
      <w:sdtPr>
        <w:alias w:val="是否适用：油气资产[双击切换]"/>
        <w:tag w:val="_GBC_a587239cd6ac4d96b99f6fe496e97c34"/>
        <w:id w:val="1505855235"/>
        <w:lock w:val="sdtLocked"/>
        <w:placeholder>
          <w:docPart w:val="GBC22222222222222222222222222222"/>
        </w:placeholder>
      </w:sdtPr>
      <w:sdtEndPr/>
      <w:sdtContent>
        <w:p w:rsidR="004A3868" w:rsidRDefault="003F1AB5">
          <w:pPr>
            <w:rPr>
              <w:rFonts w:cstheme="minorBidi"/>
              <w:kern w:val="2"/>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82"/>
        </w:numPr>
      </w:pPr>
      <w:r>
        <w:rPr>
          <w:rFonts w:hint="eastAsia"/>
        </w:rPr>
        <w:lastRenderedPageBreak/>
        <w:t>油气资产的减值测试情况</w:t>
      </w:r>
    </w:p>
    <w:sdt>
      <w:sdtPr>
        <w:alias w:val="是否适用：减值测试情况[双击切换]"/>
        <w:tag w:val="_GBC_c658db7dbb96462dbe4ab745ca73e3ca"/>
        <w:id w:val="-32143098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可收回金额按公允价值减去处置费用后的净额确定</w:t>
      </w:r>
    </w:p>
    <w:sdt>
      <w:sdtPr>
        <w:rPr>
          <w:sz w:val="21"/>
          <w:szCs w:val="21"/>
        </w:rPr>
        <w:alias w:val="是否适用：可收回金额按公允价值减去处置费用后的净额确定[双击切换]"/>
        <w:tag w:val="_GBC_6d7ad453f0d544e18fe765afbf799c12"/>
        <w:id w:val="-80416043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可收回金额按预计未来现金流量的现值确定</w:t>
      </w:r>
    </w:p>
    <w:sdt>
      <w:sdtPr>
        <w:rPr>
          <w:rFonts w:hint="eastAsia"/>
        </w:rPr>
        <w:alias w:val="是否适用：可收回金额按预计未来现金流量的现值确定[双击切换]"/>
        <w:tag w:val="_GBC_5dfaf9e2c5e44d74ab2b5eb6a9244c8c"/>
        <w:id w:val="-135465037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f6fcd0742a4142e79c5e5aa93745eb4c"/>
        <w:id w:val="-152154228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200bdc80e8a64d2b82cc9b21383fc6ee"/>
        <w:id w:val="163682609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其他说明：</w:t>
      </w:r>
    </w:p>
    <w:p w:rsidR="004A3868" w:rsidRDefault="00B34370">
      <w:pPr>
        <w:rPr>
          <w:sz w:val="21"/>
          <w:szCs w:val="21"/>
        </w:rPr>
      </w:pPr>
      <w:sdt>
        <w:sdtPr>
          <w:alias w:val="油气资产的说明"/>
          <w:tag w:val="_GBC_4766b2b071af48e7aaf22a35a082671e"/>
          <w:id w:val="2088485894"/>
          <w:placeholder>
            <w:docPart w:val="GBC22222222222222222222222222222"/>
          </w:placeholder>
        </w:sdtPr>
        <w:sdtEndPr>
          <w:rPr>
            <w:sz w:val="21"/>
            <w:szCs w:val="21"/>
          </w:rPr>
        </w:sdtEndPr>
        <w:sdtContent>
          <w:r w:rsidR="003F1AB5">
            <w:rPr>
              <w:rFonts w:hint="eastAsia"/>
              <w:sz w:val="21"/>
              <w:szCs w:val="21"/>
            </w:rPr>
            <w:t>无</w:t>
          </w:r>
        </w:sdtContent>
      </w:sdt>
    </w:p>
    <w:bookmarkStart w:id="208" w:name="_Hlk24026112" w:displacedByCustomXml="next"/>
    <w:sdt>
      <w:sdtPr>
        <w:rPr>
          <w:rFonts w:ascii="宋体" w:hAnsi="宋体" w:cs="宋体" w:hint="eastAsia"/>
          <w:b w:val="0"/>
          <w:bCs w:val="0"/>
          <w:kern w:val="0"/>
          <w:szCs w:val="24"/>
        </w:rPr>
        <w:alias w:val="模块:使用权资产"/>
        <w:tag w:val="_SEC_56ef077439914c3f97ba31c1af9eef32"/>
        <w:id w:val="-699010953"/>
        <w:placeholder>
          <w:docPart w:val="GBC22222222222222222222222222222"/>
        </w:placeholder>
      </w:sdtPr>
      <w:sdtEndPr>
        <w:rPr>
          <w:szCs w:val="21"/>
        </w:rPr>
      </w:sdtEndPr>
      <w:sdtContent>
        <w:p w:rsidR="004A3868" w:rsidRDefault="003F1AB5">
          <w:pPr>
            <w:pStyle w:val="Style12711"/>
          </w:pPr>
          <w:r>
            <w:rPr>
              <w:rFonts w:hint="eastAsia"/>
            </w:rPr>
            <w:t>使用权资产</w:t>
          </w:r>
        </w:p>
        <w:p w:rsidR="004A3868" w:rsidRDefault="003F1AB5">
          <w:pPr>
            <w:pStyle w:val="Style128"/>
            <w:numPr>
              <w:ilvl w:val="0"/>
              <w:numId w:val="83"/>
            </w:numPr>
          </w:pPr>
          <w:r>
            <w:rPr>
              <w:rFonts w:hint="eastAsia"/>
            </w:rPr>
            <w:t>使用权资产情况</w:t>
          </w:r>
        </w:p>
        <w:sdt>
          <w:sdtPr>
            <w:alias w:val="是否适用：使用权资产[双击切换]"/>
            <w:tag w:val="_GBC_0d86ed9789d84ef592fcb1556e3f676f"/>
            <w:id w:val="-2025696236"/>
            <w:lock w:val="conten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使用权资产"/>
              <w:tag w:val="_GBC_f958637710fb400c8900b59a67a7bfeb"/>
              <w:id w:val="-7326161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使用权资产"/>
              <w:tag w:val="_GBC_52957ed8d1644c96801bc28a57ac0486"/>
              <w:id w:val="-20274694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732"/>
            <w:gridCol w:w="2135"/>
            <w:gridCol w:w="2176"/>
            <w:gridCol w:w="1780"/>
          </w:tblGrid>
          <w:tr w:rsidR="004A3868">
            <w:trPr>
              <w:trHeight w:val="397"/>
              <w:jc w:val="center"/>
            </w:trPr>
            <w:sdt>
              <w:sdtPr>
                <w:tag w:val="_PLD_6e52ac1447e040bbbee6d5db3fc1c995"/>
                <w:id w:val="-389262439"/>
              </w:sdtPr>
              <w:sdtEndPr/>
              <w:sdtContent>
                <w:tc>
                  <w:tcPr>
                    <w:tcW w:w="1548" w:type="pct"/>
                    <w:shd w:val="clear" w:color="auto" w:fill="auto"/>
                    <w:vAlign w:val="center"/>
                  </w:tcPr>
                  <w:p w:rsidR="004A3868" w:rsidRDefault="003F1AB5">
                    <w:pPr>
                      <w:pStyle w:val="afffb"/>
                    </w:pPr>
                    <w:r>
                      <w:rPr>
                        <w:rFonts w:hint="eastAsia"/>
                      </w:rPr>
                      <w:t>项目</w:t>
                    </w:r>
                  </w:p>
                </w:tc>
              </w:sdtContent>
            </w:sdt>
            <w:sdt>
              <w:sdtPr>
                <w:alias w:val="使用权资产明细-项目"/>
                <w:tag w:val="_GBC_8854a3b92dce426b81aa78cb836a99cd"/>
                <w:id w:val="1770038335"/>
              </w:sdtPr>
              <w:sdtEndPr/>
              <w:sdtContent>
                <w:tc>
                  <w:tcPr>
                    <w:tcW w:w="1210" w:type="pct"/>
                    <w:shd w:val="clear" w:color="auto" w:fill="auto"/>
                    <w:vAlign w:val="center"/>
                  </w:tcPr>
                  <w:p w:rsidR="004A3868" w:rsidRDefault="003F1AB5">
                    <w:pPr>
                      <w:pStyle w:val="afffb"/>
                    </w:pPr>
                    <w:r>
                      <w:rPr>
                        <w:rFonts w:hint="eastAsia"/>
                      </w:rPr>
                      <w:t>房屋建筑物</w:t>
                    </w:r>
                  </w:p>
                </w:tc>
              </w:sdtContent>
            </w:sdt>
            <w:sdt>
              <w:sdtPr>
                <w:alias w:val="使用权资产明细-项目"/>
                <w:tag w:val="_GBC_8854a3b92dce426b81aa78cb836a99cd"/>
                <w:id w:val="1407951236"/>
              </w:sdtPr>
              <w:sdtEndPr/>
              <w:sdtContent>
                <w:tc>
                  <w:tcPr>
                    <w:tcW w:w="1233" w:type="pct"/>
                    <w:shd w:val="clear" w:color="auto" w:fill="auto"/>
                    <w:vAlign w:val="center"/>
                  </w:tcPr>
                  <w:p w:rsidR="004A3868" w:rsidRDefault="003F1AB5">
                    <w:pPr>
                      <w:pStyle w:val="afffb"/>
                    </w:pPr>
                    <w:r>
                      <w:rPr>
                        <w:rFonts w:hint="eastAsia"/>
                      </w:rPr>
                      <w:t>运输工具</w:t>
                    </w:r>
                  </w:p>
                </w:tc>
              </w:sdtContent>
            </w:sdt>
            <w:sdt>
              <w:sdtPr>
                <w:tag w:val="_PLD_9c5be9b6ed044311be8a2370c18f35f0"/>
                <w:id w:val="-1691980317"/>
              </w:sdtPr>
              <w:sdtEndPr/>
              <w:sdtContent>
                <w:tc>
                  <w:tcPr>
                    <w:tcW w:w="1009" w:type="pct"/>
                    <w:shd w:val="clear" w:color="auto" w:fill="auto"/>
                    <w:vAlign w:val="center"/>
                  </w:tcPr>
                  <w:p w:rsidR="004A3868" w:rsidRDefault="003F1AB5">
                    <w:pPr>
                      <w:pStyle w:val="afffb"/>
                    </w:pPr>
                    <w:r>
                      <w:t>合计</w:t>
                    </w:r>
                  </w:p>
                </w:tc>
              </w:sdtContent>
            </w:sdt>
          </w:tr>
          <w:tr w:rsidR="004A3868">
            <w:trPr>
              <w:trHeight w:val="397"/>
              <w:jc w:val="center"/>
            </w:trPr>
            <w:sdt>
              <w:sdtPr>
                <w:rPr>
                  <w:sz w:val="18"/>
                  <w:szCs w:val="18"/>
                </w:rPr>
                <w:tag w:val="_PLD_3548dba12ab44fffb8352baf0a2432b0"/>
                <w:id w:val="-118306792"/>
              </w:sdtPr>
              <w:sdtEndPr/>
              <w:sdtContent>
                <w:tc>
                  <w:tcPr>
                    <w:tcW w:w="5000" w:type="pct"/>
                    <w:gridSpan w:val="4"/>
                    <w:shd w:val="clear" w:color="auto" w:fill="auto"/>
                    <w:vAlign w:val="center"/>
                  </w:tcPr>
                  <w:p w:rsidR="004A3868" w:rsidRDefault="003F1AB5">
                    <w:pPr>
                      <w:rPr>
                        <w:sz w:val="18"/>
                        <w:szCs w:val="18"/>
                      </w:rPr>
                    </w:pPr>
                    <w:r>
                      <w:rPr>
                        <w:sz w:val="18"/>
                        <w:szCs w:val="18"/>
                      </w:rPr>
                      <w:t>一、</w:t>
                    </w:r>
                    <w:r>
                      <w:rPr>
                        <w:rFonts w:hint="eastAsia"/>
                        <w:sz w:val="18"/>
                        <w:szCs w:val="18"/>
                      </w:rPr>
                      <w:t>账面</w:t>
                    </w:r>
                    <w:r>
                      <w:rPr>
                        <w:sz w:val="18"/>
                        <w:szCs w:val="18"/>
                      </w:rPr>
                      <w:t>原</w:t>
                    </w:r>
                    <w:r>
                      <w:rPr>
                        <w:rFonts w:hint="eastAsia"/>
                        <w:sz w:val="18"/>
                        <w:szCs w:val="18"/>
                      </w:rPr>
                      <w:t>值</w:t>
                    </w:r>
                  </w:p>
                </w:tc>
              </w:sdtContent>
            </w:sdt>
          </w:tr>
          <w:tr w:rsidR="004A3868">
            <w:trPr>
              <w:trHeight w:val="397"/>
              <w:jc w:val="center"/>
            </w:trPr>
            <w:tc>
              <w:tcPr>
                <w:tcW w:w="1548" w:type="pct"/>
                <w:shd w:val="clear" w:color="auto" w:fill="auto"/>
                <w:vAlign w:val="center"/>
              </w:tcPr>
              <w:p w:rsidR="004A3868" w:rsidRDefault="003F1AB5">
                <w:pPr>
                  <w:pStyle w:val="afff9"/>
                </w:pPr>
                <w:r>
                  <w:t>1.</w:t>
                </w:r>
                <w:r>
                  <w:rPr>
                    <w:rFonts w:hint="eastAsia"/>
                  </w:rPr>
                  <w:t>期</w:t>
                </w:r>
                <w:r>
                  <w:t>初余额</w:t>
                </w:r>
              </w:p>
            </w:tc>
            <w:tc>
              <w:tcPr>
                <w:tcW w:w="1210" w:type="pct"/>
                <w:shd w:val="clear" w:color="auto" w:fill="auto"/>
                <w:vAlign w:val="center"/>
              </w:tcPr>
              <w:p w:rsidR="004A3868" w:rsidRDefault="003F1AB5">
                <w:pPr>
                  <w:pStyle w:val="afff7"/>
                </w:pPr>
                <w:r>
                  <w:t>1,676,036.25</w:t>
                </w:r>
              </w:p>
            </w:tc>
            <w:tc>
              <w:tcPr>
                <w:tcW w:w="1233" w:type="pct"/>
                <w:shd w:val="clear" w:color="auto" w:fill="auto"/>
                <w:vAlign w:val="center"/>
              </w:tcPr>
              <w:p w:rsidR="004A3868" w:rsidRDefault="004A3868">
                <w:pPr>
                  <w:pStyle w:val="afff7"/>
                </w:pPr>
              </w:p>
            </w:tc>
            <w:tc>
              <w:tcPr>
                <w:tcW w:w="1009" w:type="pct"/>
                <w:shd w:val="clear" w:color="auto" w:fill="auto"/>
                <w:vAlign w:val="center"/>
              </w:tcPr>
              <w:p w:rsidR="004A3868" w:rsidRDefault="003F1AB5">
                <w:pPr>
                  <w:pStyle w:val="afff7"/>
                </w:pPr>
                <w:r>
                  <w:t>1,676,036.25</w:t>
                </w:r>
              </w:p>
            </w:tc>
          </w:tr>
          <w:tr w:rsidR="004A3868">
            <w:trPr>
              <w:trHeight w:val="397"/>
              <w:jc w:val="center"/>
            </w:trPr>
            <w:tc>
              <w:tcPr>
                <w:tcW w:w="1548" w:type="pct"/>
                <w:shd w:val="clear" w:color="auto" w:fill="auto"/>
                <w:vAlign w:val="center"/>
              </w:tcPr>
              <w:p w:rsidR="004A3868" w:rsidRDefault="003F1AB5">
                <w:pPr>
                  <w:pStyle w:val="afff9"/>
                </w:pPr>
                <w:r>
                  <w:t>2.</w:t>
                </w:r>
                <w:r>
                  <w:t>本期增加</w:t>
                </w:r>
                <w:r>
                  <w:rPr>
                    <w:rFonts w:hint="eastAsia"/>
                  </w:rPr>
                  <w:t>金额</w:t>
                </w:r>
              </w:p>
            </w:tc>
            <w:tc>
              <w:tcPr>
                <w:tcW w:w="1210" w:type="pct"/>
                <w:shd w:val="clear" w:color="auto" w:fill="auto"/>
                <w:vAlign w:val="center"/>
              </w:tcPr>
              <w:p w:rsidR="004A3868" w:rsidRDefault="003F1AB5">
                <w:pPr>
                  <w:pStyle w:val="afff7"/>
                </w:pPr>
                <w:r>
                  <w:t>9,393,571.66</w:t>
                </w:r>
              </w:p>
            </w:tc>
            <w:tc>
              <w:tcPr>
                <w:tcW w:w="1233" w:type="pct"/>
                <w:shd w:val="clear" w:color="auto" w:fill="auto"/>
                <w:vAlign w:val="center"/>
              </w:tcPr>
              <w:p w:rsidR="004A3868" w:rsidRDefault="003F1AB5">
                <w:pPr>
                  <w:pStyle w:val="afff7"/>
                </w:pPr>
                <w:r>
                  <w:t>807,105.21</w:t>
                </w:r>
              </w:p>
            </w:tc>
            <w:tc>
              <w:tcPr>
                <w:tcW w:w="1009" w:type="pct"/>
                <w:shd w:val="clear" w:color="auto" w:fill="auto"/>
                <w:vAlign w:val="center"/>
              </w:tcPr>
              <w:p w:rsidR="004A3868" w:rsidRDefault="003F1AB5">
                <w:pPr>
                  <w:pStyle w:val="afff7"/>
                </w:pPr>
                <w:r>
                  <w:t>10,200,676.87</w:t>
                </w:r>
              </w:p>
            </w:tc>
          </w:tr>
          <w:tr w:rsidR="004A3868">
            <w:trPr>
              <w:trHeight w:val="397"/>
              <w:jc w:val="center"/>
            </w:trPr>
            <w:tc>
              <w:tcPr>
                <w:tcW w:w="1548" w:type="pct"/>
                <w:shd w:val="clear" w:color="auto" w:fill="auto"/>
                <w:vAlign w:val="center"/>
              </w:tcPr>
              <w:p w:rsidR="004A3868" w:rsidRDefault="003F1AB5">
                <w:pPr>
                  <w:pStyle w:val="afff9"/>
                </w:pPr>
                <w:r>
                  <w:rPr>
                    <w:rFonts w:hint="eastAsia"/>
                  </w:rPr>
                  <w:t>租赁</w:t>
                </w:r>
              </w:p>
            </w:tc>
            <w:tc>
              <w:tcPr>
                <w:tcW w:w="1210" w:type="pct"/>
                <w:shd w:val="clear" w:color="auto" w:fill="auto"/>
                <w:vAlign w:val="center"/>
              </w:tcPr>
              <w:p w:rsidR="004A3868" w:rsidRDefault="003F1AB5">
                <w:pPr>
                  <w:pStyle w:val="afff7"/>
                </w:pPr>
                <w:r>
                  <w:t>9,393,571.66</w:t>
                </w:r>
              </w:p>
            </w:tc>
            <w:tc>
              <w:tcPr>
                <w:tcW w:w="1233" w:type="pct"/>
                <w:shd w:val="clear" w:color="auto" w:fill="auto"/>
                <w:vAlign w:val="center"/>
              </w:tcPr>
              <w:p w:rsidR="004A3868" w:rsidRDefault="003F1AB5">
                <w:pPr>
                  <w:pStyle w:val="afff7"/>
                </w:pPr>
                <w:r>
                  <w:t>807,105.21</w:t>
                </w:r>
              </w:p>
            </w:tc>
            <w:tc>
              <w:tcPr>
                <w:tcW w:w="1009" w:type="pct"/>
                <w:shd w:val="clear" w:color="auto" w:fill="auto"/>
                <w:vAlign w:val="center"/>
              </w:tcPr>
              <w:p w:rsidR="004A3868" w:rsidRDefault="003F1AB5">
                <w:pPr>
                  <w:pStyle w:val="afff7"/>
                </w:pPr>
                <w:r>
                  <w:t>10,200,676.87</w:t>
                </w:r>
              </w:p>
            </w:tc>
          </w:tr>
          <w:tr w:rsidR="004A3868">
            <w:trPr>
              <w:trHeight w:val="397"/>
              <w:jc w:val="center"/>
            </w:trPr>
            <w:tc>
              <w:tcPr>
                <w:tcW w:w="1548" w:type="pct"/>
                <w:shd w:val="clear" w:color="auto" w:fill="auto"/>
                <w:vAlign w:val="center"/>
              </w:tcPr>
              <w:p w:rsidR="004A3868" w:rsidRDefault="003F1AB5">
                <w:pPr>
                  <w:pStyle w:val="afff9"/>
                </w:pPr>
                <w:r>
                  <w:t>3.</w:t>
                </w:r>
                <w:r>
                  <w:t>本期减少</w:t>
                </w:r>
                <w:r>
                  <w:rPr>
                    <w:rFonts w:hint="eastAsia"/>
                  </w:rPr>
                  <w:t>金额</w:t>
                </w:r>
              </w:p>
            </w:tc>
            <w:tc>
              <w:tcPr>
                <w:tcW w:w="1210" w:type="pct"/>
                <w:shd w:val="clear" w:color="auto" w:fill="auto"/>
                <w:vAlign w:val="center"/>
              </w:tcPr>
              <w:p w:rsidR="004A3868" w:rsidRDefault="003F1AB5">
                <w:pPr>
                  <w:pStyle w:val="afff7"/>
                </w:pPr>
                <w:r>
                  <w:rPr>
                    <w:rFonts w:hint="eastAsia"/>
                  </w:rPr>
                  <w:t xml:space="preserve">　</w:t>
                </w:r>
              </w:p>
            </w:tc>
            <w:tc>
              <w:tcPr>
                <w:tcW w:w="1233" w:type="pct"/>
                <w:shd w:val="clear" w:color="auto" w:fill="auto"/>
                <w:vAlign w:val="center"/>
              </w:tcPr>
              <w:p w:rsidR="004A3868" w:rsidRDefault="004A3868">
                <w:pPr>
                  <w:pStyle w:val="afff7"/>
                </w:pPr>
              </w:p>
            </w:tc>
            <w:tc>
              <w:tcPr>
                <w:tcW w:w="1009" w:type="pct"/>
                <w:shd w:val="clear" w:color="auto" w:fill="auto"/>
                <w:vAlign w:val="center"/>
              </w:tcPr>
              <w:p w:rsidR="004A3868" w:rsidRDefault="003F1AB5">
                <w:pPr>
                  <w:pStyle w:val="afff7"/>
                </w:pPr>
                <w:r>
                  <w:rPr>
                    <w:rFonts w:hint="eastAsia"/>
                  </w:rPr>
                  <w:t xml:space="preserve">　</w:t>
                </w:r>
              </w:p>
            </w:tc>
          </w:tr>
          <w:tr w:rsidR="004A3868">
            <w:trPr>
              <w:trHeight w:val="397"/>
              <w:jc w:val="center"/>
            </w:trPr>
            <w:tc>
              <w:tcPr>
                <w:tcW w:w="1548" w:type="pct"/>
                <w:shd w:val="clear" w:color="auto" w:fill="auto"/>
                <w:vAlign w:val="center"/>
              </w:tcPr>
              <w:p w:rsidR="004A3868" w:rsidRDefault="003F1AB5">
                <w:pPr>
                  <w:pStyle w:val="afff9"/>
                </w:pPr>
                <w:r>
                  <w:t>4.</w:t>
                </w:r>
                <w:r>
                  <w:t>期末余额</w:t>
                </w:r>
              </w:p>
            </w:tc>
            <w:tc>
              <w:tcPr>
                <w:tcW w:w="1210" w:type="pct"/>
                <w:shd w:val="clear" w:color="auto" w:fill="auto"/>
                <w:vAlign w:val="center"/>
              </w:tcPr>
              <w:p w:rsidR="004A3868" w:rsidRDefault="003F1AB5">
                <w:pPr>
                  <w:pStyle w:val="afff7"/>
                </w:pPr>
                <w:r>
                  <w:t>11,069,607.91</w:t>
                </w:r>
              </w:p>
            </w:tc>
            <w:tc>
              <w:tcPr>
                <w:tcW w:w="1233" w:type="pct"/>
                <w:shd w:val="clear" w:color="auto" w:fill="auto"/>
                <w:vAlign w:val="center"/>
              </w:tcPr>
              <w:p w:rsidR="004A3868" w:rsidRDefault="003F1AB5">
                <w:pPr>
                  <w:pStyle w:val="afff7"/>
                </w:pPr>
                <w:r>
                  <w:t>807,105.21</w:t>
                </w:r>
              </w:p>
            </w:tc>
            <w:tc>
              <w:tcPr>
                <w:tcW w:w="1009" w:type="pct"/>
                <w:shd w:val="clear" w:color="auto" w:fill="auto"/>
                <w:vAlign w:val="center"/>
              </w:tcPr>
              <w:p w:rsidR="004A3868" w:rsidRDefault="003F1AB5">
                <w:pPr>
                  <w:pStyle w:val="afff7"/>
                </w:pPr>
                <w:r>
                  <w:t>11,876,713.12</w:t>
                </w:r>
              </w:p>
            </w:tc>
          </w:tr>
          <w:tr w:rsidR="004A3868">
            <w:trPr>
              <w:trHeight w:val="397"/>
              <w:jc w:val="center"/>
            </w:trPr>
            <w:sdt>
              <w:sdtPr>
                <w:tag w:val="_PLD_39b1174f077e44e0af9583631dcb785f"/>
                <w:id w:val="-1501267919"/>
              </w:sdtPr>
              <w:sdtEndPr/>
              <w:sdtContent>
                <w:tc>
                  <w:tcPr>
                    <w:tcW w:w="5000" w:type="pct"/>
                    <w:gridSpan w:val="4"/>
                    <w:shd w:val="clear" w:color="auto" w:fill="auto"/>
                    <w:vAlign w:val="center"/>
                  </w:tcPr>
                  <w:p w:rsidR="004A3868" w:rsidRDefault="003F1AB5">
                    <w:pPr>
                      <w:pStyle w:val="afff9"/>
                    </w:pPr>
                    <w:r>
                      <w:t>二、累计折旧</w:t>
                    </w:r>
                  </w:p>
                </w:tc>
              </w:sdtContent>
            </w:sdt>
          </w:tr>
          <w:tr w:rsidR="004A3868">
            <w:trPr>
              <w:trHeight w:val="397"/>
              <w:jc w:val="center"/>
            </w:trPr>
            <w:tc>
              <w:tcPr>
                <w:tcW w:w="1548" w:type="pct"/>
                <w:shd w:val="clear" w:color="auto" w:fill="auto"/>
                <w:vAlign w:val="center"/>
              </w:tcPr>
              <w:p w:rsidR="004A3868" w:rsidRDefault="003F1AB5">
                <w:pPr>
                  <w:pStyle w:val="afff9"/>
                </w:pPr>
                <w:r>
                  <w:rPr>
                    <w:rFonts w:hint="eastAsia"/>
                  </w:rPr>
                  <w:t>1.</w:t>
                </w:r>
                <w:r>
                  <w:rPr>
                    <w:rFonts w:hint="eastAsia"/>
                  </w:rPr>
                  <w:t>期</w:t>
                </w:r>
                <w:r>
                  <w:t>初余额</w:t>
                </w:r>
              </w:p>
            </w:tc>
            <w:tc>
              <w:tcPr>
                <w:tcW w:w="1210" w:type="pct"/>
                <w:shd w:val="clear" w:color="auto" w:fill="auto"/>
                <w:vAlign w:val="center"/>
              </w:tcPr>
              <w:p w:rsidR="004A3868" w:rsidRDefault="003F1AB5">
                <w:pPr>
                  <w:pStyle w:val="afff7"/>
                  <w:rPr>
                    <w:b/>
                    <w:bCs/>
                  </w:rPr>
                </w:pPr>
                <w:r>
                  <w:t>46,556.56</w:t>
                </w:r>
              </w:p>
            </w:tc>
            <w:tc>
              <w:tcPr>
                <w:tcW w:w="1233" w:type="pct"/>
                <w:shd w:val="clear" w:color="auto" w:fill="auto"/>
                <w:vAlign w:val="center"/>
              </w:tcPr>
              <w:p w:rsidR="004A3868" w:rsidRDefault="004A3868">
                <w:pPr>
                  <w:pStyle w:val="afff7"/>
                </w:pPr>
              </w:p>
            </w:tc>
            <w:tc>
              <w:tcPr>
                <w:tcW w:w="1009" w:type="pct"/>
                <w:shd w:val="clear" w:color="auto" w:fill="auto"/>
                <w:vAlign w:val="center"/>
              </w:tcPr>
              <w:p w:rsidR="004A3868" w:rsidRDefault="003F1AB5">
                <w:pPr>
                  <w:pStyle w:val="afff7"/>
                  <w:rPr>
                    <w:b/>
                    <w:bCs/>
                  </w:rPr>
                </w:pPr>
                <w:r>
                  <w:t>46,556.56</w:t>
                </w:r>
              </w:p>
            </w:tc>
          </w:tr>
          <w:tr w:rsidR="004A3868">
            <w:trPr>
              <w:trHeight w:val="397"/>
              <w:jc w:val="center"/>
            </w:trPr>
            <w:tc>
              <w:tcPr>
                <w:tcW w:w="1548" w:type="pct"/>
                <w:shd w:val="clear" w:color="auto" w:fill="auto"/>
                <w:vAlign w:val="center"/>
              </w:tcPr>
              <w:p w:rsidR="004A3868" w:rsidRDefault="003F1AB5">
                <w:pPr>
                  <w:pStyle w:val="afff9"/>
                </w:pPr>
                <w:r>
                  <w:t>2.</w:t>
                </w:r>
                <w:r>
                  <w:t>本期增加</w:t>
                </w:r>
                <w:r>
                  <w:rPr>
                    <w:rFonts w:hint="eastAsia"/>
                  </w:rPr>
                  <w:t>金额</w:t>
                </w:r>
              </w:p>
            </w:tc>
            <w:tc>
              <w:tcPr>
                <w:tcW w:w="1210" w:type="pct"/>
                <w:shd w:val="clear" w:color="auto" w:fill="auto"/>
                <w:vAlign w:val="center"/>
              </w:tcPr>
              <w:p w:rsidR="004A3868" w:rsidRDefault="003F1AB5">
                <w:pPr>
                  <w:pStyle w:val="afff7"/>
                </w:pPr>
                <w:r>
                  <w:t>2,769,166.64</w:t>
                </w:r>
              </w:p>
            </w:tc>
            <w:tc>
              <w:tcPr>
                <w:tcW w:w="1233" w:type="pct"/>
                <w:shd w:val="clear" w:color="auto" w:fill="auto"/>
                <w:vAlign w:val="center"/>
              </w:tcPr>
              <w:p w:rsidR="004A3868" w:rsidRDefault="003F1AB5">
                <w:pPr>
                  <w:pStyle w:val="afff7"/>
                </w:pPr>
                <w:r>
                  <w:t>21,813.65</w:t>
                </w:r>
              </w:p>
            </w:tc>
            <w:tc>
              <w:tcPr>
                <w:tcW w:w="1009" w:type="pct"/>
                <w:shd w:val="clear" w:color="auto" w:fill="auto"/>
                <w:vAlign w:val="center"/>
              </w:tcPr>
              <w:p w:rsidR="004A3868" w:rsidRDefault="003F1AB5">
                <w:pPr>
                  <w:pStyle w:val="afff7"/>
                </w:pPr>
                <w:r>
                  <w:t>2,790,980.29</w:t>
                </w:r>
              </w:p>
            </w:tc>
          </w:tr>
          <w:tr w:rsidR="004A3868">
            <w:trPr>
              <w:trHeight w:val="397"/>
              <w:jc w:val="center"/>
            </w:trPr>
            <w:tc>
              <w:tcPr>
                <w:tcW w:w="1548" w:type="pct"/>
                <w:shd w:val="clear" w:color="auto" w:fill="auto"/>
                <w:vAlign w:val="center"/>
              </w:tcPr>
              <w:p w:rsidR="004A3868" w:rsidRDefault="003F1AB5">
                <w:pPr>
                  <w:pStyle w:val="afff9"/>
                </w:pPr>
                <w:r>
                  <w:t>(1)</w:t>
                </w:r>
                <w:r>
                  <w:t>计提</w:t>
                </w:r>
              </w:p>
            </w:tc>
            <w:tc>
              <w:tcPr>
                <w:tcW w:w="1210" w:type="pct"/>
                <w:shd w:val="clear" w:color="auto" w:fill="auto"/>
                <w:vAlign w:val="center"/>
              </w:tcPr>
              <w:p w:rsidR="004A3868" w:rsidRDefault="003F1AB5">
                <w:pPr>
                  <w:pStyle w:val="afff7"/>
                </w:pPr>
                <w:r>
                  <w:t>2,769,166.64</w:t>
                </w:r>
              </w:p>
            </w:tc>
            <w:tc>
              <w:tcPr>
                <w:tcW w:w="1233" w:type="pct"/>
                <w:shd w:val="clear" w:color="auto" w:fill="auto"/>
                <w:vAlign w:val="center"/>
              </w:tcPr>
              <w:p w:rsidR="004A3868" w:rsidRDefault="003F1AB5">
                <w:pPr>
                  <w:pStyle w:val="afff7"/>
                </w:pPr>
                <w:r>
                  <w:t>21,813.65</w:t>
                </w:r>
              </w:p>
            </w:tc>
            <w:tc>
              <w:tcPr>
                <w:tcW w:w="1009" w:type="pct"/>
                <w:shd w:val="clear" w:color="auto" w:fill="auto"/>
                <w:vAlign w:val="center"/>
              </w:tcPr>
              <w:p w:rsidR="004A3868" w:rsidRDefault="003F1AB5">
                <w:pPr>
                  <w:pStyle w:val="afff7"/>
                </w:pPr>
                <w:r>
                  <w:t>2,790,980.29</w:t>
                </w:r>
              </w:p>
            </w:tc>
          </w:tr>
          <w:tr w:rsidR="004A3868">
            <w:trPr>
              <w:trHeight w:val="397"/>
              <w:jc w:val="center"/>
            </w:trPr>
            <w:tc>
              <w:tcPr>
                <w:tcW w:w="1548" w:type="pct"/>
                <w:shd w:val="clear" w:color="auto" w:fill="auto"/>
                <w:vAlign w:val="center"/>
              </w:tcPr>
              <w:p w:rsidR="004A3868" w:rsidRDefault="003F1AB5">
                <w:pPr>
                  <w:pStyle w:val="afff9"/>
                </w:pPr>
                <w:r>
                  <w:rPr>
                    <w:rFonts w:hint="eastAsia"/>
                  </w:rPr>
                  <w:t>3.</w:t>
                </w:r>
                <w:r>
                  <w:t>本期减少</w:t>
                </w:r>
                <w:r>
                  <w:rPr>
                    <w:rFonts w:hint="eastAsia"/>
                  </w:rPr>
                  <w:t>金额</w:t>
                </w:r>
              </w:p>
            </w:tc>
            <w:tc>
              <w:tcPr>
                <w:tcW w:w="1210" w:type="pct"/>
                <w:shd w:val="clear" w:color="auto" w:fill="auto"/>
                <w:vAlign w:val="center"/>
              </w:tcPr>
              <w:p w:rsidR="004A3868" w:rsidRDefault="003F1AB5">
                <w:pPr>
                  <w:rPr>
                    <w:sz w:val="18"/>
                    <w:szCs w:val="18"/>
                  </w:rPr>
                </w:pPr>
                <w:r>
                  <w:rPr>
                    <w:rFonts w:hint="eastAsia"/>
                    <w:sz w:val="18"/>
                    <w:szCs w:val="18"/>
                  </w:rPr>
                  <w:t xml:space="preserve">　</w:t>
                </w:r>
              </w:p>
            </w:tc>
            <w:tc>
              <w:tcPr>
                <w:tcW w:w="1233" w:type="pct"/>
                <w:shd w:val="clear" w:color="auto" w:fill="auto"/>
                <w:vAlign w:val="center"/>
              </w:tcPr>
              <w:p w:rsidR="004A3868" w:rsidRDefault="004A3868">
                <w:pPr>
                  <w:rPr>
                    <w:sz w:val="18"/>
                    <w:szCs w:val="18"/>
                  </w:rPr>
                </w:pPr>
              </w:p>
            </w:tc>
            <w:tc>
              <w:tcPr>
                <w:tcW w:w="1009" w:type="pct"/>
                <w:shd w:val="clear" w:color="auto" w:fill="auto"/>
                <w:vAlign w:val="center"/>
              </w:tcPr>
              <w:p w:rsidR="004A3868" w:rsidRDefault="003F1AB5">
                <w:pPr>
                  <w:rPr>
                    <w:sz w:val="18"/>
                    <w:szCs w:val="18"/>
                  </w:rPr>
                </w:pPr>
                <w:r>
                  <w:rPr>
                    <w:rFonts w:hint="eastAsia"/>
                    <w:sz w:val="18"/>
                    <w:szCs w:val="18"/>
                  </w:rPr>
                  <w:t xml:space="preserve">　</w:t>
                </w:r>
              </w:p>
            </w:tc>
          </w:tr>
          <w:tr w:rsidR="004A3868">
            <w:trPr>
              <w:trHeight w:val="397"/>
              <w:jc w:val="center"/>
            </w:trPr>
            <w:tc>
              <w:tcPr>
                <w:tcW w:w="1548" w:type="pct"/>
                <w:shd w:val="clear" w:color="auto" w:fill="auto"/>
                <w:vAlign w:val="center"/>
              </w:tcPr>
              <w:p w:rsidR="004A3868" w:rsidRDefault="003F1AB5">
                <w:pPr>
                  <w:pStyle w:val="afff9"/>
                </w:pPr>
                <w:r>
                  <w:t>(1)</w:t>
                </w:r>
                <w:r>
                  <w:rPr>
                    <w:rFonts w:hint="eastAsia"/>
                  </w:rPr>
                  <w:t>处置</w:t>
                </w:r>
              </w:p>
            </w:tc>
            <w:tc>
              <w:tcPr>
                <w:tcW w:w="1210" w:type="pct"/>
                <w:shd w:val="clear" w:color="auto" w:fill="auto"/>
                <w:vAlign w:val="center"/>
              </w:tcPr>
              <w:p w:rsidR="004A3868" w:rsidRDefault="003F1AB5">
                <w:pPr>
                  <w:rPr>
                    <w:sz w:val="18"/>
                    <w:szCs w:val="18"/>
                  </w:rPr>
                </w:pPr>
                <w:r>
                  <w:rPr>
                    <w:rFonts w:hint="eastAsia"/>
                    <w:sz w:val="18"/>
                    <w:szCs w:val="18"/>
                  </w:rPr>
                  <w:t xml:space="preserve">　</w:t>
                </w:r>
              </w:p>
            </w:tc>
            <w:tc>
              <w:tcPr>
                <w:tcW w:w="1233" w:type="pct"/>
                <w:shd w:val="clear" w:color="auto" w:fill="auto"/>
                <w:vAlign w:val="center"/>
              </w:tcPr>
              <w:p w:rsidR="004A3868" w:rsidRDefault="004A3868">
                <w:pPr>
                  <w:rPr>
                    <w:sz w:val="18"/>
                    <w:szCs w:val="18"/>
                  </w:rPr>
                </w:pPr>
              </w:p>
            </w:tc>
            <w:tc>
              <w:tcPr>
                <w:tcW w:w="1009" w:type="pct"/>
                <w:shd w:val="clear" w:color="auto" w:fill="auto"/>
                <w:vAlign w:val="center"/>
              </w:tcPr>
              <w:p w:rsidR="004A3868" w:rsidRDefault="003F1AB5">
                <w:pPr>
                  <w:rPr>
                    <w:sz w:val="18"/>
                    <w:szCs w:val="18"/>
                  </w:rPr>
                </w:pPr>
                <w:r>
                  <w:rPr>
                    <w:rFonts w:hint="eastAsia"/>
                    <w:sz w:val="18"/>
                    <w:szCs w:val="18"/>
                  </w:rPr>
                  <w:t xml:space="preserve">　</w:t>
                </w:r>
              </w:p>
            </w:tc>
          </w:tr>
          <w:tr w:rsidR="004A3868">
            <w:trPr>
              <w:trHeight w:val="397"/>
              <w:jc w:val="center"/>
            </w:trPr>
            <w:tc>
              <w:tcPr>
                <w:tcW w:w="1548" w:type="pct"/>
                <w:shd w:val="clear" w:color="auto" w:fill="auto"/>
                <w:vAlign w:val="center"/>
              </w:tcPr>
              <w:p w:rsidR="004A3868" w:rsidRDefault="003F1AB5">
                <w:pPr>
                  <w:pStyle w:val="afff9"/>
                </w:pPr>
                <w:r>
                  <w:rPr>
                    <w:rFonts w:hint="eastAsia"/>
                  </w:rPr>
                  <w:t>4.</w:t>
                </w:r>
                <w:r>
                  <w:t>期末余额</w:t>
                </w:r>
              </w:p>
            </w:tc>
            <w:tc>
              <w:tcPr>
                <w:tcW w:w="1210" w:type="pct"/>
                <w:shd w:val="clear" w:color="auto" w:fill="auto"/>
                <w:vAlign w:val="center"/>
              </w:tcPr>
              <w:p w:rsidR="004A3868" w:rsidRDefault="003F1AB5">
                <w:pPr>
                  <w:pStyle w:val="afff7"/>
                </w:pPr>
                <w:r>
                  <w:t>2,815,723.20</w:t>
                </w:r>
              </w:p>
            </w:tc>
            <w:tc>
              <w:tcPr>
                <w:tcW w:w="1233" w:type="pct"/>
                <w:shd w:val="clear" w:color="auto" w:fill="auto"/>
                <w:vAlign w:val="center"/>
              </w:tcPr>
              <w:p w:rsidR="004A3868" w:rsidRDefault="003F1AB5">
                <w:pPr>
                  <w:pStyle w:val="afff7"/>
                </w:pPr>
                <w:r>
                  <w:t>21,813.65</w:t>
                </w:r>
              </w:p>
            </w:tc>
            <w:tc>
              <w:tcPr>
                <w:tcW w:w="1009" w:type="pct"/>
                <w:shd w:val="clear" w:color="auto" w:fill="auto"/>
                <w:vAlign w:val="center"/>
              </w:tcPr>
              <w:p w:rsidR="004A3868" w:rsidRDefault="003F1AB5">
                <w:pPr>
                  <w:pStyle w:val="afff7"/>
                </w:pPr>
                <w:r>
                  <w:t>2,837,536.85</w:t>
                </w:r>
              </w:p>
            </w:tc>
          </w:tr>
          <w:tr w:rsidR="004A3868">
            <w:trPr>
              <w:trHeight w:val="397"/>
              <w:jc w:val="center"/>
            </w:trPr>
            <w:sdt>
              <w:sdtPr>
                <w:tag w:val="_PLD_a32c53282c7a49e1a1747c76e44e7471"/>
                <w:id w:val="1174617583"/>
              </w:sdtPr>
              <w:sdtEndPr/>
              <w:sdtContent>
                <w:tc>
                  <w:tcPr>
                    <w:tcW w:w="5000" w:type="pct"/>
                    <w:gridSpan w:val="4"/>
                    <w:shd w:val="clear" w:color="auto" w:fill="auto"/>
                    <w:vAlign w:val="center"/>
                  </w:tcPr>
                  <w:p w:rsidR="004A3868" w:rsidRDefault="003F1AB5">
                    <w:pPr>
                      <w:pStyle w:val="afff9"/>
                    </w:pPr>
                    <w:r>
                      <w:t>三、减值准备</w:t>
                    </w:r>
                  </w:p>
                </w:tc>
              </w:sdtContent>
            </w:sdt>
          </w:tr>
          <w:tr w:rsidR="004A3868">
            <w:trPr>
              <w:trHeight w:val="397"/>
              <w:jc w:val="center"/>
            </w:trPr>
            <w:tc>
              <w:tcPr>
                <w:tcW w:w="1548" w:type="pct"/>
                <w:shd w:val="clear" w:color="auto" w:fill="auto"/>
                <w:vAlign w:val="center"/>
              </w:tcPr>
              <w:p w:rsidR="004A3868" w:rsidRDefault="003F1AB5">
                <w:pPr>
                  <w:pStyle w:val="afff9"/>
                </w:pPr>
                <w:r>
                  <w:rPr>
                    <w:rFonts w:hint="eastAsia"/>
                  </w:rPr>
                  <w:t>1.</w:t>
                </w:r>
                <w:r>
                  <w:rPr>
                    <w:rFonts w:hint="eastAsia"/>
                  </w:rPr>
                  <w:t>期</w:t>
                </w:r>
                <w:r>
                  <w:t>初余额</w:t>
                </w:r>
              </w:p>
            </w:tc>
            <w:tc>
              <w:tcPr>
                <w:tcW w:w="1210" w:type="pct"/>
                <w:shd w:val="clear" w:color="auto" w:fill="auto"/>
                <w:vAlign w:val="center"/>
              </w:tcPr>
              <w:p w:rsidR="004A3868" w:rsidRDefault="003F1AB5">
                <w:pPr>
                  <w:rPr>
                    <w:sz w:val="18"/>
                    <w:szCs w:val="18"/>
                  </w:rPr>
                </w:pPr>
                <w:r>
                  <w:rPr>
                    <w:rFonts w:hint="eastAsia"/>
                    <w:sz w:val="18"/>
                    <w:szCs w:val="18"/>
                  </w:rPr>
                  <w:t xml:space="preserve">　</w:t>
                </w:r>
              </w:p>
            </w:tc>
            <w:tc>
              <w:tcPr>
                <w:tcW w:w="1233" w:type="pct"/>
                <w:shd w:val="clear" w:color="auto" w:fill="auto"/>
                <w:vAlign w:val="center"/>
              </w:tcPr>
              <w:p w:rsidR="004A3868" w:rsidRDefault="004A3868">
                <w:pPr>
                  <w:rPr>
                    <w:sz w:val="18"/>
                    <w:szCs w:val="18"/>
                  </w:rPr>
                </w:pPr>
              </w:p>
            </w:tc>
            <w:tc>
              <w:tcPr>
                <w:tcW w:w="1009" w:type="pct"/>
                <w:shd w:val="clear" w:color="auto" w:fill="auto"/>
                <w:vAlign w:val="center"/>
              </w:tcPr>
              <w:p w:rsidR="004A3868" w:rsidRDefault="003F1AB5">
                <w:pPr>
                  <w:rPr>
                    <w:sz w:val="18"/>
                    <w:szCs w:val="18"/>
                  </w:rPr>
                </w:pPr>
                <w:r>
                  <w:rPr>
                    <w:rFonts w:hint="eastAsia"/>
                    <w:sz w:val="18"/>
                    <w:szCs w:val="18"/>
                  </w:rPr>
                  <w:t xml:space="preserve">　</w:t>
                </w:r>
              </w:p>
            </w:tc>
          </w:tr>
          <w:tr w:rsidR="004A3868">
            <w:trPr>
              <w:trHeight w:val="397"/>
              <w:jc w:val="center"/>
            </w:trPr>
            <w:tc>
              <w:tcPr>
                <w:tcW w:w="1548" w:type="pct"/>
                <w:shd w:val="clear" w:color="auto" w:fill="auto"/>
                <w:vAlign w:val="center"/>
              </w:tcPr>
              <w:p w:rsidR="004A3868" w:rsidRDefault="003F1AB5">
                <w:pPr>
                  <w:pStyle w:val="afff9"/>
                </w:pPr>
                <w:r>
                  <w:t>2.</w:t>
                </w:r>
                <w:r>
                  <w:t>本期增加</w:t>
                </w:r>
                <w:r>
                  <w:rPr>
                    <w:rFonts w:hint="eastAsia"/>
                  </w:rPr>
                  <w:t>金额</w:t>
                </w:r>
              </w:p>
            </w:tc>
            <w:tc>
              <w:tcPr>
                <w:tcW w:w="1210" w:type="pct"/>
                <w:shd w:val="clear" w:color="auto" w:fill="auto"/>
                <w:vAlign w:val="center"/>
              </w:tcPr>
              <w:p w:rsidR="004A3868" w:rsidRDefault="003F1AB5">
                <w:pPr>
                  <w:rPr>
                    <w:sz w:val="18"/>
                    <w:szCs w:val="18"/>
                  </w:rPr>
                </w:pPr>
                <w:r>
                  <w:rPr>
                    <w:rFonts w:hint="eastAsia"/>
                    <w:sz w:val="18"/>
                    <w:szCs w:val="18"/>
                  </w:rPr>
                  <w:t xml:space="preserve">　</w:t>
                </w:r>
              </w:p>
            </w:tc>
            <w:tc>
              <w:tcPr>
                <w:tcW w:w="1233" w:type="pct"/>
                <w:shd w:val="clear" w:color="auto" w:fill="auto"/>
                <w:vAlign w:val="center"/>
              </w:tcPr>
              <w:p w:rsidR="004A3868" w:rsidRDefault="004A3868">
                <w:pPr>
                  <w:rPr>
                    <w:sz w:val="18"/>
                    <w:szCs w:val="18"/>
                  </w:rPr>
                </w:pPr>
              </w:p>
            </w:tc>
            <w:tc>
              <w:tcPr>
                <w:tcW w:w="1009" w:type="pct"/>
                <w:shd w:val="clear" w:color="auto" w:fill="auto"/>
                <w:vAlign w:val="center"/>
              </w:tcPr>
              <w:p w:rsidR="004A3868" w:rsidRDefault="003F1AB5">
                <w:pPr>
                  <w:rPr>
                    <w:sz w:val="18"/>
                    <w:szCs w:val="18"/>
                  </w:rPr>
                </w:pPr>
                <w:r>
                  <w:rPr>
                    <w:rFonts w:hint="eastAsia"/>
                    <w:sz w:val="18"/>
                    <w:szCs w:val="18"/>
                  </w:rPr>
                  <w:t xml:space="preserve">　</w:t>
                </w:r>
              </w:p>
            </w:tc>
          </w:tr>
          <w:tr w:rsidR="004A3868">
            <w:trPr>
              <w:trHeight w:val="397"/>
              <w:jc w:val="center"/>
            </w:trPr>
            <w:tc>
              <w:tcPr>
                <w:tcW w:w="1548" w:type="pct"/>
                <w:shd w:val="clear" w:color="auto" w:fill="auto"/>
                <w:vAlign w:val="center"/>
              </w:tcPr>
              <w:p w:rsidR="004A3868" w:rsidRDefault="003F1AB5">
                <w:pPr>
                  <w:pStyle w:val="afff9"/>
                </w:pPr>
                <w:r>
                  <w:t>(1)</w:t>
                </w:r>
                <w:r>
                  <w:t>计提</w:t>
                </w:r>
              </w:p>
            </w:tc>
            <w:tc>
              <w:tcPr>
                <w:tcW w:w="1210" w:type="pct"/>
                <w:shd w:val="clear" w:color="auto" w:fill="auto"/>
                <w:vAlign w:val="center"/>
              </w:tcPr>
              <w:p w:rsidR="004A3868" w:rsidRDefault="003F1AB5">
                <w:pPr>
                  <w:rPr>
                    <w:sz w:val="18"/>
                    <w:szCs w:val="18"/>
                  </w:rPr>
                </w:pPr>
                <w:r>
                  <w:rPr>
                    <w:rFonts w:hint="eastAsia"/>
                    <w:sz w:val="18"/>
                    <w:szCs w:val="18"/>
                  </w:rPr>
                  <w:t xml:space="preserve">　</w:t>
                </w:r>
              </w:p>
            </w:tc>
            <w:tc>
              <w:tcPr>
                <w:tcW w:w="1233" w:type="pct"/>
                <w:shd w:val="clear" w:color="auto" w:fill="auto"/>
                <w:vAlign w:val="center"/>
              </w:tcPr>
              <w:p w:rsidR="004A3868" w:rsidRDefault="004A3868">
                <w:pPr>
                  <w:rPr>
                    <w:sz w:val="18"/>
                    <w:szCs w:val="18"/>
                  </w:rPr>
                </w:pPr>
              </w:p>
            </w:tc>
            <w:tc>
              <w:tcPr>
                <w:tcW w:w="1009" w:type="pct"/>
                <w:shd w:val="clear" w:color="auto" w:fill="auto"/>
                <w:vAlign w:val="center"/>
              </w:tcPr>
              <w:p w:rsidR="004A3868" w:rsidRDefault="003F1AB5">
                <w:pPr>
                  <w:rPr>
                    <w:sz w:val="18"/>
                    <w:szCs w:val="18"/>
                  </w:rPr>
                </w:pPr>
                <w:r>
                  <w:rPr>
                    <w:rFonts w:hint="eastAsia"/>
                    <w:sz w:val="18"/>
                    <w:szCs w:val="18"/>
                  </w:rPr>
                  <w:t xml:space="preserve">　</w:t>
                </w:r>
              </w:p>
            </w:tc>
          </w:tr>
          <w:tr w:rsidR="004A3868">
            <w:trPr>
              <w:trHeight w:val="397"/>
              <w:jc w:val="center"/>
            </w:trPr>
            <w:tc>
              <w:tcPr>
                <w:tcW w:w="1548" w:type="pct"/>
                <w:shd w:val="clear" w:color="auto" w:fill="auto"/>
                <w:vAlign w:val="center"/>
              </w:tcPr>
              <w:p w:rsidR="004A3868" w:rsidRDefault="003F1AB5">
                <w:pPr>
                  <w:pStyle w:val="afff9"/>
                </w:pPr>
                <w:r>
                  <w:rPr>
                    <w:rFonts w:hint="eastAsia"/>
                  </w:rPr>
                  <w:t>3.</w:t>
                </w:r>
                <w:r>
                  <w:t>本期减少</w:t>
                </w:r>
                <w:r>
                  <w:rPr>
                    <w:rFonts w:hint="eastAsia"/>
                  </w:rPr>
                  <w:t>金额</w:t>
                </w:r>
              </w:p>
            </w:tc>
            <w:tc>
              <w:tcPr>
                <w:tcW w:w="1210" w:type="pct"/>
                <w:shd w:val="clear" w:color="auto" w:fill="auto"/>
                <w:vAlign w:val="center"/>
              </w:tcPr>
              <w:p w:rsidR="004A3868" w:rsidRDefault="003F1AB5">
                <w:pPr>
                  <w:rPr>
                    <w:sz w:val="18"/>
                    <w:szCs w:val="18"/>
                  </w:rPr>
                </w:pPr>
                <w:r>
                  <w:rPr>
                    <w:rFonts w:hint="eastAsia"/>
                    <w:sz w:val="18"/>
                    <w:szCs w:val="18"/>
                  </w:rPr>
                  <w:t xml:space="preserve">　</w:t>
                </w:r>
              </w:p>
            </w:tc>
            <w:tc>
              <w:tcPr>
                <w:tcW w:w="1233" w:type="pct"/>
                <w:shd w:val="clear" w:color="auto" w:fill="auto"/>
                <w:vAlign w:val="center"/>
              </w:tcPr>
              <w:p w:rsidR="004A3868" w:rsidRDefault="004A3868">
                <w:pPr>
                  <w:rPr>
                    <w:sz w:val="18"/>
                    <w:szCs w:val="18"/>
                  </w:rPr>
                </w:pPr>
              </w:p>
            </w:tc>
            <w:tc>
              <w:tcPr>
                <w:tcW w:w="1009" w:type="pct"/>
                <w:shd w:val="clear" w:color="auto" w:fill="auto"/>
                <w:vAlign w:val="center"/>
              </w:tcPr>
              <w:p w:rsidR="004A3868" w:rsidRDefault="003F1AB5">
                <w:pPr>
                  <w:rPr>
                    <w:sz w:val="18"/>
                    <w:szCs w:val="18"/>
                  </w:rPr>
                </w:pPr>
                <w:r>
                  <w:rPr>
                    <w:rFonts w:hint="eastAsia"/>
                    <w:sz w:val="18"/>
                    <w:szCs w:val="18"/>
                  </w:rPr>
                  <w:t xml:space="preserve">　</w:t>
                </w:r>
              </w:p>
            </w:tc>
          </w:tr>
          <w:tr w:rsidR="004A3868">
            <w:trPr>
              <w:trHeight w:val="397"/>
              <w:jc w:val="center"/>
            </w:trPr>
            <w:tc>
              <w:tcPr>
                <w:tcW w:w="1548" w:type="pct"/>
                <w:shd w:val="clear" w:color="auto" w:fill="auto"/>
                <w:vAlign w:val="center"/>
              </w:tcPr>
              <w:p w:rsidR="004A3868" w:rsidRDefault="003F1AB5">
                <w:pPr>
                  <w:pStyle w:val="afff9"/>
                </w:pPr>
                <w:r>
                  <w:lastRenderedPageBreak/>
                  <w:t>(1)</w:t>
                </w:r>
                <w:r>
                  <w:rPr>
                    <w:rFonts w:hint="eastAsia"/>
                  </w:rPr>
                  <w:t>处置</w:t>
                </w:r>
              </w:p>
            </w:tc>
            <w:tc>
              <w:tcPr>
                <w:tcW w:w="1210" w:type="pct"/>
                <w:shd w:val="clear" w:color="auto" w:fill="auto"/>
                <w:vAlign w:val="center"/>
              </w:tcPr>
              <w:p w:rsidR="004A3868" w:rsidRDefault="003F1AB5">
                <w:pPr>
                  <w:rPr>
                    <w:sz w:val="18"/>
                    <w:szCs w:val="18"/>
                  </w:rPr>
                </w:pPr>
                <w:r>
                  <w:rPr>
                    <w:rFonts w:hint="eastAsia"/>
                    <w:sz w:val="18"/>
                    <w:szCs w:val="18"/>
                  </w:rPr>
                  <w:t xml:space="preserve">　</w:t>
                </w:r>
              </w:p>
            </w:tc>
            <w:tc>
              <w:tcPr>
                <w:tcW w:w="1233" w:type="pct"/>
                <w:shd w:val="clear" w:color="auto" w:fill="auto"/>
                <w:vAlign w:val="center"/>
              </w:tcPr>
              <w:p w:rsidR="004A3868" w:rsidRDefault="004A3868">
                <w:pPr>
                  <w:rPr>
                    <w:sz w:val="18"/>
                    <w:szCs w:val="18"/>
                  </w:rPr>
                </w:pPr>
              </w:p>
            </w:tc>
            <w:tc>
              <w:tcPr>
                <w:tcW w:w="1009" w:type="pct"/>
                <w:shd w:val="clear" w:color="auto" w:fill="auto"/>
                <w:vAlign w:val="center"/>
              </w:tcPr>
              <w:p w:rsidR="004A3868" w:rsidRDefault="003F1AB5">
                <w:pPr>
                  <w:rPr>
                    <w:sz w:val="18"/>
                    <w:szCs w:val="18"/>
                  </w:rPr>
                </w:pPr>
                <w:r>
                  <w:rPr>
                    <w:rFonts w:hint="eastAsia"/>
                    <w:sz w:val="18"/>
                    <w:szCs w:val="18"/>
                  </w:rPr>
                  <w:t xml:space="preserve">　</w:t>
                </w:r>
              </w:p>
            </w:tc>
          </w:tr>
          <w:tr w:rsidR="004A3868">
            <w:trPr>
              <w:trHeight w:val="397"/>
              <w:jc w:val="center"/>
            </w:trPr>
            <w:tc>
              <w:tcPr>
                <w:tcW w:w="1548" w:type="pct"/>
                <w:shd w:val="clear" w:color="auto" w:fill="auto"/>
                <w:vAlign w:val="center"/>
              </w:tcPr>
              <w:p w:rsidR="004A3868" w:rsidRDefault="003F1AB5">
                <w:pPr>
                  <w:pStyle w:val="afff9"/>
                </w:pPr>
                <w:r>
                  <w:rPr>
                    <w:rFonts w:hint="eastAsia"/>
                  </w:rPr>
                  <w:t>4.</w:t>
                </w:r>
                <w:r>
                  <w:t>期末余额</w:t>
                </w:r>
              </w:p>
            </w:tc>
            <w:tc>
              <w:tcPr>
                <w:tcW w:w="1210" w:type="pct"/>
                <w:shd w:val="clear" w:color="auto" w:fill="auto"/>
                <w:vAlign w:val="center"/>
              </w:tcPr>
              <w:p w:rsidR="004A3868" w:rsidRDefault="003F1AB5">
                <w:pPr>
                  <w:rPr>
                    <w:sz w:val="18"/>
                    <w:szCs w:val="18"/>
                  </w:rPr>
                </w:pPr>
                <w:r>
                  <w:rPr>
                    <w:rFonts w:hint="eastAsia"/>
                    <w:sz w:val="18"/>
                    <w:szCs w:val="18"/>
                  </w:rPr>
                  <w:t xml:space="preserve">　</w:t>
                </w:r>
              </w:p>
            </w:tc>
            <w:tc>
              <w:tcPr>
                <w:tcW w:w="1233" w:type="pct"/>
                <w:shd w:val="clear" w:color="auto" w:fill="auto"/>
                <w:vAlign w:val="center"/>
              </w:tcPr>
              <w:p w:rsidR="004A3868" w:rsidRDefault="004A3868">
                <w:pPr>
                  <w:rPr>
                    <w:sz w:val="18"/>
                    <w:szCs w:val="18"/>
                  </w:rPr>
                </w:pPr>
              </w:p>
            </w:tc>
            <w:tc>
              <w:tcPr>
                <w:tcW w:w="1009" w:type="pct"/>
                <w:shd w:val="clear" w:color="auto" w:fill="auto"/>
                <w:vAlign w:val="center"/>
              </w:tcPr>
              <w:p w:rsidR="004A3868" w:rsidRDefault="003F1AB5">
                <w:pPr>
                  <w:rPr>
                    <w:sz w:val="18"/>
                    <w:szCs w:val="18"/>
                  </w:rPr>
                </w:pPr>
                <w:r>
                  <w:rPr>
                    <w:rFonts w:hint="eastAsia"/>
                    <w:sz w:val="18"/>
                    <w:szCs w:val="18"/>
                  </w:rPr>
                  <w:t xml:space="preserve">　</w:t>
                </w:r>
              </w:p>
            </w:tc>
          </w:tr>
          <w:tr w:rsidR="004A3868">
            <w:trPr>
              <w:trHeight w:val="397"/>
              <w:jc w:val="center"/>
            </w:trPr>
            <w:sdt>
              <w:sdtPr>
                <w:tag w:val="_PLD_11c4f53648e149a88b6ff0ef5ef90dc8"/>
                <w:id w:val="997856538"/>
              </w:sdtPr>
              <w:sdtEndPr/>
              <w:sdtContent>
                <w:tc>
                  <w:tcPr>
                    <w:tcW w:w="5000" w:type="pct"/>
                    <w:gridSpan w:val="4"/>
                    <w:shd w:val="clear" w:color="auto" w:fill="auto"/>
                    <w:vAlign w:val="center"/>
                  </w:tcPr>
                  <w:p w:rsidR="004A3868" w:rsidRDefault="003F1AB5">
                    <w:pPr>
                      <w:pStyle w:val="afff9"/>
                    </w:pPr>
                    <w:r>
                      <w:t>四、账面价值</w:t>
                    </w:r>
                  </w:p>
                </w:tc>
              </w:sdtContent>
            </w:sdt>
          </w:tr>
          <w:tr w:rsidR="004A3868">
            <w:trPr>
              <w:trHeight w:val="397"/>
              <w:jc w:val="center"/>
            </w:trPr>
            <w:tc>
              <w:tcPr>
                <w:tcW w:w="1548" w:type="pct"/>
                <w:shd w:val="clear" w:color="auto" w:fill="auto"/>
                <w:vAlign w:val="center"/>
              </w:tcPr>
              <w:p w:rsidR="004A3868" w:rsidRDefault="003F1AB5">
                <w:pPr>
                  <w:pStyle w:val="afff9"/>
                </w:pPr>
                <w:r>
                  <w:t>1.</w:t>
                </w:r>
                <w:r>
                  <w:t>期末账面价值</w:t>
                </w:r>
              </w:p>
            </w:tc>
            <w:tc>
              <w:tcPr>
                <w:tcW w:w="1210" w:type="pct"/>
                <w:shd w:val="clear" w:color="auto" w:fill="auto"/>
                <w:vAlign w:val="center"/>
              </w:tcPr>
              <w:p w:rsidR="004A3868" w:rsidRDefault="003F1AB5">
                <w:pPr>
                  <w:pStyle w:val="afff7"/>
                </w:pPr>
                <w:r>
                  <w:t>8,253,884.71</w:t>
                </w:r>
              </w:p>
            </w:tc>
            <w:tc>
              <w:tcPr>
                <w:tcW w:w="1233" w:type="pct"/>
                <w:shd w:val="clear" w:color="auto" w:fill="auto"/>
                <w:vAlign w:val="center"/>
              </w:tcPr>
              <w:p w:rsidR="004A3868" w:rsidRDefault="003F1AB5">
                <w:pPr>
                  <w:pStyle w:val="afff7"/>
                </w:pPr>
                <w:r>
                  <w:t>785,291.56</w:t>
                </w:r>
              </w:p>
            </w:tc>
            <w:tc>
              <w:tcPr>
                <w:tcW w:w="1009" w:type="pct"/>
                <w:shd w:val="clear" w:color="auto" w:fill="auto"/>
                <w:vAlign w:val="center"/>
              </w:tcPr>
              <w:p w:rsidR="004A3868" w:rsidRDefault="003F1AB5">
                <w:pPr>
                  <w:pStyle w:val="afff7"/>
                </w:pPr>
                <w:r>
                  <w:t>9,039,176.27</w:t>
                </w:r>
              </w:p>
            </w:tc>
          </w:tr>
          <w:tr w:rsidR="004A3868">
            <w:trPr>
              <w:trHeight w:val="397"/>
              <w:jc w:val="center"/>
            </w:trPr>
            <w:tc>
              <w:tcPr>
                <w:tcW w:w="1548" w:type="pct"/>
                <w:shd w:val="clear" w:color="auto" w:fill="auto"/>
                <w:vAlign w:val="center"/>
              </w:tcPr>
              <w:p w:rsidR="004A3868" w:rsidRDefault="003F1AB5">
                <w:pPr>
                  <w:pStyle w:val="afff9"/>
                </w:pPr>
                <w:r>
                  <w:t>2.</w:t>
                </w:r>
                <w:r>
                  <w:t>期初账面价值</w:t>
                </w:r>
              </w:p>
            </w:tc>
            <w:tc>
              <w:tcPr>
                <w:tcW w:w="1210" w:type="pct"/>
                <w:shd w:val="clear" w:color="auto" w:fill="auto"/>
                <w:vAlign w:val="center"/>
              </w:tcPr>
              <w:p w:rsidR="004A3868" w:rsidRDefault="003F1AB5">
                <w:pPr>
                  <w:pStyle w:val="afff7"/>
                </w:pPr>
                <w:r>
                  <w:t>1,629,479.69</w:t>
                </w:r>
              </w:p>
            </w:tc>
            <w:tc>
              <w:tcPr>
                <w:tcW w:w="1233" w:type="pct"/>
                <w:shd w:val="clear" w:color="auto" w:fill="auto"/>
                <w:vAlign w:val="center"/>
              </w:tcPr>
              <w:p w:rsidR="004A3868" w:rsidRDefault="004A3868">
                <w:pPr>
                  <w:pStyle w:val="afff7"/>
                </w:pPr>
              </w:p>
            </w:tc>
            <w:tc>
              <w:tcPr>
                <w:tcW w:w="1009" w:type="pct"/>
                <w:shd w:val="clear" w:color="auto" w:fill="auto"/>
                <w:vAlign w:val="center"/>
              </w:tcPr>
              <w:p w:rsidR="004A3868" w:rsidRDefault="003F1AB5">
                <w:pPr>
                  <w:pStyle w:val="afff7"/>
                </w:pPr>
                <w:r>
                  <w:t>1,629,479.69</w:t>
                </w:r>
              </w:p>
            </w:tc>
          </w:tr>
        </w:tbl>
        <w:p w:rsidR="004A3868" w:rsidRDefault="00B34370">
          <w:pPr>
            <w:pStyle w:val="Style124"/>
          </w:pPr>
        </w:p>
      </w:sdtContent>
    </w:sdt>
    <w:p w:rsidR="004A3868" w:rsidRDefault="003F1AB5">
      <w:pPr>
        <w:pStyle w:val="Style128"/>
        <w:numPr>
          <w:ilvl w:val="0"/>
          <w:numId w:val="83"/>
        </w:numPr>
      </w:pPr>
      <w:r>
        <w:rPr>
          <w:rFonts w:hint="eastAsia"/>
        </w:rPr>
        <w:t>使用权资产的减值测试情况</w:t>
      </w:r>
    </w:p>
    <w:sdt>
      <w:sdtPr>
        <w:alias w:val="是否适用：减值测试情况[双击切换]"/>
        <w:tag w:val="_GBC_3b3aabc5b9ad4e9896fb84bfd63b8c60"/>
        <w:id w:val="200856191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可收回金额按公允价值减去处置费用后的净额确定</w:t>
      </w:r>
    </w:p>
    <w:sdt>
      <w:sdtPr>
        <w:alias w:val="是否适用：可收回金额按公允价值减去处置费用后的净额确定[双击切换]"/>
        <w:tag w:val="_GBC_d3038797d38a4401b89fb8fc1fb11846"/>
        <w:id w:val="-1201478256"/>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可收回金额按预计未来现金流量的现值确定</w:t>
      </w:r>
    </w:p>
    <w:sdt>
      <w:sdtPr>
        <w:rPr>
          <w:rFonts w:hint="eastAsia"/>
        </w:rPr>
        <w:alias w:val="是否适用：可收回金额按预计未来现金流量的现值确定[双击切换]"/>
        <w:tag w:val="_GBC_24d330fe44d94151b7d1b5c7aeb6deb4"/>
        <w:id w:val="57016997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53217500891c4eecac0a0ea6216dc5f2"/>
        <w:id w:val="95236575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941248173701497daa6efb275c38c31c"/>
        <w:id w:val="-56903845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其他说明：</w:t>
      </w:r>
    </w:p>
    <w:bookmarkEnd w:id="208"/>
    <w:p w:rsidR="004A3868" w:rsidRDefault="00B34370">
      <w:pPr>
        <w:rPr>
          <w:sz w:val="21"/>
          <w:szCs w:val="21"/>
        </w:rPr>
      </w:pPr>
      <w:sdt>
        <w:sdtPr>
          <w:rPr>
            <w:sz w:val="21"/>
            <w:szCs w:val="21"/>
          </w:rPr>
          <w:alias w:val="使用权资产其他说明"/>
          <w:tag w:val="_GBC_41c40d661bff4f1b859d4bd00049983c"/>
          <w:id w:val="-796917918"/>
          <w:placeholder>
            <w:docPart w:val="GBC22222222222222222222222222222"/>
          </w:placeholder>
        </w:sdtPr>
        <w:sdtEndPr/>
        <w:sdtContent>
          <w:r w:rsidR="003F1AB5">
            <w:rPr>
              <w:rFonts w:hint="eastAsia"/>
              <w:sz w:val="21"/>
              <w:szCs w:val="21"/>
            </w:rPr>
            <w:t>无</w:t>
          </w:r>
        </w:sdtContent>
      </w:sdt>
    </w:p>
    <w:p w:rsidR="004A3868" w:rsidRDefault="003F1AB5">
      <w:pPr>
        <w:pStyle w:val="Style12711"/>
      </w:pPr>
      <w:r>
        <w:rPr>
          <w:rFonts w:hint="eastAsia"/>
        </w:rPr>
        <w:t>无形资产</w:t>
      </w:r>
    </w:p>
    <w:p w:rsidR="004A3868" w:rsidRDefault="003F1AB5">
      <w:pPr>
        <w:pStyle w:val="Style128"/>
        <w:numPr>
          <w:ilvl w:val="3"/>
          <w:numId w:val="84"/>
        </w:numPr>
      </w:pPr>
      <w:r>
        <w:rPr>
          <w:rFonts w:hint="eastAsia"/>
        </w:rPr>
        <w:t>无形资产情况</w:t>
      </w:r>
    </w:p>
    <w:bookmarkStart w:id="209" w:name="_Hlk90557281" w:displacedByCustomXml="next"/>
    <w:sdt>
      <w:sdtPr>
        <w:rPr>
          <w:rFonts w:hint="eastAsia"/>
        </w:rPr>
        <w:alias w:val="是否适用：无形资产情况[双击切换]"/>
        <w:tag w:val="_GBC_42237c7a99c64602a661c1668bc893bd"/>
        <w:id w:val="-1107418513"/>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无形资产情况"/>
          <w:tag w:val="_GBC_37e64bddc8e645b48a19b4e7bafb7839"/>
          <w:id w:val="11041457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无形资产情况"/>
          <w:tag w:val="_GBC_2c85ccef3cf1470c8cf657b14b474192"/>
          <w:id w:val="-1943117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13"/>
        <w:gridCol w:w="1701"/>
        <w:gridCol w:w="1558"/>
        <w:gridCol w:w="1278"/>
        <w:gridCol w:w="1278"/>
        <w:gridCol w:w="1595"/>
      </w:tblGrid>
      <w:tr w:rsidR="004A3868">
        <w:trPr>
          <w:trHeight w:val="397"/>
          <w:jc w:val="center"/>
        </w:trPr>
        <w:sdt>
          <w:sdtPr>
            <w:tag w:val="_PLD_0d0c5c4c9acf46eaa7c41a19eb731a5c"/>
            <w:id w:val="94070445"/>
            <w:lock w:val="sdtLocked"/>
          </w:sdtPr>
          <w:sdtEndPr/>
          <w:sdtContent>
            <w:tc>
              <w:tcPr>
                <w:tcW w:w="801" w:type="pct"/>
                <w:shd w:val="clear" w:color="auto" w:fill="auto"/>
                <w:vAlign w:val="center"/>
              </w:tcPr>
              <w:p w:rsidR="004A3868" w:rsidRDefault="003F1AB5">
                <w:pPr>
                  <w:pStyle w:val="afffb"/>
                </w:pPr>
                <w:r>
                  <w:rPr>
                    <w:rFonts w:hint="eastAsia"/>
                  </w:rPr>
                  <w:t>项目</w:t>
                </w:r>
              </w:p>
            </w:tc>
          </w:sdtContent>
        </w:sdt>
        <w:sdt>
          <w:sdtPr>
            <w:tag w:val="_PLD_0dfc6d612ce04e4ab91d7f5c675c7954"/>
            <w:id w:val="1708070548"/>
            <w:lock w:val="sdtLocked"/>
          </w:sdtPr>
          <w:sdtEndPr/>
          <w:sdtContent>
            <w:tc>
              <w:tcPr>
                <w:tcW w:w="964" w:type="pct"/>
                <w:shd w:val="clear" w:color="auto" w:fill="auto"/>
                <w:vAlign w:val="center"/>
              </w:tcPr>
              <w:p w:rsidR="004A3868" w:rsidRDefault="003F1AB5">
                <w:pPr>
                  <w:pStyle w:val="afffb"/>
                </w:pPr>
                <w:r>
                  <w:rPr>
                    <w:rFonts w:hint="eastAsia"/>
                  </w:rPr>
                  <w:t>土地使用权</w:t>
                </w:r>
              </w:p>
            </w:tc>
          </w:sdtContent>
        </w:sdt>
        <w:sdt>
          <w:sdtPr>
            <w:tag w:val="_PLD_0d5a6bdde1fe4f6d9dcc5cb928d96ee9"/>
            <w:id w:val="-2115885946"/>
            <w:lock w:val="sdtLocked"/>
          </w:sdtPr>
          <w:sdtEndPr/>
          <w:sdtContent>
            <w:tc>
              <w:tcPr>
                <w:tcW w:w="883" w:type="pct"/>
                <w:shd w:val="clear" w:color="auto" w:fill="auto"/>
                <w:vAlign w:val="center"/>
              </w:tcPr>
              <w:p w:rsidR="004A3868" w:rsidRDefault="003F1AB5">
                <w:pPr>
                  <w:pStyle w:val="afffb"/>
                </w:pPr>
                <w:r>
                  <w:rPr>
                    <w:rFonts w:hint="eastAsia"/>
                  </w:rPr>
                  <w:t>软件</w:t>
                </w:r>
              </w:p>
            </w:tc>
          </w:sdtContent>
        </w:sdt>
        <w:sdt>
          <w:sdtPr>
            <w:tag w:val="_PLD_c4e41ad8ec594f0dafd60ebc1a7da7ce"/>
            <w:id w:val="-2119745206"/>
            <w:lock w:val="sdtLocked"/>
          </w:sdtPr>
          <w:sdtEndPr/>
          <w:sdtContent>
            <w:tc>
              <w:tcPr>
                <w:tcW w:w="724" w:type="pct"/>
                <w:shd w:val="clear" w:color="auto" w:fill="auto"/>
                <w:vAlign w:val="center"/>
              </w:tcPr>
              <w:p w:rsidR="004A3868" w:rsidRDefault="003F1AB5">
                <w:pPr>
                  <w:pStyle w:val="afffb"/>
                </w:pPr>
                <w:r>
                  <w:rPr>
                    <w:rFonts w:hint="eastAsia"/>
                  </w:rPr>
                  <w:t>专利权</w:t>
                </w:r>
              </w:p>
            </w:tc>
          </w:sdtContent>
        </w:sdt>
        <w:sdt>
          <w:sdtPr>
            <w:tag w:val="_PLD_c4e41ad8ec594f0dafd60ebc1a7da7ce"/>
            <w:id w:val="427078845"/>
            <w:lock w:val="sdtLocked"/>
          </w:sdtPr>
          <w:sdtEndPr/>
          <w:sdtContent>
            <w:tc>
              <w:tcPr>
                <w:tcW w:w="724" w:type="pct"/>
                <w:shd w:val="clear" w:color="auto" w:fill="auto"/>
                <w:vAlign w:val="center"/>
              </w:tcPr>
              <w:p w:rsidR="004A3868" w:rsidRDefault="003F1AB5">
                <w:pPr>
                  <w:pStyle w:val="afffb"/>
                </w:pPr>
                <w:r>
                  <w:rPr>
                    <w:rFonts w:hint="eastAsia"/>
                  </w:rPr>
                  <w:t>其他</w:t>
                </w:r>
              </w:p>
            </w:tc>
          </w:sdtContent>
        </w:sdt>
        <w:sdt>
          <w:sdtPr>
            <w:tag w:val="_PLD_010a173744294c79817b77db863e3438"/>
            <w:id w:val="220023527"/>
            <w:lock w:val="sdtLocked"/>
          </w:sdtPr>
          <w:sdtEndPr/>
          <w:sdtContent>
            <w:tc>
              <w:tcPr>
                <w:tcW w:w="904" w:type="pct"/>
                <w:shd w:val="clear" w:color="auto" w:fill="auto"/>
                <w:vAlign w:val="center"/>
              </w:tcPr>
              <w:p w:rsidR="004A3868" w:rsidRDefault="003F1AB5">
                <w:pPr>
                  <w:pStyle w:val="afffb"/>
                </w:pPr>
                <w:r>
                  <w:t>合计</w:t>
                </w:r>
              </w:p>
            </w:tc>
          </w:sdtContent>
        </w:sdt>
      </w:tr>
      <w:tr w:rsidR="004A3868">
        <w:trPr>
          <w:trHeight w:val="397"/>
          <w:jc w:val="center"/>
        </w:trPr>
        <w:sdt>
          <w:sdtPr>
            <w:rPr>
              <w:sz w:val="18"/>
              <w:szCs w:val="18"/>
            </w:rPr>
            <w:tag w:val="_PLD_d38b2136312a4180852ade61efe6b93c"/>
            <w:id w:val="-510448211"/>
            <w:lock w:val="sdtLocked"/>
          </w:sdtPr>
          <w:sdtEndPr/>
          <w:sdtContent>
            <w:tc>
              <w:tcPr>
                <w:tcW w:w="5000" w:type="pct"/>
                <w:gridSpan w:val="6"/>
                <w:shd w:val="clear" w:color="auto" w:fill="auto"/>
                <w:vAlign w:val="center"/>
              </w:tcPr>
              <w:p w:rsidR="004A3868" w:rsidRDefault="003F1AB5">
                <w:pPr>
                  <w:rPr>
                    <w:sz w:val="18"/>
                    <w:szCs w:val="18"/>
                  </w:rPr>
                </w:pPr>
                <w:r>
                  <w:rPr>
                    <w:sz w:val="18"/>
                    <w:szCs w:val="18"/>
                  </w:rPr>
                  <w:t>一、</w:t>
                </w:r>
                <w:r>
                  <w:rPr>
                    <w:rFonts w:hint="eastAsia"/>
                    <w:sz w:val="18"/>
                    <w:szCs w:val="18"/>
                  </w:rPr>
                  <w:t>账面原值</w:t>
                </w:r>
              </w:p>
            </w:tc>
          </w:sdtContent>
        </w:sdt>
      </w:tr>
      <w:tr w:rsidR="004A3868">
        <w:trPr>
          <w:trHeight w:val="397"/>
          <w:jc w:val="center"/>
        </w:trPr>
        <w:tc>
          <w:tcPr>
            <w:tcW w:w="801" w:type="pct"/>
            <w:shd w:val="clear" w:color="auto" w:fill="auto"/>
            <w:vAlign w:val="center"/>
          </w:tcPr>
          <w:p w:rsidR="004A3868" w:rsidRDefault="003F1AB5">
            <w:pPr>
              <w:pStyle w:val="afff9"/>
            </w:pPr>
            <w:r>
              <w:t>1.</w:t>
            </w:r>
            <w:r>
              <w:rPr>
                <w:rFonts w:hint="eastAsia"/>
              </w:rPr>
              <w:t>期</w:t>
            </w:r>
            <w:r>
              <w:t>初余额</w:t>
            </w:r>
          </w:p>
        </w:tc>
        <w:tc>
          <w:tcPr>
            <w:tcW w:w="964" w:type="pct"/>
            <w:shd w:val="clear" w:color="auto" w:fill="auto"/>
            <w:vAlign w:val="center"/>
          </w:tcPr>
          <w:p w:rsidR="004A3868" w:rsidRDefault="003F1AB5">
            <w:pPr>
              <w:pStyle w:val="afff7"/>
            </w:pPr>
            <w:r>
              <w:t>90,773,857.82</w:t>
            </w:r>
          </w:p>
        </w:tc>
        <w:tc>
          <w:tcPr>
            <w:tcW w:w="883" w:type="pct"/>
            <w:shd w:val="clear" w:color="auto" w:fill="auto"/>
            <w:vAlign w:val="center"/>
          </w:tcPr>
          <w:p w:rsidR="004A3868" w:rsidRDefault="003F1AB5">
            <w:pPr>
              <w:pStyle w:val="afff7"/>
            </w:pPr>
            <w:r>
              <w:t>1,785,983.52</w:t>
            </w:r>
          </w:p>
        </w:tc>
        <w:tc>
          <w:tcPr>
            <w:tcW w:w="724" w:type="pct"/>
            <w:shd w:val="clear" w:color="auto" w:fill="auto"/>
            <w:vAlign w:val="center"/>
          </w:tcPr>
          <w:p w:rsidR="004A3868" w:rsidRDefault="004A3868">
            <w:pPr>
              <w:pStyle w:val="afff7"/>
            </w:pPr>
          </w:p>
        </w:tc>
        <w:tc>
          <w:tcPr>
            <w:tcW w:w="724" w:type="pct"/>
            <w:shd w:val="clear" w:color="auto" w:fill="auto"/>
            <w:vAlign w:val="center"/>
          </w:tcPr>
          <w:p w:rsidR="004A3868" w:rsidRDefault="003F1AB5">
            <w:pPr>
              <w:pStyle w:val="afff7"/>
            </w:pPr>
            <w:r>
              <w:t>100,000.00</w:t>
            </w:r>
          </w:p>
        </w:tc>
        <w:tc>
          <w:tcPr>
            <w:tcW w:w="904" w:type="pct"/>
            <w:shd w:val="clear" w:color="auto" w:fill="auto"/>
            <w:vAlign w:val="center"/>
          </w:tcPr>
          <w:p w:rsidR="004A3868" w:rsidRDefault="003F1AB5">
            <w:pPr>
              <w:pStyle w:val="afff7"/>
            </w:pPr>
            <w:r>
              <w:t>92,659,841.34</w:t>
            </w:r>
          </w:p>
        </w:tc>
      </w:tr>
      <w:tr w:rsidR="004A3868">
        <w:trPr>
          <w:trHeight w:val="397"/>
          <w:jc w:val="center"/>
        </w:trPr>
        <w:tc>
          <w:tcPr>
            <w:tcW w:w="801" w:type="pct"/>
            <w:shd w:val="clear" w:color="auto" w:fill="auto"/>
            <w:vAlign w:val="center"/>
          </w:tcPr>
          <w:p w:rsidR="004A3868" w:rsidRDefault="003F1AB5">
            <w:pPr>
              <w:pStyle w:val="afff9"/>
            </w:pPr>
            <w:r>
              <w:t>2.</w:t>
            </w:r>
            <w:r>
              <w:t>本期增加</w:t>
            </w:r>
            <w:r>
              <w:rPr>
                <w:rFonts w:hint="eastAsia"/>
              </w:rPr>
              <w:t>金额</w:t>
            </w:r>
          </w:p>
        </w:tc>
        <w:tc>
          <w:tcPr>
            <w:tcW w:w="964" w:type="pct"/>
            <w:shd w:val="clear" w:color="auto" w:fill="auto"/>
            <w:vAlign w:val="center"/>
          </w:tcPr>
          <w:p w:rsidR="004A3868" w:rsidRDefault="003F1AB5">
            <w:pPr>
              <w:pStyle w:val="afff7"/>
            </w:pPr>
            <w:r>
              <w:t>45,793,221.12</w:t>
            </w:r>
          </w:p>
        </w:tc>
        <w:tc>
          <w:tcPr>
            <w:tcW w:w="883" w:type="pct"/>
            <w:shd w:val="clear" w:color="auto" w:fill="auto"/>
            <w:vAlign w:val="center"/>
          </w:tcPr>
          <w:p w:rsidR="004A3868" w:rsidRDefault="003F1AB5">
            <w:pPr>
              <w:pStyle w:val="afff7"/>
            </w:pPr>
            <w:r>
              <w:t>314,332.35</w:t>
            </w:r>
          </w:p>
        </w:tc>
        <w:tc>
          <w:tcPr>
            <w:tcW w:w="724" w:type="pct"/>
            <w:shd w:val="clear" w:color="auto" w:fill="auto"/>
            <w:vAlign w:val="center"/>
          </w:tcPr>
          <w:p w:rsidR="004A3868" w:rsidRDefault="003F1AB5">
            <w:pPr>
              <w:pStyle w:val="afff7"/>
            </w:pPr>
            <w:r>
              <w:t xml:space="preserve"> 37,623.76 </w:t>
            </w: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3F1AB5">
            <w:pPr>
              <w:pStyle w:val="afff7"/>
            </w:pPr>
            <w:r>
              <w:t>46,145,177.23</w:t>
            </w:r>
          </w:p>
        </w:tc>
      </w:tr>
      <w:tr w:rsidR="004A3868">
        <w:trPr>
          <w:trHeight w:val="397"/>
          <w:jc w:val="center"/>
        </w:trPr>
        <w:tc>
          <w:tcPr>
            <w:tcW w:w="801" w:type="pct"/>
            <w:shd w:val="clear" w:color="auto" w:fill="auto"/>
            <w:vAlign w:val="center"/>
          </w:tcPr>
          <w:p w:rsidR="004A3868" w:rsidRDefault="003F1AB5">
            <w:pPr>
              <w:pStyle w:val="afff9"/>
            </w:pPr>
            <w:r>
              <w:t>(1)</w:t>
            </w:r>
            <w:r>
              <w:rPr>
                <w:rFonts w:hint="eastAsia"/>
              </w:rPr>
              <w:t>购置</w:t>
            </w:r>
          </w:p>
        </w:tc>
        <w:tc>
          <w:tcPr>
            <w:tcW w:w="964" w:type="pct"/>
            <w:shd w:val="clear" w:color="auto" w:fill="auto"/>
            <w:vAlign w:val="center"/>
          </w:tcPr>
          <w:p w:rsidR="004A3868" w:rsidRDefault="003F1AB5">
            <w:pPr>
              <w:pStyle w:val="afff7"/>
            </w:pPr>
            <w:r>
              <w:t>45,793,221.12</w:t>
            </w:r>
          </w:p>
        </w:tc>
        <w:tc>
          <w:tcPr>
            <w:tcW w:w="883" w:type="pct"/>
            <w:shd w:val="clear" w:color="auto" w:fill="auto"/>
            <w:vAlign w:val="center"/>
          </w:tcPr>
          <w:p w:rsidR="004A3868" w:rsidRDefault="003F1AB5">
            <w:pPr>
              <w:pStyle w:val="afff7"/>
            </w:pPr>
            <w:r>
              <w:t>314,332.35</w:t>
            </w:r>
          </w:p>
        </w:tc>
        <w:tc>
          <w:tcPr>
            <w:tcW w:w="724" w:type="pct"/>
            <w:shd w:val="clear" w:color="auto" w:fill="auto"/>
            <w:vAlign w:val="center"/>
          </w:tcPr>
          <w:p w:rsidR="004A3868" w:rsidRDefault="003F1AB5">
            <w:pPr>
              <w:pStyle w:val="afff7"/>
            </w:pPr>
            <w:r>
              <w:t xml:space="preserve"> 37,623.76 </w:t>
            </w: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3F1AB5">
            <w:pPr>
              <w:pStyle w:val="afff7"/>
            </w:pPr>
            <w:r>
              <w:t>46,145,177.23</w:t>
            </w:r>
          </w:p>
        </w:tc>
      </w:tr>
      <w:tr w:rsidR="004A3868">
        <w:trPr>
          <w:trHeight w:val="397"/>
          <w:jc w:val="center"/>
        </w:trPr>
        <w:tc>
          <w:tcPr>
            <w:tcW w:w="801" w:type="pct"/>
            <w:shd w:val="clear" w:color="auto" w:fill="auto"/>
            <w:vAlign w:val="center"/>
          </w:tcPr>
          <w:p w:rsidR="004A3868" w:rsidRDefault="003F1AB5">
            <w:pPr>
              <w:pStyle w:val="afff9"/>
            </w:pPr>
            <w:r>
              <w:rPr>
                <w:rFonts w:hint="eastAsia"/>
              </w:rPr>
              <w:t>(</w:t>
            </w:r>
            <w:r>
              <w:t>2)</w:t>
            </w:r>
            <w:r>
              <w:rPr>
                <w:rFonts w:hint="eastAsia"/>
              </w:rPr>
              <w:t>内部研发</w:t>
            </w:r>
          </w:p>
        </w:tc>
        <w:tc>
          <w:tcPr>
            <w:tcW w:w="964" w:type="pct"/>
            <w:shd w:val="clear" w:color="auto" w:fill="auto"/>
            <w:vAlign w:val="center"/>
          </w:tcPr>
          <w:p w:rsidR="004A3868" w:rsidRDefault="004A3868">
            <w:pPr>
              <w:pStyle w:val="afff7"/>
            </w:pPr>
          </w:p>
        </w:tc>
        <w:tc>
          <w:tcPr>
            <w:tcW w:w="883"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4A3868">
            <w:pPr>
              <w:pStyle w:val="afff7"/>
            </w:pPr>
          </w:p>
          <w:p w:rsidR="004A3868" w:rsidRDefault="004A3868">
            <w:pPr>
              <w:pStyle w:val="afff7"/>
            </w:pPr>
          </w:p>
        </w:tc>
      </w:tr>
      <w:tr w:rsidR="004A3868">
        <w:trPr>
          <w:trHeight w:val="397"/>
          <w:jc w:val="center"/>
        </w:trPr>
        <w:tc>
          <w:tcPr>
            <w:tcW w:w="801" w:type="pct"/>
            <w:shd w:val="clear" w:color="auto" w:fill="auto"/>
            <w:vAlign w:val="center"/>
          </w:tcPr>
          <w:p w:rsidR="004A3868" w:rsidRDefault="003F1AB5">
            <w:pPr>
              <w:pStyle w:val="afff9"/>
            </w:pPr>
            <w:r>
              <w:rPr>
                <w:rFonts w:hint="eastAsia"/>
              </w:rPr>
              <w:t>(</w:t>
            </w:r>
            <w:r>
              <w:t>3</w:t>
            </w:r>
            <w:r>
              <w:rPr>
                <w:rFonts w:hint="eastAsia"/>
              </w:rPr>
              <w:t>)</w:t>
            </w:r>
            <w:r>
              <w:rPr>
                <w:rFonts w:hint="eastAsia"/>
              </w:rPr>
              <w:t>企</w:t>
            </w:r>
            <w:r>
              <w:t>业合并增加</w:t>
            </w:r>
          </w:p>
        </w:tc>
        <w:tc>
          <w:tcPr>
            <w:tcW w:w="964" w:type="pct"/>
            <w:shd w:val="clear" w:color="auto" w:fill="auto"/>
            <w:vAlign w:val="center"/>
          </w:tcPr>
          <w:p w:rsidR="004A3868" w:rsidRDefault="004A3868">
            <w:pPr>
              <w:pStyle w:val="afff7"/>
            </w:pPr>
          </w:p>
        </w:tc>
        <w:tc>
          <w:tcPr>
            <w:tcW w:w="883"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4A3868">
            <w:pPr>
              <w:pStyle w:val="afff7"/>
            </w:pPr>
          </w:p>
        </w:tc>
      </w:tr>
      <w:tr w:rsidR="004A3868">
        <w:trPr>
          <w:trHeight w:val="397"/>
          <w:jc w:val="center"/>
        </w:trPr>
        <w:tc>
          <w:tcPr>
            <w:tcW w:w="801" w:type="pct"/>
            <w:shd w:val="clear" w:color="auto" w:fill="auto"/>
            <w:vAlign w:val="center"/>
          </w:tcPr>
          <w:p w:rsidR="004A3868" w:rsidRDefault="003F1AB5">
            <w:pPr>
              <w:pStyle w:val="afff9"/>
            </w:pPr>
            <w:r>
              <w:t xml:space="preserve"> 3.</w:t>
            </w:r>
            <w:r>
              <w:t>本期减少</w:t>
            </w:r>
            <w:r>
              <w:rPr>
                <w:rFonts w:hint="eastAsia"/>
              </w:rPr>
              <w:t>金额</w:t>
            </w:r>
          </w:p>
        </w:tc>
        <w:tc>
          <w:tcPr>
            <w:tcW w:w="964" w:type="pct"/>
            <w:shd w:val="clear" w:color="auto" w:fill="auto"/>
            <w:vAlign w:val="center"/>
          </w:tcPr>
          <w:p w:rsidR="004A3868" w:rsidRDefault="004A3868">
            <w:pPr>
              <w:pStyle w:val="afff7"/>
            </w:pPr>
          </w:p>
        </w:tc>
        <w:tc>
          <w:tcPr>
            <w:tcW w:w="883"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4A3868">
            <w:pPr>
              <w:pStyle w:val="afff7"/>
            </w:pPr>
          </w:p>
        </w:tc>
      </w:tr>
      <w:tr w:rsidR="004A3868">
        <w:trPr>
          <w:trHeight w:val="397"/>
          <w:jc w:val="center"/>
        </w:trPr>
        <w:tc>
          <w:tcPr>
            <w:tcW w:w="801" w:type="pct"/>
            <w:shd w:val="clear" w:color="auto" w:fill="auto"/>
            <w:vAlign w:val="center"/>
          </w:tcPr>
          <w:p w:rsidR="004A3868" w:rsidRDefault="003F1AB5">
            <w:pPr>
              <w:pStyle w:val="afff9"/>
            </w:pPr>
            <w:r>
              <w:t>(</w:t>
            </w:r>
            <w:r>
              <w:rPr>
                <w:rFonts w:hint="eastAsia"/>
              </w:rPr>
              <w:t>1</w:t>
            </w:r>
            <w:r>
              <w:t>)</w:t>
            </w:r>
            <w:r>
              <w:rPr>
                <w:rFonts w:hint="eastAsia"/>
              </w:rPr>
              <w:t>处置</w:t>
            </w:r>
          </w:p>
        </w:tc>
        <w:tc>
          <w:tcPr>
            <w:tcW w:w="964" w:type="pct"/>
            <w:shd w:val="clear" w:color="auto" w:fill="auto"/>
            <w:vAlign w:val="center"/>
          </w:tcPr>
          <w:p w:rsidR="004A3868" w:rsidRDefault="004A3868">
            <w:pPr>
              <w:pStyle w:val="afff7"/>
            </w:pPr>
          </w:p>
        </w:tc>
        <w:tc>
          <w:tcPr>
            <w:tcW w:w="883"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4A3868">
            <w:pPr>
              <w:pStyle w:val="afff7"/>
            </w:pPr>
          </w:p>
        </w:tc>
      </w:tr>
      <w:tr w:rsidR="004A3868">
        <w:trPr>
          <w:trHeight w:val="397"/>
          <w:jc w:val="center"/>
        </w:trPr>
        <w:tc>
          <w:tcPr>
            <w:tcW w:w="801" w:type="pct"/>
            <w:shd w:val="clear" w:color="auto" w:fill="auto"/>
            <w:vAlign w:val="center"/>
          </w:tcPr>
          <w:p w:rsidR="004A3868" w:rsidRDefault="003F1AB5">
            <w:pPr>
              <w:pStyle w:val="afff9"/>
            </w:pPr>
            <w:r>
              <w:t xml:space="preserve"> 4.</w:t>
            </w:r>
            <w:r>
              <w:t>期末余额</w:t>
            </w:r>
          </w:p>
        </w:tc>
        <w:tc>
          <w:tcPr>
            <w:tcW w:w="964" w:type="pct"/>
            <w:shd w:val="clear" w:color="auto" w:fill="auto"/>
            <w:vAlign w:val="center"/>
          </w:tcPr>
          <w:p w:rsidR="004A3868" w:rsidRDefault="003F1AB5">
            <w:pPr>
              <w:pStyle w:val="afff7"/>
            </w:pPr>
            <w:r>
              <w:t>136,567,078.94</w:t>
            </w:r>
          </w:p>
        </w:tc>
        <w:tc>
          <w:tcPr>
            <w:tcW w:w="883" w:type="pct"/>
            <w:shd w:val="clear" w:color="auto" w:fill="auto"/>
            <w:vAlign w:val="center"/>
          </w:tcPr>
          <w:p w:rsidR="004A3868" w:rsidRDefault="003F1AB5">
            <w:pPr>
              <w:pStyle w:val="afff7"/>
            </w:pPr>
            <w:r>
              <w:t>2,100,315.87</w:t>
            </w:r>
          </w:p>
        </w:tc>
        <w:tc>
          <w:tcPr>
            <w:tcW w:w="724" w:type="pct"/>
            <w:shd w:val="clear" w:color="auto" w:fill="auto"/>
            <w:vAlign w:val="center"/>
          </w:tcPr>
          <w:p w:rsidR="004A3868" w:rsidRDefault="003F1AB5">
            <w:pPr>
              <w:pStyle w:val="afff7"/>
            </w:pPr>
            <w:r>
              <w:t>37,623.76</w:t>
            </w:r>
          </w:p>
        </w:tc>
        <w:tc>
          <w:tcPr>
            <w:tcW w:w="724" w:type="pct"/>
            <w:shd w:val="clear" w:color="auto" w:fill="auto"/>
            <w:vAlign w:val="center"/>
          </w:tcPr>
          <w:p w:rsidR="004A3868" w:rsidRDefault="003F1AB5">
            <w:pPr>
              <w:pStyle w:val="afff7"/>
            </w:pPr>
            <w:r>
              <w:t>100,000.00</w:t>
            </w:r>
          </w:p>
        </w:tc>
        <w:tc>
          <w:tcPr>
            <w:tcW w:w="904" w:type="pct"/>
            <w:shd w:val="clear" w:color="auto" w:fill="auto"/>
            <w:vAlign w:val="center"/>
          </w:tcPr>
          <w:p w:rsidR="004A3868" w:rsidRDefault="003F1AB5">
            <w:pPr>
              <w:pStyle w:val="afff7"/>
            </w:pPr>
            <w:r>
              <w:t>138,805,018.57</w:t>
            </w:r>
          </w:p>
        </w:tc>
      </w:tr>
      <w:tr w:rsidR="004A3868">
        <w:trPr>
          <w:trHeight w:val="397"/>
          <w:jc w:val="center"/>
        </w:trPr>
        <w:sdt>
          <w:sdtPr>
            <w:tag w:val="_PLD_31b6b6971eff48bf893163f2b1779469"/>
            <w:id w:val="-2005818074"/>
            <w:lock w:val="sdtLocked"/>
          </w:sdtPr>
          <w:sdtEndPr/>
          <w:sdtContent>
            <w:tc>
              <w:tcPr>
                <w:tcW w:w="5000" w:type="pct"/>
                <w:gridSpan w:val="6"/>
                <w:shd w:val="clear" w:color="auto" w:fill="auto"/>
                <w:vAlign w:val="center"/>
              </w:tcPr>
              <w:p w:rsidR="004A3868" w:rsidRDefault="003F1AB5">
                <w:pPr>
                  <w:pStyle w:val="afff9"/>
                </w:pPr>
                <w:r>
                  <w:t>二、累计</w:t>
                </w:r>
                <w:r>
                  <w:rPr>
                    <w:rFonts w:hint="eastAsia"/>
                  </w:rPr>
                  <w:t>摊销</w:t>
                </w:r>
              </w:p>
            </w:tc>
          </w:sdtContent>
        </w:sdt>
      </w:tr>
      <w:tr w:rsidR="004A3868">
        <w:trPr>
          <w:trHeight w:val="397"/>
          <w:jc w:val="center"/>
        </w:trPr>
        <w:tc>
          <w:tcPr>
            <w:tcW w:w="801" w:type="pct"/>
            <w:shd w:val="clear" w:color="auto" w:fill="auto"/>
            <w:vAlign w:val="center"/>
          </w:tcPr>
          <w:p w:rsidR="004A3868" w:rsidRDefault="003F1AB5">
            <w:pPr>
              <w:pStyle w:val="afff9"/>
            </w:pPr>
            <w:r>
              <w:rPr>
                <w:rFonts w:hint="eastAsia"/>
              </w:rPr>
              <w:t>1.</w:t>
            </w:r>
            <w:r>
              <w:rPr>
                <w:rFonts w:hint="eastAsia"/>
              </w:rPr>
              <w:t>期</w:t>
            </w:r>
            <w:r>
              <w:t>初余额</w:t>
            </w:r>
          </w:p>
        </w:tc>
        <w:tc>
          <w:tcPr>
            <w:tcW w:w="964" w:type="pct"/>
            <w:shd w:val="clear" w:color="auto" w:fill="auto"/>
            <w:vAlign w:val="center"/>
          </w:tcPr>
          <w:p w:rsidR="004A3868" w:rsidRDefault="003F1AB5">
            <w:pPr>
              <w:pStyle w:val="afff7"/>
            </w:pPr>
            <w:r>
              <w:t>10,065,168.92</w:t>
            </w:r>
          </w:p>
        </w:tc>
        <w:tc>
          <w:tcPr>
            <w:tcW w:w="883" w:type="pct"/>
            <w:shd w:val="clear" w:color="auto" w:fill="auto"/>
            <w:vAlign w:val="center"/>
          </w:tcPr>
          <w:p w:rsidR="004A3868" w:rsidRDefault="003F1AB5">
            <w:pPr>
              <w:pStyle w:val="afff7"/>
            </w:pPr>
            <w:r>
              <w:t>750,882.94</w:t>
            </w:r>
          </w:p>
        </w:tc>
        <w:tc>
          <w:tcPr>
            <w:tcW w:w="724" w:type="pct"/>
            <w:shd w:val="clear" w:color="auto" w:fill="auto"/>
            <w:vAlign w:val="center"/>
          </w:tcPr>
          <w:p w:rsidR="004A3868" w:rsidRDefault="004A3868">
            <w:pPr>
              <w:pStyle w:val="afff7"/>
            </w:pPr>
          </w:p>
        </w:tc>
        <w:tc>
          <w:tcPr>
            <w:tcW w:w="724" w:type="pct"/>
            <w:shd w:val="clear" w:color="auto" w:fill="auto"/>
            <w:vAlign w:val="center"/>
          </w:tcPr>
          <w:p w:rsidR="004A3868" w:rsidRDefault="003F1AB5">
            <w:pPr>
              <w:pStyle w:val="afff7"/>
            </w:pPr>
            <w:r>
              <w:t>100,000.00</w:t>
            </w:r>
          </w:p>
        </w:tc>
        <w:tc>
          <w:tcPr>
            <w:tcW w:w="904" w:type="pct"/>
            <w:shd w:val="clear" w:color="auto" w:fill="auto"/>
            <w:vAlign w:val="center"/>
          </w:tcPr>
          <w:p w:rsidR="004A3868" w:rsidRDefault="003F1AB5">
            <w:pPr>
              <w:pStyle w:val="afff7"/>
            </w:pPr>
            <w:r>
              <w:t>10,916,051.86</w:t>
            </w:r>
          </w:p>
        </w:tc>
      </w:tr>
      <w:tr w:rsidR="004A3868">
        <w:trPr>
          <w:trHeight w:val="397"/>
          <w:jc w:val="center"/>
        </w:trPr>
        <w:tc>
          <w:tcPr>
            <w:tcW w:w="801" w:type="pct"/>
            <w:shd w:val="clear" w:color="auto" w:fill="auto"/>
            <w:vAlign w:val="center"/>
          </w:tcPr>
          <w:p w:rsidR="004A3868" w:rsidRDefault="003F1AB5">
            <w:pPr>
              <w:pStyle w:val="afff9"/>
            </w:pPr>
            <w:r>
              <w:t>2.</w:t>
            </w:r>
            <w:r>
              <w:t>本期增加</w:t>
            </w:r>
            <w:r>
              <w:rPr>
                <w:rFonts w:hint="eastAsia"/>
              </w:rPr>
              <w:t>金额</w:t>
            </w:r>
          </w:p>
        </w:tc>
        <w:tc>
          <w:tcPr>
            <w:tcW w:w="964" w:type="pct"/>
            <w:shd w:val="clear" w:color="auto" w:fill="auto"/>
            <w:vAlign w:val="center"/>
          </w:tcPr>
          <w:p w:rsidR="004A3868" w:rsidRDefault="003F1AB5">
            <w:pPr>
              <w:pStyle w:val="afff7"/>
            </w:pPr>
            <w:r>
              <w:t>2,138,005.59</w:t>
            </w:r>
          </w:p>
        </w:tc>
        <w:tc>
          <w:tcPr>
            <w:tcW w:w="883" w:type="pct"/>
            <w:shd w:val="clear" w:color="auto" w:fill="auto"/>
            <w:vAlign w:val="center"/>
          </w:tcPr>
          <w:p w:rsidR="004A3868" w:rsidRDefault="003F1AB5">
            <w:pPr>
              <w:pStyle w:val="afff7"/>
            </w:pPr>
            <w:r>
              <w:t>226,094.83</w:t>
            </w:r>
          </w:p>
        </w:tc>
        <w:tc>
          <w:tcPr>
            <w:tcW w:w="724" w:type="pct"/>
            <w:shd w:val="clear" w:color="auto" w:fill="auto"/>
            <w:vAlign w:val="center"/>
          </w:tcPr>
          <w:p w:rsidR="004A3868" w:rsidRDefault="003F1AB5">
            <w:pPr>
              <w:pStyle w:val="afff7"/>
            </w:pPr>
            <w:r>
              <w:t xml:space="preserve"> 3,762.36 </w:t>
            </w: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3F1AB5">
            <w:pPr>
              <w:pStyle w:val="afff7"/>
            </w:pPr>
            <w:r>
              <w:t>2,367,862.78</w:t>
            </w:r>
          </w:p>
        </w:tc>
      </w:tr>
      <w:tr w:rsidR="004A3868">
        <w:trPr>
          <w:trHeight w:val="397"/>
          <w:jc w:val="center"/>
        </w:trPr>
        <w:tc>
          <w:tcPr>
            <w:tcW w:w="801" w:type="pct"/>
            <w:shd w:val="clear" w:color="auto" w:fill="auto"/>
            <w:vAlign w:val="center"/>
          </w:tcPr>
          <w:p w:rsidR="004A3868" w:rsidRDefault="003F1AB5">
            <w:pPr>
              <w:pStyle w:val="afff9"/>
            </w:pPr>
            <w:r>
              <w:rPr>
                <w:rFonts w:hint="eastAsia"/>
              </w:rPr>
              <w:t>（</w:t>
            </w:r>
            <w:r>
              <w:rPr>
                <w:rFonts w:hint="eastAsia"/>
              </w:rPr>
              <w:t>1</w:t>
            </w:r>
            <w:r>
              <w:rPr>
                <w:rFonts w:hint="eastAsia"/>
              </w:rPr>
              <w:t>）</w:t>
            </w:r>
            <w:r>
              <w:t>计提</w:t>
            </w:r>
          </w:p>
        </w:tc>
        <w:tc>
          <w:tcPr>
            <w:tcW w:w="964" w:type="pct"/>
            <w:shd w:val="clear" w:color="auto" w:fill="auto"/>
            <w:vAlign w:val="center"/>
          </w:tcPr>
          <w:p w:rsidR="004A3868" w:rsidRDefault="003F1AB5">
            <w:pPr>
              <w:pStyle w:val="afff7"/>
            </w:pPr>
            <w:r>
              <w:t>2,138,005.59</w:t>
            </w:r>
          </w:p>
        </w:tc>
        <w:tc>
          <w:tcPr>
            <w:tcW w:w="883" w:type="pct"/>
            <w:shd w:val="clear" w:color="auto" w:fill="auto"/>
            <w:vAlign w:val="center"/>
          </w:tcPr>
          <w:p w:rsidR="004A3868" w:rsidRDefault="003F1AB5">
            <w:pPr>
              <w:pStyle w:val="afff7"/>
            </w:pPr>
            <w:r>
              <w:t>226,094.83</w:t>
            </w:r>
          </w:p>
        </w:tc>
        <w:tc>
          <w:tcPr>
            <w:tcW w:w="724" w:type="pct"/>
            <w:shd w:val="clear" w:color="auto" w:fill="auto"/>
            <w:vAlign w:val="center"/>
          </w:tcPr>
          <w:p w:rsidR="004A3868" w:rsidRDefault="003F1AB5">
            <w:pPr>
              <w:pStyle w:val="afff7"/>
            </w:pPr>
            <w:r>
              <w:t xml:space="preserve">3,762.36 </w:t>
            </w: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3F1AB5">
            <w:pPr>
              <w:pStyle w:val="afff7"/>
            </w:pPr>
            <w:r>
              <w:t>2,367,862.78</w:t>
            </w:r>
          </w:p>
        </w:tc>
      </w:tr>
      <w:tr w:rsidR="004A3868">
        <w:trPr>
          <w:trHeight w:val="397"/>
          <w:jc w:val="center"/>
        </w:trPr>
        <w:tc>
          <w:tcPr>
            <w:tcW w:w="801" w:type="pct"/>
            <w:shd w:val="clear" w:color="auto" w:fill="auto"/>
            <w:vAlign w:val="center"/>
          </w:tcPr>
          <w:p w:rsidR="004A3868" w:rsidRDefault="003F1AB5">
            <w:pPr>
              <w:pStyle w:val="afff9"/>
            </w:pPr>
            <w:r>
              <w:rPr>
                <w:rFonts w:hint="eastAsia"/>
              </w:rPr>
              <w:t>3.</w:t>
            </w:r>
            <w:r>
              <w:t>本期减少</w:t>
            </w:r>
            <w:r>
              <w:rPr>
                <w:rFonts w:hint="eastAsia"/>
              </w:rPr>
              <w:t>金额</w:t>
            </w:r>
          </w:p>
        </w:tc>
        <w:tc>
          <w:tcPr>
            <w:tcW w:w="964" w:type="pct"/>
            <w:shd w:val="clear" w:color="auto" w:fill="auto"/>
            <w:vAlign w:val="center"/>
          </w:tcPr>
          <w:p w:rsidR="004A3868" w:rsidRDefault="004A3868">
            <w:pPr>
              <w:pStyle w:val="afff7"/>
            </w:pPr>
          </w:p>
        </w:tc>
        <w:tc>
          <w:tcPr>
            <w:tcW w:w="883"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4A3868">
            <w:pPr>
              <w:pStyle w:val="afff7"/>
            </w:pPr>
          </w:p>
        </w:tc>
      </w:tr>
      <w:tr w:rsidR="004A3868">
        <w:trPr>
          <w:trHeight w:val="397"/>
          <w:jc w:val="center"/>
        </w:trPr>
        <w:tc>
          <w:tcPr>
            <w:tcW w:w="801" w:type="pct"/>
            <w:shd w:val="clear" w:color="auto" w:fill="auto"/>
            <w:vAlign w:val="center"/>
          </w:tcPr>
          <w:p w:rsidR="004A3868" w:rsidRDefault="003F1AB5">
            <w:pPr>
              <w:pStyle w:val="afff9"/>
            </w:pPr>
            <w:r>
              <w:t xml:space="preserve"> (</w:t>
            </w:r>
            <w:r>
              <w:rPr>
                <w:rFonts w:hint="eastAsia"/>
              </w:rPr>
              <w:t>1</w:t>
            </w:r>
            <w:r>
              <w:t>)</w:t>
            </w:r>
            <w:r>
              <w:rPr>
                <w:rFonts w:hint="eastAsia"/>
              </w:rPr>
              <w:t>处置</w:t>
            </w:r>
          </w:p>
        </w:tc>
        <w:tc>
          <w:tcPr>
            <w:tcW w:w="964" w:type="pct"/>
            <w:shd w:val="clear" w:color="auto" w:fill="auto"/>
            <w:vAlign w:val="center"/>
          </w:tcPr>
          <w:p w:rsidR="004A3868" w:rsidRDefault="004A3868">
            <w:pPr>
              <w:pStyle w:val="afff7"/>
            </w:pPr>
          </w:p>
        </w:tc>
        <w:tc>
          <w:tcPr>
            <w:tcW w:w="883"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4A3868">
            <w:pPr>
              <w:pStyle w:val="afff7"/>
            </w:pPr>
          </w:p>
        </w:tc>
      </w:tr>
      <w:tr w:rsidR="004A3868">
        <w:trPr>
          <w:trHeight w:val="397"/>
          <w:jc w:val="center"/>
        </w:trPr>
        <w:tc>
          <w:tcPr>
            <w:tcW w:w="801" w:type="pct"/>
            <w:shd w:val="clear" w:color="auto" w:fill="auto"/>
            <w:vAlign w:val="center"/>
          </w:tcPr>
          <w:p w:rsidR="004A3868" w:rsidRDefault="003F1AB5">
            <w:pPr>
              <w:pStyle w:val="afff9"/>
            </w:pPr>
            <w:r>
              <w:rPr>
                <w:rFonts w:hint="eastAsia"/>
              </w:rPr>
              <w:t>4.</w:t>
            </w:r>
            <w:r>
              <w:t>期末余额</w:t>
            </w:r>
          </w:p>
        </w:tc>
        <w:tc>
          <w:tcPr>
            <w:tcW w:w="964" w:type="pct"/>
            <w:shd w:val="clear" w:color="auto" w:fill="auto"/>
            <w:vAlign w:val="center"/>
          </w:tcPr>
          <w:p w:rsidR="004A3868" w:rsidRDefault="003F1AB5">
            <w:pPr>
              <w:pStyle w:val="afff7"/>
            </w:pPr>
            <w:r>
              <w:t>12,203,174.51</w:t>
            </w:r>
          </w:p>
        </w:tc>
        <w:tc>
          <w:tcPr>
            <w:tcW w:w="883" w:type="pct"/>
            <w:shd w:val="clear" w:color="auto" w:fill="auto"/>
            <w:vAlign w:val="center"/>
          </w:tcPr>
          <w:p w:rsidR="004A3868" w:rsidRDefault="003F1AB5">
            <w:pPr>
              <w:pStyle w:val="afff7"/>
            </w:pPr>
            <w:r>
              <w:t>976,977.77</w:t>
            </w:r>
          </w:p>
        </w:tc>
        <w:tc>
          <w:tcPr>
            <w:tcW w:w="724" w:type="pct"/>
            <w:shd w:val="clear" w:color="auto" w:fill="auto"/>
            <w:vAlign w:val="center"/>
          </w:tcPr>
          <w:p w:rsidR="004A3868" w:rsidRDefault="003F1AB5">
            <w:pPr>
              <w:pStyle w:val="afff7"/>
            </w:pPr>
            <w:r>
              <w:t>3,762.36</w:t>
            </w:r>
          </w:p>
        </w:tc>
        <w:tc>
          <w:tcPr>
            <w:tcW w:w="724" w:type="pct"/>
            <w:shd w:val="clear" w:color="auto" w:fill="auto"/>
            <w:vAlign w:val="center"/>
          </w:tcPr>
          <w:p w:rsidR="004A3868" w:rsidRDefault="003F1AB5">
            <w:pPr>
              <w:pStyle w:val="afff7"/>
            </w:pPr>
            <w:r>
              <w:t>100,000.00</w:t>
            </w:r>
          </w:p>
        </w:tc>
        <w:tc>
          <w:tcPr>
            <w:tcW w:w="904" w:type="pct"/>
            <w:shd w:val="clear" w:color="auto" w:fill="auto"/>
            <w:vAlign w:val="center"/>
          </w:tcPr>
          <w:p w:rsidR="004A3868" w:rsidRDefault="003F1AB5">
            <w:pPr>
              <w:pStyle w:val="afff7"/>
            </w:pPr>
            <w:r>
              <w:t>13,283,914.64</w:t>
            </w:r>
          </w:p>
        </w:tc>
      </w:tr>
      <w:tr w:rsidR="004A3868">
        <w:trPr>
          <w:trHeight w:val="397"/>
          <w:jc w:val="center"/>
        </w:trPr>
        <w:sdt>
          <w:sdtPr>
            <w:tag w:val="_PLD_f7d5f180eba449a29a01985d504a8cad"/>
            <w:id w:val="-68344067"/>
            <w:lock w:val="sdtLocked"/>
          </w:sdtPr>
          <w:sdtEndPr/>
          <w:sdtContent>
            <w:tc>
              <w:tcPr>
                <w:tcW w:w="5000" w:type="pct"/>
                <w:gridSpan w:val="6"/>
                <w:shd w:val="clear" w:color="auto" w:fill="auto"/>
                <w:vAlign w:val="center"/>
              </w:tcPr>
              <w:p w:rsidR="004A3868" w:rsidRDefault="003F1AB5">
                <w:pPr>
                  <w:pStyle w:val="afff9"/>
                </w:pPr>
                <w:r>
                  <w:t>三、减值准备</w:t>
                </w:r>
              </w:p>
            </w:tc>
          </w:sdtContent>
        </w:sdt>
      </w:tr>
      <w:tr w:rsidR="004A3868">
        <w:trPr>
          <w:trHeight w:val="397"/>
          <w:jc w:val="center"/>
        </w:trPr>
        <w:tc>
          <w:tcPr>
            <w:tcW w:w="801" w:type="pct"/>
            <w:shd w:val="clear" w:color="auto" w:fill="auto"/>
            <w:vAlign w:val="center"/>
          </w:tcPr>
          <w:p w:rsidR="004A3868" w:rsidRDefault="003F1AB5">
            <w:pPr>
              <w:pStyle w:val="afff9"/>
            </w:pPr>
            <w:r>
              <w:rPr>
                <w:rFonts w:hint="eastAsia"/>
              </w:rPr>
              <w:t>1.</w:t>
            </w:r>
            <w:r>
              <w:rPr>
                <w:rFonts w:hint="eastAsia"/>
              </w:rPr>
              <w:t>期</w:t>
            </w:r>
            <w:r>
              <w:t>初余额</w:t>
            </w:r>
          </w:p>
        </w:tc>
        <w:tc>
          <w:tcPr>
            <w:tcW w:w="964" w:type="pct"/>
            <w:shd w:val="clear" w:color="auto" w:fill="auto"/>
            <w:vAlign w:val="center"/>
          </w:tcPr>
          <w:p w:rsidR="004A3868" w:rsidRDefault="004A3868">
            <w:pPr>
              <w:rPr>
                <w:sz w:val="18"/>
                <w:szCs w:val="18"/>
              </w:rPr>
            </w:pPr>
          </w:p>
        </w:tc>
        <w:tc>
          <w:tcPr>
            <w:tcW w:w="883"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904" w:type="pct"/>
            <w:shd w:val="clear" w:color="auto" w:fill="auto"/>
            <w:vAlign w:val="center"/>
          </w:tcPr>
          <w:p w:rsidR="004A3868" w:rsidRDefault="004A3868">
            <w:pPr>
              <w:rPr>
                <w:sz w:val="18"/>
                <w:szCs w:val="18"/>
              </w:rPr>
            </w:pPr>
          </w:p>
        </w:tc>
      </w:tr>
      <w:tr w:rsidR="004A3868">
        <w:trPr>
          <w:trHeight w:val="397"/>
          <w:jc w:val="center"/>
        </w:trPr>
        <w:tc>
          <w:tcPr>
            <w:tcW w:w="801" w:type="pct"/>
            <w:shd w:val="clear" w:color="auto" w:fill="auto"/>
            <w:vAlign w:val="center"/>
          </w:tcPr>
          <w:p w:rsidR="004A3868" w:rsidRDefault="003F1AB5">
            <w:pPr>
              <w:pStyle w:val="afff9"/>
            </w:pPr>
            <w:r>
              <w:t>2.</w:t>
            </w:r>
            <w:r>
              <w:t>本期增加</w:t>
            </w:r>
            <w:r>
              <w:rPr>
                <w:rFonts w:hint="eastAsia"/>
              </w:rPr>
              <w:t>金额</w:t>
            </w:r>
          </w:p>
        </w:tc>
        <w:tc>
          <w:tcPr>
            <w:tcW w:w="964" w:type="pct"/>
            <w:shd w:val="clear" w:color="auto" w:fill="auto"/>
            <w:vAlign w:val="center"/>
          </w:tcPr>
          <w:p w:rsidR="004A3868" w:rsidRDefault="004A3868">
            <w:pPr>
              <w:rPr>
                <w:sz w:val="18"/>
                <w:szCs w:val="18"/>
              </w:rPr>
            </w:pPr>
          </w:p>
        </w:tc>
        <w:tc>
          <w:tcPr>
            <w:tcW w:w="883"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904" w:type="pct"/>
            <w:shd w:val="clear" w:color="auto" w:fill="auto"/>
            <w:vAlign w:val="center"/>
          </w:tcPr>
          <w:p w:rsidR="004A3868" w:rsidRDefault="004A3868">
            <w:pPr>
              <w:rPr>
                <w:sz w:val="18"/>
                <w:szCs w:val="18"/>
              </w:rPr>
            </w:pPr>
          </w:p>
        </w:tc>
      </w:tr>
      <w:tr w:rsidR="004A3868">
        <w:trPr>
          <w:trHeight w:val="397"/>
          <w:jc w:val="center"/>
        </w:trPr>
        <w:tc>
          <w:tcPr>
            <w:tcW w:w="801" w:type="pct"/>
            <w:shd w:val="clear" w:color="auto" w:fill="auto"/>
            <w:vAlign w:val="center"/>
          </w:tcPr>
          <w:p w:rsidR="004A3868" w:rsidRDefault="003F1AB5">
            <w:pPr>
              <w:pStyle w:val="afff9"/>
            </w:pPr>
            <w:r>
              <w:rPr>
                <w:rFonts w:hint="eastAsia"/>
              </w:rPr>
              <w:t>（</w:t>
            </w:r>
            <w:r>
              <w:rPr>
                <w:rFonts w:hint="eastAsia"/>
              </w:rPr>
              <w:t>1</w:t>
            </w:r>
            <w:r>
              <w:rPr>
                <w:rFonts w:hint="eastAsia"/>
              </w:rPr>
              <w:t>）</w:t>
            </w:r>
            <w:r>
              <w:t>计提</w:t>
            </w:r>
          </w:p>
        </w:tc>
        <w:tc>
          <w:tcPr>
            <w:tcW w:w="964" w:type="pct"/>
            <w:shd w:val="clear" w:color="auto" w:fill="auto"/>
            <w:vAlign w:val="center"/>
          </w:tcPr>
          <w:p w:rsidR="004A3868" w:rsidRDefault="004A3868">
            <w:pPr>
              <w:rPr>
                <w:sz w:val="18"/>
                <w:szCs w:val="18"/>
              </w:rPr>
            </w:pPr>
          </w:p>
        </w:tc>
        <w:tc>
          <w:tcPr>
            <w:tcW w:w="883"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904" w:type="pct"/>
            <w:shd w:val="clear" w:color="auto" w:fill="auto"/>
            <w:vAlign w:val="center"/>
          </w:tcPr>
          <w:p w:rsidR="004A3868" w:rsidRDefault="004A3868">
            <w:pPr>
              <w:rPr>
                <w:sz w:val="18"/>
                <w:szCs w:val="18"/>
              </w:rPr>
            </w:pPr>
          </w:p>
        </w:tc>
      </w:tr>
      <w:tr w:rsidR="004A3868">
        <w:trPr>
          <w:trHeight w:val="397"/>
          <w:jc w:val="center"/>
        </w:trPr>
        <w:tc>
          <w:tcPr>
            <w:tcW w:w="801" w:type="pct"/>
            <w:shd w:val="clear" w:color="auto" w:fill="auto"/>
            <w:vAlign w:val="center"/>
          </w:tcPr>
          <w:p w:rsidR="004A3868" w:rsidRDefault="003F1AB5">
            <w:pPr>
              <w:pStyle w:val="afff9"/>
            </w:pPr>
            <w:r>
              <w:rPr>
                <w:rFonts w:hint="eastAsia"/>
              </w:rPr>
              <w:t>3.</w:t>
            </w:r>
            <w:r>
              <w:t>本期减少</w:t>
            </w:r>
            <w:r>
              <w:rPr>
                <w:rFonts w:hint="eastAsia"/>
              </w:rPr>
              <w:t>金额</w:t>
            </w:r>
          </w:p>
        </w:tc>
        <w:tc>
          <w:tcPr>
            <w:tcW w:w="964" w:type="pct"/>
            <w:shd w:val="clear" w:color="auto" w:fill="auto"/>
            <w:vAlign w:val="center"/>
          </w:tcPr>
          <w:p w:rsidR="004A3868" w:rsidRDefault="004A3868">
            <w:pPr>
              <w:rPr>
                <w:sz w:val="18"/>
                <w:szCs w:val="18"/>
              </w:rPr>
            </w:pPr>
          </w:p>
        </w:tc>
        <w:tc>
          <w:tcPr>
            <w:tcW w:w="883"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904" w:type="pct"/>
            <w:shd w:val="clear" w:color="auto" w:fill="auto"/>
            <w:vAlign w:val="center"/>
          </w:tcPr>
          <w:p w:rsidR="004A3868" w:rsidRDefault="004A3868">
            <w:pPr>
              <w:rPr>
                <w:sz w:val="18"/>
                <w:szCs w:val="18"/>
              </w:rPr>
            </w:pPr>
          </w:p>
        </w:tc>
      </w:tr>
      <w:tr w:rsidR="004A3868">
        <w:trPr>
          <w:trHeight w:val="397"/>
          <w:jc w:val="center"/>
        </w:trPr>
        <w:tc>
          <w:tcPr>
            <w:tcW w:w="801" w:type="pct"/>
            <w:shd w:val="clear" w:color="auto" w:fill="auto"/>
            <w:vAlign w:val="center"/>
          </w:tcPr>
          <w:p w:rsidR="004A3868" w:rsidRDefault="003F1AB5">
            <w:pPr>
              <w:pStyle w:val="afff9"/>
            </w:pPr>
            <w:r>
              <w:t>(</w:t>
            </w:r>
            <w:r>
              <w:rPr>
                <w:rFonts w:hint="eastAsia"/>
              </w:rPr>
              <w:t>1</w:t>
            </w:r>
            <w:r>
              <w:t>)</w:t>
            </w:r>
            <w:r>
              <w:rPr>
                <w:rFonts w:hint="eastAsia"/>
              </w:rPr>
              <w:t>处置</w:t>
            </w:r>
          </w:p>
        </w:tc>
        <w:tc>
          <w:tcPr>
            <w:tcW w:w="964" w:type="pct"/>
            <w:shd w:val="clear" w:color="auto" w:fill="auto"/>
            <w:vAlign w:val="center"/>
          </w:tcPr>
          <w:p w:rsidR="004A3868" w:rsidRDefault="004A3868">
            <w:pPr>
              <w:rPr>
                <w:sz w:val="18"/>
                <w:szCs w:val="18"/>
              </w:rPr>
            </w:pPr>
          </w:p>
        </w:tc>
        <w:tc>
          <w:tcPr>
            <w:tcW w:w="883"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904" w:type="pct"/>
            <w:shd w:val="clear" w:color="auto" w:fill="auto"/>
            <w:vAlign w:val="center"/>
          </w:tcPr>
          <w:p w:rsidR="004A3868" w:rsidRDefault="004A3868">
            <w:pPr>
              <w:rPr>
                <w:sz w:val="18"/>
                <w:szCs w:val="18"/>
              </w:rPr>
            </w:pPr>
          </w:p>
        </w:tc>
      </w:tr>
      <w:tr w:rsidR="004A3868">
        <w:trPr>
          <w:trHeight w:val="397"/>
          <w:jc w:val="center"/>
        </w:trPr>
        <w:tc>
          <w:tcPr>
            <w:tcW w:w="801" w:type="pct"/>
            <w:shd w:val="clear" w:color="auto" w:fill="auto"/>
            <w:vAlign w:val="center"/>
          </w:tcPr>
          <w:p w:rsidR="004A3868" w:rsidRDefault="003F1AB5">
            <w:pPr>
              <w:pStyle w:val="afff9"/>
            </w:pPr>
            <w:r>
              <w:rPr>
                <w:rFonts w:hint="eastAsia"/>
              </w:rPr>
              <w:t>4.</w:t>
            </w:r>
            <w:r>
              <w:t>期末余额</w:t>
            </w:r>
          </w:p>
        </w:tc>
        <w:tc>
          <w:tcPr>
            <w:tcW w:w="964" w:type="pct"/>
            <w:shd w:val="clear" w:color="auto" w:fill="auto"/>
            <w:vAlign w:val="center"/>
          </w:tcPr>
          <w:p w:rsidR="004A3868" w:rsidRDefault="004A3868">
            <w:pPr>
              <w:rPr>
                <w:sz w:val="18"/>
                <w:szCs w:val="18"/>
              </w:rPr>
            </w:pPr>
          </w:p>
        </w:tc>
        <w:tc>
          <w:tcPr>
            <w:tcW w:w="883"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724" w:type="pct"/>
            <w:shd w:val="clear" w:color="auto" w:fill="auto"/>
            <w:vAlign w:val="center"/>
          </w:tcPr>
          <w:p w:rsidR="004A3868" w:rsidRDefault="004A3868">
            <w:pPr>
              <w:rPr>
                <w:sz w:val="18"/>
                <w:szCs w:val="18"/>
              </w:rPr>
            </w:pPr>
          </w:p>
        </w:tc>
        <w:tc>
          <w:tcPr>
            <w:tcW w:w="904" w:type="pct"/>
            <w:shd w:val="clear" w:color="auto" w:fill="auto"/>
            <w:vAlign w:val="center"/>
          </w:tcPr>
          <w:p w:rsidR="004A3868" w:rsidRDefault="004A3868">
            <w:pPr>
              <w:rPr>
                <w:sz w:val="18"/>
                <w:szCs w:val="18"/>
              </w:rPr>
            </w:pPr>
          </w:p>
        </w:tc>
      </w:tr>
      <w:tr w:rsidR="004A3868">
        <w:trPr>
          <w:trHeight w:val="397"/>
          <w:jc w:val="center"/>
        </w:trPr>
        <w:sdt>
          <w:sdtPr>
            <w:tag w:val="_PLD_4b0672b3afec475f9c6133950914fc81"/>
            <w:id w:val="275990273"/>
            <w:lock w:val="sdtLocked"/>
          </w:sdtPr>
          <w:sdtEndPr/>
          <w:sdtContent>
            <w:tc>
              <w:tcPr>
                <w:tcW w:w="5000" w:type="pct"/>
                <w:gridSpan w:val="6"/>
                <w:shd w:val="clear" w:color="auto" w:fill="auto"/>
                <w:vAlign w:val="center"/>
              </w:tcPr>
              <w:p w:rsidR="004A3868" w:rsidRDefault="003F1AB5">
                <w:pPr>
                  <w:pStyle w:val="afff9"/>
                </w:pPr>
                <w:r>
                  <w:t>四、账面价值</w:t>
                </w:r>
              </w:p>
            </w:tc>
          </w:sdtContent>
        </w:sdt>
      </w:tr>
      <w:tr w:rsidR="004A3868">
        <w:trPr>
          <w:trHeight w:val="397"/>
          <w:jc w:val="center"/>
        </w:trPr>
        <w:tc>
          <w:tcPr>
            <w:tcW w:w="801" w:type="pct"/>
            <w:shd w:val="clear" w:color="auto" w:fill="auto"/>
            <w:vAlign w:val="center"/>
          </w:tcPr>
          <w:p w:rsidR="004A3868" w:rsidRDefault="003F1AB5">
            <w:pPr>
              <w:pStyle w:val="afff9"/>
            </w:pPr>
            <w:r>
              <w:t>1.</w:t>
            </w:r>
            <w:r>
              <w:t>期末账面价值</w:t>
            </w:r>
          </w:p>
        </w:tc>
        <w:tc>
          <w:tcPr>
            <w:tcW w:w="964" w:type="pct"/>
            <w:shd w:val="clear" w:color="auto" w:fill="auto"/>
            <w:vAlign w:val="center"/>
          </w:tcPr>
          <w:p w:rsidR="004A3868" w:rsidRDefault="003F1AB5">
            <w:pPr>
              <w:pStyle w:val="afff7"/>
            </w:pPr>
            <w:r>
              <w:t>124,363,904.43</w:t>
            </w:r>
          </w:p>
        </w:tc>
        <w:tc>
          <w:tcPr>
            <w:tcW w:w="883" w:type="pct"/>
            <w:shd w:val="clear" w:color="auto" w:fill="auto"/>
            <w:vAlign w:val="center"/>
          </w:tcPr>
          <w:p w:rsidR="004A3868" w:rsidRDefault="003F1AB5">
            <w:pPr>
              <w:pStyle w:val="afff7"/>
            </w:pPr>
            <w:r>
              <w:t>1,123,338.10</w:t>
            </w:r>
          </w:p>
        </w:tc>
        <w:tc>
          <w:tcPr>
            <w:tcW w:w="724" w:type="pct"/>
            <w:shd w:val="clear" w:color="auto" w:fill="auto"/>
            <w:vAlign w:val="center"/>
          </w:tcPr>
          <w:p w:rsidR="004A3868" w:rsidRDefault="003F1AB5">
            <w:pPr>
              <w:pStyle w:val="afff7"/>
            </w:pPr>
            <w:r>
              <w:t xml:space="preserve"> 33,861.40 </w:t>
            </w: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3F1AB5">
            <w:pPr>
              <w:pStyle w:val="afff7"/>
            </w:pPr>
            <w:r>
              <w:t>125,521,103.93</w:t>
            </w:r>
          </w:p>
        </w:tc>
      </w:tr>
      <w:tr w:rsidR="004A3868">
        <w:trPr>
          <w:trHeight w:val="397"/>
          <w:jc w:val="center"/>
        </w:trPr>
        <w:tc>
          <w:tcPr>
            <w:tcW w:w="801" w:type="pct"/>
            <w:shd w:val="clear" w:color="auto" w:fill="auto"/>
            <w:vAlign w:val="center"/>
          </w:tcPr>
          <w:p w:rsidR="004A3868" w:rsidRDefault="003F1AB5">
            <w:pPr>
              <w:pStyle w:val="afff9"/>
            </w:pPr>
            <w:r>
              <w:t>2.</w:t>
            </w:r>
            <w:r>
              <w:rPr>
                <w:rFonts w:hint="eastAsia"/>
              </w:rPr>
              <w:t>期初</w:t>
            </w:r>
            <w:r>
              <w:t>账面价值</w:t>
            </w:r>
          </w:p>
        </w:tc>
        <w:tc>
          <w:tcPr>
            <w:tcW w:w="964" w:type="pct"/>
            <w:shd w:val="clear" w:color="auto" w:fill="auto"/>
            <w:vAlign w:val="center"/>
          </w:tcPr>
          <w:p w:rsidR="004A3868" w:rsidRDefault="003F1AB5">
            <w:pPr>
              <w:pStyle w:val="afff7"/>
            </w:pPr>
            <w:r>
              <w:t>80,708,688.90</w:t>
            </w:r>
          </w:p>
        </w:tc>
        <w:tc>
          <w:tcPr>
            <w:tcW w:w="883" w:type="pct"/>
            <w:shd w:val="clear" w:color="auto" w:fill="auto"/>
            <w:vAlign w:val="center"/>
          </w:tcPr>
          <w:p w:rsidR="004A3868" w:rsidRDefault="003F1AB5">
            <w:pPr>
              <w:pStyle w:val="afff7"/>
            </w:pPr>
            <w:r>
              <w:t>1,035,100.58</w:t>
            </w:r>
          </w:p>
        </w:tc>
        <w:tc>
          <w:tcPr>
            <w:tcW w:w="724" w:type="pct"/>
            <w:shd w:val="clear" w:color="auto" w:fill="auto"/>
            <w:vAlign w:val="center"/>
          </w:tcPr>
          <w:p w:rsidR="004A3868" w:rsidRDefault="003F1AB5">
            <w:pPr>
              <w:pStyle w:val="afff7"/>
            </w:pPr>
            <w:r>
              <w:t xml:space="preserve">   </w:t>
            </w:r>
          </w:p>
        </w:tc>
        <w:tc>
          <w:tcPr>
            <w:tcW w:w="724" w:type="pct"/>
            <w:shd w:val="clear" w:color="auto" w:fill="auto"/>
            <w:vAlign w:val="center"/>
          </w:tcPr>
          <w:p w:rsidR="004A3868" w:rsidRDefault="004A3868">
            <w:pPr>
              <w:pStyle w:val="afff7"/>
            </w:pPr>
          </w:p>
        </w:tc>
        <w:tc>
          <w:tcPr>
            <w:tcW w:w="904" w:type="pct"/>
            <w:shd w:val="clear" w:color="auto" w:fill="auto"/>
            <w:vAlign w:val="center"/>
          </w:tcPr>
          <w:p w:rsidR="004A3868" w:rsidRDefault="003F1AB5">
            <w:pPr>
              <w:pStyle w:val="afff7"/>
            </w:pPr>
            <w:r>
              <w:t>81,743,789.48</w:t>
            </w:r>
          </w:p>
        </w:tc>
      </w:tr>
    </w:tbl>
    <w:p w:rsidR="004A3868" w:rsidRDefault="003F1AB5">
      <w:pPr>
        <w:rPr>
          <w:sz w:val="21"/>
          <w:szCs w:val="21"/>
        </w:rPr>
      </w:pPr>
      <w:r>
        <w:rPr>
          <w:rFonts w:hint="eastAsia"/>
          <w:sz w:val="21"/>
          <w:szCs w:val="21"/>
        </w:rPr>
        <w:t>本期末通过公司内部研发形成的无形资产占无形资产余额的比例是</w:t>
      </w:r>
      <w:sdt>
        <w:sdtPr>
          <w:rPr>
            <w:sz w:val="21"/>
            <w:szCs w:val="21"/>
          </w:rPr>
          <w:alias w:val="通过公司内部研发形成的无形资产占无形资产账面价值的比例"/>
          <w:tag w:val="_GBC_a5caf6c87458439c8916b866a1bdf523"/>
          <w:id w:val="1061373423"/>
          <w:placeholder>
            <w:docPart w:val="GBC22222222222222222222222222222"/>
          </w:placeholder>
        </w:sdtPr>
        <w:sdtEndPr/>
        <w:sdtContent>
          <w:r>
            <w:rPr>
              <w:sz w:val="21"/>
              <w:szCs w:val="21"/>
            </w:rPr>
            <w:t>0%</w:t>
          </w:r>
        </w:sdtContent>
      </w:sdt>
      <w:bookmarkEnd w:id="209"/>
    </w:p>
    <w:p w:rsidR="004A3868" w:rsidRDefault="003F1AB5">
      <w:pPr>
        <w:pStyle w:val="Style128"/>
        <w:numPr>
          <w:ilvl w:val="3"/>
          <w:numId w:val="84"/>
        </w:numPr>
      </w:pPr>
      <w:r>
        <w:rPr>
          <w:rFonts w:hint="eastAsia"/>
        </w:rPr>
        <w:t>未办妥产权证书的土地使用权情况</w:t>
      </w:r>
    </w:p>
    <w:p w:rsidR="004A3868" w:rsidRDefault="00B34370">
      <w:pPr>
        <w:rPr>
          <w:sz w:val="21"/>
          <w:szCs w:val="21"/>
        </w:rPr>
      </w:pPr>
      <w:sdt>
        <w:sdtPr>
          <w:rPr>
            <w:sz w:val="21"/>
            <w:szCs w:val="21"/>
          </w:rPr>
          <w:alias w:val="是否适用：未办妥产权证书的土地使用权情况[双击切换]"/>
          <w:tag w:val="_GBC_62bb02d09b844cb69dfe16466ac211c9"/>
          <w:id w:val="665525550"/>
          <w:lock w:val="sdtLocked"/>
          <w:placeholder>
            <w:docPart w:val="GBC22222222222222222222222222222"/>
          </w:placeholder>
        </w:sdtPr>
        <w:sdtEndPr/>
        <w:sdtContent>
          <w:r w:rsidR="003F1AB5">
            <w:rPr>
              <w:sz w:val="21"/>
              <w:szCs w:val="21"/>
            </w:rPr>
            <w:fldChar w:fldCharType="begin"/>
          </w:r>
          <w:r w:rsidR="003F1AB5">
            <w:rPr>
              <w:sz w:val="21"/>
              <w:szCs w:val="21"/>
            </w:rPr>
            <w:instrText xml:space="preserve">MACROBUTTON  SnrToggleCheckbox □适用 </w:instrText>
          </w:r>
          <w:r w:rsidR="003F1AB5">
            <w:rPr>
              <w:sz w:val="21"/>
              <w:szCs w:val="21"/>
            </w:rPr>
            <w:fldChar w:fldCharType="end"/>
          </w:r>
          <w:r w:rsidR="003F1AB5">
            <w:rPr>
              <w:sz w:val="21"/>
              <w:szCs w:val="21"/>
            </w:rPr>
            <w:fldChar w:fldCharType="begin"/>
          </w:r>
          <w:r w:rsidR="003F1AB5">
            <w:rPr>
              <w:sz w:val="21"/>
              <w:szCs w:val="21"/>
            </w:rPr>
            <w:instrText xml:space="preserve"> MACROBUTTON  SnrToggleCheckbox √不适用 </w:instrText>
          </w:r>
          <w:r w:rsidR="003F1AB5">
            <w:rPr>
              <w:sz w:val="21"/>
              <w:szCs w:val="21"/>
            </w:rPr>
            <w:fldChar w:fldCharType="end"/>
          </w:r>
        </w:sdtContent>
      </w:sdt>
    </w:p>
    <w:p w:rsidR="004A3868" w:rsidRDefault="003F1AB5">
      <w:pPr>
        <w:pStyle w:val="Style128"/>
        <w:numPr>
          <w:ilvl w:val="0"/>
          <w:numId w:val="83"/>
        </w:numPr>
      </w:pPr>
      <w:r>
        <w:rPr>
          <w:rFonts w:hint="eastAsia"/>
        </w:rPr>
        <w:t>无形资产的减值测试情况</w:t>
      </w:r>
    </w:p>
    <w:sdt>
      <w:sdtPr>
        <w:alias w:val="是否适用：减值测试情况[双击切换]"/>
        <w:tag w:val="_GBC_c5612c50ddb44cf8892aefcbaf89a0f7"/>
        <w:id w:val="-1413547260"/>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可收回金额按公允价值减去处置费用后的净额确定</w:t>
      </w:r>
    </w:p>
    <w:sdt>
      <w:sdtPr>
        <w:rPr>
          <w:sz w:val="21"/>
          <w:szCs w:val="21"/>
        </w:rPr>
        <w:alias w:val="是否适用：可收回金额按公允价值减去处置费用后的净额确定[双击切换]"/>
        <w:tag w:val="_GBC_dc34377ff7324bc48c922f008221ef9f"/>
        <w:id w:val="122132973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9"/>
      </w:pPr>
      <w:r>
        <w:rPr>
          <w:rFonts w:hint="eastAsia"/>
        </w:rPr>
        <w:t>可收回金额按预计未来现金流量的现值确定</w:t>
      </w:r>
    </w:p>
    <w:sdt>
      <w:sdtPr>
        <w:rPr>
          <w:rFonts w:hint="eastAsia"/>
        </w:rPr>
        <w:alias w:val="是否适用：可收回金额按预计未来现金流量的现值确定[双击切换]"/>
        <w:tag w:val="_GBC_35be11360bde403cad599a2e0b238c67"/>
        <w:id w:val="174244765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022f03ae90d41c7b2484cf3fe5f1325"/>
        <w:id w:val="-42218025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9"/>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0a4fdd8792414acdac65e5a54678f636"/>
        <w:id w:val="45345017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其他说明：</w:t>
      </w:r>
    </w:p>
    <w:sdt>
      <w:sdtPr>
        <w:rPr>
          <w:sz w:val="21"/>
          <w:szCs w:val="21"/>
        </w:rPr>
        <w:alias w:val="是否适用：无形资产的说明[双击切换]"/>
        <w:tag w:val="_GBC_ff92654365f04f7ba71b01dd8af2f696"/>
        <w:id w:val="-147182282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商誉</w:t>
      </w:r>
    </w:p>
    <w:p w:rsidR="004A3868" w:rsidRDefault="003F1AB5">
      <w:pPr>
        <w:pStyle w:val="Style128"/>
        <w:numPr>
          <w:ilvl w:val="3"/>
          <w:numId w:val="85"/>
        </w:numPr>
      </w:pPr>
      <w:r>
        <w:rPr>
          <w:rFonts w:hint="eastAsia"/>
        </w:rPr>
        <w:t>商誉账面原值</w:t>
      </w:r>
    </w:p>
    <w:sdt>
      <w:sdtPr>
        <w:rPr>
          <w:sz w:val="21"/>
          <w:szCs w:val="21"/>
        </w:rPr>
        <w:alias w:val="是否适用：商誉账面原值[双击切换]"/>
        <w:tag w:val="_GBC_ef393f0687ab4747a43cd96895a18dcb"/>
        <w:id w:val="-197458754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3"/>
          <w:numId w:val="85"/>
        </w:numPr>
      </w:pPr>
      <w:r>
        <w:rPr>
          <w:rFonts w:hint="eastAsia"/>
        </w:rPr>
        <w:t>商誉减值准备</w:t>
      </w:r>
    </w:p>
    <w:sdt>
      <w:sdtPr>
        <w:alias w:val="是否适用：商誉减值准备[双击切换]"/>
        <w:tag w:val="_GBC_6da4c3df55cf453f9753bb7045db7e9c"/>
        <w:id w:val="654192463"/>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3"/>
          <w:numId w:val="85"/>
        </w:numPr>
      </w:pPr>
      <w:r>
        <w:rPr>
          <w:rFonts w:hint="eastAsia"/>
        </w:rPr>
        <w:t>商誉所在资产组或资产组组合的相关信息</w:t>
      </w:r>
    </w:p>
    <w:sdt>
      <w:sdtPr>
        <w:rPr>
          <w:rFonts w:hint="eastAsia"/>
        </w:rPr>
        <w:alias w:val="是否适用：商誉所在资产组或资产组组合的相关信息[双击切换]"/>
        <w:tag w:val="_GBC_119e2aba5afb45e0b1f50033345c80ee"/>
        <w:id w:val="94566229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资产组或资产组组合发生变化</w:t>
      </w:r>
    </w:p>
    <w:bookmarkStart w:id="210" w:name="_Hlk153462880" w:displacedByCustomXml="next"/>
    <w:sdt>
      <w:sdtPr>
        <w:alias w:val="是否适用：资产组或资产组组合发生变化[双击切换]"/>
        <w:tag w:val="_GBC_31d9e35c99cb43c2ad1aced4a6a40606"/>
        <w:id w:val="-751585334"/>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0"/>
    <w:p w:rsidR="004A3868" w:rsidRDefault="003F1AB5">
      <w:pPr>
        <w:pStyle w:val="Style124"/>
      </w:pPr>
      <w:r>
        <w:rPr>
          <w:rFonts w:hint="eastAsia"/>
        </w:rPr>
        <w:t>其他说明</w:t>
      </w:r>
    </w:p>
    <w:bookmarkStart w:id="211" w:name="_Hlk152948734" w:displacedByCustomXml="next"/>
    <w:sdt>
      <w:sdtPr>
        <w:alias w:val="是否适用：商誉所在资产组或资产组组合的相关信息其他说明[双击切换]"/>
        <w:tag w:val="_GBC_9f9bd4d9cf084d4594694aa545981d14"/>
        <w:id w:val="80103534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1"/>
    <w:p w:rsidR="004A3868" w:rsidRDefault="003F1AB5">
      <w:pPr>
        <w:pStyle w:val="Style128"/>
        <w:numPr>
          <w:ilvl w:val="3"/>
          <w:numId w:val="85"/>
        </w:numPr>
      </w:pPr>
      <w:r>
        <w:rPr>
          <w:rFonts w:hint="eastAsia"/>
        </w:rPr>
        <w:t>可收回金额的具体确定方法</w:t>
      </w:r>
    </w:p>
    <w:p w:rsidR="004A3868" w:rsidRDefault="003F1AB5">
      <w:pPr>
        <w:pStyle w:val="Style124"/>
      </w:pPr>
      <w:r>
        <w:rPr>
          <w:rFonts w:hint="eastAsia"/>
        </w:rPr>
        <w:t>可收回金额按公允价值减去处置费用后的净额确定</w:t>
      </w:r>
    </w:p>
    <w:bookmarkStart w:id="212" w:name="_Hlk153463075" w:displacedByCustomXml="next"/>
    <w:sdt>
      <w:sdtPr>
        <w:alias w:val="是否适用：可收回金额按公允价值减去处置费用后的净额确定[双击切换]"/>
        <w:tag w:val="_GBC_0b6e879ad4b9460fa4cd105a6a6161a9"/>
        <w:id w:val="1721552866"/>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4"/>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175894074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27129448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019078565"/>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2"/>
    <w:p w:rsidR="004A3868" w:rsidRDefault="003F1AB5">
      <w:pPr>
        <w:pStyle w:val="Style128"/>
        <w:numPr>
          <w:ilvl w:val="3"/>
          <w:numId w:val="85"/>
        </w:numPr>
      </w:pPr>
      <w:r>
        <w:rPr>
          <w:rFonts w:hint="eastAsia"/>
        </w:rPr>
        <w:t>业绩承诺及对应商誉减值情况</w:t>
      </w:r>
    </w:p>
    <w:p w:rsidR="004A3868" w:rsidRDefault="003F1AB5">
      <w:pPr>
        <w:pStyle w:val="Style124"/>
      </w:pPr>
      <w:r>
        <w:rPr>
          <w:rFonts w:hint="eastAsia"/>
        </w:rPr>
        <w:t>形成商誉时存在业绩承诺且报告期或报告期上一期间处于业绩承诺期内</w:t>
      </w:r>
    </w:p>
    <w:bookmarkStart w:id="213" w:name="_Hlk153463443" w:displacedByCustomXml="next"/>
    <w:sdt>
      <w:sdtPr>
        <w:alias w:val="是否适用：业绩承诺完成及对应商誉减值情况[双击切换]"/>
        <w:tag w:val="_GBC_95d9b287a7584eabae736c33b656195c"/>
        <w:id w:val="-121065135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3"/>
    <w:p w:rsidR="004A3868" w:rsidRDefault="003F1AB5">
      <w:pPr>
        <w:pStyle w:val="Style124"/>
      </w:pPr>
      <w:r>
        <w:rPr>
          <w:rFonts w:hint="eastAsia"/>
        </w:rPr>
        <w:t>其他说明</w:t>
      </w:r>
    </w:p>
    <w:sdt>
      <w:sdtPr>
        <w:rPr>
          <w:sz w:val="21"/>
          <w:szCs w:val="21"/>
        </w:rPr>
        <w:alias w:val="是否适用：商誉其他需要说明的事项[双击切换]"/>
        <w:tag w:val="_GBC_99f8ebd0cb464294bea4051ad19cf581"/>
        <w:id w:val="-63294919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长期待摊费用</w:t>
      </w:r>
    </w:p>
    <w:sdt>
      <w:sdtPr>
        <w:alias w:val="是否适用：长期待摊费用[双击切换]"/>
        <w:tag w:val="_GBC_cbcb541b65cd4be6b93f357c0fdd9f09"/>
        <w:id w:val="1478189008"/>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财务附注：长期待摊费用"/>
          <w:tag w:val="_GBC_bcda40ca2da04d5da4a9e3293430f9ac"/>
          <w:id w:val="-1684965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长期待摊费用"/>
          <w:tag w:val="_GBC_45bcea706579408d8f2a7cd4ab5ef115"/>
          <w:id w:val="10757913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12"/>
        <w:tblW w:w="5000" w:type="pct"/>
        <w:jc w:val="center"/>
        <w:tblInd w:w="0" w:type="dxa"/>
        <w:tblLayout w:type="fixed"/>
        <w:tblCellMar>
          <w:right w:w="28" w:type="dxa"/>
        </w:tblCellMar>
        <w:tblLook w:val="04A0" w:firstRow="1" w:lastRow="0" w:firstColumn="1" w:lastColumn="0" w:noHBand="0" w:noVBand="1"/>
      </w:tblPr>
      <w:tblGrid>
        <w:gridCol w:w="1413"/>
        <w:gridCol w:w="1558"/>
        <w:gridCol w:w="1701"/>
        <w:gridCol w:w="1701"/>
        <w:gridCol w:w="851"/>
        <w:gridCol w:w="1599"/>
      </w:tblGrid>
      <w:tr w:rsidR="004A3868">
        <w:trPr>
          <w:trHeight w:val="397"/>
          <w:jc w:val="center"/>
        </w:trPr>
        <w:sdt>
          <w:sdtPr>
            <w:rPr>
              <w:rFonts w:ascii="Times New Roman" w:hAnsi="Times New Roman"/>
            </w:rPr>
            <w:tag w:val="_PLD_d70e367624f544f28430d4fa9dc10540"/>
            <w:id w:val="1593812361"/>
            <w:lock w:val="sdtLocked"/>
          </w:sdtPr>
          <w:sdtEndPr/>
          <w:sdtContent>
            <w:tc>
              <w:tcPr>
                <w:tcW w:w="801" w:type="pct"/>
                <w:vAlign w:val="center"/>
              </w:tcPr>
              <w:p w:rsidR="004A3868" w:rsidRDefault="003F1AB5">
                <w:pPr>
                  <w:pStyle w:val="afffb"/>
                </w:pPr>
                <w:r>
                  <w:rPr>
                    <w:rFonts w:hint="eastAsia"/>
                  </w:rPr>
                  <w:t>项目</w:t>
                </w:r>
              </w:p>
            </w:tc>
          </w:sdtContent>
        </w:sdt>
        <w:sdt>
          <w:sdtPr>
            <w:rPr>
              <w:rFonts w:ascii="Times New Roman" w:hAnsi="Times New Roman"/>
            </w:rPr>
            <w:tag w:val="_PLD_e9e93178bf6e4ae6b25e934d80cadf90"/>
            <w:id w:val="-885635900"/>
            <w:lock w:val="sdtLocked"/>
          </w:sdtPr>
          <w:sdtEndPr/>
          <w:sdtContent>
            <w:tc>
              <w:tcPr>
                <w:tcW w:w="883" w:type="pct"/>
                <w:vAlign w:val="center"/>
              </w:tcPr>
              <w:p w:rsidR="004A3868" w:rsidRDefault="003F1AB5">
                <w:pPr>
                  <w:pStyle w:val="afffb"/>
                </w:pPr>
                <w:r>
                  <w:rPr>
                    <w:rFonts w:hint="eastAsia"/>
                  </w:rPr>
                  <w:t>期初余额</w:t>
                </w:r>
              </w:p>
            </w:tc>
          </w:sdtContent>
        </w:sdt>
        <w:sdt>
          <w:sdtPr>
            <w:rPr>
              <w:rFonts w:ascii="Times New Roman" w:hAnsi="Times New Roman"/>
            </w:rPr>
            <w:tag w:val="_PLD_b0304019406b49bba87fd5d26e9e77a3"/>
            <w:id w:val="1782068715"/>
            <w:lock w:val="sdtLocked"/>
          </w:sdtPr>
          <w:sdtEndPr/>
          <w:sdtContent>
            <w:tc>
              <w:tcPr>
                <w:tcW w:w="964" w:type="pct"/>
                <w:vAlign w:val="center"/>
              </w:tcPr>
              <w:p w:rsidR="004A3868" w:rsidRDefault="003F1AB5">
                <w:pPr>
                  <w:pStyle w:val="afffb"/>
                </w:pPr>
                <w:r>
                  <w:rPr>
                    <w:rFonts w:hint="eastAsia"/>
                  </w:rPr>
                  <w:t>本期增加金额</w:t>
                </w:r>
              </w:p>
            </w:tc>
          </w:sdtContent>
        </w:sdt>
        <w:sdt>
          <w:sdtPr>
            <w:rPr>
              <w:rFonts w:ascii="Times New Roman" w:hAnsi="Times New Roman"/>
            </w:rPr>
            <w:tag w:val="_PLD_e1350bea96cf4f45a6200cab08f11722"/>
            <w:id w:val="-986089560"/>
            <w:lock w:val="sdtLocked"/>
          </w:sdtPr>
          <w:sdtEndPr/>
          <w:sdtContent>
            <w:tc>
              <w:tcPr>
                <w:tcW w:w="964" w:type="pct"/>
                <w:vAlign w:val="center"/>
              </w:tcPr>
              <w:p w:rsidR="004A3868" w:rsidRDefault="003F1AB5">
                <w:pPr>
                  <w:pStyle w:val="afffb"/>
                </w:pPr>
                <w:r>
                  <w:rPr>
                    <w:rFonts w:hint="eastAsia"/>
                  </w:rPr>
                  <w:t>本期摊销金额</w:t>
                </w:r>
              </w:p>
            </w:tc>
          </w:sdtContent>
        </w:sdt>
        <w:sdt>
          <w:sdtPr>
            <w:rPr>
              <w:rFonts w:ascii="Times New Roman" w:hAnsi="Times New Roman"/>
            </w:rPr>
            <w:tag w:val="_PLD_dd7c0d5ab3334691b3e0047d34ecb634"/>
            <w:id w:val="-1271157381"/>
            <w:lock w:val="sdtLocked"/>
          </w:sdtPr>
          <w:sdtEndPr/>
          <w:sdtContent>
            <w:tc>
              <w:tcPr>
                <w:tcW w:w="482" w:type="pct"/>
                <w:vAlign w:val="center"/>
              </w:tcPr>
              <w:p w:rsidR="004A3868" w:rsidRDefault="003F1AB5">
                <w:pPr>
                  <w:pStyle w:val="afffb"/>
                </w:pPr>
                <w:r>
                  <w:rPr>
                    <w:rFonts w:hint="eastAsia"/>
                  </w:rPr>
                  <w:t>其他减少金额</w:t>
                </w:r>
              </w:p>
            </w:tc>
          </w:sdtContent>
        </w:sdt>
        <w:sdt>
          <w:sdtPr>
            <w:rPr>
              <w:rFonts w:ascii="Times New Roman" w:hAnsi="Times New Roman"/>
            </w:rPr>
            <w:tag w:val="_PLD_3ab32d124e7942f1b1f82c0287c9220f"/>
            <w:id w:val="-1333070947"/>
            <w:lock w:val="sdtLocked"/>
          </w:sdtPr>
          <w:sdtEndPr/>
          <w:sdtContent>
            <w:tc>
              <w:tcPr>
                <w:tcW w:w="906" w:type="pct"/>
                <w:vAlign w:val="center"/>
              </w:tcPr>
              <w:p w:rsidR="004A3868" w:rsidRDefault="003F1AB5">
                <w:pPr>
                  <w:pStyle w:val="afffb"/>
                </w:pPr>
                <w:r>
                  <w:rPr>
                    <w:rFonts w:hint="eastAsia"/>
                  </w:rPr>
                  <w:t>期末余额</w:t>
                </w:r>
              </w:p>
            </w:tc>
          </w:sdtContent>
        </w:sdt>
      </w:tr>
      <w:tr w:rsidR="004A3868">
        <w:trPr>
          <w:trHeight w:val="397"/>
          <w:jc w:val="center"/>
        </w:trPr>
        <w:tc>
          <w:tcPr>
            <w:tcW w:w="801" w:type="pct"/>
          </w:tcPr>
          <w:p w:rsidR="004A3868" w:rsidRDefault="003F1AB5">
            <w:pPr>
              <w:pStyle w:val="afff9"/>
            </w:pPr>
            <w:r>
              <w:t>厂房及办公室装修费</w:t>
            </w:r>
          </w:p>
        </w:tc>
        <w:tc>
          <w:tcPr>
            <w:tcW w:w="883" w:type="pct"/>
            <w:vAlign w:val="center"/>
          </w:tcPr>
          <w:p w:rsidR="004A3868" w:rsidRDefault="003F1AB5">
            <w:pPr>
              <w:pStyle w:val="afff7"/>
            </w:pPr>
            <w:r>
              <w:t>1,479,417.03</w:t>
            </w:r>
          </w:p>
        </w:tc>
        <w:tc>
          <w:tcPr>
            <w:tcW w:w="964" w:type="pct"/>
            <w:vAlign w:val="center"/>
          </w:tcPr>
          <w:p w:rsidR="004A3868" w:rsidRDefault="003F1AB5">
            <w:pPr>
              <w:pStyle w:val="afff7"/>
            </w:pPr>
            <w:r>
              <w:t>1,807,857.49</w:t>
            </w:r>
          </w:p>
        </w:tc>
        <w:tc>
          <w:tcPr>
            <w:tcW w:w="964" w:type="pct"/>
            <w:vAlign w:val="center"/>
          </w:tcPr>
          <w:p w:rsidR="004A3868" w:rsidRDefault="003F1AB5">
            <w:pPr>
              <w:pStyle w:val="afff7"/>
            </w:pPr>
            <w:r>
              <w:t>857,411.76</w:t>
            </w:r>
          </w:p>
        </w:tc>
        <w:tc>
          <w:tcPr>
            <w:tcW w:w="482" w:type="pct"/>
            <w:vAlign w:val="center"/>
          </w:tcPr>
          <w:p w:rsidR="004A3868" w:rsidRDefault="003F1AB5">
            <w:pPr>
              <w:pStyle w:val="afff7"/>
            </w:pPr>
            <w:r>
              <w:t xml:space="preserve">　</w:t>
            </w:r>
          </w:p>
        </w:tc>
        <w:tc>
          <w:tcPr>
            <w:tcW w:w="906" w:type="pct"/>
            <w:vAlign w:val="center"/>
          </w:tcPr>
          <w:p w:rsidR="004A3868" w:rsidRDefault="003F1AB5">
            <w:pPr>
              <w:pStyle w:val="afff7"/>
            </w:pPr>
            <w:r>
              <w:t>2,429,862.76</w:t>
            </w:r>
          </w:p>
        </w:tc>
      </w:tr>
      <w:tr w:rsidR="004A3868">
        <w:trPr>
          <w:trHeight w:val="397"/>
          <w:jc w:val="center"/>
        </w:trPr>
        <w:tc>
          <w:tcPr>
            <w:tcW w:w="801" w:type="pct"/>
          </w:tcPr>
          <w:p w:rsidR="004A3868" w:rsidRDefault="003F1AB5">
            <w:pPr>
              <w:pStyle w:val="afff9"/>
            </w:pPr>
            <w:r>
              <w:t>其他</w:t>
            </w:r>
          </w:p>
        </w:tc>
        <w:tc>
          <w:tcPr>
            <w:tcW w:w="883" w:type="pct"/>
            <w:vAlign w:val="center"/>
          </w:tcPr>
          <w:p w:rsidR="004A3868" w:rsidRDefault="004A3868">
            <w:pPr>
              <w:pStyle w:val="afff7"/>
            </w:pPr>
          </w:p>
        </w:tc>
        <w:tc>
          <w:tcPr>
            <w:tcW w:w="964" w:type="pct"/>
            <w:vAlign w:val="center"/>
          </w:tcPr>
          <w:p w:rsidR="004A3868" w:rsidRDefault="003F1AB5">
            <w:pPr>
              <w:pStyle w:val="afff7"/>
            </w:pPr>
            <w:r>
              <w:t>1,620,036.69</w:t>
            </w:r>
          </w:p>
        </w:tc>
        <w:tc>
          <w:tcPr>
            <w:tcW w:w="964" w:type="pct"/>
            <w:vAlign w:val="center"/>
          </w:tcPr>
          <w:p w:rsidR="004A3868" w:rsidRDefault="003F1AB5">
            <w:pPr>
              <w:pStyle w:val="afff7"/>
            </w:pPr>
            <w:r>
              <w:t>203,751.33</w:t>
            </w:r>
          </w:p>
        </w:tc>
        <w:tc>
          <w:tcPr>
            <w:tcW w:w="482" w:type="pct"/>
            <w:vAlign w:val="center"/>
          </w:tcPr>
          <w:p w:rsidR="004A3868" w:rsidRDefault="003F1AB5">
            <w:pPr>
              <w:pStyle w:val="afff7"/>
            </w:pPr>
            <w:r>
              <w:t xml:space="preserve">　</w:t>
            </w:r>
          </w:p>
        </w:tc>
        <w:tc>
          <w:tcPr>
            <w:tcW w:w="906" w:type="pct"/>
            <w:vAlign w:val="center"/>
          </w:tcPr>
          <w:p w:rsidR="004A3868" w:rsidRDefault="003F1AB5">
            <w:pPr>
              <w:pStyle w:val="afff7"/>
            </w:pPr>
            <w:r>
              <w:t>1,416,285.36</w:t>
            </w:r>
          </w:p>
        </w:tc>
      </w:tr>
      <w:tr w:rsidR="004A3868">
        <w:trPr>
          <w:trHeight w:val="397"/>
          <w:jc w:val="center"/>
        </w:trPr>
        <w:tc>
          <w:tcPr>
            <w:tcW w:w="801" w:type="pct"/>
          </w:tcPr>
          <w:p w:rsidR="004A3868" w:rsidRDefault="003F1AB5">
            <w:pPr>
              <w:pStyle w:val="afff9"/>
            </w:pPr>
            <w:r>
              <w:rPr>
                <w:rFonts w:hint="eastAsia"/>
              </w:rPr>
              <w:t>合计</w:t>
            </w:r>
          </w:p>
        </w:tc>
        <w:tc>
          <w:tcPr>
            <w:tcW w:w="883" w:type="pct"/>
            <w:vAlign w:val="center"/>
          </w:tcPr>
          <w:p w:rsidR="004A3868" w:rsidRDefault="003F1AB5">
            <w:pPr>
              <w:pStyle w:val="afff7"/>
            </w:pPr>
            <w:r>
              <w:t>1,479,417.03</w:t>
            </w:r>
          </w:p>
        </w:tc>
        <w:tc>
          <w:tcPr>
            <w:tcW w:w="964" w:type="pct"/>
            <w:vAlign w:val="center"/>
          </w:tcPr>
          <w:p w:rsidR="004A3868" w:rsidRDefault="003F1AB5">
            <w:pPr>
              <w:pStyle w:val="afff7"/>
            </w:pPr>
            <w:r>
              <w:t>3,427,894.18</w:t>
            </w:r>
          </w:p>
        </w:tc>
        <w:tc>
          <w:tcPr>
            <w:tcW w:w="964" w:type="pct"/>
            <w:vAlign w:val="center"/>
          </w:tcPr>
          <w:p w:rsidR="004A3868" w:rsidRDefault="003F1AB5">
            <w:pPr>
              <w:pStyle w:val="afff7"/>
            </w:pPr>
            <w:r>
              <w:t>1,061,163.09</w:t>
            </w:r>
          </w:p>
        </w:tc>
        <w:tc>
          <w:tcPr>
            <w:tcW w:w="482" w:type="pct"/>
            <w:vAlign w:val="center"/>
          </w:tcPr>
          <w:p w:rsidR="004A3868" w:rsidRDefault="004A3868">
            <w:pPr>
              <w:pStyle w:val="afff7"/>
            </w:pPr>
          </w:p>
        </w:tc>
        <w:tc>
          <w:tcPr>
            <w:tcW w:w="906" w:type="pct"/>
            <w:vAlign w:val="center"/>
          </w:tcPr>
          <w:p w:rsidR="004A3868" w:rsidRDefault="003F1AB5">
            <w:pPr>
              <w:pStyle w:val="afff7"/>
            </w:pPr>
            <w:r>
              <w:t>3,846,148.12</w:t>
            </w:r>
          </w:p>
        </w:tc>
      </w:tr>
    </w:tbl>
    <w:p w:rsidR="004A3868" w:rsidRDefault="003F1AB5">
      <w:pPr>
        <w:rPr>
          <w:sz w:val="21"/>
          <w:szCs w:val="21"/>
        </w:rPr>
      </w:pPr>
      <w:r>
        <w:rPr>
          <w:rFonts w:hint="eastAsia"/>
          <w:sz w:val="21"/>
          <w:szCs w:val="21"/>
        </w:rPr>
        <w:t>其他说明：</w:t>
      </w:r>
    </w:p>
    <w:sdt>
      <w:sdtPr>
        <w:rPr>
          <w:sz w:val="21"/>
          <w:szCs w:val="21"/>
        </w:rPr>
        <w:alias w:val="长期待摊费用的说明"/>
        <w:tag w:val="_GBC_c30bd5dcf50e4808a29b1b204a96f4c2"/>
        <w:id w:val="846057835"/>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lastRenderedPageBreak/>
        <w:t>递延所得税资产</w:t>
      </w:r>
      <w:r>
        <w:rPr>
          <w:rFonts w:hint="eastAsia"/>
        </w:rPr>
        <w:t xml:space="preserve">/ </w:t>
      </w:r>
      <w:r>
        <w:rPr>
          <w:rFonts w:hint="eastAsia"/>
        </w:rPr>
        <w:t>递延所得税负债</w:t>
      </w:r>
    </w:p>
    <w:p w:rsidR="004A3868" w:rsidRDefault="003F1AB5">
      <w:pPr>
        <w:pStyle w:val="Style128"/>
        <w:numPr>
          <w:ilvl w:val="0"/>
          <w:numId w:val="86"/>
        </w:numPr>
      </w:pPr>
      <w:r>
        <w:rPr>
          <w:rFonts w:hint="eastAsia"/>
        </w:rPr>
        <w:t>未经抵销的递延所得税资产</w:t>
      </w:r>
    </w:p>
    <w:bookmarkStart w:id="214" w:name="_Hlk24103450" w:displacedByCustomXml="next"/>
    <w:sdt>
      <w:sdtPr>
        <w:alias w:val="是否适用：未经抵销的递延所得税资产[双击切换]"/>
        <w:tag w:val="_GBC_ba4415ee4af24efe852073192d94c115"/>
        <w:id w:val="1821535316"/>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财务附注：已确认的递延所得税资产和递延所得税负债"/>
          <w:tag w:val="_GBC_39a9c92575cb4f1c9a029fb2f64168e5"/>
          <w:id w:val="5037058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已确认的递延所得税资产和递延所得税负债"/>
          <w:tag w:val="_GBC_33d1ac52f1ce463294fce1044445d46f"/>
          <w:id w:val="2772257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81"/>
        <w:gridCol w:w="1896"/>
        <w:gridCol w:w="1776"/>
        <w:gridCol w:w="1896"/>
        <w:gridCol w:w="1776"/>
      </w:tblGrid>
      <w:tr w:rsidR="004A3868">
        <w:trPr>
          <w:trHeight w:val="397"/>
          <w:jc w:val="center"/>
        </w:trPr>
        <w:sdt>
          <w:sdtPr>
            <w:tag w:val="_PLD_e006c9e7b70844cd8ef6f2cbb5161589"/>
            <w:id w:val="-843625018"/>
          </w:sdtPr>
          <w:sdtEndPr/>
          <w:sdtContent>
            <w:tc>
              <w:tcPr>
                <w:tcW w:w="839" w:type="pct"/>
                <w:vMerge w:val="restart"/>
                <w:shd w:val="clear" w:color="auto" w:fill="auto"/>
                <w:vAlign w:val="center"/>
              </w:tcPr>
              <w:p w:rsidR="004A3868" w:rsidRDefault="003F1AB5">
                <w:pPr>
                  <w:pStyle w:val="afffb"/>
                </w:pPr>
                <w:r>
                  <w:rPr>
                    <w:rFonts w:hint="eastAsia"/>
                  </w:rPr>
                  <w:t>项目</w:t>
                </w:r>
              </w:p>
            </w:tc>
          </w:sdtContent>
        </w:sdt>
        <w:sdt>
          <w:sdtPr>
            <w:tag w:val="_PLD_9380d941020241f39819205f4df8c355"/>
            <w:id w:val="-423023782"/>
          </w:sdtPr>
          <w:sdtEndPr/>
          <w:sdtContent>
            <w:tc>
              <w:tcPr>
                <w:tcW w:w="2080" w:type="pct"/>
                <w:gridSpan w:val="2"/>
                <w:shd w:val="clear" w:color="auto" w:fill="auto"/>
                <w:vAlign w:val="center"/>
              </w:tcPr>
              <w:p w:rsidR="004A3868" w:rsidRDefault="003F1AB5">
                <w:pPr>
                  <w:pStyle w:val="afffb"/>
                </w:pPr>
                <w:r>
                  <w:rPr>
                    <w:rFonts w:hint="eastAsia"/>
                  </w:rPr>
                  <w:t>期末余额</w:t>
                </w:r>
              </w:p>
            </w:tc>
          </w:sdtContent>
        </w:sdt>
        <w:sdt>
          <w:sdtPr>
            <w:tag w:val="_PLD_40d587838e534f37a8f9a9e7e2020671"/>
            <w:id w:val="1505007445"/>
          </w:sdtPr>
          <w:sdtEndPr/>
          <w:sdtContent>
            <w:tc>
              <w:tcPr>
                <w:tcW w:w="2080" w:type="pct"/>
                <w:gridSpan w:val="2"/>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839" w:type="pct"/>
            <w:vMerge/>
            <w:shd w:val="clear" w:color="auto" w:fill="auto"/>
            <w:vAlign w:val="center"/>
          </w:tcPr>
          <w:p w:rsidR="004A3868" w:rsidRDefault="004A3868">
            <w:pPr>
              <w:pStyle w:val="afffb"/>
            </w:pPr>
          </w:p>
        </w:tc>
        <w:sdt>
          <w:sdtPr>
            <w:tag w:val="_PLD_c239006a5e6040d58bedd94ab36e9784"/>
            <w:id w:val="-219133288"/>
          </w:sdtPr>
          <w:sdtEndPr/>
          <w:sdtContent>
            <w:tc>
              <w:tcPr>
                <w:tcW w:w="1074" w:type="pct"/>
                <w:shd w:val="clear" w:color="auto" w:fill="auto"/>
                <w:vAlign w:val="center"/>
              </w:tcPr>
              <w:p w:rsidR="004A3868" w:rsidRDefault="003F1AB5">
                <w:pPr>
                  <w:pStyle w:val="afffb"/>
                </w:pPr>
                <w:r>
                  <w:rPr>
                    <w:rFonts w:hint="eastAsia"/>
                  </w:rPr>
                  <w:t>可抵扣暂时性差异</w:t>
                </w:r>
              </w:p>
            </w:tc>
          </w:sdtContent>
        </w:sdt>
        <w:sdt>
          <w:sdtPr>
            <w:tag w:val="_PLD_1559717fc58743e19a1e868ac528fbc0"/>
            <w:id w:val="-49074621"/>
          </w:sdtPr>
          <w:sdtEndPr/>
          <w:sdtContent>
            <w:tc>
              <w:tcPr>
                <w:tcW w:w="1006" w:type="pct"/>
                <w:shd w:val="clear" w:color="auto" w:fill="auto"/>
                <w:vAlign w:val="center"/>
              </w:tcPr>
              <w:p w:rsidR="004A3868" w:rsidRDefault="003F1AB5">
                <w:pPr>
                  <w:pStyle w:val="afffb"/>
                </w:pPr>
                <w:r>
                  <w:rPr>
                    <w:rFonts w:hint="eastAsia"/>
                  </w:rPr>
                  <w:t>递延所得税</w:t>
                </w:r>
              </w:p>
              <w:p w:rsidR="004A3868" w:rsidRDefault="003F1AB5">
                <w:pPr>
                  <w:pStyle w:val="afffb"/>
                </w:pPr>
                <w:r>
                  <w:rPr>
                    <w:rFonts w:hint="eastAsia"/>
                  </w:rPr>
                  <w:t>资产</w:t>
                </w:r>
              </w:p>
            </w:tc>
          </w:sdtContent>
        </w:sdt>
        <w:sdt>
          <w:sdtPr>
            <w:tag w:val="_PLD_de171afb73ff474dbccc47c2cec6d4f1"/>
            <w:id w:val="404816406"/>
          </w:sdtPr>
          <w:sdtEndPr/>
          <w:sdtContent>
            <w:tc>
              <w:tcPr>
                <w:tcW w:w="1074" w:type="pct"/>
                <w:shd w:val="clear" w:color="auto" w:fill="auto"/>
                <w:vAlign w:val="center"/>
              </w:tcPr>
              <w:p w:rsidR="004A3868" w:rsidRDefault="003F1AB5">
                <w:pPr>
                  <w:pStyle w:val="afffb"/>
                </w:pPr>
                <w:r>
                  <w:rPr>
                    <w:rFonts w:hint="eastAsia"/>
                  </w:rPr>
                  <w:t>可抵扣暂时性差异</w:t>
                </w:r>
              </w:p>
            </w:tc>
          </w:sdtContent>
        </w:sdt>
        <w:sdt>
          <w:sdtPr>
            <w:tag w:val="_PLD_bafc90864e7347e5bb50ec31a5dffe05"/>
            <w:id w:val="1466780047"/>
          </w:sdtPr>
          <w:sdtEndPr/>
          <w:sdtContent>
            <w:tc>
              <w:tcPr>
                <w:tcW w:w="1006" w:type="pct"/>
                <w:shd w:val="clear" w:color="auto" w:fill="auto"/>
                <w:vAlign w:val="center"/>
              </w:tcPr>
              <w:p w:rsidR="004A3868" w:rsidRDefault="003F1AB5">
                <w:pPr>
                  <w:pStyle w:val="afffb"/>
                </w:pPr>
                <w:r>
                  <w:rPr>
                    <w:rFonts w:hint="eastAsia"/>
                  </w:rPr>
                  <w:t>递延所得税</w:t>
                </w:r>
              </w:p>
              <w:p w:rsidR="004A3868" w:rsidRDefault="003F1AB5">
                <w:pPr>
                  <w:pStyle w:val="afffb"/>
                </w:pPr>
                <w:r>
                  <w:rPr>
                    <w:rFonts w:hint="eastAsia"/>
                  </w:rPr>
                  <w:t>资产</w:t>
                </w:r>
              </w:p>
            </w:tc>
          </w:sdtContent>
        </w:sdt>
      </w:tr>
      <w:tr w:rsidR="004A3868">
        <w:trPr>
          <w:trHeight w:val="397"/>
          <w:jc w:val="center"/>
        </w:trPr>
        <w:tc>
          <w:tcPr>
            <w:tcW w:w="839" w:type="pct"/>
            <w:shd w:val="clear" w:color="auto" w:fill="auto"/>
            <w:vAlign w:val="center"/>
          </w:tcPr>
          <w:p w:rsidR="004A3868" w:rsidRDefault="003F1AB5">
            <w:pPr>
              <w:pStyle w:val="afff9"/>
            </w:pPr>
            <w:r>
              <w:rPr>
                <w:rFonts w:hint="eastAsia"/>
              </w:rPr>
              <w:t>资产减值准备</w:t>
            </w:r>
          </w:p>
        </w:tc>
        <w:tc>
          <w:tcPr>
            <w:tcW w:w="1074" w:type="pct"/>
            <w:shd w:val="clear" w:color="auto" w:fill="auto"/>
            <w:vAlign w:val="center"/>
          </w:tcPr>
          <w:p w:rsidR="004A3868" w:rsidRDefault="003F1AB5">
            <w:pPr>
              <w:pStyle w:val="afff7"/>
            </w:pPr>
            <w:r>
              <w:t>122,068,004.53</w:t>
            </w:r>
          </w:p>
        </w:tc>
        <w:tc>
          <w:tcPr>
            <w:tcW w:w="1006" w:type="pct"/>
            <w:shd w:val="clear" w:color="auto" w:fill="auto"/>
            <w:vAlign w:val="center"/>
          </w:tcPr>
          <w:p w:rsidR="004A3868" w:rsidRDefault="003F1AB5">
            <w:pPr>
              <w:pStyle w:val="afff7"/>
            </w:pPr>
            <w:r>
              <w:t>22,454,541.81</w:t>
            </w:r>
          </w:p>
        </w:tc>
        <w:tc>
          <w:tcPr>
            <w:tcW w:w="1074" w:type="pct"/>
            <w:shd w:val="clear" w:color="auto" w:fill="auto"/>
            <w:vAlign w:val="center"/>
          </w:tcPr>
          <w:p w:rsidR="004A3868" w:rsidRDefault="003F1AB5">
            <w:pPr>
              <w:pStyle w:val="afff7"/>
            </w:pPr>
            <w:r>
              <w:t>108,178,740.21</w:t>
            </w:r>
          </w:p>
        </w:tc>
        <w:tc>
          <w:tcPr>
            <w:tcW w:w="1006" w:type="pct"/>
            <w:shd w:val="clear" w:color="auto" w:fill="auto"/>
            <w:vAlign w:val="center"/>
          </w:tcPr>
          <w:p w:rsidR="004A3868" w:rsidRDefault="003F1AB5">
            <w:pPr>
              <w:pStyle w:val="afff7"/>
            </w:pPr>
            <w:r>
              <w:t>16,240,609.40</w:t>
            </w:r>
          </w:p>
        </w:tc>
      </w:tr>
      <w:tr w:rsidR="004A3868">
        <w:trPr>
          <w:trHeight w:val="397"/>
          <w:jc w:val="center"/>
        </w:trPr>
        <w:tc>
          <w:tcPr>
            <w:tcW w:w="839" w:type="pct"/>
            <w:shd w:val="clear" w:color="auto" w:fill="auto"/>
            <w:vAlign w:val="center"/>
          </w:tcPr>
          <w:p w:rsidR="004A3868" w:rsidRDefault="003F1AB5">
            <w:pPr>
              <w:pStyle w:val="afff9"/>
            </w:pPr>
            <w:r>
              <w:rPr>
                <w:rFonts w:hint="eastAsia"/>
              </w:rPr>
              <w:t>预计负债</w:t>
            </w:r>
            <w:r>
              <w:rPr>
                <w:rFonts w:hint="eastAsia"/>
              </w:rPr>
              <w:t>/</w:t>
            </w:r>
            <w:r>
              <w:rPr>
                <w:rFonts w:hint="eastAsia"/>
              </w:rPr>
              <w:t>租赁负债</w:t>
            </w:r>
            <w:r>
              <w:rPr>
                <w:rFonts w:hint="eastAsia"/>
              </w:rPr>
              <w:t> </w:t>
            </w:r>
          </w:p>
        </w:tc>
        <w:tc>
          <w:tcPr>
            <w:tcW w:w="1074" w:type="pct"/>
            <w:shd w:val="clear" w:color="auto" w:fill="auto"/>
            <w:vAlign w:val="center"/>
          </w:tcPr>
          <w:p w:rsidR="004A3868" w:rsidRDefault="003F1AB5">
            <w:pPr>
              <w:pStyle w:val="afff7"/>
            </w:pPr>
            <w:r>
              <w:t xml:space="preserve">  7,913,859.34  </w:t>
            </w:r>
          </w:p>
        </w:tc>
        <w:tc>
          <w:tcPr>
            <w:tcW w:w="1006" w:type="pct"/>
            <w:shd w:val="clear" w:color="auto" w:fill="auto"/>
            <w:vAlign w:val="center"/>
          </w:tcPr>
          <w:p w:rsidR="004A3868" w:rsidRDefault="003F1AB5">
            <w:pPr>
              <w:pStyle w:val="afff7"/>
            </w:pPr>
            <w:r>
              <w:t xml:space="preserve">1,187,078.90  </w:t>
            </w:r>
          </w:p>
        </w:tc>
        <w:tc>
          <w:tcPr>
            <w:tcW w:w="1074" w:type="pct"/>
            <w:shd w:val="clear" w:color="auto" w:fill="auto"/>
            <w:vAlign w:val="center"/>
          </w:tcPr>
          <w:p w:rsidR="004A3868" w:rsidRDefault="003F1AB5">
            <w:pPr>
              <w:pStyle w:val="afff7"/>
            </w:pPr>
            <w:r>
              <w:t>3,882,340.56</w:t>
            </w:r>
          </w:p>
        </w:tc>
        <w:tc>
          <w:tcPr>
            <w:tcW w:w="1006" w:type="pct"/>
            <w:shd w:val="clear" w:color="auto" w:fill="auto"/>
            <w:vAlign w:val="center"/>
          </w:tcPr>
          <w:p w:rsidR="004A3868" w:rsidRDefault="003F1AB5">
            <w:pPr>
              <w:pStyle w:val="afff7"/>
            </w:pPr>
            <w:r>
              <w:t>582,351.08</w:t>
            </w:r>
          </w:p>
        </w:tc>
      </w:tr>
      <w:tr w:rsidR="004A3868">
        <w:trPr>
          <w:trHeight w:val="397"/>
          <w:jc w:val="center"/>
        </w:trPr>
        <w:tc>
          <w:tcPr>
            <w:tcW w:w="839" w:type="pct"/>
            <w:tcBorders>
              <w:bottom w:val="single" w:sz="4" w:space="0" w:color="auto"/>
            </w:tcBorders>
            <w:shd w:val="clear" w:color="auto" w:fill="auto"/>
            <w:vAlign w:val="center"/>
          </w:tcPr>
          <w:p w:rsidR="004A3868" w:rsidRDefault="003F1AB5">
            <w:pPr>
              <w:pStyle w:val="afff9"/>
            </w:pPr>
            <w:r>
              <w:rPr>
                <w:rFonts w:hint="eastAsia"/>
              </w:rPr>
              <w:t>可抵扣亏损</w:t>
            </w:r>
          </w:p>
        </w:tc>
        <w:tc>
          <w:tcPr>
            <w:tcW w:w="1074" w:type="pct"/>
            <w:shd w:val="clear" w:color="auto" w:fill="auto"/>
            <w:vAlign w:val="center"/>
          </w:tcPr>
          <w:p w:rsidR="004A3868" w:rsidRDefault="003F1AB5">
            <w:pPr>
              <w:pStyle w:val="afff7"/>
            </w:pPr>
            <w:r>
              <w:t>5,354,955.91</w:t>
            </w:r>
          </w:p>
        </w:tc>
        <w:tc>
          <w:tcPr>
            <w:tcW w:w="1006" w:type="pct"/>
            <w:shd w:val="clear" w:color="auto" w:fill="auto"/>
            <w:vAlign w:val="center"/>
          </w:tcPr>
          <w:p w:rsidR="004A3868" w:rsidRDefault="003F1AB5">
            <w:pPr>
              <w:pStyle w:val="afff7"/>
            </w:pPr>
            <w:r>
              <w:t>814,047.81</w:t>
            </w:r>
          </w:p>
        </w:tc>
        <w:tc>
          <w:tcPr>
            <w:tcW w:w="1074" w:type="pct"/>
            <w:shd w:val="clear" w:color="auto" w:fill="auto"/>
            <w:vAlign w:val="center"/>
          </w:tcPr>
          <w:p w:rsidR="004A3868" w:rsidRDefault="003F1AB5">
            <w:pPr>
              <w:pStyle w:val="afff7"/>
            </w:pPr>
            <w:r>
              <w:t>18,836,580.25</w:t>
            </w:r>
          </w:p>
        </w:tc>
        <w:tc>
          <w:tcPr>
            <w:tcW w:w="1006" w:type="pct"/>
            <w:shd w:val="clear" w:color="auto" w:fill="auto"/>
            <w:vAlign w:val="center"/>
          </w:tcPr>
          <w:p w:rsidR="004A3868" w:rsidRDefault="003F1AB5">
            <w:pPr>
              <w:pStyle w:val="afff7"/>
            </w:pPr>
            <w:r>
              <w:t>2,845,575.11</w:t>
            </w:r>
          </w:p>
        </w:tc>
      </w:tr>
      <w:tr w:rsidR="004A3868">
        <w:trPr>
          <w:trHeight w:val="397"/>
          <w:jc w:val="center"/>
        </w:trPr>
        <w:tc>
          <w:tcPr>
            <w:tcW w:w="839" w:type="pct"/>
            <w:shd w:val="clear" w:color="auto" w:fill="auto"/>
            <w:vAlign w:val="center"/>
          </w:tcPr>
          <w:p w:rsidR="004A3868" w:rsidRDefault="003F1AB5">
            <w:pPr>
              <w:pStyle w:val="afff9"/>
            </w:pPr>
            <w:r>
              <w:t>内部交易未实现利润</w:t>
            </w:r>
          </w:p>
        </w:tc>
        <w:tc>
          <w:tcPr>
            <w:tcW w:w="1074" w:type="pct"/>
            <w:shd w:val="clear" w:color="auto" w:fill="auto"/>
            <w:vAlign w:val="center"/>
          </w:tcPr>
          <w:p w:rsidR="004A3868" w:rsidRDefault="003F1AB5">
            <w:pPr>
              <w:pStyle w:val="afff7"/>
            </w:pPr>
            <w:r>
              <w:t>162,609.76</w:t>
            </w:r>
          </w:p>
        </w:tc>
        <w:tc>
          <w:tcPr>
            <w:tcW w:w="1006" w:type="pct"/>
            <w:shd w:val="clear" w:color="auto" w:fill="auto"/>
            <w:vAlign w:val="center"/>
          </w:tcPr>
          <w:p w:rsidR="004A3868" w:rsidRDefault="003F1AB5">
            <w:pPr>
              <w:pStyle w:val="afff7"/>
            </w:pPr>
            <w:r>
              <w:t>24,490.58</w:t>
            </w:r>
          </w:p>
        </w:tc>
        <w:tc>
          <w:tcPr>
            <w:tcW w:w="1074" w:type="pct"/>
            <w:shd w:val="clear" w:color="auto" w:fill="auto"/>
            <w:vAlign w:val="center"/>
          </w:tcPr>
          <w:p w:rsidR="004A3868" w:rsidRDefault="003F1AB5">
            <w:pPr>
              <w:pStyle w:val="afff7"/>
            </w:pPr>
            <w:r>
              <w:t>660,147.24</w:t>
            </w:r>
          </w:p>
        </w:tc>
        <w:tc>
          <w:tcPr>
            <w:tcW w:w="1006" w:type="pct"/>
            <w:shd w:val="clear" w:color="auto" w:fill="auto"/>
            <w:vAlign w:val="center"/>
          </w:tcPr>
          <w:p w:rsidR="004A3868" w:rsidRDefault="003F1AB5">
            <w:pPr>
              <w:pStyle w:val="afff7"/>
            </w:pPr>
            <w:r>
              <w:t>98,015.10</w:t>
            </w:r>
          </w:p>
        </w:tc>
      </w:tr>
      <w:tr w:rsidR="004A3868">
        <w:trPr>
          <w:trHeight w:val="397"/>
          <w:jc w:val="center"/>
        </w:trPr>
        <w:tc>
          <w:tcPr>
            <w:tcW w:w="839" w:type="pct"/>
            <w:shd w:val="clear" w:color="auto" w:fill="auto"/>
            <w:vAlign w:val="center"/>
          </w:tcPr>
          <w:p w:rsidR="004A3868" w:rsidRDefault="003F1AB5">
            <w:pPr>
              <w:pStyle w:val="afff9"/>
            </w:pPr>
            <w:r>
              <w:rPr>
                <w:rFonts w:hint="eastAsia"/>
              </w:rPr>
              <w:t>合计</w:t>
            </w:r>
          </w:p>
        </w:tc>
        <w:tc>
          <w:tcPr>
            <w:tcW w:w="1074" w:type="pct"/>
            <w:shd w:val="clear" w:color="auto" w:fill="auto"/>
            <w:vAlign w:val="center"/>
          </w:tcPr>
          <w:p w:rsidR="004A3868" w:rsidRDefault="003F1AB5">
            <w:pPr>
              <w:pStyle w:val="afff7"/>
            </w:pPr>
            <w:r>
              <w:t xml:space="preserve"> 135,499,429.54 </w:t>
            </w:r>
          </w:p>
        </w:tc>
        <w:tc>
          <w:tcPr>
            <w:tcW w:w="1006" w:type="pct"/>
            <w:shd w:val="clear" w:color="auto" w:fill="auto"/>
            <w:vAlign w:val="center"/>
          </w:tcPr>
          <w:p w:rsidR="004A3868" w:rsidRDefault="003F1AB5">
            <w:pPr>
              <w:pStyle w:val="afff7"/>
            </w:pPr>
            <w:r>
              <w:t xml:space="preserve"> 24,480,159.10 </w:t>
            </w:r>
          </w:p>
        </w:tc>
        <w:tc>
          <w:tcPr>
            <w:tcW w:w="1074" w:type="pct"/>
            <w:shd w:val="clear" w:color="auto" w:fill="auto"/>
            <w:vAlign w:val="center"/>
          </w:tcPr>
          <w:p w:rsidR="004A3868" w:rsidRDefault="003F1AB5">
            <w:pPr>
              <w:pStyle w:val="afff7"/>
            </w:pPr>
            <w:r>
              <w:t>131,557,808.26</w:t>
            </w:r>
          </w:p>
        </w:tc>
        <w:tc>
          <w:tcPr>
            <w:tcW w:w="1006" w:type="pct"/>
            <w:shd w:val="clear" w:color="auto" w:fill="auto"/>
            <w:vAlign w:val="center"/>
          </w:tcPr>
          <w:p w:rsidR="004A3868" w:rsidRDefault="003F1AB5">
            <w:pPr>
              <w:pStyle w:val="afff7"/>
            </w:pPr>
            <w:r>
              <w:t>19,766,550.69</w:t>
            </w:r>
          </w:p>
        </w:tc>
      </w:tr>
    </w:tbl>
    <w:p w:rsidR="004A3868" w:rsidRDefault="004A3868">
      <w:pPr>
        <w:pStyle w:val="Style124"/>
      </w:pPr>
    </w:p>
    <w:p w:rsidR="004A3868" w:rsidRDefault="003F1AB5">
      <w:pPr>
        <w:pStyle w:val="Style128"/>
        <w:numPr>
          <w:ilvl w:val="0"/>
          <w:numId w:val="86"/>
        </w:numPr>
      </w:pPr>
      <w:r>
        <w:rPr>
          <w:rFonts w:hint="eastAsia"/>
        </w:rPr>
        <w:t>未经抵销的递延所得税负债</w:t>
      </w:r>
    </w:p>
    <w:p w:rsidR="004A3868" w:rsidRDefault="00B34370">
      <w:pPr>
        <w:pStyle w:val="Style124"/>
      </w:pPr>
      <w:sdt>
        <w:sdtPr>
          <w:alias w:val="是否适用：未经抵销的递延所得税负债[双击切换]"/>
          <w:tag w:val="_GBC_e7d8f83d611d4464afa60fcd4c2b0690"/>
          <w:id w:val="925688305"/>
          <w:placeholder>
            <w:docPart w:val="GBC22222222222222222222222222222"/>
          </w:placeholder>
        </w:sdtPr>
        <w:sdtEndPr/>
        <w:sdtContent>
          <w:r w:rsidR="003F1AB5">
            <w:fldChar w:fldCharType="begin"/>
          </w:r>
          <w:r w:rsidR="003F1AB5">
            <w:rPr>
              <w:rFonts w:hint="eastAsia"/>
            </w:rPr>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afff5"/>
      </w:pPr>
      <w:r>
        <w:rPr>
          <w:rStyle w:val="Char20"/>
          <w:rFonts w:hint="eastAsia"/>
        </w:rPr>
        <w:t>单位：</w:t>
      </w:r>
      <w:sdt>
        <w:sdtPr>
          <w:rPr>
            <w:rStyle w:val="Char20"/>
            <w:rFonts w:hint="eastAsia"/>
          </w:rPr>
          <w:alias w:val="单位：财务附注：未经抵销的递延所得税负债"/>
          <w:tag w:val="_GBC_20c1fd2b551d429d888a1c48c5ee9c5a"/>
          <w:id w:val="10898187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未经抵销的递延所得税负债"/>
          <w:tag w:val="_GBC_e6ace91667794eff9d02520878b629f9"/>
          <w:id w:val="16166335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79"/>
        <w:gridCol w:w="1777"/>
        <w:gridCol w:w="1895"/>
        <w:gridCol w:w="1895"/>
        <w:gridCol w:w="1777"/>
      </w:tblGrid>
      <w:tr w:rsidR="004A3868">
        <w:trPr>
          <w:trHeight w:val="397"/>
          <w:jc w:val="center"/>
        </w:trPr>
        <w:sdt>
          <w:sdtPr>
            <w:tag w:val="_PLD_e9bdb30dce784b4a9efd1b5efd6964fb"/>
            <w:id w:val="-1634244981"/>
            <w:lock w:val="sdtLocked"/>
          </w:sdtPr>
          <w:sdtEndPr/>
          <w:sdtContent>
            <w:tc>
              <w:tcPr>
                <w:tcW w:w="838" w:type="pct"/>
                <w:vMerge w:val="restart"/>
                <w:shd w:val="clear" w:color="auto" w:fill="auto"/>
                <w:vAlign w:val="center"/>
              </w:tcPr>
              <w:p w:rsidR="004A3868" w:rsidRDefault="003F1AB5">
                <w:pPr>
                  <w:pStyle w:val="afffb"/>
                </w:pPr>
                <w:r>
                  <w:rPr>
                    <w:rFonts w:hint="eastAsia"/>
                  </w:rPr>
                  <w:t>项目</w:t>
                </w:r>
              </w:p>
            </w:tc>
          </w:sdtContent>
        </w:sdt>
        <w:sdt>
          <w:sdtPr>
            <w:tag w:val="_PLD_600f3752c404468197724275bf44cd43"/>
            <w:id w:val="1155329299"/>
            <w:lock w:val="sdtLocked"/>
          </w:sdtPr>
          <w:sdtEndPr/>
          <w:sdtContent>
            <w:tc>
              <w:tcPr>
                <w:tcW w:w="2081" w:type="pct"/>
                <w:gridSpan w:val="2"/>
                <w:shd w:val="clear" w:color="auto" w:fill="auto"/>
                <w:vAlign w:val="center"/>
              </w:tcPr>
              <w:p w:rsidR="004A3868" w:rsidRDefault="003F1AB5">
                <w:pPr>
                  <w:pStyle w:val="afffb"/>
                </w:pPr>
                <w:r>
                  <w:rPr>
                    <w:rFonts w:hint="eastAsia"/>
                  </w:rPr>
                  <w:t>期末余额</w:t>
                </w:r>
              </w:p>
            </w:tc>
          </w:sdtContent>
        </w:sdt>
        <w:sdt>
          <w:sdtPr>
            <w:tag w:val="_PLD_7e4b2554e2544865b74424edbdb55d4b"/>
            <w:id w:val="1781609138"/>
            <w:lock w:val="sdtLocked"/>
          </w:sdtPr>
          <w:sdtEndPr/>
          <w:sdtContent>
            <w:tc>
              <w:tcPr>
                <w:tcW w:w="2081" w:type="pct"/>
                <w:gridSpan w:val="2"/>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838" w:type="pct"/>
            <w:vMerge/>
            <w:shd w:val="clear" w:color="auto" w:fill="auto"/>
            <w:vAlign w:val="center"/>
          </w:tcPr>
          <w:p w:rsidR="004A3868" w:rsidRDefault="004A3868">
            <w:pPr>
              <w:pStyle w:val="afffb"/>
            </w:pPr>
          </w:p>
        </w:tc>
        <w:sdt>
          <w:sdtPr>
            <w:tag w:val="_PLD_2db432e06e184a41a8eb727ebb64ec40"/>
            <w:id w:val="951513912"/>
            <w:lock w:val="sdtLocked"/>
          </w:sdtPr>
          <w:sdtEndPr/>
          <w:sdtContent>
            <w:tc>
              <w:tcPr>
                <w:tcW w:w="1007" w:type="pct"/>
                <w:shd w:val="clear" w:color="auto" w:fill="auto"/>
                <w:vAlign w:val="center"/>
              </w:tcPr>
              <w:p w:rsidR="004A3868" w:rsidRDefault="003F1AB5">
                <w:pPr>
                  <w:pStyle w:val="afffb"/>
                </w:pPr>
                <w:r>
                  <w:rPr>
                    <w:rFonts w:hint="eastAsia"/>
                  </w:rPr>
                  <w:t>应纳税暂时性差异</w:t>
                </w:r>
              </w:p>
            </w:tc>
          </w:sdtContent>
        </w:sdt>
        <w:sdt>
          <w:sdtPr>
            <w:tag w:val="_PLD_b3dd3e66f628452aab8284dc189a458b"/>
            <w:id w:val="538712040"/>
            <w:lock w:val="sdtLocked"/>
          </w:sdtPr>
          <w:sdtEndPr/>
          <w:sdtContent>
            <w:tc>
              <w:tcPr>
                <w:tcW w:w="1074" w:type="pct"/>
                <w:shd w:val="clear" w:color="auto" w:fill="auto"/>
                <w:vAlign w:val="center"/>
              </w:tcPr>
              <w:p w:rsidR="004A3868" w:rsidRDefault="003F1AB5">
                <w:pPr>
                  <w:pStyle w:val="afffb"/>
                </w:pPr>
                <w:r>
                  <w:rPr>
                    <w:rFonts w:hint="eastAsia"/>
                  </w:rPr>
                  <w:t>递延所得税</w:t>
                </w:r>
              </w:p>
              <w:p w:rsidR="004A3868" w:rsidRDefault="003F1AB5">
                <w:pPr>
                  <w:pStyle w:val="afffb"/>
                </w:pPr>
                <w:r>
                  <w:rPr>
                    <w:rFonts w:hint="eastAsia"/>
                  </w:rPr>
                  <w:t>负债</w:t>
                </w:r>
              </w:p>
            </w:tc>
          </w:sdtContent>
        </w:sdt>
        <w:sdt>
          <w:sdtPr>
            <w:tag w:val="_PLD_3e69493cf6a2462eab1eaf8ece87a89d"/>
            <w:id w:val="1983038656"/>
            <w:lock w:val="sdtLocked"/>
          </w:sdtPr>
          <w:sdtEndPr/>
          <w:sdtContent>
            <w:tc>
              <w:tcPr>
                <w:tcW w:w="1074" w:type="pct"/>
                <w:shd w:val="clear" w:color="auto" w:fill="auto"/>
                <w:vAlign w:val="center"/>
              </w:tcPr>
              <w:p w:rsidR="004A3868" w:rsidRDefault="003F1AB5">
                <w:pPr>
                  <w:pStyle w:val="afffb"/>
                </w:pPr>
                <w:r>
                  <w:rPr>
                    <w:rFonts w:hint="eastAsia"/>
                  </w:rPr>
                  <w:t>应纳税暂时性差异</w:t>
                </w:r>
              </w:p>
            </w:tc>
          </w:sdtContent>
        </w:sdt>
        <w:sdt>
          <w:sdtPr>
            <w:tag w:val="_PLD_ad4c3389a4a04a96990ace5203f3adbb"/>
            <w:id w:val="1345820543"/>
            <w:lock w:val="sdtLocked"/>
          </w:sdtPr>
          <w:sdtEndPr/>
          <w:sdtContent>
            <w:tc>
              <w:tcPr>
                <w:tcW w:w="1007" w:type="pct"/>
                <w:shd w:val="clear" w:color="auto" w:fill="auto"/>
                <w:vAlign w:val="center"/>
              </w:tcPr>
              <w:p w:rsidR="004A3868" w:rsidRDefault="003F1AB5">
                <w:pPr>
                  <w:pStyle w:val="afffb"/>
                </w:pPr>
                <w:r>
                  <w:rPr>
                    <w:rFonts w:hint="eastAsia"/>
                  </w:rPr>
                  <w:t>递延所得税</w:t>
                </w:r>
              </w:p>
              <w:p w:rsidR="004A3868" w:rsidRDefault="003F1AB5">
                <w:pPr>
                  <w:pStyle w:val="afffb"/>
                </w:pPr>
                <w:r>
                  <w:rPr>
                    <w:rFonts w:hint="eastAsia"/>
                  </w:rPr>
                  <w:t>负债</w:t>
                </w:r>
              </w:p>
            </w:tc>
          </w:sdtContent>
        </w:sdt>
      </w:tr>
      <w:tr w:rsidR="004A3868">
        <w:trPr>
          <w:trHeight w:val="397"/>
          <w:jc w:val="center"/>
        </w:trPr>
        <w:tc>
          <w:tcPr>
            <w:tcW w:w="838" w:type="pct"/>
            <w:shd w:val="clear" w:color="auto" w:fill="auto"/>
          </w:tcPr>
          <w:p w:rsidR="004A3868" w:rsidRDefault="003F1AB5">
            <w:pPr>
              <w:pStyle w:val="afff9"/>
            </w:pPr>
            <w:r>
              <w:rPr>
                <w:rFonts w:hint="eastAsia"/>
              </w:rPr>
              <w:t>一次性税前扣除的固定资产</w:t>
            </w:r>
            <w:r>
              <w:rPr>
                <w:rFonts w:hint="eastAsia"/>
              </w:rPr>
              <w:t> </w:t>
            </w:r>
          </w:p>
        </w:tc>
        <w:tc>
          <w:tcPr>
            <w:tcW w:w="1007" w:type="pct"/>
            <w:shd w:val="clear" w:color="auto" w:fill="auto"/>
            <w:vAlign w:val="center"/>
          </w:tcPr>
          <w:p w:rsidR="004A3868" w:rsidRDefault="003F1AB5">
            <w:pPr>
              <w:pStyle w:val="afff7"/>
            </w:pPr>
            <w:r>
              <w:t>308,354,257.78</w:t>
            </w:r>
          </w:p>
        </w:tc>
        <w:tc>
          <w:tcPr>
            <w:tcW w:w="1074" w:type="pct"/>
            <w:shd w:val="clear" w:color="auto" w:fill="auto"/>
            <w:vAlign w:val="center"/>
          </w:tcPr>
          <w:p w:rsidR="004A3868" w:rsidRDefault="003F1AB5">
            <w:pPr>
              <w:pStyle w:val="afff7"/>
            </w:pPr>
            <w:r>
              <w:t>46,293,523.15</w:t>
            </w:r>
          </w:p>
        </w:tc>
        <w:tc>
          <w:tcPr>
            <w:tcW w:w="1074" w:type="pct"/>
            <w:shd w:val="clear" w:color="auto" w:fill="auto"/>
            <w:vAlign w:val="center"/>
          </w:tcPr>
          <w:p w:rsidR="004A3868" w:rsidRDefault="003F1AB5">
            <w:pPr>
              <w:pStyle w:val="afff7"/>
            </w:pPr>
            <w:r>
              <w:t>163,554,166.93</w:t>
            </w:r>
          </w:p>
        </w:tc>
        <w:tc>
          <w:tcPr>
            <w:tcW w:w="1007" w:type="pct"/>
            <w:shd w:val="clear" w:color="auto" w:fill="auto"/>
            <w:vAlign w:val="center"/>
          </w:tcPr>
          <w:p w:rsidR="004A3868" w:rsidRDefault="003F1AB5">
            <w:pPr>
              <w:pStyle w:val="afff7"/>
            </w:pPr>
            <w:r>
              <w:t>24,540,809.81</w:t>
            </w:r>
          </w:p>
        </w:tc>
      </w:tr>
      <w:tr w:rsidR="004A3868">
        <w:trPr>
          <w:trHeight w:val="397"/>
          <w:jc w:val="center"/>
        </w:trPr>
        <w:tc>
          <w:tcPr>
            <w:tcW w:w="838" w:type="pct"/>
            <w:shd w:val="clear" w:color="auto" w:fill="auto"/>
          </w:tcPr>
          <w:p w:rsidR="004A3868" w:rsidRDefault="003F1AB5">
            <w:pPr>
              <w:pStyle w:val="afff9"/>
            </w:pPr>
            <w:r>
              <w:rPr>
                <w:rFonts w:hint="eastAsia"/>
              </w:rPr>
              <w:t>使用权资产</w:t>
            </w:r>
            <w:r>
              <w:rPr>
                <w:rFonts w:hint="eastAsia"/>
              </w:rPr>
              <w:t> </w:t>
            </w:r>
          </w:p>
        </w:tc>
        <w:tc>
          <w:tcPr>
            <w:tcW w:w="1007" w:type="pct"/>
            <w:shd w:val="clear" w:color="auto" w:fill="auto"/>
            <w:vAlign w:val="center"/>
          </w:tcPr>
          <w:p w:rsidR="004A3868" w:rsidRDefault="003F1AB5">
            <w:pPr>
              <w:pStyle w:val="afff7"/>
            </w:pPr>
            <w:r>
              <w:t>7,482,779.47</w:t>
            </w:r>
          </w:p>
        </w:tc>
        <w:tc>
          <w:tcPr>
            <w:tcW w:w="1074" w:type="pct"/>
            <w:shd w:val="clear" w:color="auto" w:fill="auto"/>
            <w:vAlign w:val="center"/>
          </w:tcPr>
          <w:p w:rsidR="004A3868" w:rsidRDefault="003F1AB5">
            <w:pPr>
              <w:pStyle w:val="afff7"/>
            </w:pPr>
            <w:r>
              <w:t>1,122,416.92</w:t>
            </w:r>
          </w:p>
        </w:tc>
        <w:tc>
          <w:tcPr>
            <w:tcW w:w="1074" w:type="pct"/>
            <w:shd w:val="clear" w:color="auto" w:fill="auto"/>
            <w:vAlign w:val="center"/>
          </w:tcPr>
          <w:p w:rsidR="004A3868" w:rsidRDefault="003F1AB5">
            <w:pPr>
              <w:pStyle w:val="afff7"/>
            </w:pPr>
            <w:r>
              <w:t>1,092,157.13</w:t>
            </w:r>
          </w:p>
        </w:tc>
        <w:tc>
          <w:tcPr>
            <w:tcW w:w="1007" w:type="pct"/>
            <w:shd w:val="clear" w:color="auto" w:fill="auto"/>
            <w:vAlign w:val="center"/>
          </w:tcPr>
          <w:p w:rsidR="004A3868" w:rsidRDefault="003F1AB5">
            <w:pPr>
              <w:pStyle w:val="afff7"/>
            </w:pPr>
            <w:r>
              <w:t>163,823.57</w:t>
            </w:r>
          </w:p>
        </w:tc>
      </w:tr>
      <w:tr w:rsidR="004A3868">
        <w:trPr>
          <w:trHeight w:val="397"/>
          <w:jc w:val="center"/>
        </w:trPr>
        <w:tc>
          <w:tcPr>
            <w:tcW w:w="838" w:type="pct"/>
            <w:shd w:val="clear" w:color="auto" w:fill="auto"/>
          </w:tcPr>
          <w:p w:rsidR="004A3868" w:rsidRDefault="003F1AB5">
            <w:pPr>
              <w:pStyle w:val="afff9"/>
            </w:pPr>
            <w:r>
              <w:rPr>
                <w:rFonts w:hint="eastAsia"/>
              </w:rPr>
              <w:t>交易性金融资产公允价值变动</w:t>
            </w:r>
            <w:r>
              <w:rPr>
                <w:rFonts w:hint="eastAsia"/>
              </w:rPr>
              <w:t> </w:t>
            </w:r>
          </w:p>
        </w:tc>
        <w:tc>
          <w:tcPr>
            <w:tcW w:w="1007" w:type="pct"/>
            <w:shd w:val="clear" w:color="auto" w:fill="auto"/>
            <w:vAlign w:val="center"/>
          </w:tcPr>
          <w:p w:rsidR="004A3868" w:rsidRDefault="004A3868">
            <w:pPr>
              <w:pStyle w:val="afff7"/>
            </w:pPr>
          </w:p>
        </w:tc>
        <w:tc>
          <w:tcPr>
            <w:tcW w:w="1074" w:type="pct"/>
            <w:shd w:val="clear" w:color="auto" w:fill="auto"/>
            <w:vAlign w:val="center"/>
          </w:tcPr>
          <w:p w:rsidR="004A3868" w:rsidRDefault="004A3868">
            <w:pPr>
              <w:pStyle w:val="afff7"/>
            </w:pPr>
          </w:p>
        </w:tc>
        <w:tc>
          <w:tcPr>
            <w:tcW w:w="1074" w:type="pct"/>
            <w:shd w:val="clear" w:color="auto" w:fill="auto"/>
            <w:vAlign w:val="center"/>
          </w:tcPr>
          <w:p w:rsidR="004A3868" w:rsidRDefault="003F1AB5">
            <w:pPr>
              <w:pStyle w:val="afff7"/>
            </w:pPr>
            <w:r>
              <w:t>21,369.86</w:t>
            </w:r>
          </w:p>
        </w:tc>
        <w:tc>
          <w:tcPr>
            <w:tcW w:w="1007" w:type="pct"/>
            <w:shd w:val="clear" w:color="auto" w:fill="auto"/>
            <w:vAlign w:val="center"/>
          </w:tcPr>
          <w:p w:rsidR="004A3868" w:rsidRDefault="003F1AB5">
            <w:pPr>
              <w:pStyle w:val="afff7"/>
            </w:pPr>
            <w:r>
              <w:t>3,205.48</w:t>
            </w:r>
          </w:p>
        </w:tc>
      </w:tr>
      <w:tr w:rsidR="004A3868">
        <w:trPr>
          <w:trHeight w:val="397"/>
          <w:jc w:val="center"/>
        </w:trPr>
        <w:tc>
          <w:tcPr>
            <w:tcW w:w="838" w:type="pct"/>
            <w:shd w:val="clear" w:color="auto" w:fill="auto"/>
            <w:vAlign w:val="center"/>
          </w:tcPr>
          <w:p w:rsidR="004A3868" w:rsidRDefault="003F1AB5">
            <w:pPr>
              <w:pStyle w:val="afff9"/>
            </w:pPr>
            <w:r>
              <w:rPr>
                <w:rFonts w:hint="eastAsia"/>
              </w:rPr>
              <w:t>合计</w:t>
            </w:r>
          </w:p>
        </w:tc>
        <w:tc>
          <w:tcPr>
            <w:tcW w:w="1007" w:type="pct"/>
            <w:shd w:val="clear" w:color="auto" w:fill="auto"/>
            <w:vAlign w:val="center"/>
          </w:tcPr>
          <w:p w:rsidR="004A3868" w:rsidRDefault="003F1AB5">
            <w:pPr>
              <w:pStyle w:val="afff7"/>
            </w:pPr>
            <w:r>
              <w:t>315,837,037.25</w:t>
            </w:r>
          </w:p>
        </w:tc>
        <w:tc>
          <w:tcPr>
            <w:tcW w:w="1074" w:type="pct"/>
            <w:shd w:val="clear" w:color="auto" w:fill="auto"/>
            <w:vAlign w:val="center"/>
          </w:tcPr>
          <w:p w:rsidR="004A3868" w:rsidRDefault="003F1AB5">
            <w:pPr>
              <w:pStyle w:val="afff7"/>
            </w:pPr>
            <w:r>
              <w:t>47,415,940.07</w:t>
            </w:r>
          </w:p>
        </w:tc>
        <w:tc>
          <w:tcPr>
            <w:tcW w:w="1074" w:type="pct"/>
            <w:shd w:val="clear" w:color="auto" w:fill="auto"/>
            <w:vAlign w:val="center"/>
          </w:tcPr>
          <w:p w:rsidR="004A3868" w:rsidRDefault="003F1AB5">
            <w:pPr>
              <w:pStyle w:val="afff7"/>
            </w:pPr>
            <w:r>
              <w:t>164,667,693.92</w:t>
            </w:r>
          </w:p>
        </w:tc>
        <w:tc>
          <w:tcPr>
            <w:tcW w:w="1007" w:type="pct"/>
            <w:shd w:val="clear" w:color="auto" w:fill="auto"/>
            <w:vAlign w:val="center"/>
          </w:tcPr>
          <w:p w:rsidR="004A3868" w:rsidRDefault="003F1AB5">
            <w:pPr>
              <w:pStyle w:val="afff7"/>
            </w:pPr>
            <w:r>
              <w:t>24,707,838.86</w:t>
            </w:r>
          </w:p>
        </w:tc>
      </w:tr>
    </w:tbl>
    <w:p w:rsidR="004A3868" w:rsidRDefault="004A3868">
      <w:pPr>
        <w:pStyle w:val="Style124"/>
      </w:pPr>
    </w:p>
    <w:p w:rsidR="004A3868" w:rsidRDefault="003F1AB5">
      <w:pPr>
        <w:pStyle w:val="Style128"/>
        <w:numPr>
          <w:ilvl w:val="0"/>
          <w:numId w:val="86"/>
        </w:numPr>
      </w:pPr>
      <w:r>
        <w:rPr>
          <w:rFonts w:hint="eastAsia"/>
        </w:rPr>
        <w:t>以抵销后净额列示的递延所得税资产或负债</w:t>
      </w:r>
    </w:p>
    <w:sdt>
      <w:sdtPr>
        <w:alias w:val="是否适用：以抵销后净额列示的递延所得税资产或负债[双击切换]"/>
        <w:tag w:val="_GBC_adbd88aca1694de2a14c265a3fb12290"/>
        <w:id w:val="1215629646"/>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86"/>
        </w:numPr>
      </w:pPr>
      <w:r>
        <w:rPr>
          <w:rFonts w:hint="eastAsia"/>
        </w:rPr>
        <w:t>未确认递延所得税资产明细</w:t>
      </w:r>
    </w:p>
    <w:sdt>
      <w:sdtPr>
        <w:rPr>
          <w:sz w:val="21"/>
          <w:szCs w:val="21"/>
        </w:rPr>
        <w:alias w:val="是否适用：未确认递延所得税资产明细[双击切换]"/>
        <w:tag w:val="_GBC_713996bf5e4d4c6988835fbf892c5ef2"/>
        <w:id w:val="78231201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86"/>
        </w:numPr>
      </w:pPr>
      <w:r>
        <w:rPr>
          <w:rFonts w:hint="eastAsia"/>
        </w:rPr>
        <w:t>未确认递延所得税资产的可抵扣亏损将于以下年度到期</w:t>
      </w:r>
    </w:p>
    <w:sdt>
      <w:sdtPr>
        <w:rPr>
          <w:sz w:val="21"/>
          <w:szCs w:val="21"/>
        </w:rPr>
        <w:alias w:val="是否适用：未确认递延所得税资产的可抵扣亏损将于以下年度到期[双击切换]"/>
        <w:tag w:val="_GBC_961c987bdb6e4a53ad2e7713648fd02b"/>
        <w:id w:val="-939147786"/>
        <w:lock w:val="sdtLocked"/>
        <w:placeholder>
          <w:docPart w:val="GBC22222222222222222222222222222"/>
        </w:placeholder>
      </w:sdtPr>
      <w:sdtEndPr/>
      <w:sdtContent>
        <w:p w:rsidR="004A3868" w:rsidRDefault="003F1AB5">
          <w:pPr>
            <w:rPr>
              <w:color w:val="FF00FF"/>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14"/>
    <w:p w:rsidR="004A3868" w:rsidRDefault="003F1AB5">
      <w:pPr>
        <w:rPr>
          <w:sz w:val="21"/>
          <w:szCs w:val="21"/>
        </w:rPr>
      </w:pPr>
      <w:r>
        <w:rPr>
          <w:rFonts w:hint="eastAsia"/>
          <w:sz w:val="21"/>
          <w:szCs w:val="21"/>
        </w:rPr>
        <w:t>其他说明：</w:t>
      </w:r>
    </w:p>
    <w:sdt>
      <w:sdtPr>
        <w:rPr>
          <w:sz w:val="21"/>
          <w:szCs w:val="21"/>
        </w:rPr>
        <w:alias w:val="是否适用：递延所得税资产和递延所得税负债的说明[双击切换]"/>
        <w:tag w:val="_GBC_7f4fae30d73847918bda2bbfa91008fe"/>
        <w:id w:val="-30177393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lastRenderedPageBreak/>
        <w:t>其他非流动资产</w:t>
      </w:r>
    </w:p>
    <w:bookmarkStart w:id="215" w:name="_Hlk533670093" w:displacedByCustomXml="next"/>
    <w:sdt>
      <w:sdtPr>
        <w:alias w:val="是否适用：其他非流动资产[双击切换]"/>
        <w:tag w:val="_GBC_a847828a70d64218a7f8a07dc593d18b"/>
        <w:id w:val="-144660943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Style w:val="Char20"/>
          <w:rFonts w:hint="eastAsia"/>
        </w:rPr>
        <w:t>单位：</w:t>
      </w:r>
      <w:sdt>
        <w:sdtPr>
          <w:rPr>
            <w:rStyle w:val="Char20"/>
          </w:rPr>
          <w:alias w:val="单位：财务附注：其他非流动资产"/>
          <w:tag w:val="_GBC_7c7ae7cee25948deb399f93e000e5ba2"/>
          <w:id w:val="-12137265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Pr>
            <w:t>元</w:t>
          </w:r>
        </w:sdtContent>
      </w:sdt>
      <w:r>
        <w:rPr>
          <w:rStyle w:val="Char20"/>
          <w:rFonts w:hint="eastAsia"/>
        </w:rPr>
        <w:t xml:space="preserve">  </w:t>
      </w:r>
      <w:r>
        <w:rPr>
          <w:rStyle w:val="Char20"/>
          <w:rFonts w:hint="eastAsia"/>
        </w:rPr>
        <w:t>币种：</w:t>
      </w:r>
      <w:sdt>
        <w:sdtPr>
          <w:rPr>
            <w:rStyle w:val="Char20"/>
            <w:rFonts w:hint="eastAsia"/>
          </w:rPr>
          <w:alias w:val="币种：财务附注：其他非流动资产"/>
          <w:tag w:val="_GBC_b449fdd4941b4ff8a1bda3449b257e1d"/>
          <w:id w:val="13587035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271"/>
        <w:gridCol w:w="1558"/>
        <w:gridCol w:w="566"/>
        <w:gridCol w:w="1562"/>
        <w:gridCol w:w="1701"/>
        <w:gridCol w:w="568"/>
        <w:gridCol w:w="1597"/>
      </w:tblGrid>
      <w:tr w:rsidR="004A3868">
        <w:trPr>
          <w:trHeight w:val="397"/>
          <w:jc w:val="center"/>
        </w:trPr>
        <w:sdt>
          <w:sdtPr>
            <w:tag w:val="_PLD_2b90e6e62acc45b288941c3eec3d8d88"/>
            <w:id w:val="109714051"/>
            <w:lock w:val="sdtLocked"/>
          </w:sdtPr>
          <w:sdtEndPr/>
          <w:sdtContent>
            <w:tc>
              <w:tcPr>
                <w:tcW w:w="720" w:type="pct"/>
                <w:vMerge w:val="restart"/>
                <w:shd w:val="clear" w:color="auto" w:fill="auto"/>
                <w:vAlign w:val="center"/>
              </w:tcPr>
              <w:p w:rsidR="004A3868" w:rsidRDefault="003F1AB5">
                <w:pPr>
                  <w:pStyle w:val="afffb"/>
                </w:pPr>
                <w:r>
                  <w:rPr>
                    <w:rFonts w:hint="eastAsia"/>
                  </w:rPr>
                  <w:t>项目</w:t>
                </w:r>
              </w:p>
            </w:tc>
          </w:sdtContent>
        </w:sdt>
        <w:sdt>
          <w:sdtPr>
            <w:tag w:val="_PLD_bb07270ad4df4c0f94d4e0af019ab46c"/>
            <w:id w:val="1860080640"/>
            <w:lock w:val="sdtLocked"/>
          </w:sdtPr>
          <w:sdtEndPr/>
          <w:sdtContent>
            <w:tc>
              <w:tcPr>
                <w:tcW w:w="2089" w:type="pct"/>
                <w:gridSpan w:val="3"/>
                <w:vAlign w:val="center"/>
              </w:tcPr>
              <w:p w:rsidR="004A3868" w:rsidRDefault="003F1AB5">
                <w:pPr>
                  <w:pStyle w:val="afffb"/>
                </w:pPr>
                <w:r>
                  <w:rPr>
                    <w:rFonts w:hint="eastAsia"/>
                  </w:rPr>
                  <w:t>期末余额</w:t>
                </w:r>
              </w:p>
            </w:tc>
          </w:sdtContent>
        </w:sdt>
        <w:sdt>
          <w:sdtPr>
            <w:tag w:val="_PLD_7a3b43a9fc7d404ca5a79aa8f44f7452"/>
            <w:id w:val="880520981"/>
            <w:lock w:val="sdtLocked"/>
          </w:sdtPr>
          <w:sdtEndPr/>
          <w:sdtContent>
            <w:tc>
              <w:tcPr>
                <w:tcW w:w="2191" w:type="pct"/>
                <w:gridSpan w:val="3"/>
                <w:vAlign w:val="center"/>
              </w:tcPr>
              <w:p w:rsidR="004A3868" w:rsidRDefault="003F1AB5">
                <w:pPr>
                  <w:pStyle w:val="afffb"/>
                </w:pPr>
                <w:r>
                  <w:rPr>
                    <w:rFonts w:hint="eastAsia"/>
                  </w:rPr>
                  <w:t>期初余额</w:t>
                </w:r>
              </w:p>
            </w:tc>
          </w:sdtContent>
        </w:sdt>
      </w:tr>
      <w:tr w:rsidR="004A3868">
        <w:trPr>
          <w:trHeight w:val="397"/>
          <w:jc w:val="center"/>
        </w:trPr>
        <w:tc>
          <w:tcPr>
            <w:tcW w:w="720" w:type="pct"/>
            <w:vMerge/>
            <w:shd w:val="clear" w:color="auto" w:fill="auto"/>
            <w:vAlign w:val="center"/>
          </w:tcPr>
          <w:p w:rsidR="004A3868" w:rsidRDefault="004A3868">
            <w:pPr>
              <w:pStyle w:val="afffb"/>
            </w:pPr>
          </w:p>
        </w:tc>
        <w:tc>
          <w:tcPr>
            <w:tcW w:w="883" w:type="pct"/>
            <w:vAlign w:val="center"/>
          </w:tcPr>
          <w:sdt>
            <w:sdtPr>
              <w:rPr>
                <w:rFonts w:hint="eastAsia"/>
              </w:rPr>
              <w:tag w:val="_PLD_eaca5bccdac9417999d4d9af7ad1eefe"/>
              <w:id w:val="516432979"/>
              <w:lock w:val="sdtLocked"/>
            </w:sdtPr>
            <w:sdtEndPr/>
            <w:sdtContent>
              <w:p w:rsidR="004A3868" w:rsidRDefault="003F1AB5">
                <w:pPr>
                  <w:pStyle w:val="afffb"/>
                </w:pPr>
                <w:r>
                  <w:rPr>
                    <w:rFonts w:hint="eastAsia"/>
                  </w:rPr>
                  <w:t>账面余额</w:t>
                </w:r>
              </w:p>
            </w:sdtContent>
          </w:sdt>
        </w:tc>
        <w:tc>
          <w:tcPr>
            <w:tcW w:w="321" w:type="pct"/>
            <w:vAlign w:val="center"/>
          </w:tcPr>
          <w:sdt>
            <w:sdtPr>
              <w:tag w:val="_PLD_b913601a6f0c496ba876b57f7e93b40e"/>
              <w:id w:val="-972596476"/>
              <w:lock w:val="sdtLocked"/>
            </w:sdtPr>
            <w:sdtEndPr/>
            <w:sdtContent>
              <w:p w:rsidR="004A3868" w:rsidRDefault="003F1AB5">
                <w:pPr>
                  <w:pStyle w:val="afffb"/>
                </w:pPr>
                <w:r>
                  <w:t>减值准备</w:t>
                </w:r>
              </w:p>
            </w:sdtContent>
          </w:sdt>
        </w:tc>
        <w:tc>
          <w:tcPr>
            <w:tcW w:w="885" w:type="pct"/>
            <w:shd w:val="clear" w:color="auto" w:fill="auto"/>
            <w:vAlign w:val="center"/>
          </w:tcPr>
          <w:sdt>
            <w:sdtPr>
              <w:tag w:val="_PLD_22318356783c413ba8286ddb8d1cda63"/>
              <w:id w:val="30625587"/>
              <w:lock w:val="sdtLocked"/>
            </w:sdtPr>
            <w:sdtEndPr/>
            <w:sdtContent>
              <w:p w:rsidR="004A3868" w:rsidRDefault="003F1AB5">
                <w:pPr>
                  <w:pStyle w:val="afffb"/>
                </w:pPr>
                <w:r>
                  <w:t>账面价值</w:t>
                </w:r>
              </w:p>
            </w:sdtContent>
          </w:sdt>
        </w:tc>
        <w:tc>
          <w:tcPr>
            <w:tcW w:w="964" w:type="pct"/>
            <w:vAlign w:val="center"/>
          </w:tcPr>
          <w:sdt>
            <w:sdtPr>
              <w:tag w:val="_PLD_0c6f94cdfaf1457fa98b2252d3b39131"/>
              <w:id w:val="-1185740402"/>
              <w:lock w:val="sdtLocked"/>
            </w:sdtPr>
            <w:sdtEndPr/>
            <w:sdtContent>
              <w:p w:rsidR="004A3868" w:rsidRDefault="003F1AB5">
                <w:pPr>
                  <w:pStyle w:val="afffb"/>
                </w:pPr>
                <w:r>
                  <w:t>账面余额</w:t>
                </w:r>
              </w:p>
            </w:sdtContent>
          </w:sdt>
        </w:tc>
        <w:tc>
          <w:tcPr>
            <w:tcW w:w="322" w:type="pct"/>
            <w:vAlign w:val="center"/>
          </w:tcPr>
          <w:sdt>
            <w:sdtPr>
              <w:tag w:val="_PLD_9d7969af67514b9e93b62156119189b9"/>
              <w:id w:val="-385876530"/>
              <w:lock w:val="sdtLocked"/>
            </w:sdtPr>
            <w:sdtEndPr/>
            <w:sdtContent>
              <w:p w:rsidR="004A3868" w:rsidRDefault="003F1AB5">
                <w:pPr>
                  <w:pStyle w:val="afffb"/>
                </w:pPr>
                <w:r>
                  <w:t>减值准备</w:t>
                </w:r>
              </w:p>
            </w:sdtContent>
          </w:sdt>
        </w:tc>
        <w:tc>
          <w:tcPr>
            <w:tcW w:w="905" w:type="pct"/>
            <w:shd w:val="clear" w:color="auto" w:fill="auto"/>
            <w:vAlign w:val="center"/>
          </w:tcPr>
          <w:sdt>
            <w:sdtPr>
              <w:tag w:val="_PLD_9c8736640ddf4dc897f3c30fb690ab09"/>
              <w:id w:val="835658045"/>
              <w:lock w:val="sdtLocked"/>
            </w:sdtPr>
            <w:sdtEndPr/>
            <w:sdtContent>
              <w:p w:rsidR="004A3868" w:rsidRDefault="003F1AB5">
                <w:pPr>
                  <w:pStyle w:val="afffb"/>
                </w:pPr>
                <w:r>
                  <w:t>账面价值</w:t>
                </w:r>
              </w:p>
            </w:sdtContent>
          </w:sdt>
        </w:tc>
      </w:tr>
      <w:tr w:rsidR="004A3868">
        <w:trPr>
          <w:trHeight w:val="397"/>
          <w:jc w:val="center"/>
        </w:trPr>
        <w:tc>
          <w:tcPr>
            <w:tcW w:w="720" w:type="pct"/>
            <w:shd w:val="clear" w:color="auto" w:fill="auto"/>
            <w:vAlign w:val="center"/>
          </w:tcPr>
          <w:p w:rsidR="004A3868" w:rsidRDefault="003F1AB5">
            <w:pPr>
              <w:pStyle w:val="afff9"/>
            </w:pPr>
            <w:r>
              <w:rPr>
                <w:rFonts w:hint="eastAsia"/>
              </w:rPr>
              <w:t>预付工程、设备款</w:t>
            </w:r>
          </w:p>
        </w:tc>
        <w:tc>
          <w:tcPr>
            <w:tcW w:w="883" w:type="pct"/>
            <w:vAlign w:val="center"/>
          </w:tcPr>
          <w:p w:rsidR="004A3868" w:rsidRDefault="003F1AB5">
            <w:pPr>
              <w:pStyle w:val="afff7"/>
            </w:pPr>
            <w:r>
              <w:t>68,538,506.70</w:t>
            </w:r>
          </w:p>
        </w:tc>
        <w:tc>
          <w:tcPr>
            <w:tcW w:w="321" w:type="pct"/>
            <w:vAlign w:val="center"/>
          </w:tcPr>
          <w:p w:rsidR="004A3868" w:rsidRDefault="004A3868">
            <w:pPr>
              <w:pStyle w:val="afff7"/>
            </w:pPr>
          </w:p>
        </w:tc>
        <w:tc>
          <w:tcPr>
            <w:tcW w:w="885" w:type="pct"/>
            <w:shd w:val="clear" w:color="auto" w:fill="auto"/>
            <w:vAlign w:val="center"/>
          </w:tcPr>
          <w:p w:rsidR="004A3868" w:rsidRDefault="003F1AB5">
            <w:pPr>
              <w:pStyle w:val="afff7"/>
            </w:pPr>
            <w:r>
              <w:t>68,538,506.70</w:t>
            </w:r>
          </w:p>
        </w:tc>
        <w:tc>
          <w:tcPr>
            <w:tcW w:w="964" w:type="pct"/>
            <w:vAlign w:val="center"/>
          </w:tcPr>
          <w:p w:rsidR="004A3868" w:rsidRDefault="003F1AB5">
            <w:pPr>
              <w:pStyle w:val="afff7"/>
            </w:pPr>
            <w:r>
              <w:t>145,238,856.84</w:t>
            </w:r>
          </w:p>
        </w:tc>
        <w:tc>
          <w:tcPr>
            <w:tcW w:w="322" w:type="pct"/>
            <w:vAlign w:val="center"/>
          </w:tcPr>
          <w:p w:rsidR="004A3868" w:rsidRDefault="004A3868">
            <w:pPr>
              <w:pStyle w:val="afff7"/>
            </w:pPr>
          </w:p>
        </w:tc>
        <w:tc>
          <w:tcPr>
            <w:tcW w:w="905" w:type="pct"/>
            <w:shd w:val="clear" w:color="auto" w:fill="auto"/>
            <w:vAlign w:val="center"/>
          </w:tcPr>
          <w:p w:rsidR="004A3868" w:rsidRDefault="003F1AB5">
            <w:pPr>
              <w:pStyle w:val="afff7"/>
            </w:pPr>
            <w:r>
              <w:t>145,238,856.84</w:t>
            </w:r>
          </w:p>
        </w:tc>
      </w:tr>
      <w:tr w:rsidR="004A3868">
        <w:trPr>
          <w:trHeight w:val="397"/>
          <w:jc w:val="center"/>
        </w:trPr>
        <w:tc>
          <w:tcPr>
            <w:tcW w:w="720" w:type="pct"/>
            <w:shd w:val="clear" w:color="auto" w:fill="auto"/>
            <w:vAlign w:val="center"/>
          </w:tcPr>
          <w:p w:rsidR="004A3868" w:rsidRDefault="003F1AB5">
            <w:pPr>
              <w:pStyle w:val="afff9"/>
            </w:pPr>
            <w:r>
              <w:t>预付投资保证金</w:t>
            </w:r>
          </w:p>
        </w:tc>
        <w:tc>
          <w:tcPr>
            <w:tcW w:w="883" w:type="pct"/>
            <w:vAlign w:val="center"/>
          </w:tcPr>
          <w:p w:rsidR="004A3868" w:rsidRDefault="003F1AB5">
            <w:pPr>
              <w:pStyle w:val="afff7"/>
            </w:pPr>
            <w:r>
              <w:t>10,000,000.00</w:t>
            </w:r>
          </w:p>
        </w:tc>
        <w:tc>
          <w:tcPr>
            <w:tcW w:w="321" w:type="pct"/>
            <w:vAlign w:val="center"/>
          </w:tcPr>
          <w:p w:rsidR="004A3868" w:rsidRDefault="003F1AB5">
            <w:pPr>
              <w:pStyle w:val="afff7"/>
            </w:pPr>
            <w:r>
              <w:t xml:space="preserve">　</w:t>
            </w:r>
          </w:p>
        </w:tc>
        <w:tc>
          <w:tcPr>
            <w:tcW w:w="885" w:type="pct"/>
            <w:shd w:val="clear" w:color="auto" w:fill="auto"/>
            <w:vAlign w:val="center"/>
          </w:tcPr>
          <w:p w:rsidR="004A3868" w:rsidRDefault="003F1AB5">
            <w:pPr>
              <w:pStyle w:val="afff7"/>
            </w:pPr>
            <w:r>
              <w:t>10,000,000.00</w:t>
            </w:r>
          </w:p>
        </w:tc>
        <w:tc>
          <w:tcPr>
            <w:tcW w:w="964" w:type="pct"/>
            <w:vAlign w:val="center"/>
          </w:tcPr>
          <w:p w:rsidR="004A3868" w:rsidRDefault="003F1AB5">
            <w:pPr>
              <w:pStyle w:val="afff7"/>
            </w:pPr>
            <w:r>
              <w:t xml:space="preserve">　</w:t>
            </w:r>
          </w:p>
        </w:tc>
        <w:tc>
          <w:tcPr>
            <w:tcW w:w="322" w:type="pct"/>
            <w:vAlign w:val="center"/>
          </w:tcPr>
          <w:p w:rsidR="004A3868" w:rsidRDefault="003F1AB5">
            <w:pPr>
              <w:pStyle w:val="afff7"/>
            </w:pPr>
            <w:r>
              <w:t xml:space="preserve">　</w:t>
            </w:r>
          </w:p>
        </w:tc>
        <w:tc>
          <w:tcPr>
            <w:tcW w:w="905" w:type="pct"/>
            <w:shd w:val="clear" w:color="auto" w:fill="auto"/>
            <w:vAlign w:val="center"/>
          </w:tcPr>
          <w:p w:rsidR="004A3868" w:rsidRDefault="003F1AB5">
            <w:pPr>
              <w:pStyle w:val="afff7"/>
            </w:pPr>
            <w:r>
              <w:t xml:space="preserve">　</w:t>
            </w:r>
          </w:p>
        </w:tc>
      </w:tr>
      <w:tr w:rsidR="004A3868">
        <w:trPr>
          <w:trHeight w:val="397"/>
          <w:jc w:val="center"/>
        </w:trPr>
        <w:tc>
          <w:tcPr>
            <w:tcW w:w="720" w:type="pct"/>
            <w:shd w:val="clear" w:color="auto" w:fill="auto"/>
            <w:vAlign w:val="center"/>
          </w:tcPr>
          <w:p w:rsidR="004A3868" w:rsidRDefault="003F1AB5">
            <w:pPr>
              <w:pStyle w:val="afff9"/>
            </w:pPr>
            <w:r>
              <w:rPr>
                <w:rFonts w:hint="eastAsia"/>
              </w:rPr>
              <w:t>合计</w:t>
            </w:r>
          </w:p>
        </w:tc>
        <w:tc>
          <w:tcPr>
            <w:tcW w:w="883" w:type="pct"/>
            <w:vAlign w:val="center"/>
          </w:tcPr>
          <w:p w:rsidR="004A3868" w:rsidRDefault="003F1AB5">
            <w:pPr>
              <w:pStyle w:val="afff7"/>
            </w:pPr>
            <w:r>
              <w:t>78,538,506.70</w:t>
            </w:r>
          </w:p>
        </w:tc>
        <w:tc>
          <w:tcPr>
            <w:tcW w:w="321" w:type="pct"/>
            <w:vAlign w:val="center"/>
          </w:tcPr>
          <w:p w:rsidR="004A3868" w:rsidRDefault="004A3868">
            <w:pPr>
              <w:pStyle w:val="afff7"/>
            </w:pPr>
          </w:p>
        </w:tc>
        <w:tc>
          <w:tcPr>
            <w:tcW w:w="885" w:type="pct"/>
            <w:shd w:val="clear" w:color="auto" w:fill="auto"/>
            <w:vAlign w:val="center"/>
          </w:tcPr>
          <w:p w:rsidR="004A3868" w:rsidRDefault="003F1AB5">
            <w:pPr>
              <w:pStyle w:val="afff7"/>
            </w:pPr>
            <w:r>
              <w:t>78,538,506.70</w:t>
            </w:r>
          </w:p>
        </w:tc>
        <w:tc>
          <w:tcPr>
            <w:tcW w:w="964" w:type="pct"/>
            <w:vAlign w:val="center"/>
          </w:tcPr>
          <w:p w:rsidR="004A3868" w:rsidRDefault="003F1AB5">
            <w:pPr>
              <w:pStyle w:val="afff7"/>
            </w:pPr>
            <w:r>
              <w:t>145,238,856.84</w:t>
            </w:r>
          </w:p>
        </w:tc>
        <w:tc>
          <w:tcPr>
            <w:tcW w:w="322" w:type="pct"/>
            <w:vAlign w:val="center"/>
          </w:tcPr>
          <w:p w:rsidR="004A3868" w:rsidRDefault="004A3868">
            <w:pPr>
              <w:pStyle w:val="afff7"/>
            </w:pPr>
          </w:p>
        </w:tc>
        <w:tc>
          <w:tcPr>
            <w:tcW w:w="905" w:type="pct"/>
            <w:shd w:val="clear" w:color="auto" w:fill="auto"/>
            <w:vAlign w:val="center"/>
          </w:tcPr>
          <w:p w:rsidR="004A3868" w:rsidRDefault="003F1AB5">
            <w:pPr>
              <w:pStyle w:val="afff7"/>
            </w:pPr>
            <w:r>
              <w:t>145,238,856.84</w:t>
            </w:r>
          </w:p>
        </w:tc>
      </w:tr>
    </w:tbl>
    <w:p w:rsidR="004A3868" w:rsidRDefault="003F1AB5">
      <w:pPr>
        <w:rPr>
          <w:sz w:val="21"/>
          <w:szCs w:val="21"/>
        </w:rPr>
      </w:pPr>
      <w:r>
        <w:rPr>
          <w:rFonts w:hint="eastAsia"/>
          <w:sz w:val="21"/>
          <w:szCs w:val="21"/>
        </w:rPr>
        <w:t>其他说明：</w:t>
      </w:r>
    </w:p>
    <w:p w:rsidR="004A3868" w:rsidRDefault="00B34370">
      <w:pPr>
        <w:rPr>
          <w:sz w:val="21"/>
          <w:szCs w:val="21"/>
        </w:rPr>
      </w:pPr>
      <w:sdt>
        <w:sdtPr>
          <w:alias w:val="其他长期资产的说明"/>
          <w:tag w:val="_GBC_d2d37b97b8df4ba1b7bcbf3e8c04d024"/>
          <w:id w:val="-2115040187"/>
          <w:placeholder>
            <w:docPart w:val="GBC22222222222222222222222222222"/>
          </w:placeholder>
        </w:sdtPr>
        <w:sdtEndPr>
          <w:rPr>
            <w:sz w:val="21"/>
            <w:szCs w:val="21"/>
          </w:rPr>
        </w:sdtEndPr>
        <w:sdtContent>
          <w:r w:rsidR="003F1AB5">
            <w:rPr>
              <w:rFonts w:hint="eastAsia"/>
              <w:sz w:val="21"/>
              <w:szCs w:val="21"/>
            </w:rPr>
            <w:t>无</w:t>
          </w:r>
        </w:sdtContent>
      </w:sdt>
      <w:bookmarkEnd w:id="215"/>
    </w:p>
    <w:p w:rsidR="004A3868" w:rsidRDefault="003F1AB5">
      <w:pPr>
        <w:pStyle w:val="Style12711"/>
      </w:pPr>
      <w:r>
        <w:rPr>
          <w:rFonts w:hint="eastAsia"/>
        </w:rPr>
        <w:t>所有权或使用权受限资产</w:t>
      </w:r>
    </w:p>
    <w:bookmarkStart w:id="216" w:name="_Hlk152949531" w:displacedByCustomXml="next"/>
    <w:sdt>
      <w:sdtPr>
        <w:alias w:val="是否适用：所有权或使用权受到限制的资产[双击切换]"/>
        <w:tag w:val="_GBC_a283d24f027d4d16b90b482ce573c322"/>
        <w:id w:val="-133560732"/>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财务附注：所有权或使用权受到限制的资产"/>
          <w:tag w:val="_GBC_3477487b65f945b1991b65aa0ada53b6"/>
          <w:id w:val="16581066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万元</w:t>
          </w:r>
        </w:sdtContent>
      </w:sdt>
      <w:r>
        <w:rPr>
          <w:rStyle w:val="Char20"/>
          <w:rFonts w:hint="eastAsia"/>
        </w:rPr>
        <w:t xml:space="preserve">  </w:t>
      </w:r>
      <w:r>
        <w:rPr>
          <w:rStyle w:val="Char20"/>
          <w:rFonts w:hint="eastAsia"/>
        </w:rPr>
        <w:t>币种：</w:t>
      </w:r>
      <w:sdt>
        <w:sdtPr>
          <w:rPr>
            <w:rStyle w:val="Char20"/>
            <w:rFonts w:hint="eastAsia"/>
          </w:rPr>
          <w:alias w:val="币种：财务附注：所有权或使用权受到限制的资产"/>
          <w:tag w:val="_GBC_49ce2140e00b44d7b998aa58d39778c8"/>
          <w:id w:val="5418762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12"/>
        <w:tblW w:w="5380" w:type="pct"/>
        <w:jc w:val="center"/>
        <w:tblInd w:w="0" w:type="dxa"/>
        <w:tblLayout w:type="fixed"/>
        <w:tblCellMar>
          <w:right w:w="28" w:type="dxa"/>
        </w:tblCellMar>
        <w:tblLook w:val="04A0" w:firstRow="1" w:lastRow="0" w:firstColumn="1" w:lastColumn="0" w:noHBand="0" w:noVBand="1"/>
      </w:tblPr>
      <w:tblGrid>
        <w:gridCol w:w="563"/>
        <w:gridCol w:w="1276"/>
        <w:gridCol w:w="1276"/>
        <w:gridCol w:w="567"/>
        <w:gridCol w:w="992"/>
        <w:gridCol w:w="1418"/>
        <w:gridCol w:w="1416"/>
        <w:gridCol w:w="852"/>
        <w:gridCol w:w="1134"/>
      </w:tblGrid>
      <w:tr w:rsidR="004A3868">
        <w:trPr>
          <w:trHeight w:val="397"/>
          <w:jc w:val="center"/>
        </w:trPr>
        <w:sdt>
          <w:sdtPr>
            <w:rPr>
              <w:rFonts w:ascii="Times New Roman" w:hAnsi="Times New Roman" w:hint="eastAsia"/>
            </w:rPr>
            <w:tag w:val="_PLD_825ad37db2ce492f9bb6ff7f034b7d59"/>
            <w:id w:val="1286620924"/>
          </w:sdtPr>
          <w:sdtEndPr/>
          <w:sdtContent>
            <w:tc>
              <w:tcPr>
                <w:tcW w:w="563" w:type="dxa"/>
                <w:vMerge w:val="restart"/>
                <w:vAlign w:val="center"/>
              </w:tcPr>
              <w:p w:rsidR="004A3868" w:rsidRDefault="003F1AB5">
                <w:pPr>
                  <w:pStyle w:val="afffb"/>
                </w:pPr>
                <w:r>
                  <w:rPr>
                    <w:rFonts w:hint="eastAsia"/>
                  </w:rPr>
                  <w:t>项目</w:t>
                </w:r>
              </w:p>
            </w:tc>
          </w:sdtContent>
        </w:sdt>
        <w:sdt>
          <w:sdtPr>
            <w:rPr>
              <w:rFonts w:ascii="Times New Roman" w:hAnsi="Times New Roman" w:hint="eastAsia"/>
            </w:rPr>
            <w:tag w:val="_PLD_5e34e991b3f446acbd7aca256a1acb2d"/>
            <w:id w:val="-1818715038"/>
          </w:sdtPr>
          <w:sdtEndPr/>
          <w:sdtContent>
            <w:tc>
              <w:tcPr>
                <w:tcW w:w="4111" w:type="dxa"/>
                <w:gridSpan w:val="4"/>
                <w:vAlign w:val="center"/>
              </w:tcPr>
              <w:p w:rsidR="004A3868" w:rsidRDefault="003F1AB5">
                <w:pPr>
                  <w:pStyle w:val="afffb"/>
                </w:pPr>
                <w:r>
                  <w:rPr>
                    <w:rFonts w:hint="eastAsia"/>
                  </w:rPr>
                  <w:t>期末</w:t>
                </w:r>
              </w:p>
            </w:tc>
          </w:sdtContent>
        </w:sdt>
        <w:sdt>
          <w:sdtPr>
            <w:rPr>
              <w:rFonts w:ascii="Times New Roman" w:hAnsi="Times New Roman" w:hint="eastAsia"/>
            </w:rPr>
            <w:tag w:val="_PLD_282f81b96d884d3fbdb88a534a3cd80a"/>
            <w:id w:val="-881315923"/>
          </w:sdtPr>
          <w:sdtEndPr/>
          <w:sdtContent>
            <w:tc>
              <w:tcPr>
                <w:tcW w:w="4820" w:type="dxa"/>
                <w:gridSpan w:val="4"/>
                <w:vAlign w:val="center"/>
              </w:tcPr>
              <w:p w:rsidR="004A3868" w:rsidRDefault="003F1AB5">
                <w:pPr>
                  <w:pStyle w:val="afffb"/>
                </w:pPr>
                <w:r>
                  <w:rPr>
                    <w:rFonts w:hint="eastAsia"/>
                  </w:rPr>
                  <w:t>期初</w:t>
                </w:r>
              </w:p>
            </w:tc>
          </w:sdtContent>
        </w:sdt>
      </w:tr>
      <w:tr w:rsidR="004A3868">
        <w:trPr>
          <w:trHeight w:val="397"/>
          <w:jc w:val="center"/>
        </w:trPr>
        <w:tc>
          <w:tcPr>
            <w:tcW w:w="563" w:type="dxa"/>
            <w:vMerge/>
            <w:vAlign w:val="center"/>
          </w:tcPr>
          <w:p w:rsidR="004A3868" w:rsidRDefault="004A3868">
            <w:pPr>
              <w:pStyle w:val="afffb"/>
            </w:pPr>
          </w:p>
        </w:tc>
        <w:sdt>
          <w:sdtPr>
            <w:tag w:val="_PLD_64004453368f45deb228668add3f6655"/>
            <w:id w:val="1628052370"/>
          </w:sdtPr>
          <w:sdtEndPr/>
          <w:sdtContent>
            <w:tc>
              <w:tcPr>
                <w:tcW w:w="1276" w:type="dxa"/>
                <w:vAlign w:val="center"/>
              </w:tcPr>
              <w:p w:rsidR="004A3868" w:rsidRDefault="003F1AB5">
                <w:pPr>
                  <w:pStyle w:val="afffb"/>
                </w:pPr>
                <w:r>
                  <w:t>账面余额</w:t>
                </w:r>
              </w:p>
            </w:tc>
          </w:sdtContent>
        </w:sdt>
        <w:sdt>
          <w:sdtPr>
            <w:tag w:val="_PLD_5a76ffbabf9f4b50a7dc29ed261b076e"/>
            <w:id w:val="-315409739"/>
          </w:sdtPr>
          <w:sdtEndPr/>
          <w:sdtContent>
            <w:tc>
              <w:tcPr>
                <w:tcW w:w="1276" w:type="dxa"/>
                <w:vAlign w:val="center"/>
              </w:tcPr>
              <w:p w:rsidR="004A3868" w:rsidRDefault="003F1AB5">
                <w:pPr>
                  <w:pStyle w:val="afffb"/>
                </w:pPr>
                <w:r>
                  <w:t>账面价值</w:t>
                </w:r>
              </w:p>
            </w:tc>
          </w:sdtContent>
        </w:sdt>
        <w:sdt>
          <w:sdtPr>
            <w:tag w:val="_PLD_c3cc16e1890f43fba67dc0efd759b735"/>
            <w:id w:val="-1970651636"/>
          </w:sdtPr>
          <w:sdtEndPr/>
          <w:sdtContent>
            <w:tc>
              <w:tcPr>
                <w:tcW w:w="567" w:type="dxa"/>
                <w:vAlign w:val="center"/>
              </w:tcPr>
              <w:p w:rsidR="004A3868" w:rsidRDefault="003F1AB5">
                <w:pPr>
                  <w:pStyle w:val="afffb"/>
                </w:pPr>
                <w:r>
                  <w:t>受限类型</w:t>
                </w:r>
              </w:p>
            </w:tc>
          </w:sdtContent>
        </w:sdt>
        <w:sdt>
          <w:sdtPr>
            <w:tag w:val="_PLD_8a211b26df0b4260a21a41d957e1dfdf"/>
            <w:id w:val="-1617978025"/>
          </w:sdtPr>
          <w:sdtEndPr/>
          <w:sdtContent>
            <w:tc>
              <w:tcPr>
                <w:tcW w:w="992" w:type="dxa"/>
                <w:vAlign w:val="center"/>
              </w:tcPr>
              <w:p w:rsidR="004A3868" w:rsidRDefault="003F1AB5">
                <w:pPr>
                  <w:pStyle w:val="afffb"/>
                </w:pPr>
                <w:r>
                  <w:t>受限情况</w:t>
                </w:r>
              </w:p>
            </w:tc>
          </w:sdtContent>
        </w:sdt>
        <w:sdt>
          <w:sdtPr>
            <w:tag w:val="_PLD_9581673e46d4411fa8fe5e12a8080d0f"/>
            <w:id w:val="-2127236320"/>
          </w:sdtPr>
          <w:sdtEndPr/>
          <w:sdtContent>
            <w:tc>
              <w:tcPr>
                <w:tcW w:w="1418" w:type="dxa"/>
                <w:vAlign w:val="center"/>
              </w:tcPr>
              <w:p w:rsidR="004A3868" w:rsidRDefault="003F1AB5">
                <w:pPr>
                  <w:pStyle w:val="afffb"/>
                </w:pPr>
                <w:r>
                  <w:t>账面余额</w:t>
                </w:r>
              </w:p>
            </w:tc>
          </w:sdtContent>
        </w:sdt>
        <w:sdt>
          <w:sdtPr>
            <w:tag w:val="_PLD_ce461bf839e5491eadcc3d70f9ce620e"/>
            <w:id w:val="1995375145"/>
          </w:sdtPr>
          <w:sdtEndPr/>
          <w:sdtContent>
            <w:tc>
              <w:tcPr>
                <w:tcW w:w="1416" w:type="dxa"/>
                <w:vAlign w:val="center"/>
              </w:tcPr>
              <w:p w:rsidR="004A3868" w:rsidRDefault="003F1AB5">
                <w:pPr>
                  <w:pStyle w:val="afffb"/>
                </w:pPr>
                <w:r>
                  <w:t>账面价值</w:t>
                </w:r>
              </w:p>
            </w:tc>
          </w:sdtContent>
        </w:sdt>
        <w:sdt>
          <w:sdtPr>
            <w:tag w:val="_PLD_5ae696f538304ef6a934581c56fba9ec"/>
            <w:id w:val="746453447"/>
          </w:sdtPr>
          <w:sdtEndPr/>
          <w:sdtContent>
            <w:tc>
              <w:tcPr>
                <w:tcW w:w="852" w:type="dxa"/>
                <w:vAlign w:val="center"/>
              </w:tcPr>
              <w:p w:rsidR="004A3868" w:rsidRDefault="003F1AB5">
                <w:pPr>
                  <w:pStyle w:val="afffb"/>
                </w:pPr>
                <w:r>
                  <w:t>受限类型</w:t>
                </w:r>
              </w:p>
            </w:tc>
          </w:sdtContent>
        </w:sdt>
        <w:sdt>
          <w:sdtPr>
            <w:tag w:val="_PLD_04889a12b1314877b4e00ff0f38fa250"/>
            <w:id w:val="-1362348415"/>
          </w:sdtPr>
          <w:sdtEndPr/>
          <w:sdtContent>
            <w:tc>
              <w:tcPr>
                <w:tcW w:w="1134" w:type="dxa"/>
                <w:vAlign w:val="center"/>
              </w:tcPr>
              <w:p w:rsidR="004A3868" w:rsidRDefault="003F1AB5">
                <w:pPr>
                  <w:pStyle w:val="afffb"/>
                </w:pPr>
                <w:r>
                  <w:t>受限情况</w:t>
                </w:r>
              </w:p>
            </w:tc>
          </w:sdtContent>
        </w:sdt>
      </w:tr>
      <w:tr w:rsidR="004A3868">
        <w:trPr>
          <w:trHeight w:val="397"/>
          <w:jc w:val="center"/>
        </w:trPr>
        <w:tc>
          <w:tcPr>
            <w:tcW w:w="563" w:type="dxa"/>
            <w:vAlign w:val="center"/>
          </w:tcPr>
          <w:p w:rsidR="004A3868" w:rsidRDefault="003F1AB5">
            <w:pPr>
              <w:pStyle w:val="afff9"/>
            </w:pPr>
            <w:r>
              <w:rPr>
                <w:rFonts w:hint="eastAsia"/>
              </w:rPr>
              <w:t>货币资金</w:t>
            </w:r>
          </w:p>
        </w:tc>
        <w:tc>
          <w:tcPr>
            <w:tcW w:w="1276" w:type="dxa"/>
            <w:vAlign w:val="center"/>
          </w:tcPr>
          <w:p w:rsidR="004A3868" w:rsidRDefault="003F1AB5">
            <w:pPr>
              <w:pStyle w:val="afff7"/>
            </w:pPr>
            <w:r>
              <w:t>14,649.25</w:t>
            </w:r>
          </w:p>
        </w:tc>
        <w:tc>
          <w:tcPr>
            <w:tcW w:w="1276" w:type="dxa"/>
            <w:vAlign w:val="center"/>
          </w:tcPr>
          <w:p w:rsidR="004A3868" w:rsidRDefault="003F1AB5">
            <w:pPr>
              <w:pStyle w:val="afff7"/>
            </w:pPr>
            <w:r>
              <w:t>14,649.25</w:t>
            </w:r>
          </w:p>
        </w:tc>
        <w:tc>
          <w:tcPr>
            <w:tcW w:w="567" w:type="dxa"/>
            <w:vAlign w:val="center"/>
          </w:tcPr>
          <w:p w:rsidR="004A3868" w:rsidRDefault="003F1AB5">
            <w:pPr>
              <w:pStyle w:val="afffb"/>
            </w:pPr>
            <w:r>
              <w:t>其他</w:t>
            </w:r>
          </w:p>
        </w:tc>
        <w:tc>
          <w:tcPr>
            <w:tcW w:w="992" w:type="dxa"/>
            <w:vAlign w:val="center"/>
          </w:tcPr>
          <w:p w:rsidR="004A3868" w:rsidRDefault="003F1AB5">
            <w:pPr>
              <w:pStyle w:val="afffb"/>
            </w:pPr>
            <w:r>
              <w:t>票据保证金及保函保证金</w:t>
            </w:r>
          </w:p>
        </w:tc>
        <w:tc>
          <w:tcPr>
            <w:tcW w:w="1418" w:type="dxa"/>
            <w:vAlign w:val="center"/>
          </w:tcPr>
          <w:p w:rsidR="004A3868" w:rsidRDefault="003F1AB5">
            <w:pPr>
              <w:pStyle w:val="afff7"/>
            </w:pPr>
            <w:r>
              <w:t>5,236.45</w:t>
            </w:r>
          </w:p>
        </w:tc>
        <w:tc>
          <w:tcPr>
            <w:tcW w:w="1416" w:type="dxa"/>
            <w:vAlign w:val="center"/>
          </w:tcPr>
          <w:p w:rsidR="004A3868" w:rsidRDefault="003F1AB5">
            <w:pPr>
              <w:pStyle w:val="afff7"/>
            </w:pPr>
            <w:r>
              <w:t>5,236.45</w:t>
            </w:r>
          </w:p>
        </w:tc>
        <w:tc>
          <w:tcPr>
            <w:tcW w:w="852" w:type="dxa"/>
            <w:vAlign w:val="center"/>
          </w:tcPr>
          <w:p w:rsidR="004A3868" w:rsidRDefault="003F1AB5">
            <w:pPr>
              <w:pStyle w:val="afffb"/>
            </w:pPr>
            <w:r>
              <w:t>其他</w:t>
            </w:r>
          </w:p>
        </w:tc>
        <w:tc>
          <w:tcPr>
            <w:tcW w:w="1134" w:type="dxa"/>
            <w:vAlign w:val="center"/>
          </w:tcPr>
          <w:p w:rsidR="004A3868" w:rsidRDefault="003F1AB5">
            <w:pPr>
              <w:pStyle w:val="afffb"/>
            </w:pPr>
            <w:r>
              <w:t>票据保证金及保函保证金</w:t>
            </w:r>
          </w:p>
        </w:tc>
      </w:tr>
      <w:tr w:rsidR="004A3868">
        <w:trPr>
          <w:trHeight w:val="397"/>
          <w:jc w:val="center"/>
        </w:trPr>
        <w:tc>
          <w:tcPr>
            <w:tcW w:w="563" w:type="dxa"/>
            <w:vAlign w:val="center"/>
          </w:tcPr>
          <w:p w:rsidR="004A3868" w:rsidRDefault="003F1AB5">
            <w:pPr>
              <w:pStyle w:val="afff9"/>
            </w:pPr>
            <w:r>
              <w:rPr>
                <w:rFonts w:hint="eastAsia"/>
              </w:rPr>
              <w:t>固定资产</w:t>
            </w:r>
          </w:p>
        </w:tc>
        <w:tc>
          <w:tcPr>
            <w:tcW w:w="1276" w:type="dxa"/>
            <w:vAlign w:val="center"/>
          </w:tcPr>
          <w:p w:rsidR="004A3868" w:rsidRDefault="003F1AB5">
            <w:pPr>
              <w:pStyle w:val="afff7"/>
            </w:pPr>
            <w:r>
              <w:t>35,860.38</w:t>
            </w:r>
          </w:p>
        </w:tc>
        <w:tc>
          <w:tcPr>
            <w:tcW w:w="1276" w:type="dxa"/>
            <w:vAlign w:val="center"/>
          </w:tcPr>
          <w:p w:rsidR="004A3868" w:rsidRDefault="003F1AB5">
            <w:pPr>
              <w:pStyle w:val="afff7"/>
            </w:pPr>
            <w:r>
              <w:t>23,390.17</w:t>
            </w:r>
          </w:p>
        </w:tc>
        <w:tc>
          <w:tcPr>
            <w:tcW w:w="567" w:type="dxa"/>
            <w:vAlign w:val="center"/>
          </w:tcPr>
          <w:p w:rsidR="004A3868" w:rsidRDefault="003F1AB5">
            <w:pPr>
              <w:pStyle w:val="afffb"/>
            </w:pPr>
            <w:r>
              <w:t>扣押</w:t>
            </w:r>
          </w:p>
        </w:tc>
        <w:tc>
          <w:tcPr>
            <w:tcW w:w="992" w:type="dxa"/>
            <w:vAlign w:val="center"/>
          </w:tcPr>
          <w:p w:rsidR="004A3868" w:rsidRDefault="003F1AB5">
            <w:pPr>
              <w:pStyle w:val="afffb"/>
            </w:pPr>
            <w:r>
              <w:t>抵押借款（注1）</w:t>
            </w:r>
          </w:p>
        </w:tc>
        <w:tc>
          <w:tcPr>
            <w:tcW w:w="1418" w:type="dxa"/>
            <w:vAlign w:val="center"/>
          </w:tcPr>
          <w:p w:rsidR="004A3868" w:rsidRDefault="003F1AB5">
            <w:pPr>
              <w:pStyle w:val="afff7"/>
            </w:pPr>
            <w:r>
              <w:t>37,013.36</w:t>
            </w:r>
          </w:p>
        </w:tc>
        <w:tc>
          <w:tcPr>
            <w:tcW w:w="1416" w:type="dxa"/>
            <w:vAlign w:val="center"/>
          </w:tcPr>
          <w:p w:rsidR="004A3868" w:rsidRDefault="003F1AB5">
            <w:pPr>
              <w:pStyle w:val="afff7"/>
            </w:pPr>
            <w:r>
              <w:t>26,824.99</w:t>
            </w:r>
          </w:p>
        </w:tc>
        <w:tc>
          <w:tcPr>
            <w:tcW w:w="852" w:type="dxa"/>
            <w:vAlign w:val="center"/>
          </w:tcPr>
          <w:p w:rsidR="004A3868" w:rsidRDefault="003F1AB5">
            <w:pPr>
              <w:pStyle w:val="afffb"/>
            </w:pPr>
            <w:r>
              <w:t>扣押</w:t>
            </w:r>
          </w:p>
        </w:tc>
        <w:tc>
          <w:tcPr>
            <w:tcW w:w="1134" w:type="dxa"/>
            <w:vAlign w:val="center"/>
          </w:tcPr>
          <w:p w:rsidR="004A3868" w:rsidRDefault="003F1AB5">
            <w:pPr>
              <w:pStyle w:val="afffb"/>
            </w:pPr>
            <w:r>
              <w:t>抵押借款（注1）</w:t>
            </w:r>
          </w:p>
        </w:tc>
      </w:tr>
      <w:tr w:rsidR="004A3868">
        <w:trPr>
          <w:trHeight w:val="397"/>
          <w:jc w:val="center"/>
        </w:trPr>
        <w:tc>
          <w:tcPr>
            <w:tcW w:w="563" w:type="dxa"/>
            <w:vAlign w:val="center"/>
          </w:tcPr>
          <w:p w:rsidR="004A3868" w:rsidRDefault="003F1AB5">
            <w:pPr>
              <w:pStyle w:val="afff9"/>
            </w:pPr>
            <w:r>
              <w:rPr>
                <w:rFonts w:hint="eastAsia"/>
              </w:rPr>
              <w:t>无形资产</w:t>
            </w:r>
          </w:p>
        </w:tc>
        <w:tc>
          <w:tcPr>
            <w:tcW w:w="1276" w:type="dxa"/>
            <w:vAlign w:val="center"/>
          </w:tcPr>
          <w:p w:rsidR="004A3868" w:rsidRDefault="003F1AB5">
            <w:pPr>
              <w:pStyle w:val="afff7"/>
            </w:pPr>
            <w:r>
              <w:t>9,179.91</w:t>
            </w:r>
          </w:p>
        </w:tc>
        <w:tc>
          <w:tcPr>
            <w:tcW w:w="1276" w:type="dxa"/>
            <w:vAlign w:val="center"/>
          </w:tcPr>
          <w:p w:rsidR="004A3868" w:rsidRDefault="003F1AB5">
            <w:pPr>
              <w:pStyle w:val="afff7"/>
            </w:pPr>
            <w:r>
              <w:t>8,068.30</w:t>
            </w:r>
          </w:p>
        </w:tc>
        <w:tc>
          <w:tcPr>
            <w:tcW w:w="567" w:type="dxa"/>
            <w:vAlign w:val="center"/>
          </w:tcPr>
          <w:p w:rsidR="004A3868" w:rsidRDefault="003F1AB5">
            <w:pPr>
              <w:pStyle w:val="afffb"/>
            </w:pPr>
            <w:r>
              <w:t>抵押</w:t>
            </w:r>
          </w:p>
        </w:tc>
        <w:tc>
          <w:tcPr>
            <w:tcW w:w="992" w:type="dxa"/>
            <w:vAlign w:val="center"/>
          </w:tcPr>
          <w:p w:rsidR="004A3868" w:rsidRDefault="003F1AB5">
            <w:pPr>
              <w:pStyle w:val="afffb"/>
            </w:pPr>
            <w:r>
              <w:t>抵押借款（注2）</w:t>
            </w:r>
          </w:p>
        </w:tc>
        <w:tc>
          <w:tcPr>
            <w:tcW w:w="1418" w:type="dxa"/>
            <w:vAlign w:val="center"/>
          </w:tcPr>
          <w:p w:rsidR="004A3868" w:rsidRDefault="003F1AB5">
            <w:pPr>
              <w:pStyle w:val="afff7"/>
            </w:pPr>
            <w:r>
              <w:t>8,406.91</w:t>
            </w:r>
          </w:p>
        </w:tc>
        <w:tc>
          <w:tcPr>
            <w:tcW w:w="1416" w:type="dxa"/>
            <w:vAlign w:val="center"/>
          </w:tcPr>
          <w:p w:rsidR="004A3868" w:rsidRDefault="003F1AB5">
            <w:pPr>
              <w:pStyle w:val="afff7"/>
            </w:pPr>
            <w:r>
              <w:t>7,478.94</w:t>
            </w:r>
          </w:p>
        </w:tc>
        <w:tc>
          <w:tcPr>
            <w:tcW w:w="852" w:type="dxa"/>
            <w:vAlign w:val="center"/>
          </w:tcPr>
          <w:p w:rsidR="004A3868" w:rsidRDefault="003F1AB5">
            <w:pPr>
              <w:pStyle w:val="afffb"/>
            </w:pPr>
            <w:r>
              <w:t>扣押</w:t>
            </w:r>
          </w:p>
        </w:tc>
        <w:tc>
          <w:tcPr>
            <w:tcW w:w="1134" w:type="dxa"/>
            <w:vAlign w:val="center"/>
          </w:tcPr>
          <w:p w:rsidR="004A3868" w:rsidRDefault="003F1AB5">
            <w:pPr>
              <w:pStyle w:val="afffb"/>
            </w:pPr>
            <w:r>
              <w:t>抵押借款（注2）</w:t>
            </w:r>
          </w:p>
        </w:tc>
      </w:tr>
      <w:tr w:rsidR="004A3868">
        <w:trPr>
          <w:trHeight w:val="397"/>
          <w:jc w:val="center"/>
        </w:trPr>
        <w:tc>
          <w:tcPr>
            <w:tcW w:w="563" w:type="dxa"/>
            <w:vAlign w:val="center"/>
          </w:tcPr>
          <w:p w:rsidR="004A3868" w:rsidRDefault="003F1AB5">
            <w:pPr>
              <w:pStyle w:val="afff9"/>
            </w:pPr>
            <w:r>
              <w:rPr>
                <w:rFonts w:hint="eastAsia"/>
              </w:rPr>
              <w:t>货币资金</w:t>
            </w:r>
          </w:p>
        </w:tc>
        <w:tc>
          <w:tcPr>
            <w:tcW w:w="1276" w:type="dxa"/>
            <w:vAlign w:val="center"/>
          </w:tcPr>
          <w:p w:rsidR="004A3868" w:rsidRDefault="003F1AB5">
            <w:pPr>
              <w:pStyle w:val="afff7"/>
              <w:rPr>
                <w:sz w:val="15"/>
                <w:szCs w:val="15"/>
              </w:rPr>
            </w:pPr>
            <w:r>
              <w:t>0.00</w:t>
            </w:r>
          </w:p>
        </w:tc>
        <w:tc>
          <w:tcPr>
            <w:tcW w:w="1276" w:type="dxa"/>
            <w:vAlign w:val="center"/>
          </w:tcPr>
          <w:p w:rsidR="004A3868" w:rsidRDefault="003F1AB5">
            <w:pPr>
              <w:pStyle w:val="afff7"/>
              <w:rPr>
                <w:sz w:val="15"/>
                <w:szCs w:val="15"/>
              </w:rPr>
            </w:pPr>
            <w:r>
              <w:t>0.00</w:t>
            </w:r>
          </w:p>
        </w:tc>
        <w:tc>
          <w:tcPr>
            <w:tcW w:w="567" w:type="dxa"/>
            <w:vAlign w:val="center"/>
          </w:tcPr>
          <w:p w:rsidR="004A3868" w:rsidRDefault="003F1AB5">
            <w:pPr>
              <w:pStyle w:val="afffb"/>
            </w:pPr>
            <w:r>
              <w:t xml:space="preserve">     </w:t>
            </w:r>
          </w:p>
        </w:tc>
        <w:tc>
          <w:tcPr>
            <w:tcW w:w="992" w:type="dxa"/>
            <w:vAlign w:val="center"/>
          </w:tcPr>
          <w:p w:rsidR="004A3868" w:rsidRDefault="004A3868">
            <w:pPr>
              <w:pStyle w:val="afffb"/>
            </w:pPr>
          </w:p>
        </w:tc>
        <w:tc>
          <w:tcPr>
            <w:tcW w:w="1418" w:type="dxa"/>
            <w:vAlign w:val="center"/>
          </w:tcPr>
          <w:p w:rsidR="004A3868" w:rsidRDefault="003F1AB5">
            <w:pPr>
              <w:pStyle w:val="afff7"/>
            </w:pPr>
            <w:r>
              <w:t>30.28</w:t>
            </w:r>
          </w:p>
        </w:tc>
        <w:tc>
          <w:tcPr>
            <w:tcW w:w="1416" w:type="dxa"/>
            <w:vAlign w:val="center"/>
          </w:tcPr>
          <w:p w:rsidR="004A3868" w:rsidRDefault="003F1AB5">
            <w:pPr>
              <w:pStyle w:val="afff7"/>
            </w:pPr>
            <w:r>
              <w:t>30.28</w:t>
            </w:r>
          </w:p>
        </w:tc>
        <w:tc>
          <w:tcPr>
            <w:tcW w:w="852" w:type="dxa"/>
            <w:vAlign w:val="center"/>
          </w:tcPr>
          <w:p w:rsidR="004A3868" w:rsidRDefault="003F1AB5">
            <w:pPr>
              <w:pStyle w:val="afffb"/>
            </w:pPr>
            <w:r>
              <w:t>冻结</w:t>
            </w:r>
          </w:p>
        </w:tc>
        <w:tc>
          <w:tcPr>
            <w:tcW w:w="1134" w:type="dxa"/>
            <w:vAlign w:val="center"/>
          </w:tcPr>
          <w:p w:rsidR="004A3868" w:rsidRDefault="003F1AB5">
            <w:pPr>
              <w:pStyle w:val="afffb"/>
            </w:pPr>
            <w:r>
              <w:t>合同纠纷导致法院冻结资金</w:t>
            </w:r>
          </w:p>
        </w:tc>
      </w:tr>
      <w:tr w:rsidR="004A3868">
        <w:trPr>
          <w:trHeight w:val="397"/>
          <w:jc w:val="center"/>
        </w:trPr>
        <w:tc>
          <w:tcPr>
            <w:tcW w:w="563" w:type="dxa"/>
            <w:vAlign w:val="center"/>
          </w:tcPr>
          <w:p w:rsidR="004A3868" w:rsidRDefault="003F1AB5">
            <w:pPr>
              <w:pStyle w:val="afff9"/>
            </w:pPr>
            <w:r>
              <w:t>合计</w:t>
            </w:r>
          </w:p>
        </w:tc>
        <w:tc>
          <w:tcPr>
            <w:tcW w:w="1276" w:type="dxa"/>
            <w:vAlign w:val="center"/>
          </w:tcPr>
          <w:p w:rsidR="004A3868" w:rsidRDefault="003F1AB5">
            <w:pPr>
              <w:pStyle w:val="afff7"/>
            </w:pPr>
            <w:r>
              <w:t>59,689.54</w:t>
            </w:r>
          </w:p>
        </w:tc>
        <w:tc>
          <w:tcPr>
            <w:tcW w:w="1276" w:type="dxa"/>
            <w:vAlign w:val="center"/>
          </w:tcPr>
          <w:p w:rsidR="004A3868" w:rsidRDefault="003F1AB5">
            <w:pPr>
              <w:pStyle w:val="afff7"/>
            </w:pPr>
            <w:r>
              <w:t>46,107.72</w:t>
            </w:r>
          </w:p>
        </w:tc>
        <w:tc>
          <w:tcPr>
            <w:tcW w:w="567" w:type="dxa"/>
            <w:vAlign w:val="center"/>
          </w:tcPr>
          <w:p w:rsidR="004A3868" w:rsidRDefault="003F1AB5">
            <w:pPr>
              <w:pStyle w:val="afff7"/>
            </w:pPr>
            <w:r>
              <w:t>/</w:t>
            </w:r>
          </w:p>
        </w:tc>
        <w:tc>
          <w:tcPr>
            <w:tcW w:w="992" w:type="dxa"/>
            <w:vAlign w:val="center"/>
          </w:tcPr>
          <w:p w:rsidR="004A3868" w:rsidRDefault="003F1AB5">
            <w:pPr>
              <w:pStyle w:val="afff7"/>
            </w:pPr>
            <w:r>
              <w:t>/</w:t>
            </w:r>
          </w:p>
        </w:tc>
        <w:tc>
          <w:tcPr>
            <w:tcW w:w="1418" w:type="dxa"/>
            <w:vAlign w:val="center"/>
          </w:tcPr>
          <w:p w:rsidR="004A3868" w:rsidRDefault="003F1AB5">
            <w:pPr>
              <w:pStyle w:val="afff7"/>
            </w:pPr>
            <w:r>
              <w:t>50,686.98</w:t>
            </w:r>
          </w:p>
        </w:tc>
        <w:tc>
          <w:tcPr>
            <w:tcW w:w="1416" w:type="dxa"/>
            <w:vAlign w:val="center"/>
          </w:tcPr>
          <w:p w:rsidR="004A3868" w:rsidRDefault="003F1AB5">
            <w:pPr>
              <w:pStyle w:val="afff7"/>
            </w:pPr>
            <w:r>
              <w:t>39,570.65</w:t>
            </w:r>
          </w:p>
        </w:tc>
        <w:tc>
          <w:tcPr>
            <w:tcW w:w="852" w:type="dxa"/>
            <w:vAlign w:val="center"/>
          </w:tcPr>
          <w:p w:rsidR="004A3868" w:rsidRDefault="003F1AB5">
            <w:pPr>
              <w:pStyle w:val="afff7"/>
            </w:pPr>
            <w:r>
              <w:t>/</w:t>
            </w:r>
          </w:p>
        </w:tc>
        <w:tc>
          <w:tcPr>
            <w:tcW w:w="1134" w:type="dxa"/>
            <w:vAlign w:val="center"/>
          </w:tcPr>
          <w:p w:rsidR="004A3868" w:rsidRDefault="003F1AB5">
            <w:pPr>
              <w:rPr>
                <w:sz w:val="15"/>
                <w:szCs w:val="15"/>
              </w:rPr>
            </w:pPr>
            <w:r>
              <w:rPr>
                <w:sz w:val="15"/>
                <w:szCs w:val="15"/>
              </w:rPr>
              <w:t>/</w:t>
            </w:r>
          </w:p>
        </w:tc>
      </w:tr>
    </w:tbl>
    <w:p w:rsidR="004A3868" w:rsidRDefault="004A3868">
      <w:pPr>
        <w:pStyle w:val="Style124"/>
      </w:pPr>
    </w:p>
    <w:p w:rsidR="004A3868" w:rsidRDefault="003F1AB5">
      <w:pPr>
        <w:rPr>
          <w:sz w:val="21"/>
          <w:szCs w:val="21"/>
        </w:rPr>
      </w:pPr>
      <w:r>
        <w:rPr>
          <w:rFonts w:hint="eastAsia"/>
          <w:sz w:val="21"/>
          <w:szCs w:val="21"/>
        </w:rPr>
        <w:t>其他说明：</w:t>
      </w:r>
    </w:p>
    <w:sdt>
      <w:sdtPr>
        <w:alias w:val="所有权或使用权受到限制的资产的其他说明"/>
        <w:tag w:val="_GBC_e4bde3a3a4774911b843f807ea70adb9"/>
        <w:id w:val="-661087837"/>
        <w:placeholder>
          <w:docPart w:val="GBC22222222222222222222222222222"/>
        </w:placeholder>
      </w:sdtPr>
      <w:sdtEndPr/>
      <w:sdtContent>
        <w:p w:rsidR="004A3868" w:rsidRDefault="003F1AB5">
          <w:pPr>
            <w:pStyle w:val="afff3"/>
            <w:ind w:firstLine="420"/>
          </w:pPr>
          <w:r>
            <w:rPr>
              <w:rFonts w:hint="eastAsia"/>
            </w:rPr>
            <w:t>注</w:t>
          </w:r>
          <w:r>
            <w:t>1：截至2023年12月31日，本公司以不动产：渝（203）长寿区不动产权第000427096号土地为抵押，取得中国建设银行股份有限公司重庆长寿支行23,304.11</w:t>
          </w:r>
          <w:r>
            <w:rPr>
              <w:rFonts w:hint="eastAsia"/>
            </w:rPr>
            <w:t>万</w:t>
          </w:r>
          <w:r>
            <w:t>元借款，借款起止日期为2022年10月27日至2029年10月26日。</w:t>
          </w:r>
        </w:p>
        <w:p w:rsidR="004A3868" w:rsidRDefault="003F1AB5">
          <w:pPr>
            <w:pStyle w:val="afff3"/>
            <w:ind w:firstLine="420"/>
          </w:pPr>
          <w:r>
            <w:rPr>
              <w:rFonts w:hint="eastAsia"/>
            </w:rPr>
            <w:t>截至</w:t>
          </w:r>
          <w:r>
            <w:t>2023年12月31日，本公司以不动产：长寿区化北路9号、长寿区齐心东路10号、长寿区齐心东路5号、长寿区化北路18号、长寿经开区晏E09-05-2/02地块、晏E09-03/02地块，分别向重庆三峡银行长寿支行借款8,500</w:t>
          </w:r>
          <w:r>
            <w:rPr>
              <w:rFonts w:hint="eastAsia"/>
            </w:rPr>
            <w:t>万</w:t>
          </w:r>
          <w:r>
            <w:t>元和6,212.17</w:t>
          </w:r>
          <w:r>
            <w:rPr>
              <w:rFonts w:hint="eastAsia"/>
            </w:rPr>
            <w:t>万</w:t>
          </w:r>
          <w:r>
            <w:t>元，借款起止日期分别为2022年3月31日至2025年3月31日和2023年9月8日至2026年3月5日。</w:t>
          </w:r>
        </w:p>
        <w:p w:rsidR="004A3868" w:rsidRDefault="003F1AB5">
          <w:pPr>
            <w:pStyle w:val="afff3"/>
            <w:ind w:firstLine="420"/>
          </w:pPr>
          <w:r>
            <w:rPr>
              <w:rFonts w:hint="eastAsia"/>
            </w:rPr>
            <w:t>注</w:t>
          </w:r>
          <w:r>
            <w:t>2：</w:t>
          </w:r>
          <w:r>
            <w:rPr>
              <w:rFonts w:hint="eastAsia"/>
            </w:rPr>
            <w:t>截至</w:t>
          </w:r>
          <w:r>
            <w:t>2023年12月31日，本公司与中国工商银行股份有限公司都匀分行签署了编号为：【0240500002-2021年(抵押)字00558】的《最高额抵押合同》，抵押物为:都匀市绿茵湖至</w:t>
          </w:r>
          <w:r>
            <w:lastRenderedPageBreak/>
            <w:t>斗篷山旅游公路西侧土地，权证编号：(2020)都匀市不动产权第0012482号，取得人民币5,489.17</w:t>
          </w:r>
          <w:r>
            <w:rPr>
              <w:rFonts w:hint="eastAsia"/>
            </w:rPr>
            <w:t>万</w:t>
          </w:r>
          <w:r>
            <w:t>元长期借款，期限为2021年11月1日起至2027年12月31日，截止2023年12月31日，借款余额2,889.17</w:t>
          </w:r>
          <w:r>
            <w:rPr>
              <w:rFonts w:hint="eastAsia"/>
            </w:rPr>
            <w:t>万</w:t>
          </w:r>
          <w:r>
            <w:t>元。</w:t>
          </w:r>
        </w:p>
      </w:sdtContent>
    </w:sdt>
    <w:bookmarkEnd w:id="216"/>
    <w:p w:rsidR="004A3868" w:rsidRDefault="003F1AB5">
      <w:pPr>
        <w:pStyle w:val="Style12711"/>
      </w:pPr>
      <w:r>
        <w:rPr>
          <w:rFonts w:hint="eastAsia"/>
        </w:rPr>
        <w:t>短期借款</w:t>
      </w:r>
    </w:p>
    <w:p w:rsidR="004A3868" w:rsidRDefault="003F1AB5">
      <w:pPr>
        <w:pStyle w:val="Style128"/>
        <w:numPr>
          <w:ilvl w:val="0"/>
          <w:numId w:val="87"/>
        </w:numPr>
      </w:pPr>
      <w:r>
        <w:rPr>
          <w:rFonts w:hint="eastAsia"/>
        </w:rPr>
        <w:t>短期借款分类</w:t>
      </w:r>
    </w:p>
    <w:sdt>
      <w:sdtPr>
        <w:alias w:val="是否适用：短期借款分类[双击切换]"/>
        <w:tag w:val="_GBC_d7624f1054024527b72d59c4122e81cb"/>
        <w:id w:val="168061807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短期借款分类"/>
          <w:tag w:val="_GBC_8d30fbb8785645499f9234dccd6e5b81"/>
          <w:id w:val="5320743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短期借款分类"/>
          <w:tag w:val="_GBC_f7294c19819e4515b1d98b3d42f8d07c"/>
          <w:id w:val="6544936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30" w:type="dxa"/>
        </w:tblCellMar>
        <w:tblLook w:val="04A0" w:firstRow="1" w:lastRow="0" w:firstColumn="1" w:lastColumn="0" w:noHBand="0" w:noVBand="1"/>
      </w:tblPr>
      <w:tblGrid>
        <w:gridCol w:w="2847"/>
        <w:gridCol w:w="2980"/>
        <w:gridCol w:w="2996"/>
      </w:tblGrid>
      <w:tr w:rsidR="004A3868">
        <w:trPr>
          <w:cantSplit/>
          <w:trHeight w:val="397"/>
          <w:jc w:val="center"/>
        </w:trPr>
        <w:bookmarkStart w:id="217" w:name="_Hlk163682393" w:displacedByCustomXml="next"/>
        <w:sdt>
          <w:sdtPr>
            <w:tag w:val="_PLD_7d518e78e06f4dc9b46aae7b6b47fd01"/>
            <w:id w:val="1124278008"/>
            <w:lock w:val="sdtLocked"/>
          </w:sdtPr>
          <w:sdtEndPr/>
          <w:sdtContent>
            <w:tc>
              <w:tcPr>
                <w:tcW w:w="1613" w:type="pct"/>
                <w:vAlign w:val="center"/>
              </w:tcPr>
              <w:p w:rsidR="004A3868" w:rsidRDefault="003F1AB5">
                <w:pPr>
                  <w:pStyle w:val="afffb"/>
                </w:pPr>
                <w:r>
                  <w:rPr>
                    <w:rFonts w:hint="eastAsia"/>
                  </w:rPr>
                  <w:t>项目</w:t>
                </w:r>
              </w:p>
            </w:tc>
          </w:sdtContent>
        </w:sdt>
        <w:sdt>
          <w:sdtPr>
            <w:tag w:val="_PLD_cda187315847461e8ed854d1807d3b14"/>
            <w:id w:val="1410666255"/>
            <w:lock w:val="sdtLocked"/>
          </w:sdtPr>
          <w:sdtEndPr/>
          <w:sdtContent>
            <w:tc>
              <w:tcPr>
                <w:tcW w:w="1689" w:type="pct"/>
                <w:vAlign w:val="center"/>
              </w:tcPr>
              <w:p w:rsidR="004A3868" w:rsidRDefault="003F1AB5">
                <w:pPr>
                  <w:pStyle w:val="afffb"/>
                </w:pPr>
                <w:r>
                  <w:rPr>
                    <w:rFonts w:hint="eastAsia"/>
                  </w:rPr>
                  <w:t>期末余额</w:t>
                </w:r>
              </w:p>
            </w:tc>
          </w:sdtContent>
        </w:sdt>
        <w:sdt>
          <w:sdtPr>
            <w:tag w:val="_PLD_805e4b849be14c0ab0ca7f324971119b"/>
            <w:id w:val="-275640186"/>
            <w:lock w:val="sdtLocked"/>
          </w:sdtPr>
          <w:sdtEndPr/>
          <w:sdtContent>
            <w:tc>
              <w:tcPr>
                <w:tcW w:w="1698" w:type="pct"/>
                <w:vAlign w:val="center"/>
              </w:tcPr>
              <w:p w:rsidR="004A3868" w:rsidRDefault="003F1AB5">
                <w:pPr>
                  <w:pStyle w:val="afffb"/>
                </w:pPr>
                <w:r>
                  <w:rPr>
                    <w:rFonts w:hint="eastAsia"/>
                  </w:rPr>
                  <w:t>期初余额</w:t>
                </w:r>
              </w:p>
            </w:tc>
          </w:sdtContent>
        </w:sdt>
      </w:tr>
      <w:tr w:rsidR="004A3868">
        <w:trPr>
          <w:cantSplit/>
          <w:trHeight w:val="397"/>
          <w:jc w:val="center"/>
        </w:trPr>
        <w:tc>
          <w:tcPr>
            <w:tcW w:w="1613" w:type="pct"/>
            <w:shd w:val="clear" w:color="auto" w:fill="auto"/>
          </w:tcPr>
          <w:p w:rsidR="004A3868" w:rsidRDefault="003F1AB5">
            <w:pPr>
              <w:pStyle w:val="afff9"/>
            </w:pPr>
            <w:r>
              <w:rPr>
                <w:rFonts w:hint="eastAsia"/>
              </w:rPr>
              <w:t>信用借款</w:t>
            </w:r>
          </w:p>
        </w:tc>
        <w:tc>
          <w:tcPr>
            <w:tcW w:w="1689" w:type="pct"/>
            <w:shd w:val="clear" w:color="auto" w:fill="auto"/>
            <w:vAlign w:val="bottom"/>
          </w:tcPr>
          <w:p w:rsidR="004A3868" w:rsidRDefault="003F1AB5">
            <w:pPr>
              <w:pStyle w:val="afff7"/>
            </w:pPr>
            <w:r>
              <w:t>132,359,950.44</w:t>
            </w:r>
          </w:p>
        </w:tc>
        <w:tc>
          <w:tcPr>
            <w:tcW w:w="1698" w:type="pct"/>
            <w:shd w:val="clear" w:color="auto" w:fill="auto"/>
            <w:vAlign w:val="bottom"/>
          </w:tcPr>
          <w:p w:rsidR="004A3868" w:rsidRDefault="003F1AB5">
            <w:pPr>
              <w:pStyle w:val="afff7"/>
            </w:pPr>
            <w:r>
              <w:t>10,660,000.00</w:t>
            </w:r>
          </w:p>
        </w:tc>
      </w:tr>
      <w:tr w:rsidR="004A3868">
        <w:trPr>
          <w:cantSplit/>
          <w:trHeight w:val="397"/>
          <w:jc w:val="center"/>
        </w:trPr>
        <w:tc>
          <w:tcPr>
            <w:tcW w:w="1613" w:type="pct"/>
            <w:shd w:val="clear" w:color="auto" w:fill="auto"/>
          </w:tcPr>
          <w:p w:rsidR="004A3868" w:rsidRDefault="003F1AB5">
            <w:pPr>
              <w:pStyle w:val="afff9"/>
            </w:pPr>
            <w:r>
              <w:rPr>
                <w:rFonts w:hint="eastAsia"/>
              </w:rPr>
              <w:t>保证借款</w:t>
            </w:r>
          </w:p>
        </w:tc>
        <w:tc>
          <w:tcPr>
            <w:tcW w:w="1689" w:type="pct"/>
            <w:shd w:val="clear" w:color="auto" w:fill="auto"/>
            <w:vAlign w:val="bottom"/>
          </w:tcPr>
          <w:p w:rsidR="004A3868" w:rsidRDefault="003F1AB5">
            <w:pPr>
              <w:pStyle w:val="afff7"/>
            </w:pPr>
            <w:r>
              <w:t>113,244,177.98</w:t>
            </w:r>
          </w:p>
        </w:tc>
        <w:tc>
          <w:tcPr>
            <w:tcW w:w="1698" w:type="pct"/>
            <w:shd w:val="clear" w:color="auto" w:fill="auto"/>
            <w:vAlign w:val="bottom"/>
          </w:tcPr>
          <w:p w:rsidR="004A3868" w:rsidRDefault="003F1AB5">
            <w:pPr>
              <w:pStyle w:val="afff7"/>
            </w:pPr>
            <w:r>
              <w:t>22,762,609.12</w:t>
            </w:r>
          </w:p>
        </w:tc>
      </w:tr>
      <w:tr w:rsidR="004A3868">
        <w:trPr>
          <w:cantSplit/>
          <w:trHeight w:val="397"/>
          <w:jc w:val="center"/>
        </w:trPr>
        <w:tc>
          <w:tcPr>
            <w:tcW w:w="1613" w:type="pct"/>
            <w:shd w:val="clear" w:color="auto" w:fill="auto"/>
          </w:tcPr>
          <w:p w:rsidR="004A3868" w:rsidRDefault="003F1AB5">
            <w:pPr>
              <w:pStyle w:val="afff9"/>
            </w:pPr>
            <w:r>
              <w:rPr>
                <w:rFonts w:hint="eastAsia"/>
              </w:rPr>
              <w:t>票据贴现未终止确认</w:t>
            </w:r>
          </w:p>
        </w:tc>
        <w:tc>
          <w:tcPr>
            <w:tcW w:w="1689" w:type="pct"/>
            <w:shd w:val="clear" w:color="auto" w:fill="auto"/>
            <w:vAlign w:val="bottom"/>
          </w:tcPr>
          <w:p w:rsidR="004A3868" w:rsidRDefault="003F1AB5">
            <w:pPr>
              <w:pStyle w:val="afff7"/>
            </w:pPr>
            <w:r>
              <w:t>18,469,500.00</w:t>
            </w:r>
          </w:p>
        </w:tc>
        <w:tc>
          <w:tcPr>
            <w:tcW w:w="1698" w:type="pct"/>
            <w:shd w:val="clear" w:color="auto" w:fill="auto"/>
            <w:vAlign w:val="bottom"/>
          </w:tcPr>
          <w:p w:rsidR="004A3868" w:rsidRDefault="004A3868">
            <w:pPr>
              <w:pStyle w:val="afff7"/>
            </w:pPr>
          </w:p>
        </w:tc>
      </w:tr>
      <w:tr w:rsidR="004A3868">
        <w:trPr>
          <w:cantSplit/>
          <w:trHeight w:val="397"/>
          <w:jc w:val="center"/>
        </w:trPr>
        <w:tc>
          <w:tcPr>
            <w:tcW w:w="1613" w:type="pct"/>
          </w:tcPr>
          <w:p w:rsidR="004A3868" w:rsidRDefault="003F1AB5">
            <w:pPr>
              <w:pStyle w:val="afff9"/>
            </w:pPr>
            <w:r>
              <w:t>未到期应付利息</w:t>
            </w:r>
          </w:p>
        </w:tc>
        <w:tc>
          <w:tcPr>
            <w:tcW w:w="1689" w:type="pct"/>
            <w:vAlign w:val="bottom"/>
          </w:tcPr>
          <w:p w:rsidR="004A3868" w:rsidRDefault="003F1AB5">
            <w:pPr>
              <w:pStyle w:val="afff7"/>
            </w:pPr>
            <w:r>
              <w:t>178,950.13</w:t>
            </w:r>
          </w:p>
        </w:tc>
        <w:tc>
          <w:tcPr>
            <w:tcW w:w="1698" w:type="pct"/>
            <w:vAlign w:val="bottom"/>
          </w:tcPr>
          <w:p w:rsidR="004A3868" w:rsidRDefault="003F1AB5">
            <w:pPr>
              <w:pStyle w:val="afff7"/>
            </w:pPr>
            <w:r>
              <w:t>4,440.30</w:t>
            </w:r>
          </w:p>
        </w:tc>
      </w:tr>
      <w:tr w:rsidR="004A3868">
        <w:trPr>
          <w:cantSplit/>
          <w:trHeight w:val="397"/>
          <w:jc w:val="center"/>
        </w:trPr>
        <w:tc>
          <w:tcPr>
            <w:tcW w:w="1613" w:type="pct"/>
            <w:vAlign w:val="center"/>
          </w:tcPr>
          <w:p w:rsidR="004A3868" w:rsidRDefault="003F1AB5">
            <w:pPr>
              <w:pStyle w:val="afff9"/>
            </w:pPr>
            <w:r>
              <w:rPr>
                <w:rFonts w:hint="eastAsia"/>
              </w:rPr>
              <w:t>合计</w:t>
            </w:r>
          </w:p>
        </w:tc>
        <w:tc>
          <w:tcPr>
            <w:tcW w:w="1689" w:type="pct"/>
            <w:vAlign w:val="bottom"/>
          </w:tcPr>
          <w:p w:rsidR="004A3868" w:rsidRDefault="003F1AB5">
            <w:pPr>
              <w:pStyle w:val="afff7"/>
            </w:pPr>
            <w:r>
              <w:t>264,252,578.55</w:t>
            </w:r>
          </w:p>
        </w:tc>
        <w:tc>
          <w:tcPr>
            <w:tcW w:w="1698" w:type="pct"/>
            <w:vAlign w:val="bottom"/>
          </w:tcPr>
          <w:p w:rsidR="004A3868" w:rsidRDefault="003F1AB5">
            <w:pPr>
              <w:pStyle w:val="afff7"/>
            </w:pPr>
            <w:r>
              <w:t>33,427,049.42</w:t>
            </w:r>
          </w:p>
        </w:tc>
      </w:tr>
    </w:tbl>
    <w:bookmarkEnd w:id="217"/>
    <w:p w:rsidR="004A3868" w:rsidRDefault="003F1AB5">
      <w:pPr>
        <w:rPr>
          <w:sz w:val="21"/>
          <w:szCs w:val="21"/>
        </w:rPr>
      </w:pPr>
      <w:r>
        <w:rPr>
          <w:rFonts w:hint="eastAsia"/>
          <w:sz w:val="21"/>
          <w:szCs w:val="21"/>
        </w:rPr>
        <w:t>短期借款分类的说明：</w:t>
      </w:r>
    </w:p>
    <w:sdt>
      <w:sdtPr>
        <w:alias w:val="短期借款分类的说明"/>
        <w:tag w:val="_GBC_39c88fc069c44763b7ed661bff072142"/>
        <w:id w:val="697279274"/>
        <w:placeholder>
          <w:docPart w:val="GBC22222222222222222222222222222"/>
        </w:placeholder>
      </w:sdtPr>
      <w:sdtEndPr/>
      <w:sdtContent>
        <w:p w:rsidR="004A3868" w:rsidRDefault="003F1AB5">
          <w:pPr>
            <w:pStyle w:val="afff3"/>
            <w:ind w:firstLine="420"/>
          </w:pPr>
          <w:r>
            <w:t>1</w:t>
          </w:r>
          <w:r>
            <w:rPr>
              <w:rFonts w:hint="eastAsia"/>
            </w:rPr>
            <w:t>、</w:t>
          </w:r>
          <w:r>
            <w:t>保证借款系由本公司关联方作为担保人（详</w:t>
          </w:r>
          <w:r>
            <w:rPr>
              <w:rFonts w:hint="eastAsia"/>
            </w:rPr>
            <w:t>见第</w:t>
          </w:r>
          <w:r>
            <w:t>十</w:t>
          </w:r>
          <w:r>
            <w:rPr>
              <w:rFonts w:hint="eastAsia"/>
            </w:rPr>
            <w:t>节.十三.5（</w:t>
          </w:r>
          <w:r>
            <w:t>4</w:t>
          </w:r>
          <w:r>
            <w:rPr>
              <w:rFonts w:hint="eastAsia"/>
            </w:rPr>
            <w:t>）</w:t>
          </w:r>
          <w:r>
            <w:t>关联担保情况）。</w:t>
          </w:r>
        </w:p>
        <w:p w:rsidR="004A3868" w:rsidRDefault="003F1AB5">
          <w:pPr>
            <w:pStyle w:val="afff3"/>
            <w:ind w:firstLine="420"/>
          </w:pPr>
          <w:r>
            <w:t>2</w:t>
          </w:r>
          <w:r>
            <w:rPr>
              <w:rFonts w:hint="eastAsia"/>
            </w:rPr>
            <w:t>、</w:t>
          </w:r>
          <w:r>
            <w:t>票据贴现未终止确认系该应收票据属于以摊余成本计量的金融资产，不满足终止确认条件，视同银行借款</w:t>
          </w:r>
          <w:r>
            <w:rPr>
              <w:rFonts w:hint="eastAsia"/>
            </w:rPr>
            <w:t>。</w:t>
          </w:r>
        </w:p>
      </w:sdtContent>
    </w:sdt>
    <w:p w:rsidR="004A3868" w:rsidRDefault="003F1AB5">
      <w:pPr>
        <w:pStyle w:val="Style128"/>
        <w:numPr>
          <w:ilvl w:val="0"/>
          <w:numId w:val="87"/>
        </w:numPr>
      </w:pPr>
      <w:r>
        <w:rPr>
          <w:rFonts w:hint="eastAsia"/>
        </w:rPr>
        <w:t>已逾期未偿还的短期借款情况</w:t>
      </w:r>
    </w:p>
    <w:sdt>
      <w:sdtPr>
        <w:alias w:val="是否适用：已逾期未偿还的短期借款情况[双击切换]"/>
        <w:tag w:val="_GBC_b92057263cbf4b81a96df7b9d664c576"/>
        <w:id w:val="-165485867"/>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t>其中重要的已逾期未偿还的短期借款情况如下：</w:t>
      </w:r>
    </w:p>
    <w:sdt>
      <w:sdtPr>
        <w:alias w:val="是否适用：其中重要的已逾期未偿还的短期借款情况[双击切换]"/>
        <w:tag w:val="_GBC_7c9437a678604c0382802a3e97f4d126"/>
        <w:id w:val="1891920785"/>
        <w:lock w:val="sdtLocked"/>
        <w:placeholder>
          <w:docPart w:val="GBC22222222222222222222222222222"/>
        </w:placeholder>
      </w:sdtPr>
      <w:sdtEndPr/>
      <w:sdtContent>
        <w:p w:rsidR="004A3868" w:rsidRDefault="003F1AB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842"/>
      </w:pPr>
      <w:r>
        <w:rPr>
          <w:rFonts w:hint="eastAsia"/>
        </w:rPr>
        <w:t>其他说明</w:t>
      </w:r>
    </w:p>
    <w:sdt>
      <w:sdtPr>
        <w:alias w:val="是否适用：短期借款的说明[双击切换]"/>
        <w:tag w:val="_GBC_c52256f82238457bbb4708bc99652730"/>
        <w:id w:val="-35049190"/>
        <w:lock w:val="sdtLocked"/>
        <w:placeholder>
          <w:docPart w:val="GBC22222222222222222222222222222"/>
        </w:placeholder>
      </w:sdtPr>
      <w:sdtEndPr/>
      <w:sdtContent>
        <w:p w:rsidR="004A3868" w:rsidRDefault="003F1AB5">
          <w:pPr>
            <w:pStyle w:val="Style84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交易性金融负债</w:t>
      </w:r>
    </w:p>
    <w:bookmarkStart w:id="218" w:name="_Hlk533422954" w:displacedByCustomXml="next"/>
    <w:bookmarkStart w:id="219" w:name="_Hlk533670147" w:displacedByCustomXml="next"/>
    <w:sdt>
      <w:sdtPr>
        <w:alias w:val="是否适用：交易性金融负债[双击切换]"/>
        <w:tag w:val="_GBC_c7e98597070f45a4a30160e35e818445"/>
        <w:id w:val="5729177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w:t>
      </w:r>
      <w:r>
        <w:t>说明</w:t>
      </w:r>
      <w:r>
        <w:rPr>
          <w:rFonts w:hint="eastAsia"/>
        </w:rPr>
        <w:t>：</w:t>
      </w:r>
    </w:p>
    <w:sdt>
      <w:sdtPr>
        <w:alias w:val="是否适用：交易性金融负债的说明[双击切换]"/>
        <w:tag w:val="_GBC_995f4c24d1994336b676a94c12f11d69"/>
        <w:id w:val="-1841304448"/>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19"/>
    <w:bookmarkEnd w:id="218"/>
    <w:p w:rsidR="004A3868" w:rsidRDefault="003F1AB5">
      <w:pPr>
        <w:pStyle w:val="Style12711"/>
      </w:pPr>
      <w:r>
        <w:rPr>
          <w:rFonts w:hint="eastAsia"/>
        </w:rPr>
        <w:t>衍生金融负债</w:t>
      </w:r>
    </w:p>
    <w:p w:rsidR="004A3868" w:rsidRDefault="00B34370">
      <w:pPr>
        <w:rPr>
          <w:sz w:val="21"/>
          <w:szCs w:val="21"/>
        </w:rPr>
      </w:pPr>
      <w:sdt>
        <w:sdtPr>
          <w:rPr>
            <w:sz w:val="21"/>
            <w:szCs w:val="21"/>
          </w:rPr>
          <w:alias w:val="是否适用：衍生金融负债[双击切换]"/>
          <w:tag w:val="_GBC_9a70de9cca174edeb1bce62f4a47d15c"/>
          <w:id w:val="1377127062"/>
          <w:lock w:val="sdtLocked"/>
          <w:placeholder>
            <w:docPart w:val="GBC22222222222222222222222222222"/>
          </w:placeholder>
        </w:sdtPr>
        <w:sdtEndPr/>
        <w:sdtContent>
          <w:r w:rsidR="003F1AB5">
            <w:rPr>
              <w:sz w:val="21"/>
              <w:szCs w:val="21"/>
            </w:rPr>
            <w:fldChar w:fldCharType="begin"/>
          </w:r>
          <w:r w:rsidR="003F1AB5">
            <w:rPr>
              <w:sz w:val="21"/>
              <w:szCs w:val="21"/>
            </w:rPr>
            <w:instrText xml:space="preserve">MACROBUTTON  SnrToggleCheckbox □适用 </w:instrText>
          </w:r>
          <w:r w:rsidR="003F1AB5">
            <w:rPr>
              <w:sz w:val="21"/>
              <w:szCs w:val="21"/>
            </w:rPr>
            <w:fldChar w:fldCharType="end"/>
          </w:r>
          <w:r w:rsidR="003F1AB5">
            <w:rPr>
              <w:sz w:val="21"/>
              <w:szCs w:val="21"/>
            </w:rPr>
            <w:fldChar w:fldCharType="begin"/>
          </w:r>
          <w:r w:rsidR="003F1AB5">
            <w:rPr>
              <w:sz w:val="21"/>
              <w:szCs w:val="21"/>
            </w:rPr>
            <w:instrText xml:space="preserve"> MACROBUTTON  SnrToggleCheckbox √不适用 </w:instrText>
          </w:r>
          <w:r w:rsidR="003F1AB5">
            <w:rPr>
              <w:sz w:val="21"/>
              <w:szCs w:val="21"/>
            </w:rPr>
            <w:fldChar w:fldCharType="end"/>
          </w:r>
        </w:sdtContent>
      </w:sdt>
    </w:p>
    <w:p w:rsidR="004A3868" w:rsidRDefault="003F1AB5">
      <w:pPr>
        <w:pStyle w:val="Style12711"/>
      </w:pPr>
      <w:r>
        <w:rPr>
          <w:rFonts w:hint="eastAsia"/>
        </w:rPr>
        <w:t>应付票据</w:t>
      </w:r>
    </w:p>
    <w:p w:rsidR="004A3868" w:rsidRDefault="003F1AB5">
      <w:pPr>
        <w:pStyle w:val="Style128"/>
        <w:numPr>
          <w:ilvl w:val="0"/>
          <w:numId w:val="88"/>
        </w:numPr>
      </w:pPr>
      <w:r>
        <w:rPr>
          <w:rFonts w:hint="eastAsia"/>
        </w:rPr>
        <w:t>应付票据列示</w:t>
      </w:r>
    </w:p>
    <w:sdt>
      <w:sdtPr>
        <w:alias w:val="是否适用：应付票据[双击切换]"/>
        <w:tag w:val="_GBC_c0116f9cd6f34dcfa483a1f112dac85a"/>
        <w:id w:val="-1105257738"/>
        <w:lock w:val="contentLocked"/>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应付票据"/>
          <w:tag w:val="_GBC_15d55f1cad24473fb8cfaa98468213e2"/>
          <w:id w:val="-1979445970"/>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3074714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28" w:type="dxa"/>
        </w:tblCellMar>
        <w:tblLook w:val="04A0" w:firstRow="1" w:lastRow="0" w:firstColumn="1" w:lastColumn="0" w:noHBand="0" w:noVBand="1"/>
      </w:tblPr>
      <w:tblGrid>
        <w:gridCol w:w="2291"/>
        <w:gridCol w:w="3310"/>
        <w:gridCol w:w="3216"/>
      </w:tblGrid>
      <w:tr w:rsidR="004A3868">
        <w:trPr>
          <w:cantSplit/>
          <w:trHeight w:val="397"/>
          <w:jc w:val="center"/>
        </w:trPr>
        <w:sdt>
          <w:sdtPr>
            <w:tag w:val="_PLD_73e624e5fe424f71bbf918594e2a1c9a"/>
            <w:id w:val="-1990621739"/>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afffb"/>
                </w:pPr>
                <w:r>
                  <w:rPr>
                    <w:rFonts w:hint="eastAsia"/>
                  </w:rPr>
                  <w:t>种类</w:t>
                </w:r>
              </w:p>
            </w:tc>
          </w:sdtContent>
        </w:sdt>
        <w:sdt>
          <w:sdtPr>
            <w:tag w:val="_PLD_cca40679bdc548d8af0315d52fd2660e"/>
            <w:id w:val="-1780102632"/>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afffb"/>
                </w:pPr>
                <w:r>
                  <w:rPr>
                    <w:rFonts w:hint="eastAsia"/>
                  </w:rPr>
                  <w:t>期末余额</w:t>
                </w:r>
              </w:p>
            </w:tc>
          </w:sdtContent>
        </w:sdt>
        <w:sdt>
          <w:sdtPr>
            <w:tag w:val="_PLD_6429209ce46840dba67a32ae31e71913"/>
            <w:id w:val="1354150581"/>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afffb"/>
                </w:pPr>
                <w:r>
                  <w:rPr>
                    <w:rFonts w:hint="eastAsia"/>
                  </w:rPr>
                  <w:t>期初余额</w:t>
                </w:r>
              </w:p>
            </w:tc>
          </w:sdtContent>
        </w:sdt>
      </w:tr>
      <w:tr w:rsidR="004A3868">
        <w:trPr>
          <w:cantSplit/>
          <w:trHeight w:val="397"/>
          <w:jc w:val="center"/>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9"/>
            </w:pPr>
            <w:r>
              <w:rPr>
                <w:rFonts w:hint="eastAsia"/>
              </w:rP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7"/>
            </w:pPr>
            <w:r>
              <w:t>539,910,353.67</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7"/>
            </w:pPr>
            <w:r>
              <w:t>204,336,375.66</w:t>
            </w:r>
          </w:p>
        </w:tc>
      </w:tr>
      <w:tr w:rsidR="004A3868">
        <w:trPr>
          <w:cantSplit/>
          <w:trHeight w:val="397"/>
          <w:jc w:val="center"/>
        </w:trPr>
        <w:tc>
          <w:tcPr>
            <w:tcW w:w="1299"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afff9"/>
            </w:pPr>
            <w:r>
              <w:rPr>
                <w:rFonts w:hint="eastAsia"/>
              </w:rPr>
              <w:t>合计</w:t>
            </w:r>
          </w:p>
        </w:tc>
        <w:tc>
          <w:tcPr>
            <w:tcW w:w="1877"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afff7"/>
            </w:pPr>
            <w:r>
              <w:t>539,910,353.67</w:t>
            </w:r>
          </w:p>
        </w:tc>
        <w:tc>
          <w:tcPr>
            <w:tcW w:w="1824"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afff7"/>
            </w:pPr>
            <w:r>
              <w:t>204,336,375.66</w:t>
            </w:r>
          </w:p>
        </w:tc>
      </w:tr>
    </w:tbl>
    <w:p w:rsidR="004A3868" w:rsidRDefault="003F1AB5">
      <w:pPr>
        <w:rPr>
          <w:sz w:val="21"/>
          <w:szCs w:val="21"/>
        </w:rPr>
      </w:pPr>
      <w:r>
        <w:rPr>
          <w:rFonts w:hint="eastAsia"/>
          <w:sz w:val="21"/>
          <w:szCs w:val="21"/>
        </w:rPr>
        <w:t>本期末已到期未支付的应付票据总额为</w:t>
      </w:r>
      <w:sdt>
        <w:sdtPr>
          <w:rPr>
            <w:rFonts w:hint="eastAsia"/>
            <w:sz w:val="21"/>
            <w:szCs w:val="21"/>
          </w:rPr>
          <w:alias w:val="已到期未支付的应付票据总额"/>
          <w:tag w:val="_GBC_0987f9272cb2419f937357595042911e"/>
          <w:id w:val="620734947"/>
          <w:placeholder>
            <w:docPart w:val="GBC22222222222222222222222222222"/>
          </w:placeholder>
        </w:sdtPr>
        <w:sdtEndPr/>
        <w:sdtContent>
          <w:r>
            <w:rPr>
              <w:sz w:val="21"/>
              <w:szCs w:val="21"/>
            </w:rPr>
            <w:t>0</w:t>
          </w:r>
        </w:sdtContent>
      </w:sdt>
      <w:r>
        <w:rPr>
          <w:rFonts w:hint="eastAsia"/>
          <w:sz w:val="21"/>
          <w:szCs w:val="21"/>
        </w:rPr>
        <w:t xml:space="preserve"> </w:t>
      </w:r>
      <w:sdt>
        <w:sdtPr>
          <w:rPr>
            <w:rFonts w:hint="eastAsia"/>
            <w:sz w:val="21"/>
            <w:szCs w:val="21"/>
          </w:rPr>
          <w:alias w:val="单位：财务附注：应付票据"/>
          <w:tag w:val="_GBC_f1610b1fed6e494b87377ce35347d10d"/>
          <w:id w:val="-581219620"/>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。到期未付的原因是</w:t>
      </w:r>
      <w:sdt>
        <w:sdtPr>
          <w:rPr>
            <w:rFonts w:hint="eastAsia"/>
            <w:sz w:val="21"/>
            <w:szCs w:val="21"/>
          </w:rPr>
          <w:alias w:val="应付票据到期未付的原因"/>
          <w:tag w:val="_GBC_7f73cbd02b7f4388af4ef7afbedd1152"/>
          <w:id w:val="977188438"/>
          <w:placeholder>
            <w:docPart w:val="GBC22222222222222222222222222222"/>
          </w:placeholder>
        </w:sdtPr>
        <w:sdtEndPr/>
        <w:sdtContent>
          <w:r>
            <w:rPr>
              <w:rFonts w:hint="eastAsia"/>
              <w:sz w:val="21"/>
              <w:szCs w:val="21"/>
            </w:rPr>
            <w:t>不适用</w:t>
          </w:r>
        </w:sdtContent>
      </w:sdt>
    </w:p>
    <w:p w:rsidR="004A3868" w:rsidRDefault="003F1AB5">
      <w:pPr>
        <w:pStyle w:val="Style12711"/>
      </w:pPr>
      <w:r>
        <w:rPr>
          <w:rFonts w:hint="eastAsia"/>
        </w:rPr>
        <w:lastRenderedPageBreak/>
        <w:t>应付账款</w:t>
      </w:r>
    </w:p>
    <w:p w:rsidR="004A3868" w:rsidRDefault="003F1AB5">
      <w:pPr>
        <w:pStyle w:val="Style128"/>
        <w:numPr>
          <w:ilvl w:val="0"/>
          <w:numId w:val="89"/>
        </w:numPr>
      </w:pPr>
      <w:r>
        <w:rPr>
          <w:rFonts w:hint="eastAsia"/>
        </w:rPr>
        <w:t>应付账款列示</w:t>
      </w:r>
    </w:p>
    <w:sdt>
      <w:sdtPr>
        <w:alias w:val="是否适用：应付账款列示[双击切换]"/>
        <w:tag w:val="_GBC_dfb190a9e762454c9f89eb6be64b6eae"/>
        <w:id w:val="1611774227"/>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应付账款情况"/>
          <w:tag w:val="_GBC_c14fe17937b74139aa7e100941fb21e9"/>
          <w:id w:val="19124273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账款情况"/>
          <w:tag w:val="_GBC_946604b552a44d368399e078594b3226"/>
          <w:id w:val="-20240766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771"/>
        <w:gridCol w:w="2795"/>
        <w:gridCol w:w="3257"/>
      </w:tblGrid>
      <w:tr w:rsidR="004A3868">
        <w:trPr>
          <w:trHeight w:val="397"/>
          <w:jc w:val="center"/>
        </w:trPr>
        <w:sdt>
          <w:sdtPr>
            <w:tag w:val="_PLD_8270d78e97cf4a1cb18154c5c5dafe58"/>
            <w:id w:val="-2006426624"/>
            <w:lock w:val="sdtLocked"/>
          </w:sdtPr>
          <w:sdtEndPr/>
          <w:sdtContent>
            <w:tc>
              <w:tcPr>
                <w:tcW w:w="1570" w:type="pct"/>
                <w:shd w:val="clear" w:color="auto" w:fill="auto"/>
                <w:vAlign w:val="center"/>
              </w:tcPr>
              <w:p w:rsidR="004A3868" w:rsidRDefault="003F1AB5">
                <w:pPr>
                  <w:pStyle w:val="afffb"/>
                </w:pPr>
                <w:r>
                  <w:rPr>
                    <w:rFonts w:hint="eastAsia"/>
                  </w:rPr>
                  <w:t>项目</w:t>
                </w:r>
              </w:p>
            </w:tc>
          </w:sdtContent>
        </w:sdt>
        <w:sdt>
          <w:sdtPr>
            <w:tag w:val="_PLD_56127cd5754c44aaacae0a1320139a7a"/>
            <w:id w:val="-810631772"/>
            <w:lock w:val="sdtLocked"/>
          </w:sdtPr>
          <w:sdtEndPr/>
          <w:sdtContent>
            <w:tc>
              <w:tcPr>
                <w:tcW w:w="1584" w:type="pct"/>
                <w:shd w:val="clear" w:color="auto" w:fill="auto"/>
                <w:vAlign w:val="center"/>
              </w:tcPr>
              <w:p w:rsidR="004A3868" w:rsidRDefault="003F1AB5">
                <w:pPr>
                  <w:pStyle w:val="afffb"/>
                </w:pPr>
                <w:r>
                  <w:rPr>
                    <w:rFonts w:hint="eastAsia"/>
                  </w:rPr>
                  <w:t>期末余额</w:t>
                </w:r>
              </w:p>
            </w:tc>
          </w:sdtContent>
        </w:sdt>
        <w:sdt>
          <w:sdtPr>
            <w:tag w:val="_PLD_27c6d2ca479446539fe00ab23ee1dc13"/>
            <w:id w:val="-1648126876"/>
            <w:lock w:val="sdtLocked"/>
          </w:sdtPr>
          <w:sdtEndPr/>
          <w:sdtContent>
            <w:tc>
              <w:tcPr>
                <w:tcW w:w="1846"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570" w:type="pct"/>
            <w:shd w:val="clear" w:color="auto" w:fill="auto"/>
            <w:vAlign w:val="center"/>
          </w:tcPr>
          <w:p w:rsidR="004A3868" w:rsidRDefault="003F1AB5">
            <w:pPr>
              <w:pStyle w:val="afff9"/>
            </w:pPr>
            <w:r>
              <w:rPr>
                <w:rFonts w:hint="eastAsia"/>
              </w:rPr>
              <w:t>生产经营性应付款</w:t>
            </w:r>
          </w:p>
        </w:tc>
        <w:tc>
          <w:tcPr>
            <w:tcW w:w="1584" w:type="pct"/>
            <w:shd w:val="clear" w:color="auto" w:fill="auto"/>
          </w:tcPr>
          <w:p w:rsidR="004A3868" w:rsidRDefault="003F1AB5">
            <w:pPr>
              <w:pStyle w:val="afff7"/>
            </w:pPr>
            <w:r>
              <w:t>297,571,246.95</w:t>
            </w:r>
          </w:p>
        </w:tc>
        <w:tc>
          <w:tcPr>
            <w:tcW w:w="1846" w:type="pct"/>
            <w:shd w:val="clear" w:color="auto" w:fill="auto"/>
            <w:vAlign w:val="center"/>
          </w:tcPr>
          <w:p w:rsidR="004A3868" w:rsidRDefault="003F1AB5">
            <w:pPr>
              <w:pStyle w:val="afff7"/>
            </w:pPr>
            <w:r>
              <w:t>175,277,436.61</w:t>
            </w:r>
          </w:p>
        </w:tc>
      </w:tr>
      <w:tr w:rsidR="004A3868">
        <w:trPr>
          <w:trHeight w:val="397"/>
          <w:jc w:val="center"/>
        </w:trPr>
        <w:tc>
          <w:tcPr>
            <w:tcW w:w="1570" w:type="pct"/>
            <w:shd w:val="clear" w:color="auto" w:fill="auto"/>
            <w:vAlign w:val="center"/>
          </w:tcPr>
          <w:p w:rsidR="004A3868" w:rsidRDefault="003F1AB5">
            <w:pPr>
              <w:pStyle w:val="afff9"/>
            </w:pPr>
            <w:r>
              <w:rPr>
                <w:rFonts w:hint="eastAsia"/>
              </w:rPr>
              <w:t>应付工程及设备款</w:t>
            </w:r>
          </w:p>
        </w:tc>
        <w:tc>
          <w:tcPr>
            <w:tcW w:w="1584" w:type="pct"/>
            <w:shd w:val="clear" w:color="auto" w:fill="auto"/>
          </w:tcPr>
          <w:p w:rsidR="004A3868" w:rsidRDefault="003F1AB5">
            <w:pPr>
              <w:pStyle w:val="afff7"/>
            </w:pPr>
            <w:r>
              <w:t>255,442,306.57</w:t>
            </w:r>
          </w:p>
        </w:tc>
        <w:tc>
          <w:tcPr>
            <w:tcW w:w="1846" w:type="pct"/>
            <w:shd w:val="clear" w:color="auto" w:fill="auto"/>
            <w:vAlign w:val="center"/>
          </w:tcPr>
          <w:p w:rsidR="004A3868" w:rsidRDefault="003F1AB5">
            <w:pPr>
              <w:pStyle w:val="afff7"/>
            </w:pPr>
            <w:r>
              <w:t>137,173,664.94</w:t>
            </w:r>
          </w:p>
        </w:tc>
      </w:tr>
      <w:tr w:rsidR="004A3868">
        <w:trPr>
          <w:trHeight w:val="397"/>
          <w:jc w:val="center"/>
        </w:trPr>
        <w:tc>
          <w:tcPr>
            <w:tcW w:w="1570" w:type="pct"/>
            <w:shd w:val="clear" w:color="auto" w:fill="auto"/>
            <w:vAlign w:val="center"/>
          </w:tcPr>
          <w:p w:rsidR="004A3868" w:rsidRDefault="003F1AB5">
            <w:pPr>
              <w:pStyle w:val="afff9"/>
            </w:pPr>
            <w:r>
              <w:rPr>
                <w:rFonts w:hint="eastAsia"/>
              </w:rPr>
              <w:t>合计</w:t>
            </w:r>
          </w:p>
        </w:tc>
        <w:tc>
          <w:tcPr>
            <w:tcW w:w="1584" w:type="pct"/>
            <w:shd w:val="clear" w:color="auto" w:fill="auto"/>
            <w:vAlign w:val="center"/>
          </w:tcPr>
          <w:p w:rsidR="004A3868" w:rsidRDefault="003F1AB5">
            <w:pPr>
              <w:pStyle w:val="afff7"/>
            </w:pPr>
            <w:r>
              <w:t>553,013,553.52</w:t>
            </w:r>
          </w:p>
        </w:tc>
        <w:tc>
          <w:tcPr>
            <w:tcW w:w="1846" w:type="pct"/>
            <w:shd w:val="clear" w:color="auto" w:fill="auto"/>
            <w:vAlign w:val="center"/>
          </w:tcPr>
          <w:p w:rsidR="004A3868" w:rsidRDefault="003F1AB5">
            <w:pPr>
              <w:pStyle w:val="afff7"/>
            </w:pPr>
            <w:r>
              <w:t>312,451,101.55</w:t>
            </w:r>
          </w:p>
        </w:tc>
      </w:tr>
    </w:tbl>
    <w:p w:rsidR="004A3868" w:rsidRDefault="004A3868">
      <w:pPr>
        <w:pStyle w:val="Style124"/>
      </w:pPr>
    </w:p>
    <w:p w:rsidR="004A3868" w:rsidRDefault="003F1AB5">
      <w:pPr>
        <w:pStyle w:val="Style128"/>
        <w:numPr>
          <w:ilvl w:val="0"/>
          <w:numId w:val="89"/>
        </w:numPr>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607470758"/>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重要的账龄超过1年的应付账款"/>
          <w:tag w:val="_GBC_400afb873eea4650b57e850422f00616"/>
          <w:id w:val="-5011269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重要的账龄超过1年的应付账款"/>
          <w:tag w:val="_GBC_e8618ecbab754a8a9213d0e97303efbc"/>
          <w:id w:val="5034068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201"/>
        <w:gridCol w:w="2756"/>
        <w:gridCol w:w="2866"/>
      </w:tblGrid>
      <w:tr w:rsidR="004A3868">
        <w:trPr>
          <w:trHeight w:val="397"/>
          <w:jc w:val="center"/>
        </w:trPr>
        <w:sdt>
          <w:sdtPr>
            <w:tag w:val="_PLD_fdad43e863d14167af7eeaf4873d2a72"/>
            <w:id w:val="172391033"/>
            <w:lock w:val="sdtLocked"/>
          </w:sdtPr>
          <w:sdtEndPr/>
          <w:sdtContent>
            <w:tc>
              <w:tcPr>
                <w:tcW w:w="1814" w:type="pct"/>
                <w:shd w:val="clear" w:color="auto" w:fill="auto"/>
                <w:vAlign w:val="center"/>
              </w:tcPr>
              <w:p w:rsidR="004A3868" w:rsidRDefault="003F1AB5">
                <w:pPr>
                  <w:pStyle w:val="afffb"/>
                </w:pPr>
                <w:r>
                  <w:rPr>
                    <w:rFonts w:hint="eastAsia"/>
                  </w:rPr>
                  <w:t>项目</w:t>
                </w:r>
              </w:p>
            </w:tc>
          </w:sdtContent>
        </w:sdt>
        <w:sdt>
          <w:sdtPr>
            <w:tag w:val="_PLD_cd3e87440a294e4685cb5994a6fce19b"/>
            <w:id w:val="-1074585532"/>
            <w:lock w:val="sdtLocked"/>
          </w:sdtPr>
          <w:sdtEndPr/>
          <w:sdtContent>
            <w:tc>
              <w:tcPr>
                <w:tcW w:w="1562" w:type="pct"/>
                <w:shd w:val="clear" w:color="auto" w:fill="auto"/>
                <w:vAlign w:val="center"/>
              </w:tcPr>
              <w:p w:rsidR="004A3868" w:rsidRDefault="003F1AB5">
                <w:pPr>
                  <w:pStyle w:val="afffb"/>
                </w:pPr>
                <w:r>
                  <w:rPr>
                    <w:rFonts w:hint="eastAsia"/>
                  </w:rPr>
                  <w:t>期末余额</w:t>
                </w:r>
              </w:p>
            </w:tc>
          </w:sdtContent>
        </w:sdt>
        <w:sdt>
          <w:sdtPr>
            <w:tag w:val="_PLD_3948dc08dbd84dbd875d1bd042c28c03"/>
            <w:id w:val="724488440"/>
            <w:lock w:val="sdtLocked"/>
          </w:sdtPr>
          <w:sdtEndPr/>
          <w:sdtContent>
            <w:tc>
              <w:tcPr>
                <w:tcW w:w="1624" w:type="pct"/>
                <w:shd w:val="clear" w:color="auto" w:fill="auto"/>
                <w:vAlign w:val="center"/>
              </w:tcPr>
              <w:p w:rsidR="004A3868" w:rsidRDefault="003F1AB5">
                <w:pPr>
                  <w:pStyle w:val="afffb"/>
                </w:pPr>
                <w:r>
                  <w:rPr>
                    <w:rFonts w:hint="eastAsia"/>
                  </w:rPr>
                  <w:t>未偿还或结转的原因</w:t>
                </w:r>
              </w:p>
            </w:tc>
          </w:sdtContent>
        </w:sdt>
      </w:tr>
      <w:tr w:rsidR="004A3868">
        <w:trPr>
          <w:trHeight w:val="397"/>
          <w:jc w:val="center"/>
        </w:trPr>
        <w:tc>
          <w:tcPr>
            <w:tcW w:w="1814" w:type="pct"/>
            <w:tcBorders>
              <w:bottom w:val="single" w:sz="4" w:space="0" w:color="auto"/>
            </w:tcBorders>
            <w:shd w:val="clear" w:color="auto" w:fill="auto"/>
          </w:tcPr>
          <w:p w:rsidR="004A3868" w:rsidRDefault="003F1AB5">
            <w:pPr>
              <w:pStyle w:val="afff9"/>
            </w:pPr>
            <w:r>
              <w:rPr>
                <w:rFonts w:hint="eastAsia"/>
              </w:rPr>
              <w:t>账龄超一年应付账款单位</w:t>
            </w:r>
            <w:r>
              <w:rPr>
                <w:rFonts w:hint="eastAsia"/>
              </w:rPr>
              <w:t>1</w:t>
            </w:r>
          </w:p>
        </w:tc>
        <w:tc>
          <w:tcPr>
            <w:tcW w:w="1562" w:type="pct"/>
            <w:shd w:val="clear" w:color="auto" w:fill="auto"/>
            <w:vAlign w:val="center"/>
          </w:tcPr>
          <w:p w:rsidR="004A3868" w:rsidRDefault="003F1AB5">
            <w:pPr>
              <w:pStyle w:val="afff7"/>
            </w:pPr>
            <w:r>
              <w:t>7,179,125.79</w:t>
            </w:r>
          </w:p>
        </w:tc>
        <w:tc>
          <w:tcPr>
            <w:tcW w:w="1624" w:type="pct"/>
            <w:shd w:val="clear" w:color="auto" w:fill="auto"/>
            <w:vAlign w:val="center"/>
          </w:tcPr>
          <w:p w:rsidR="004A3868" w:rsidRDefault="003F1AB5">
            <w:pPr>
              <w:pStyle w:val="afffb"/>
            </w:pPr>
            <w:r>
              <w:t>未</w:t>
            </w:r>
            <w:r>
              <w:rPr>
                <w:rFonts w:hint="eastAsia"/>
              </w:rPr>
              <w:t>到支付节点</w:t>
            </w:r>
          </w:p>
        </w:tc>
      </w:tr>
      <w:tr w:rsidR="004A3868">
        <w:trPr>
          <w:trHeight w:val="397"/>
          <w:jc w:val="center"/>
        </w:trPr>
        <w:tc>
          <w:tcPr>
            <w:tcW w:w="1814" w:type="pct"/>
            <w:shd w:val="clear" w:color="auto" w:fill="auto"/>
            <w:vAlign w:val="center"/>
          </w:tcPr>
          <w:p w:rsidR="004A3868" w:rsidRDefault="003F1AB5">
            <w:pPr>
              <w:pStyle w:val="afff9"/>
            </w:pPr>
            <w:r>
              <w:rPr>
                <w:rFonts w:hint="eastAsia"/>
              </w:rPr>
              <w:t>合计</w:t>
            </w:r>
          </w:p>
        </w:tc>
        <w:tc>
          <w:tcPr>
            <w:tcW w:w="1562" w:type="pct"/>
            <w:shd w:val="clear" w:color="auto" w:fill="auto"/>
            <w:vAlign w:val="center"/>
          </w:tcPr>
          <w:p w:rsidR="004A3868" w:rsidRDefault="003F1AB5">
            <w:pPr>
              <w:pStyle w:val="afff7"/>
            </w:pPr>
            <w:r>
              <w:t>7,179,125.79</w:t>
            </w:r>
          </w:p>
        </w:tc>
        <w:tc>
          <w:tcPr>
            <w:tcW w:w="1624" w:type="pct"/>
            <w:shd w:val="clear" w:color="auto" w:fill="auto"/>
          </w:tcPr>
          <w:p w:rsidR="004A3868" w:rsidRDefault="003F1AB5">
            <w:pPr>
              <w:pStyle w:val="afffb"/>
            </w:pPr>
            <w:r>
              <w:rPr>
                <w:rFonts w:hint="eastAsia"/>
              </w:rPr>
              <w:t>/</w:t>
            </w:r>
          </w:p>
        </w:tc>
      </w:tr>
    </w:tbl>
    <w:p w:rsidR="004A3868" w:rsidRDefault="003F1AB5">
      <w:pPr>
        <w:rPr>
          <w:sz w:val="21"/>
          <w:szCs w:val="21"/>
        </w:rPr>
      </w:pPr>
      <w:r>
        <w:rPr>
          <w:rFonts w:hint="eastAsia"/>
          <w:sz w:val="21"/>
          <w:szCs w:val="21"/>
        </w:rPr>
        <w:t>其他说明</w:t>
      </w:r>
    </w:p>
    <w:sdt>
      <w:sdtPr>
        <w:rPr>
          <w:sz w:val="21"/>
          <w:szCs w:val="21"/>
        </w:rPr>
        <w:alias w:val="是否适用：应付账款的其他说明[双击切换]"/>
        <w:tag w:val="_GBC_5dc0587a83084b71961a20293aaa95fb"/>
        <w:id w:val="838818048"/>
        <w:lock w:val="sdtLocked"/>
        <w:placeholder>
          <w:docPart w:val="GBC22222222222222222222222222222"/>
        </w:placeholder>
      </w:sdtPr>
      <w:sdtEndPr>
        <w:rPr>
          <w:sz w:val="24"/>
          <w:szCs w:val="24"/>
        </w:rPr>
      </w:sdtEndPr>
      <w:sdtContent>
        <w:p w:rsidR="004A3868" w:rsidRDefault="003F1AB5">
          <w:pPr>
            <w:pStyle w:val="Style842"/>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预收款项</w:t>
      </w:r>
    </w:p>
    <w:p w:rsidR="004A3868" w:rsidRDefault="003F1AB5">
      <w:pPr>
        <w:pStyle w:val="Style128"/>
        <w:numPr>
          <w:ilvl w:val="0"/>
          <w:numId w:val="90"/>
        </w:numPr>
      </w:pPr>
      <w:r>
        <w:rPr>
          <w:rFonts w:hint="eastAsia"/>
        </w:rPr>
        <w:t>预收账款项列示</w:t>
      </w:r>
    </w:p>
    <w:sdt>
      <w:sdtPr>
        <w:alias w:val="是否适用：预收账款项列示[双击切换]"/>
        <w:tag w:val="_GBC_87fabe8d5b22400ca19233d7f82c54fc"/>
        <w:id w:val="-1363972494"/>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90"/>
        </w:numPr>
      </w:pPr>
      <w:r>
        <w:rPr>
          <w:rFonts w:hint="eastAsia"/>
        </w:rPr>
        <w:t>账龄超过</w:t>
      </w:r>
      <w:r>
        <w:t>1年的重要预收款项</w:t>
      </w:r>
    </w:p>
    <w:sdt>
      <w:sdtPr>
        <w:alias w:val="是否适用：账龄超过1年的重要预收款项[双击切换]"/>
        <w:tag w:val="_GBC_79146ea4ecd2426b824d2bcf21203a69"/>
        <w:id w:val="1808118125"/>
        <w:lock w:val="sdtLocked"/>
        <w:placeholder>
          <w:docPart w:val="GBC22222222222222222222222222222"/>
        </w:placeholder>
      </w:sdtPr>
      <w:sdtEndPr>
        <w:rPr>
          <w:sz w:val="21"/>
          <w:szCs w:val="21"/>
        </w:rPr>
      </w:sdtEndPr>
      <w:sdtContent>
        <w:p w:rsidR="004A3868" w:rsidRDefault="003F1AB5">
          <w:pPr>
            <w:rPr>
              <w:rFonts w:cstheme="minorBidi"/>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90"/>
        </w:numPr>
      </w:pPr>
      <w:r>
        <w:rPr>
          <w:rFonts w:hint="eastAsia"/>
        </w:rPr>
        <w:t>报告期内账面价值发生重大变动的金额和原因</w:t>
      </w:r>
    </w:p>
    <w:sdt>
      <w:sdtPr>
        <w:rPr>
          <w:sz w:val="21"/>
          <w:szCs w:val="21"/>
        </w:rPr>
        <w:alias w:val="是否适用：预收款项账面价值发生重大变动的金额和原因?[双击切换]"/>
        <w:tag w:val="_GBC_080f20e9d1b64963a38dcdee1ed191a2"/>
        <w:id w:val="377056017"/>
        <w:lock w:val="sdtLocked"/>
        <w:placeholder>
          <w:docPart w:val="GBC22222222222222222222222222222"/>
        </w:placeholder>
      </w:sdtPr>
      <w:sdtEndPr/>
      <w:sdtContent>
        <w:p w:rsidR="004A3868" w:rsidRDefault="003F1AB5">
          <w:pPr>
            <w:rPr>
              <w:rFonts w:cs="Times New Roman"/>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4"/>
      </w:pPr>
      <w:r>
        <w:rPr>
          <w:rFonts w:hint="eastAsia"/>
        </w:rPr>
        <w:t>其他说明</w:t>
      </w:r>
    </w:p>
    <w:sdt>
      <w:sdtPr>
        <w:alias w:val="是否适用：预收账款的其他说明[双击切换]"/>
        <w:tag w:val="_GBC_c0e961ba454e4e2cb91293bde731349d"/>
        <w:id w:val="-694305967"/>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合同负债</w:t>
      </w:r>
    </w:p>
    <w:p w:rsidR="004A3868" w:rsidRDefault="003F1AB5">
      <w:pPr>
        <w:pStyle w:val="Style128"/>
        <w:numPr>
          <w:ilvl w:val="0"/>
          <w:numId w:val="91"/>
        </w:numPr>
      </w:pPr>
      <w:r>
        <w:rPr>
          <w:rFonts w:hint="eastAsia"/>
        </w:rPr>
        <w:t>合同负债情况</w:t>
      </w:r>
    </w:p>
    <w:sdt>
      <w:sdtPr>
        <w:alias w:val="是否适用：合同负债情况[双击切换]"/>
        <w:tag w:val="_GBC_257112066c884c67acfede3a1536844a"/>
        <w:id w:val="192352407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合同负债情况"/>
          <w:tag w:val="_GBC_ea58ca5e76b74f328a4691ca7c6cc941"/>
          <w:id w:val="-26160412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合同负债情况"/>
          <w:tag w:val="_GBC_58f1908d1f4c48699237bf8c7f3604da"/>
          <w:id w:val="2203377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25"/>
        <w:gridCol w:w="3002"/>
        <w:gridCol w:w="2996"/>
      </w:tblGrid>
      <w:tr w:rsidR="004A3868">
        <w:trPr>
          <w:trHeight w:val="397"/>
          <w:jc w:val="center"/>
        </w:trPr>
        <w:sdt>
          <w:sdtPr>
            <w:tag w:val="_PLD_c331ae60cae44b02b2a16eccd02434b1"/>
            <w:id w:val="1751228798"/>
            <w:lock w:val="sdtLocked"/>
          </w:sdtPr>
          <w:sdtEndPr/>
          <w:sdtContent>
            <w:tc>
              <w:tcPr>
                <w:tcW w:w="1601" w:type="pct"/>
                <w:shd w:val="clear" w:color="auto" w:fill="auto"/>
                <w:vAlign w:val="center"/>
              </w:tcPr>
              <w:p w:rsidR="004A3868" w:rsidRDefault="003F1AB5">
                <w:pPr>
                  <w:pStyle w:val="afffb"/>
                </w:pPr>
                <w:r>
                  <w:rPr>
                    <w:rFonts w:hint="eastAsia"/>
                  </w:rPr>
                  <w:t>项目</w:t>
                </w:r>
              </w:p>
            </w:tc>
          </w:sdtContent>
        </w:sdt>
        <w:sdt>
          <w:sdtPr>
            <w:tag w:val="_PLD_1619b2dd861a497cbc814256ed0e2957"/>
            <w:id w:val="-1281109323"/>
            <w:lock w:val="sdtLocked"/>
          </w:sdtPr>
          <w:sdtEndPr/>
          <w:sdtContent>
            <w:tc>
              <w:tcPr>
                <w:tcW w:w="1701" w:type="pct"/>
                <w:shd w:val="clear" w:color="auto" w:fill="auto"/>
                <w:vAlign w:val="center"/>
              </w:tcPr>
              <w:p w:rsidR="004A3868" w:rsidRDefault="003F1AB5">
                <w:pPr>
                  <w:pStyle w:val="afffb"/>
                </w:pPr>
                <w:r>
                  <w:rPr>
                    <w:rFonts w:hint="eastAsia"/>
                  </w:rPr>
                  <w:t>期末余额</w:t>
                </w:r>
              </w:p>
            </w:tc>
          </w:sdtContent>
        </w:sdt>
        <w:sdt>
          <w:sdtPr>
            <w:tag w:val="_PLD_6341013bed194ee78619c433ebd01fda"/>
            <w:id w:val="-843782481"/>
            <w:lock w:val="sdtLocked"/>
          </w:sdtPr>
          <w:sdtEndPr/>
          <w:sdtContent>
            <w:tc>
              <w:tcPr>
                <w:tcW w:w="1698"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601" w:type="pct"/>
            <w:shd w:val="clear" w:color="auto" w:fill="auto"/>
          </w:tcPr>
          <w:p w:rsidR="004A3868" w:rsidRDefault="003F1AB5">
            <w:pPr>
              <w:rPr>
                <w:sz w:val="21"/>
                <w:szCs w:val="21"/>
              </w:rPr>
            </w:pPr>
            <w:r>
              <w:rPr>
                <w:sz w:val="21"/>
                <w:szCs w:val="21"/>
              </w:rPr>
              <w:t>预收账款</w:t>
            </w:r>
          </w:p>
        </w:tc>
        <w:tc>
          <w:tcPr>
            <w:tcW w:w="1701" w:type="pct"/>
            <w:shd w:val="clear" w:color="auto" w:fill="auto"/>
            <w:vAlign w:val="center"/>
          </w:tcPr>
          <w:p w:rsidR="004A3868" w:rsidRDefault="003F1AB5">
            <w:pPr>
              <w:pStyle w:val="afff7"/>
            </w:pPr>
            <w:r>
              <w:t>84,726,984.24</w:t>
            </w:r>
          </w:p>
        </w:tc>
        <w:tc>
          <w:tcPr>
            <w:tcW w:w="1698" w:type="pct"/>
            <w:shd w:val="clear" w:color="auto" w:fill="auto"/>
            <w:vAlign w:val="center"/>
          </w:tcPr>
          <w:p w:rsidR="004A3868" w:rsidRDefault="003F1AB5">
            <w:pPr>
              <w:pStyle w:val="afff7"/>
            </w:pPr>
            <w:r>
              <w:t>174,632,230.88</w:t>
            </w:r>
          </w:p>
        </w:tc>
      </w:tr>
      <w:tr w:rsidR="004A3868">
        <w:trPr>
          <w:trHeight w:val="397"/>
          <w:jc w:val="center"/>
        </w:trPr>
        <w:tc>
          <w:tcPr>
            <w:tcW w:w="1601" w:type="pct"/>
            <w:shd w:val="clear" w:color="auto" w:fill="auto"/>
          </w:tcPr>
          <w:p w:rsidR="004A3868" w:rsidRDefault="003F1AB5">
            <w:pPr>
              <w:rPr>
                <w:sz w:val="21"/>
                <w:szCs w:val="21"/>
              </w:rPr>
            </w:pPr>
            <w:r>
              <w:rPr>
                <w:rFonts w:hint="eastAsia"/>
                <w:sz w:val="21"/>
                <w:szCs w:val="21"/>
              </w:rPr>
              <w:t>合计</w:t>
            </w:r>
          </w:p>
        </w:tc>
        <w:tc>
          <w:tcPr>
            <w:tcW w:w="1701" w:type="pct"/>
            <w:shd w:val="clear" w:color="auto" w:fill="auto"/>
            <w:vAlign w:val="center"/>
          </w:tcPr>
          <w:p w:rsidR="004A3868" w:rsidRDefault="003F1AB5">
            <w:pPr>
              <w:pStyle w:val="afff7"/>
            </w:pPr>
            <w:r>
              <w:t>84,726,984.24</w:t>
            </w:r>
          </w:p>
        </w:tc>
        <w:tc>
          <w:tcPr>
            <w:tcW w:w="1698" w:type="pct"/>
            <w:shd w:val="clear" w:color="auto" w:fill="auto"/>
            <w:vAlign w:val="center"/>
          </w:tcPr>
          <w:p w:rsidR="004A3868" w:rsidRDefault="003F1AB5">
            <w:pPr>
              <w:pStyle w:val="afff7"/>
            </w:pPr>
            <w:r>
              <w:t>174,632,230.88</w:t>
            </w:r>
          </w:p>
        </w:tc>
      </w:tr>
    </w:tbl>
    <w:p w:rsidR="004A3868" w:rsidRDefault="003F1AB5">
      <w:pPr>
        <w:pStyle w:val="Style128"/>
        <w:numPr>
          <w:ilvl w:val="0"/>
          <w:numId w:val="91"/>
        </w:numPr>
      </w:pPr>
      <w:r>
        <w:rPr>
          <w:rFonts w:hint="eastAsia"/>
        </w:rPr>
        <w:t>账龄超过</w:t>
      </w:r>
      <w:r>
        <w:t>1年的重要合同负债</w:t>
      </w:r>
    </w:p>
    <w:sdt>
      <w:sdtPr>
        <w:alias w:val="是否适用：账龄超过1年的重要合同负债明细[双击切换]"/>
        <w:tag w:val="_GBC_743f27908aba47b4a5755e98b31475ae"/>
        <w:id w:val="55350868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91"/>
        </w:numPr>
      </w:pPr>
      <w:r>
        <w:rPr>
          <w:rFonts w:hint="eastAsia"/>
        </w:rPr>
        <w:lastRenderedPageBreak/>
        <w:t>报告期内账面价值发生重大变动的金额和原因</w:t>
      </w:r>
    </w:p>
    <w:sdt>
      <w:sdtPr>
        <w:alias w:val="是否适用：合同负债账面价值发生重大变动[双击切换]"/>
        <w:tag w:val="_GBC_267fd365085f4836b846799edc8c3765"/>
        <w:id w:val="-1780939840"/>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其他说明：</w:t>
      </w:r>
    </w:p>
    <w:sdt>
      <w:sdtPr>
        <w:alias w:val="是否适用：合同负债其他说明[双击切换]"/>
        <w:tag w:val="_GBC_1c99003b181f47ebb73e6452f4bfa446"/>
        <w:id w:val="48313532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应付职工薪酬</w:t>
      </w:r>
    </w:p>
    <w:p w:rsidR="004A3868" w:rsidRDefault="003F1AB5">
      <w:pPr>
        <w:pStyle w:val="Style128"/>
        <w:numPr>
          <w:ilvl w:val="0"/>
          <w:numId w:val="92"/>
        </w:numPr>
      </w:pPr>
      <w:r>
        <w:rPr>
          <w:rFonts w:hint="eastAsia"/>
        </w:rPr>
        <w:t>应付职工薪酬列示</w:t>
      </w:r>
    </w:p>
    <w:sdt>
      <w:sdtPr>
        <w:alias w:val="是否适用：应付职工薪酬列示[双击切换]"/>
        <w:tag w:val="_GBC_215b41e091df4b2bbb2009fd3c8040b5"/>
        <w:id w:val="-52656168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应付职工薪酬"/>
          <w:tag w:val="_GBC_6889c0e435324d63b7c01ed595a8e140"/>
          <w:id w:val="-3268225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4333388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1761"/>
        <w:gridCol w:w="1765"/>
        <w:gridCol w:w="1766"/>
        <w:gridCol w:w="1765"/>
        <w:gridCol w:w="1766"/>
      </w:tblGrid>
      <w:tr w:rsidR="004A3868">
        <w:trPr>
          <w:trHeight w:val="397"/>
          <w:jc w:val="center"/>
        </w:trPr>
        <w:sdt>
          <w:sdtPr>
            <w:tag w:val="_PLD_4761dc2d96c64c3fb5d407cdbec097a2"/>
            <w:id w:val="1321233375"/>
          </w:sdtPr>
          <w:sdtEndPr/>
          <w:sdtContent>
            <w:tc>
              <w:tcPr>
                <w:tcW w:w="998" w:type="pct"/>
                <w:shd w:val="clear" w:color="auto" w:fill="auto"/>
                <w:vAlign w:val="center"/>
              </w:tcPr>
              <w:p w:rsidR="004A3868" w:rsidRDefault="003F1AB5">
                <w:pPr>
                  <w:pStyle w:val="afffb"/>
                </w:pPr>
                <w:r>
                  <w:rPr>
                    <w:rFonts w:hint="eastAsia"/>
                  </w:rPr>
                  <w:t>项目</w:t>
                </w:r>
              </w:p>
            </w:tc>
          </w:sdtContent>
        </w:sdt>
        <w:sdt>
          <w:sdtPr>
            <w:tag w:val="_PLD_f666739d3c0f4f9891bd8f4974d101ec"/>
            <w:id w:val="-1685894973"/>
          </w:sdtPr>
          <w:sdtEndPr/>
          <w:sdtContent>
            <w:tc>
              <w:tcPr>
                <w:tcW w:w="1000" w:type="pct"/>
                <w:shd w:val="clear" w:color="auto" w:fill="auto"/>
                <w:vAlign w:val="center"/>
              </w:tcPr>
              <w:p w:rsidR="004A3868" w:rsidRDefault="003F1AB5">
                <w:pPr>
                  <w:pStyle w:val="afffb"/>
                </w:pPr>
                <w:r>
                  <w:rPr>
                    <w:rFonts w:hint="eastAsia"/>
                  </w:rPr>
                  <w:t>期初余额</w:t>
                </w:r>
              </w:p>
            </w:tc>
          </w:sdtContent>
        </w:sdt>
        <w:sdt>
          <w:sdtPr>
            <w:tag w:val="_PLD_cc701d3a5a44484d862c996437df1e7d"/>
            <w:id w:val="-1401127961"/>
          </w:sdtPr>
          <w:sdtEndPr/>
          <w:sdtContent>
            <w:tc>
              <w:tcPr>
                <w:tcW w:w="1001" w:type="pct"/>
                <w:shd w:val="clear" w:color="auto" w:fill="auto"/>
                <w:vAlign w:val="center"/>
              </w:tcPr>
              <w:p w:rsidR="004A3868" w:rsidRDefault="003F1AB5">
                <w:pPr>
                  <w:pStyle w:val="afffb"/>
                </w:pPr>
                <w:r>
                  <w:rPr>
                    <w:rFonts w:hint="eastAsia"/>
                  </w:rPr>
                  <w:t>本期增加</w:t>
                </w:r>
              </w:p>
            </w:tc>
          </w:sdtContent>
        </w:sdt>
        <w:sdt>
          <w:sdtPr>
            <w:tag w:val="_PLD_0e8f833fca684ce592b0cba6d04c75ef"/>
            <w:id w:val="-1782716965"/>
          </w:sdtPr>
          <w:sdtEndPr/>
          <w:sdtContent>
            <w:tc>
              <w:tcPr>
                <w:tcW w:w="1000" w:type="pct"/>
                <w:shd w:val="clear" w:color="auto" w:fill="auto"/>
                <w:vAlign w:val="center"/>
              </w:tcPr>
              <w:p w:rsidR="004A3868" w:rsidRDefault="003F1AB5">
                <w:pPr>
                  <w:pStyle w:val="afffb"/>
                </w:pPr>
                <w:r>
                  <w:rPr>
                    <w:rFonts w:hint="eastAsia"/>
                  </w:rPr>
                  <w:t>本期减少</w:t>
                </w:r>
              </w:p>
            </w:tc>
          </w:sdtContent>
        </w:sdt>
        <w:sdt>
          <w:sdtPr>
            <w:tag w:val="_PLD_c39a265e94994f0480d13abd59d3eb39"/>
            <w:id w:val="1949660406"/>
          </w:sdtPr>
          <w:sdtEndPr/>
          <w:sdtContent>
            <w:tc>
              <w:tcPr>
                <w:tcW w:w="1001" w:type="pct"/>
                <w:shd w:val="clear" w:color="auto" w:fill="auto"/>
                <w:vAlign w:val="center"/>
              </w:tcPr>
              <w:p w:rsidR="004A3868" w:rsidRDefault="003F1AB5">
                <w:pPr>
                  <w:pStyle w:val="afffb"/>
                </w:pPr>
                <w:r>
                  <w:rPr>
                    <w:rFonts w:hint="eastAsia"/>
                  </w:rPr>
                  <w:t>期末余额</w:t>
                </w:r>
              </w:p>
            </w:tc>
          </w:sdtContent>
        </w:sdt>
      </w:tr>
      <w:tr w:rsidR="004A3868">
        <w:trPr>
          <w:trHeight w:val="397"/>
          <w:jc w:val="center"/>
        </w:trPr>
        <w:tc>
          <w:tcPr>
            <w:tcW w:w="998" w:type="pct"/>
            <w:shd w:val="clear" w:color="auto" w:fill="auto"/>
          </w:tcPr>
          <w:p w:rsidR="004A3868" w:rsidRDefault="003F1AB5">
            <w:pPr>
              <w:pStyle w:val="afff9"/>
            </w:pPr>
            <w:r>
              <w:rPr>
                <w:rFonts w:hint="eastAsia"/>
              </w:rPr>
              <w:t>一、短期薪酬</w:t>
            </w:r>
          </w:p>
        </w:tc>
        <w:tc>
          <w:tcPr>
            <w:tcW w:w="1000" w:type="pct"/>
            <w:shd w:val="clear" w:color="auto" w:fill="auto"/>
            <w:vAlign w:val="center"/>
          </w:tcPr>
          <w:p w:rsidR="004A3868" w:rsidRDefault="003F1AB5">
            <w:pPr>
              <w:pStyle w:val="afff7"/>
            </w:pPr>
            <w:r>
              <w:t>32,917,675.39</w:t>
            </w:r>
          </w:p>
        </w:tc>
        <w:tc>
          <w:tcPr>
            <w:tcW w:w="1001" w:type="pct"/>
            <w:shd w:val="clear" w:color="auto" w:fill="auto"/>
            <w:vAlign w:val="center"/>
          </w:tcPr>
          <w:p w:rsidR="004A3868" w:rsidRDefault="003F1AB5">
            <w:pPr>
              <w:pStyle w:val="afff7"/>
              <w:rPr>
                <w:highlight w:val="yellow"/>
              </w:rPr>
            </w:pPr>
            <w:r>
              <w:t>196,928,984.16</w:t>
            </w:r>
          </w:p>
        </w:tc>
        <w:tc>
          <w:tcPr>
            <w:tcW w:w="1000" w:type="pct"/>
            <w:shd w:val="clear" w:color="auto" w:fill="auto"/>
            <w:vAlign w:val="center"/>
          </w:tcPr>
          <w:p w:rsidR="004A3868" w:rsidRDefault="003F1AB5">
            <w:pPr>
              <w:pStyle w:val="afff7"/>
              <w:rPr>
                <w:highlight w:val="yellow"/>
              </w:rPr>
            </w:pPr>
            <w:r>
              <w:t>195,699,122.17</w:t>
            </w:r>
          </w:p>
        </w:tc>
        <w:tc>
          <w:tcPr>
            <w:tcW w:w="1001" w:type="pct"/>
            <w:shd w:val="clear" w:color="auto" w:fill="auto"/>
            <w:vAlign w:val="center"/>
          </w:tcPr>
          <w:p w:rsidR="004A3868" w:rsidRDefault="003F1AB5">
            <w:pPr>
              <w:pStyle w:val="afff7"/>
            </w:pPr>
            <w:r>
              <w:t>34,147,537.38</w:t>
            </w:r>
          </w:p>
        </w:tc>
      </w:tr>
      <w:tr w:rsidR="004A3868">
        <w:trPr>
          <w:trHeight w:val="397"/>
          <w:jc w:val="center"/>
        </w:trPr>
        <w:tc>
          <w:tcPr>
            <w:tcW w:w="998" w:type="pct"/>
            <w:shd w:val="clear" w:color="auto" w:fill="auto"/>
          </w:tcPr>
          <w:p w:rsidR="004A3868" w:rsidRDefault="003F1AB5">
            <w:pPr>
              <w:pStyle w:val="afff9"/>
            </w:pPr>
            <w:r>
              <w:rPr>
                <w:rFonts w:hint="eastAsia"/>
              </w:rPr>
              <w:t>二、离职后福利</w:t>
            </w:r>
            <w:r>
              <w:rPr>
                <w:rFonts w:hint="eastAsia"/>
              </w:rPr>
              <w:t>-</w:t>
            </w:r>
            <w:r>
              <w:rPr>
                <w:rFonts w:hint="eastAsia"/>
              </w:rPr>
              <w:t>设定提存计划</w:t>
            </w:r>
          </w:p>
        </w:tc>
        <w:tc>
          <w:tcPr>
            <w:tcW w:w="1000" w:type="pct"/>
            <w:shd w:val="clear" w:color="auto" w:fill="auto"/>
            <w:vAlign w:val="center"/>
          </w:tcPr>
          <w:p w:rsidR="004A3868" w:rsidRDefault="003F1AB5">
            <w:pPr>
              <w:pStyle w:val="afff7"/>
            </w:pPr>
            <w:r>
              <w:t>608,494.77</w:t>
            </w:r>
          </w:p>
        </w:tc>
        <w:tc>
          <w:tcPr>
            <w:tcW w:w="1001" w:type="pct"/>
            <w:shd w:val="clear" w:color="auto" w:fill="auto"/>
            <w:vAlign w:val="center"/>
          </w:tcPr>
          <w:p w:rsidR="004A3868" w:rsidRDefault="003F1AB5">
            <w:pPr>
              <w:pStyle w:val="afff7"/>
            </w:pPr>
            <w:r>
              <w:t>17,022,341.71</w:t>
            </w:r>
          </w:p>
        </w:tc>
        <w:tc>
          <w:tcPr>
            <w:tcW w:w="1000" w:type="pct"/>
            <w:shd w:val="clear" w:color="auto" w:fill="auto"/>
            <w:vAlign w:val="center"/>
          </w:tcPr>
          <w:p w:rsidR="004A3868" w:rsidRDefault="003F1AB5">
            <w:pPr>
              <w:pStyle w:val="afff7"/>
            </w:pPr>
            <w:r>
              <w:t>17,549,832.63</w:t>
            </w:r>
          </w:p>
        </w:tc>
        <w:tc>
          <w:tcPr>
            <w:tcW w:w="1001" w:type="pct"/>
            <w:shd w:val="clear" w:color="auto" w:fill="auto"/>
            <w:vAlign w:val="center"/>
          </w:tcPr>
          <w:p w:rsidR="004A3868" w:rsidRDefault="003F1AB5">
            <w:pPr>
              <w:pStyle w:val="afff7"/>
            </w:pPr>
            <w:r>
              <w:t>81,003.85</w:t>
            </w:r>
          </w:p>
        </w:tc>
      </w:tr>
      <w:tr w:rsidR="004A3868">
        <w:trPr>
          <w:trHeight w:val="397"/>
          <w:jc w:val="center"/>
        </w:trPr>
        <w:tc>
          <w:tcPr>
            <w:tcW w:w="998" w:type="pct"/>
            <w:shd w:val="clear" w:color="auto" w:fill="auto"/>
          </w:tcPr>
          <w:p w:rsidR="004A3868" w:rsidRDefault="003F1AB5">
            <w:pPr>
              <w:pStyle w:val="afff9"/>
            </w:pPr>
            <w:r>
              <w:rPr>
                <w:rFonts w:hint="eastAsia"/>
              </w:rPr>
              <w:t>三、辞退福利</w:t>
            </w:r>
          </w:p>
        </w:tc>
        <w:tc>
          <w:tcPr>
            <w:tcW w:w="1000" w:type="pct"/>
            <w:shd w:val="clear" w:color="auto" w:fill="auto"/>
            <w:vAlign w:val="center"/>
          </w:tcPr>
          <w:p w:rsidR="004A3868" w:rsidRDefault="004A3868">
            <w:pPr>
              <w:pStyle w:val="afff7"/>
            </w:pPr>
          </w:p>
        </w:tc>
        <w:tc>
          <w:tcPr>
            <w:tcW w:w="1001" w:type="pct"/>
            <w:shd w:val="clear" w:color="auto" w:fill="auto"/>
            <w:vAlign w:val="center"/>
          </w:tcPr>
          <w:p w:rsidR="004A3868" w:rsidRDefault="003F1AB5">
            <w:pPr>
              <w:pStyle w:val="afff7"/>
            </w:pPr>
            <w:r>
              <w:t>447,980.00</w:t>
            </w:r>
          </w:p>
        </w:tc>
        <w:tc>
          <w:tcPr>
            <w:tcW w:w="1000" w:type="pct"/>
            <w:shd w:val="clear" w:color="auto" w:fill="auto"/>
            <w:vAlign w:val="center"/>
          </w:tcPr>
          <w:p w:rsidR="004A3868" w:rsidRDefault="003F1AB5">
            <w:pPr>
              <w:pStyle w:val="afff7"/>
            </w:pPr>
            <w:r>
              <w:t>447,980.00</w:t>
            </w:r>
          </w:p>
        </w:tc>
        <w:tc>
          <w:tcPr>
            <w:tcW w:w="1001" w:type="pct"/>
            <w:shd w:val="clear" w:color="auto" w:fill="auto"/>
            <w:vAlign w:val="center"/>
          </w:tcPr>
          <w:p w:rsidR="004A3868" w:rsidRDefault="004A3868">
            <w:pPr>
              <w:pStyle w:val="afff7"/>
            </w:pPr>
          </w:p>
        </w:tc>
      </w:tr>
      <w:tr w:rsidR="004A3868">
        <w:trPr>
          <w:trHeight w:val="397"/>
          <w:jc w:val="center"/>
        </w:trPr>
        <w:tc>
          <w:tcPr>
            <w:tcW w:w="998" w:type="pct"/>
            <w:shd w:val="clear" w:color="auto" w:fill="auto"/>
          </w:tcPr>
          <w:p w:rsidR="004A3868" w:rsidRDefault="003F1AB5">
            <w:pPr>
              <w:pStyle w:val="afff9"/>
            </w:pPr>
            <w:r>
              <w:rPr>
                <w:rFonts w:hint="eastAsia"/>
              </w:rPr>
              <w:t>四、一年内到期的其他福利</w:t>
            </w:r>
          </w:p>
        </w:tc>
        <w:tc>
          <w:tcPr>
            <w:tcW w:w="1000" w:type="pct"/>
            <w:shd w:val="clear" w:color="auto" w:fill="auto"/>
            <w:vAlign w:val="center"/>
          </w:tcPr>
          <w:p w:rsidR="004A3868" w:rsidRDefault="004A3868">
            <w:pPr>
              <w:pStyle w:val="afff7"/>
            </w:pPr>
          </w:p>
        </w:tc>
        <w:tc>
          <w:tcPr>
            <w:tcW w:w="1001" w:type="pct"/>
            <w:shd w:val="clear" w:color="auto" w:fill="auto"/>
            <w:vAlign w:val="center"/>
          </w:tcPr>
          <w:p w:rsidR="004A3868" w:rsidRDefault="004A3868">
            <w:pPr>
              <w:pStyle w:val="afff7"/>
            </w:pPr>
          </w:p>
        </w:tc>
        <w:tc>
          <w:tcPr>
            <w:tcW w:w="1000" w:type="pct"/>
            <w:shd w:val="clear" w:color="auto" w:fill="auto"/>
            <w:vAlign w:val="center"/>
          </w:tcPr>
          <w:p w:rsidR="004A3868" w:rsidRDefault="004A3868">
            <w:pPr>
              <w:pStyle w:val="afff7"/>
            </w:pPr>
          </w:p>
        </w:tc>
        <w:tc>
          <w:tcPr>
            <w:tcW w:w="1001" w:type="pct"/>
            <w:shd w:val="clear" w:color="auto" w:fill="auto"/>
            <w:vAlign w:val="center"/>
          </w:tcPr>
          <w:p w:rsidR="004A3868" w:rsidRDefault="004A3868">
            <w:pPr>
              <w:pStyle w:val="afff7"/>
            </w:pPr>
          </w:p>
        </w:tc>
      </w:tr>
      <w:tr w:rsidR="004A3868">
        <w:trPr>
          <w:trHeight w:val="397"/>
          <w:jc w:val="center"/>
        </w:trPr>
        <w:tc>
          <w:tcPr>
            <w:tcW w:w="998" w:type="pct"/>
            <w:shd w:val="clear" w:color="auto" w:fill="auto"/>
            <w:vAlign w:val="center"/>
          </w:tcPr>
          <w:p w:rsidR="004A3868" w:rsidRDefault="003F1AB5">
            <w:pPr>
              <w:pStyle w:val="afff9"/>
            </w:pPr>
            <w:r>
              <w:rPr>
                <w:rFonts w:hint="eastAsia"/>
              </w:rPr>
              <w:t>合计</w:t>
            </w:r>
          </w:p>
        </w:tc>
        <w:tc>
          <w:tcPr>
            <w:tcW w:w="1000" w:type="pct"/>
            <w:shd w:val="clear" w:color="auto" w:fill="auto"/>
            <w:vAlign w:val="center"/>
          </w:tcPr>
          <w:p w:rsidR="004A3868" w:rsidRDefault="003F1AB5">
            <w:pPr>
              <w:pStyle w:val="afff7"/>
            </w:pPr>
            <w:r>
              <w:t>33,526,170.16</w:t>
            </w:r>
          </w:p>
        </w:tc>
        <w:tc>
          <w:tcPr>
            <w:tcW w:w="1001" w:type="pct"/>
            <w:shd w:val="clear" w:color="auto" w:fill="auto"/>
            <w:vAlign w:val="center"/>
          </w:tcPr>
          <w:p w:rsidR="004A3868" w:rsidRDefault="003F1AB5">
            <w:pPr>
              <w:pStyle w:val="afff7"/>
            </w:pPr>
            <w:r>
              <w:t>214,399,305.87</w:t>
            </w:r>
          </w:p>
        </w:tc>
        <w:tc>
          <w:tcPr>
            <w:tcW w:w="1000" w:type="pct"/>
            <w:shd w:val="clear" w:color="auto" w:fill="auto"/>
            <w:vAlign w:val="center"/>
          </w:tcPr>
          <w:p w:rsidR="004A3868" w:rsidRDefault="003F1AB5">
            <w:pPr>
              <w:pStyle w:val="afff7"/>
            </w:pPr>
            <w:r>
              <w:t>213,696,934.80</w:t>
            </w:r>
          </w:p>
        </w:tc>
        <w:tc>
          <w:tcPr>
            <w:tcW w:w="1001" w:type="pct"/>
            <w:shd w:val="clear" w:color="auto" w:fill="auto"/>
            <w:vAlign w:val="center"/>
          </w:tcPr>
          <w:p w:rsidR="004A3868" w:rsidRDefault="003F1AB5">
            <w:pPr>
              <w:pStyle w:val="afff7"/>
            </w:pPr>
            <w:r>
              <w:t>34,228,541.23</w:t>
            </w:r>
          </w:p>
        </w:tc>
      </w:tr>
    </w:tbl>
    <w:p w:rsidR="004A3868" w:rsidRDefault="003F1AB5">
      <w:pPr>
        <w:pStyle w:val="Style128"/>
        <w:numPr>
          <w:ilvl w:val="0"/>
          <w:numId w:val="92"/>
        </w:numPr>
      </w:pPr>
      <w:r>
        <w:rPr>
          <w:rFonts w:hint="eastAsia"/>
        </w:rPr>
        <w:t>短期薪酬列示</w:t>
      </w:r>
    </w:p>
    <w:sdt>
      <w:sdtPr>
        <w:alias w:val="是否适用：短期薪酬列示[双击切换]"/>
        <w:tag w:val="_GBC_531fef0ef27e47ad98c1bb26abdf204f"/>
        <w:id w:val="1433779790"/>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短期薪酬"/>
          <w:tag w:val="_GBC_4710a4978b1b4a4bbcd5757aaf80b8d7"/>
          <w:id w:val="3980258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短期薪酬"/>
          <w:tag w:val="_GBC_aa08b58287754c0d8fad97e31bacb9e4"/>
          <w:id w:val="10969028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407"/>
        <w:gridCol w:w="1606"/>
        <w:gridCol w:w="1602"/>
        <w:gridCol w:w="1604"/>
        <w:gridCol w:w="1604"/>
      </w:tblGrid>
      <w:tr w:rsidR="004A3868">
        <w:trPr>
          <w:trHeight w:val="397"/>
          <w:jc w:val="center"/>
        </w:trPr>
        <w:sdt>
          <w:sdtPr>
            <w:tag w:val="_PLD_977153d49ca449b191bb833cd5f689b2"/>
            <w:id w:val="-55640081"/>
          </w:sdtPr>
          <w:sdtEndPr/>
          <w:sdtContent>
            <w:tc>
              <w:tcPr>
                <w:tcW w:w="136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项目</w:t>
                </w:r>
              </w:p>
            </w:tc>
          </w:sdtContent>
        </w:sdt>
        <w:sdt>
          <w:sdtPr>
            <w:tag w:val="_PLD_557c49ee2a4f40de99f948c76f4c3adc"/>
            <w:id w:val="-503202271"/>
          </w:sdtPr>
          <w:sdtEndPr/>
          <w:sdtContent>
            <w:tc>
              <w:tcPr>
                <w:tcW w:w="91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期初余额</w:t>
                </w:r>
              </w:p>
            </w:tc>
          </w:sdtContent>
        </w:sdt>
        <w:sdt>
          <w:sdtPr>
            <w:tag w:val="_PLD_98d1ab48f8084264aff0ef3a30e8ba71"/>
            <w:id w:val="1489745025"/>
          </w:sdtPr>
          <w:sdtEndPr/>
          <w:sdtContent>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本期增加</w:t>
                </w:r>
              </w:p>
            </w:tc>
          </w:sdtContent>
        </w:sdt>
        <w:sdt>
          <w:sdtPr>
            <w:tag w:val="_PLD_e35c4f26db444503b2f9a32896872169"/>
            <w:id w:val="322782997"/>
          </w:sdtPr>
          <w:sdtEndPr/>
          <w:sdtContent>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t>本期减少</w:t>
                </w:r>
              </w:p>
            </w:tc>
          </w:sdtContent>
        </w:sdt>
        <w:sdt>
          <w:sdtPr>
            <w:tag w:val="_PLD_e67d191300ac43c2b1b07c1beddfe891"/>
            <w:id w:val="888771795"/>
          </w:sdtPr>
          <w:sdtEndPr/>
          <w:sdtContent>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期末余额</w:t>
                </w:r>
              </w:p>
            </w:tc>
          </w:sdtContent>
        </w:sdt>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一、工资、奖金、津贴和补贴</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32,755,153.85</w:t>
            </w: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163,880,071.62</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162,648,619.21</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33,986,606.26</w:t>
            </w: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二、职工福利费</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13,333,843.54</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13,333,843.54</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三、社会保险费</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9,579.69</w:t>
            </w: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11,191,663.10</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11,193,253.52</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7,989.27</w:t>
            </w: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rPr>
                <w:color w:val="008000"/>
              </w:rPr>
            </w:pPr>
            <w:r>
              <w:rPr>
                <w:rFonts w:hint="eastAsia"/>
              </w:rPr>
              <w:t>其中：</w:t>
            </w:r>
            <w:r>
              <w:t>医疗保险费</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1,926.34</w:t>
            </w: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9,906,334.14</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9,906,334.14</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1,926.34</w:t>
            </w: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工伤保险费</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7,653.35</w:t>
            </w: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1,285,328.96</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1,286,919.38</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6,062.93</w:t>
            </w: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生育保险费</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四、住房公积金</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152,941.85</w:t>
            </w: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5,711,606.00</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5,711,606.00</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152,941.85</w:t>
            </w: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五、工会经费和职工教育经费</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2,811,799.90</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2,811,799.90</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六、短期带薪缺勤</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七、短期利润分享计划</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36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合计</w:t>
            </w:r>
          </w:p>
        </w:tc>
        <w:tc>
          <w:tcPr>
            <w:tcW w:w="91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32,917,675.39</w:t>
            </w:r>
          </w:p>
        </w:tc>
        <w:tc>
          <w:tcPr>
            <w:tcW w:w="90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196,928,984.16</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195,699,122.17</w:t>
            </w:r>
          </w:p>
        </w:tc>
        <w:tc>
          <w:tcPr>
            <w:tcW w:w="90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34,147,537.38</w:t>
            </w:r>
          </w:p>
        </w:tc>
      </w:tr>
    </w:tbl>
    <w:p w:rsidR="004A3868" w:rsidRDefault="003F1AB5">
      <w:pPr>
        <w:pStyle w:val="Style128"/>
        <w:numPr>
          <w:ilvl w:val="0"/>
          <w:numId w:val="92"/>
        </w:numPr>
      </w:pPr>
      <w:r>
        <w:rPr>
          <w:rFonts w:hint="eastAsia"/>
        </w:rPr>
        <w:t>设定提存计划列示</w:t>
      </w:r>
    </w:p>
    <w:p w:rsidR="004A3868" w:rsidRDefault="00B34370">
      <w:pPr>
        <w:pStyle w:val="Style124"/>
      </w:pPr>
      <w:sdt>
        <w:sdtPr>
          <w:alias w:val="是否适用：设定提存计划列示[双击切换]"/>
          <w:tag w:val="_GBC_b10b1dbaca2d418ba8658bab8f732ec8"/>
          <w:id w:val="-1188285709"/>
          <w:placeholder>
            <w:docPart w:val="GBC22222222222222222222222222222"/>
          </w:placeholder>
        </w:sdtPr>
        <w:sdtEndPr/>
        <w:sdtContent>
          <w:r w:rsidR="003F1AB5">
            <w:fldChar w:fldCharType="begin"/>
          </w:r>
          <w:r w:rsidR="003F1AB5">
            <w:rPr>
              <w:rFonts w:hint="eastAsia"/>
            </w:rPr>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afff5"/>
      </w:pPr>
      <w:r>
        <w:rPr>
          <w:rFonts w:hint="eastAsia"/>
        </w:rPr>
        <w:t>单位：</w:t>
      </w:r>
      <w:sdt>
        <w:sdtPr>
          <w:rPr>
            <w:rFonts w:hint="eastAsia"/>
          </w:rPr>
          <w:alias w:val="单位：财务附注：设定提存计划列示"/>
          <w:tag w:val="_GBC_925094ba622346ba8857a40cf7e6f1b2"/>
          <w:id w:val="-2321659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7300763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499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522"/>
        <w:gridCol w:w="1300"/>
        <w:gridCol w:w="1840"/>
        <w:gridCol w:w="1596"/>
        <w:gridCol w:w="1552"/>
      </w:tblGrid>
      <w:tr w:rsidR="004A3868">
        <w:trPr>
          <w:trHeight w:val="397"/>
          <w:jc w:val="center"/>
        </w:trPr>
        <w:sdt>
          <w:sdtPr>
            <w:tag w:val="_PLD_5a05fd1b5f8842ba9ae6094f6792dfbe"/>
            <w:id w:val="-216508431"/>
          </w:sdtPr>
          <w:sdtEndPr/>
          <w:sdtContent>
            <w:tc>
              <w:tcPr>
                <w:tcW w:w="1431"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b"/>
                </w:pPr>
                <w:r>
                  <w:rPr>
                    <w:rFonts w:hint="eastAsia"/>
                  </w:rPr>
                  <w:t>项目</w:t>
                </w:r>
              </w:p>
            </w:tc>
          </w:sdtContent>
        </w:sdt>
        <w:sdt>
          <w:sdtPr>
            <w:tag w:val="_PLD_fae7d76d85e4429d925f3d30ff27566f"/>
            <w:id w:val="70479520"/>
          </w:sdtPr>
          <w:sdtEndPr/>
          <w:sdtContent>
            <w:tc>
              <w:tcPr>
                <w:tcW w:w="738"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b"/>
                </w:pPr>
                <w:r>
                  <w:rPr>
                    <w:rFonts w:hint="eastAsia"/>
                  </w:rPr>
                  <w:t>期初余额</w:t>
                </w:r>
              </w:p>
            </w:tc>
          </w:sdtContent>
        </w:sdt>
        <w:sdt>
          <w:sdtPr>
            <w:tag w:val="_PLD_cd3c897871944aa0a1ea524d70e51704"/>
            <w:id w:val="1089273812"/>
          </w:sdtPr>
          <w:sdtEndPr/>
          <w:sdtContent>
            <w:tc>
              <w:tcPr>
                <w:tcW w:w="1044"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b"/>
                </w:pPr>
                <w:r>
                  <w:rPr>
                    <w:rFonts w:hint="eastAsia"/>
                  </w:rPr>
                  <w:t>本期增加</w:t>
                </w:r>
              </w:p>
            </w:tc>
          </w:sdtContent>
        </w:sdt>
        <w:sdt>
          <w:sdtPr>
            <w:tag w:val="_PLD_5ef10b06a3d24730bad93c45f119182f"/>
            <w:id w:val="-371769424"/>
          </w:sdtPr>
          <w:sdtEndPr/>
          <w:sdtContent>
            <w:tc>
              <w:tcPr>
                <w:tcW w:w="906"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b"/>
                </w:pPr>
                <w:r>
                  <w:rPr>
                    <w:rFonts w:hint="eastAsia"/>
                  </w:rPr>
                  <w:t>本期减少</w:t>
                </w:r>
              </w:p>
            </w:tc>
          </w:sdtContent>
        </w:sdt>
        <w:sdt>
          <w:sdtPr>
            <w:tag w:val="_PLD_13d5e5df016d4921aa56218755dfb8f4"/>
            <w:id w:val="-1906908292"/>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b"/>
                </w:pPr>
                <w:r>
                  <w:rPr>
                    <w:rFonts w:hint="eastAsia"/>
                  </w:rPr>
                  <w:t>期末余额</w:t>
                </w:r>
              </w:p>
            </w:tc>
          </w:sdtContent>
        </w:sdt>
      </w:tr>
      <w:tr w:rsidR="004A3868">
        <w:trPr>
          <w:trHeight w:val="397"/>
          <w:jc w:val="center"/>
        </w:trPr>
        <w:tc>
          <w:tcPr>
            <w:tcW w:w="1431"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9"/>
            </w:pPr>
            <w:r>
              <w:rPr>
                <w:rFonts w:hint="eastAsia"/>
              </w:rPr>
              <w:lastRenderedPageBreak/>
              <w:t>1</w:t>
            </w:r>
            <w:r>
              <w:rPr>
                <w:rFonts w:hint="eastAsia"/>
              </w:rPr>
              <w:t>、基本养老保险</w:t>
            </w:r>
          </w:p>
        </w:tc>
        <w:tc>
          <w:tcPr>
            <w:tcW w:w="738" w:type="pct"/>
            <w:tcBorders>
              <w:top w:val="single" w:sz="4" w:space="0" w:color="auto"/>
              <w:left w:val="single" w:sz="6" w:space="0" w:color="auto"/>
              <w:bottom w:val="single" w:sz="4" w:space="0" w:color="auto"/>
              <w:right w:val="single" w:sz="4" w:space="0" w:color="auto"/>
            </w:tcBorders>
            <w:shd w:val="clear" w:color="auto" w:fill="auto"/>
            <w:vAlign w:val="center"/>
          </w:tcPr>
          <w:p w:rsidR="004A3868" w:rsidRDefault="003F1AB5">
            <w:pPr>
              <w:pStyle w:val="afff7"/>
            </w:pPr>
            <w:r>
              <w:t>554,922.32</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16,496,172.13</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16,973,475.96</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77,618.49</w:t>
            </w:r>
          </w:p>
        </w:tc>
      </w:tr>
      <w:tr w:rsidR="004A3868">
        <w:trPr>
          <w:trHeight w:val="397"/>
          <w:jc w:val="center"/>
        </w:trPr>
        <w:tc>
          <w:tcPr>
            <w:tcW w:w="1431"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9"/>
            </w:pPr>
            <w:r>
              <w:rPr>
                <w:rFonts w:hint="eastAsia"/>
              </w:rPr>
              <w:t>2</w:t>
            </w:r>
            <w:r>
              <w:rPr>
                <w:rFonts w:hint="eastAsia"/>
              </w:rPr>
              <w:t>、失业保险费</w:t>
            </w:r>
          </w:p>
        </w:tc>
        <w:tc>
          <w:tcPr>
            <w:tcW w:w="738" w:type="pct"/>
            <w:tcBorders>
              <w:top w:val="single" w:sz="4" w:space="0" w:color="auto"/>
              <w:left w:val="single" w:sz="6" w:space="0" w:color="auto"/>
              <w:bottom w:val="single" w:sz="4" w:space="0" w:color="auto"/>
              <w:right w:val="single" w:sz="4" w:space="0" w:color="auto"/>
            </w:tcBorders>
            <w:shd w:val="clear" w:color="auto" w:fill="auto"/>
            <w:vAlign w:val="center"/>
          </w:tcPr>
          <w:p w:rsidR="004A3868" w:rsidRDefault="003F1AB5">
            <w:pPr>
              <w:pStyle w:val="afff7"/>
            </w:pPr>
            <w:r>
              <w:t>53,572.45</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526,169.58</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576,356.67</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3,385.36</w:t>
            </w:r>
          </w:p>
        </w:tc>
      </w:tr>
      <w:tr w:rsidR="004A3868">
        <w:trPr>
          <w:trHeight w:val="397"/>
          <w:jc w:val="center"/>
        </w:trPr>
        <w:tc>
          <w:tcPr>
            <w:tcW w:w="1431"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9"/>
            </w:pPr>
            <w:r>
              <w:rPr>
                <w:rFonts w:hint="eastAsia"/>
              </w:rPr>
              <w:t>3</w:t>
            </w:r>
            <w:r>
              <w:rPr>
                <w:rFonts w:hint="eastAsia"/>
              </w:rPr>
              <w:t>、企业年金缴费</w:t>
            </w:r>
          </w:p>
        </w:tc>
        <w:tc>
          <w:tcPr>
            <w:tcW w:w="738" w:type="pct"/>
            <w:tcBorders>
              <w:top w:val="single" w:sz="4" w:space="0" w:color="auto"/>
              <w:left w:val="single" w:sz="6" w:space="0" w:color="auto"/>
              <w:bottom w:val="single" w:sz="4" w:space="0" w:color="auto"/>
              <w:right w:val="single" w:sz="4" w:space="0" w:color="auto"/>
            </w:tcBorders>
            <w:shd w:val="clear" w:color="auto" w:fill="auto"/>
            <w:vAlign w:val="center"/>
          </w:tcPr>
          <w:p w:rsidR="004A3868" w:rsidRDefault="004A3868">
            <w:pPr>
              <w:pStyle w:val="afff7"/>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r>
      <w:tr w:rsidR="004A3868">
        <w:trPr>
          <w:trHeight w:val="397"/>
          <w:jc w:val="center"/>
        </w:trPr>
        <w:tc>
          <w:tcPr>
            <w:tcW w:w="1431"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9"/>
            </w:pPr>
            <w:r>
              <w:rPr>
                <w:rFonts w:hint="eastAsia"/>
              </w:rPr>
              <w:t>合计</w:t>
            </w:r>
          </w:p>
        </w:tc>
        <w:tc>
          <w:tcPr>
            <w:tcW w:w="738" w:type="pct"/>
            <w:tcBorders>
              <w:top w:val="single" w:sz="4" w:space="0" w:color="auto"/>
              <w:left w:val="single" w:sz="6" w:space="0" w:color="auto"/>
              <w:bottom w:val="single" w:sz="4" w:space="0" w:color="auto"/>
              <w:right w:val="single" w:sz="4" w:space="0" w:color="auto"/>
            </w:tcBorders>
            <w:shd w:val="clear" w:color="auto" w:fill="auto"/>
            <w:vAlign w:val="center"/>
          </w:tcPr>
          <w:p w:rsidR="004A3868" w:rsidRDefault="003F1AB5">
            <w:pPr>
              <w:pStyle w:val="afff7"/>
            </w:pPr>
            <w:r>
              <w:t>608,494.77</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17,022,341.71</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17,549,832.63</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81,003.85</w:t>
            </w:r>
          </w:p>
        </w:tc>
      </w:tr>
    </w:tbl>
    <w:p w:rsidR="004A3868" w:rsidRDefault="004A3868">
      <w:pPr>
        <w:pStyle w:val="Style842"/>
      </w:pPr>
    </w:p>
    <w:p w:rsidR="004A3868" w:rsidRDefault="003F1AB5">
      <w:pPr>
        <w:pStyle w:val="Style842"/>
      </w:pPr>
      <w:r>
        <w:rPr>
          <w:rFonts w:hint="eastAsia"/>
        </w:rPr>
        <w:t>其他说明：</w:t>
      </w:r>
    </w:p>
    <w:sdt>
      <w:sdtPr>
        <w:alias w:val="是否适用：应付职工薪酬的说明[双击切换]"/>
        <w:tag w:val="_GBC_140070104764414eae4680364e4d0b62"/>
        <w:id w:val="-2056841299"/>
        <w:lock w:val="sdtLocked"/>
        <w:placeholder>
          <w:docPart w:val="GBC22222222222222222222222222222"/>
        </w:placeholder>
      </w:sdtPr>
      <w:sdtEndPr/>
      <w:sdtContent>
        <w:p w:rsidR="004A3868" w:rsidRDefault="003F1AB5">
          <w:pPr>
            <w:pStyle w:val="Style84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应交税费</w:t>
      </w:r>
    </w:p>
    <w:sdt>
      <w:sdtPr>
        <w:alias w:val="是否适用：应交税费[双击切换]"/>
        <w:tag w:val="_GBC_2ed6216b8f4c4523a1de5c2628cc02a2"/>
        <w:id w:val="-1684280510"/>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jc w:val="right"/>
        <w:rPr>
          <w:sz w:val="21"/>
          <w:szCs w:val="21"/>
        </w:rPr>
      </w:pPr>
      <w:r>
        <w:rPr>
          <w:rFonts w:hint="eastAsia"/>
          <w:sz w:val="21"/>
          <w:szCs w:val="21"/>
        </w:rPr>
        <w:t>单位：</w:t>
      </w:r>
      <w:sdt>
        <w:sdtPr>
          <w:rPr>
            <w:rFonts w:hint="eastAsia"/>
            <w:sz w:val="21"/>
            <w:szCs w:val="21"/>
          </w:rPr>
          <w:alias w:val="单位：财务附注：应交税费"/>
          <w:tag w:val="_GBC_9fe49c1b8a984180ae11c305f9fe5484"/>
          <w:id w:val="-14614183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币种：</w:t>
      </w:r>
      <w:sdt>
        <w:sdtPr>
          <w:rPr>
            <w:rFonts w:hint="eastAsia"/>
            <w:sz w:val="21"/>
            <w:szCs w:val="21"/>
          </w:rPr>
          <w:alias w:val="币种：财务附注：应交税费"/>
          <w:tag w:val="_GBC_aefdac676d8d4584b84883b8a3980e21"/>
          <w:id w:val="15321422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56"/>
        <w:gridCol w:w="2931"/>
        <w:gridCol w:w="2936"/>
      </w:tblGrid>
      <w:tr w:rsidR="004A3868">
        <w:trPr>
          <w:cantSplit/>
          <w:trHeight w:val="397"/>
          <w:jc w:val="center"/>
        </w:trPr>
        <w:sdt>
          <w:sdtPr>
            <w:tag w:val="_PLD_6c8ac0907441450eac644085301d6804"/>
            <w:id w:val="2129813682"/>
            <w:lock w:val="sdtLocked"/>
          </w:sdtPr>
          <w:sdtEndPr/>
          <w:sdtContent>
            <w:tc>
              <w:tcPr>
                <w:tcW w:w="1675" w:type="pct"/>
                <w:vAlign w:val="center"/>
              </w:tcPr>
              <w:p w:rsidR="004A3868" w:rsidRDefault="003F1AB5">
                <w:pPr>
                  <w:pStyle w:val="afffb"/>
                </w:pPr>
                <w:r>
                  <w:rPr>
                    <w:rFonts w:hint="eastAsia"/>
                  </w:rPr>
                  <w:t>项目</w:t>
                </w:r>
              </w:p>
            </w:tc>
          </w:sdtContent>
        </w:sdt>
        <w:sdt>
          <w:sdtPr>
            <w:tag w:val="_PLD_8dab1e5e153c4b93a2d18673e1365591"/>
            <w:id w:val="-551386556"/>
            <w:lock w:val="sdtLocked"/>
          </w:sdtPr>
          <w:sdtEndPr/>
          <w:sdtContent>
            <w:tc>
              <w:tcPr>
                <w:tcW w:w="1661" w:type="pct"/>
                <w:vAlign w:val="center"/>
              </w:tcPr>
              <w:p w:rsidR="004A3868" w:rsidRDefault="003F1AB5">
                <w:pPr>
                  <w:pStyle w:val="afffb"/>
                </w:pPr>
                <w:r>
                  <w:rPr>
                    <w:rFonts w:hint="eastAsia"/>
                  </w:rPr>
                  <w:t>期末余额</w:t>
                </w:r>
              </w:p>
            </w:tc>
          </w:sdtContent>
        </w:sdt>
        <w:sdt>
          <w:sdtPr>
            <w:tag w:val="_PLD_9793c5ba001a43cb914658d949d3dcec"/>
            <w:id w:val="-888253756"/>
            <w:lock w:val="sdtLocked"/>
          </w:sdtPr>
          <w:sdtEndPr/>
          <w:sdtContent>
            <w:tc>
              <w:tcPr>
                <w:tcW w:w="1664" w:type="pct"/>
                <w:vAlign w:val="center"/>
              </w:tcPr>
              <w:p w:rsidR="004A3868" w:rsidRDefault="003F1AB5">
                <w:pPr>
                  <w:pStyle w:val="afffb"/>
                </w:pPr>
                <w:r>
                  <w:rPr>
                    <w:rFonts w:hint="eastAsia"/>
                  </w:rPr>
                  <w:t>期初余额</w:t>
                </w:r>
              </w:p>
            </w:tc>
          </w:sdtContent>
        </w:sdt>
      </w:tr>
      <w:tr w:rsidR="004A3868">
        <w:trPr>
          <w:cantSplit/>
          <w:trHeight w:val="397"/>
          <w:jc w:val="center"/>
        </w:trPr>
        <w:tc>
          <w:tcPr>
            <w:tcW w:w="1675" w:type="pct"/>
            <w:shd w:val="clear" w:color="auto" w:fill="auto"/>
            <w:vAlign w:val="center"/>
          </w:tcPr>
          <w:p w:rsidR="004A3868" w:rsidRDefault="003F1AB5">
            <w:pPr>
              <w:pStyle w:val="afff9"/>
            </w:pPr>
            <w:r>
              <w:rPr>
                <w:rFonts w:hint="eastAsia"/>
              </w:rPr>
              <w:t>增值税</w:t>
            </w:r>
          </w:p>
        </w:tc>
        <w:tc>
          <w:tcPr>
            <w:tcW w:w="1661" w:type="pct"/>
            <w:shd w:val="clear" w:color="auto" w:fill="auto"/>
            <w:vAlign w:val="center"/>
          </w:tcPr>
          <w:p w:rsidR="004A3868" w:rsidRDefault="003F1AB5">
            <w:pPr>
              <w:pStyle w:val="afff7"/>
            </w:pPr>
            <w:r>
              <w:t>1,815,916.84</w:t>
            </w:r>
          </w:p>
        </w:tc>
        <w:tc>
          <w:tcPr>
            <w:tcW w:w="1664" w:type="pct"/>
            <w:shd w:val="clear" w:color="auto" w:fill="auto"/>
            <w:vAlign w:val="center"/>
          </w:tcPr>
          <w:p w:rsidR="004A3868" w:rsidRDefault="003F1AB5">
            <w:pPr>
              <w:pStyle w:val="afff7"/>
            </w:pPr>
            <w:r>
              <w:t>1,678,300.50</w:t>
            </w:r>
          </w:p>
        </w:tc>
      </w:tr>
      <w:tr w:rsidR="004A3868">
        <w:trPr>
          <w:cantSplit/>
          <w:trHeight w:val="397"/>
          <w:jc w:val="center"/>
        </w:trPr>
        <w:tc>
          <w:tcPr>
            <w:tcW w:w="1675" w:type="pct"/>
            <w:shd w:val="clear" w:color="auto" w:fill="auto"/>
            <w:vAlign w:val="center"/>
          </w:tcPr>
          <w:p w:rsidR="004A3868" w:rsidRDefault="003F1AB5">
            <w:pPr>
              <w:pStyle w:val="afff9"/>
            </w:pPr>
            <w:r>
              <w:rPr>
                <w:rFonts w:hint="eastAsia"/>
              </w:rPr>
              <w:t>个人所得税</w:t>
            </w:r>
          </w:p>
        </w:tc>
        <w:tc>
          <w:tcPr>
            <w:tcW w:w="1661" w:type="pct"/>
            <w:shd w:val="clear" w:color="auto" w:fill="auto"/>
            <w:vAlign w:val="center"/>
          </w:tcPr>
          <w:p w:rsidR="004A3868" w:rsidRDefault="003F1AB5">
            <w:pPr>
              <w:pStyle w:val="afff7"/>
            </w:pPr>
            <w:r>
              <w:t>228,192.22</w:t>
            </w:r>
          </w:p>
        </w:tc>
        <w:tc>
          <w:tcPr>
            <w:tcW w:w="1664" w:type="pct"/>
            <w:shd w:val="clear" w:color="auto" w:fill="auto"/>
            <w:vAlign w:val="center"/>
          </w:tcPr>
          <w:p w:rsidR="004A3868" w:rsidRDefault="003F1AB5">
            <w:pPr>
              <w:pStyle w:val="afff7"/>
            </w:pPr>
            <w:r>
              <w:t>212,989.01</w:t>
            </w:r>
          </w:p>
        </w:tc>
      </w:tr>
      <w:tr w:rsidR="004A3868">
        <w:trPr>
          <w:cantSplit/>
          <w:trHeight w:val="397"/>
          <w:jc w:val="center"/>
        </w:trPr>
        <w:tc>
          <w:tcPr>
            <w:tcW w:w="1675" w:type="pct"/>
            <w:shd w:val="clear" w:color="auto" w:fill="auto"/>
            <w:vAlign w:val="center"/>
          </w:tcPr>
          <w:p w:rsidR="004A3868" w:rsidRDefault="003F1AB5">
            <w:pPr>
              <w:pStyle w:val="afff9"/>
            </w:pPr>
            <w:r>
              <w:rPr>
                <w:rFonts w:hint="eastAsia"/>
              </w:rPr>
              <w:t>印花税</w:t>
            </w:r>
          </w:p>
        </w:tc>
        <w:tc>
          <w:tcPr>
            <w:tcW w:w="1661" w:type="pct"/>
            <w:shd w:val="clear" w:color="auto" w:fill="auto"/>
            <w:vAlign w:val="center"/>
          </w:tcPr>
          <w:p w:rsidR="004A3868" w:rsidRDefault="003F1AB5">
            <w:pPr>
              <w:pStyle w:val="afff7"/>
            </w:pPr>
            <w:r>
              <w:t>482,515.50</w:t>
            </w:r>
          </w:p>
        </w:tc>
        <w:tc>
          <w:tcPr>
            <w:tcW w:w="1664" w:type="pct"/>
            <w:shd w:val="clear" w:color="auto" w:fill="auto"/>
            <w:vAlign w:val="center"/>
          </w:tcPr>
          <w:p w:rsidR="004A3868" w:rsidRDefault="003F1AB5">
            <w:pPr>
              <w:pStyle w:val="afff7"/>
            </w:pPr>
            <w:r>
              <w:t>245,688.13</w:t>
            </w:r>
          </w:p>
        </w:tc>
      </w:tr>
      <w:tr w:rsidR="004A3868">
        <w:trPr>
          <w:cantSplit/>
          <w:trHeight w:val="397"/>
          <w:jc w:val="center"/>
        </w:trPr>
        <w:tc>
          <w:tcPr>
            <w:tcW w:w="1675" w:type="pct"/>
            <w:shd w:val="clear" w:color="auto" w:fill="auto"/>
            <w:vAlign w:val="center"/>
          </w:tcPr>
          <w:p w:rsidR="004A3868" w:rsidRDefault="003F1AB5">
            <w:pPr>
              <w:pStyle w:val="afff9"/>
            </w:pPr>
            <w:r>
              <w:rPr>
                <w:rFonts w:hint="eastAsia"/>
              </w:rPr>
              <w:t>城市维护建设税</w:t>
            </w:r>
          </w:p>
        </w:tc>
        <w:tc>
          <w:tcPr>
            <w:tcW w:w="1661" w:type="pct"/>
            <w:shd w:val="clear" w:color="auto" w:fill="auto"/>
            <w:vAlign w:val="center"/>
          </w:tcPr>
          <w:p w:rsidR="004A3868" w:rsidRDefault="003F1AB5">
            <w:pPr>
              <w:pStyle w:val="afff7"/>
            </w:pPr>
            <w:r>
              <w:t>16,645.60</w:t>
            </w:r>
          </w:p>
        </w:tc>
        <w:tc>
          <w:tcPr>
            <w:tcW w:w="1664" w:type="pct"/>
            <w:shd w:val="clear" w:color="auto" w:fill="auto"/>
            <w:vAlign w:val="center"/>
          </w:tcPr>
          <w:p w:rsidR="004A3868" w:rsidRDefault="003F1AB5">
            <w:pPr>
              <w:pStyle w:val="afff7"/>
            </w:pPr>
            <w:r>
              <w:t>43,493.84</w:t>
            </w:r>
          </w:p>
        </w:tc>
      </w:tr>
      <w:tr w:rsidR="004A3868">
        <w:trPr>
          <w:cantSplit/>
          <w:trHeight w:val="397"/>
          <w:jc w:val="center"/>
        </w:trPr>
        <w:tc>
          <w:tcPr>
            <w:tcW w:w="1675" w:type="pct"/>
            <w:shd w:val="clear" w:color="auto" w:fill="auto"/>
            <w:vAlign w:val="center"/>
          </w:tcPr>
          <w:p w:rsidR="004A3868" w:rsidRDefault="003F1AB5">
            <w:pPr>
              <w:pStyle w:val="afff9"/>
            </w:pPr>
            <w:r>
              <w:rPr>
                <w:rFonts w:hint="eastAsia"/>
              </w:rPr>
              <w:t>教育费附加</w:t>
            </w:r>
          </w:p>
        </w:tc>
        <w:tc>
          <w:tcPr>
            <w:tcW w:w="1661" w:type="pct"/>
            <w:shd w:val="clear" w:color="auto" w:fill="auto"/>
            <w:vAlign w:val="center"/>
          </w:tcPr>
          <w:p w:rsidR="004A3868" w:rsidRDefault="003F1AB5">
            <w:pPr>
              <w:pStyle w:val="afff7"/>
            </w:pPr>
            <w:r>
              <w:t>11,889.72</w:t>
            </w:r>
          </w:p>
        </w:tc>
        <w:tc>
          <w:tcPr>
            <w:tcW w:w="1664" w:type="pct"/>
            <w:shd w:val="clear" w:color="auto" w:fill="auto"/>
            <w:vAlign w:val="center"/>
          </w:tcPr>
          <w:p w:rsidR="004A3868" w:rsidRDefault="003F1AB5">
            <w:pPr>
              <w:pStyle w:val="afff7"/>
            </w:pPr>
            <w:r>
              <w:t>31,067.02</w:t>
            </w:r>
          </w:p>
        </w:tc>
      </w:tr>
      <w:tr w:rsidR="004A3868">
        <w:trPr>
          <w:cantSplit/>
          <w:trHeight w:val="397"/>
          <w:jc w:val="center"/>
        </w:trPr>
        <w:tc>
          <w:tcPr>
            <w:tcW w:w="1675" w:type="pct"/>
            <w:shd w:val="clear" w:color="auto" w:fill="auto"/>
            <w:vAlign w:val="center"/>
          </w:tcPr>
          <w:p w:rsidR="004A3868" w:rsidRDefault="003F1AB5">
            <w:pPr>
              <w:pStyle w:val="afff9"/>
            </w:pPr>
            <w:r>
              <w:rPr>
                <w:rFonts w:hint="eastAsia"/>
              </w:rPr>
              <w:t>企业所得税</w:t>
            </w:r>
          </w:p>
        </w:tc>
        <w:tc>
          <w:tcPr>
            <w:tcW w:w="1661" w:type="pct"/>
            <w:shd w:val="clear" w:color="auto" w:fill="auto"/>
            <w:vAlign w:val="center"/>
          </w:tcPr>
          <w:p w:rsidR="004A3868" w:rsidRDefault="004A3868">
            <w:pPr>
              <w:pStyle w:val="afff7"/>
            </w:pPr>
          </w:p>
        </w:tc>
        <w:tc>
          <w:tcPr>
            <w:tcW w:w="1664" w:type="pct"/>
            <w:shd w:val="clear" w:color="auto" w:fill="auto"/>
            <w:vAlign w:val="center"/>
          </w:tcPr>
          <w:p w:rsidR="004A3868" w:rsidRDefault="003F1AB5">
            <w:pPr>
              <w:pStyle w:val="afff7"/>
            </w:pPr>
            <w:r>
              <w:t>7,069,074.49</w:t>
            </w:r>
          </w:p>
        </w:tc>
      </w:tr>
      <w:tr w:rsidR="004A3868">
        <w:trPr>
          <w:cantSplit/>
          <w:trHeight w:val="397"/>
          <w:jc w:val="center"/>
        </w:trPr>
        <w:tc>
          <w:tcPr>
            <w:tcW w:w="1675" w:type="pct"/>
            <w:vAlign w:val="center"/>
          </w:tcPr>
          <w:p w:rsidR="004A3868" w:rsidRDefault="003F1AB5">
            <w:pPr>
              <w:pStyle w:val="afff9"/>
            </w:pPr>
            <w:r>
              <w:rPr>
                <w:rFonts w:hint="eastAsia"/>
              </w:rPr>
              <w:t>其他</w:t>
            </w:r>
          </w:p>
        </w:tc>
        <w:tc>
          <w:tcPr>
            <w:tcW w:w="1661" w:type="pct"/>
            <w:vAlign w:val="center"/>
          </w:tcPr>
          <w:p w:rsidR="004A3868" w:rsidRDefault="003F1AB5">
            <w:pPr>
              <w:pStyle w:val="afff7"/>
            </w:pPr>
            <w:r>
              <w:t>60,259.74</w:t>
            </w:r>
          </w:p>
        </w:tc>
        <w:tc>
          <w:tcPr>
            <w:tcW w:w="1664" w:type="pct"/>
            <w:vAlign w:val="center"/>
          </w:tcPr>
          <w:p w:rsidR="004A3868" w:rsidRDefault="003F1AB5">
            <w:pPr>
              <w:pStyle w:val="afff7"/>
            </w:pPr>
            <w:r>
              <w:t>45,915.05</w:t>
            </w:r>
          </w:p>
        </w:tc>
      </w:tr>
      <w:tr w:rsidR="004A3868">
        <w:trPr>
          <w:cantSplit/>
          <w:trHeight w:val="397"/>
          <w:jc w:val="center"/>
        </w:trPr>
        <w:tc>
          <w:tcPr>
            <w:tcW w:w="1675" w:type="pct"/>
            <w:vAlign w:val="center"/>
          </w:tcPr>
          <w:p w:rsidR="004A3868" w:rsidRDefault="003F1AB5">
            <w:pPr>
              <w:pStyle w:val="afff9"/>
            </w:pPr>
            <w:r>
              <w:rPr>
                <w:rFonts w:hint="eastAsia"/>
              </w:rPr>
              <w:t>合计</w:t>
            </w:r>
          </w:p>
        </w:tc>
        <w:tc>
          <w:tcPr>
            <w:tcW w:w="1661" w:type="pct"/>
            <w:vAlign w:val="center"/>
          </w:tcPr>
          <w:p w:rsidR="004A3868" w:rsidRDefault="003F1AB5">
            <w:pPr>
              <w:pStyle w:val="afff7"/>
            </w:pPr>
            <w:r>
              <w:t>2,615,419.62</w:t>
            </w:r>
          </w:p>
        </w:tc>
        <w:tc>
          <w:tcPr>
            <w:tcW w:w="1664" w:type="pct"/>
            <w:vAlign w:val="center"/>
          </w:tcPr>
          <w:p w:rsidR="004A3868" w:rsidRDefault="003F1AB5">
            <w:pPr>
              <w:pStyle w:val="afff7"/>
            </w:pPr>
            <w:r>
              <w:t>9,326,528.04</w:t>
            </w:r>
          </w:p>
        </w:tc>
      </w:tr>
    </w:tbl>
    <w:p w:rsidR="004A3868" w:rsidRDefault="003F1AB5">
      <w:pPr>
        <w:rPr>
          <w:sz w:val="21"/>
          <w:szCs w:val="21"/>
        </w:rPr>
      </w:pPr>
      <w:r>
        <w:rPr>
          <w:rFonts w:hint="eastAsia"/>
          <w:sz w:val="21"/>
          <w:szCs w:val="21"/>
        </w:rPr>
        <w:t>其他说明：</w:t>
      </w:r>
    </w:p>
    <w:sdt>
      <w:sdtPr>
        <w:rPr>
          <w:sz w:val="21"/>
          <w:szCs w:val="21"/>
        </w:rPr>
        <w:alias w:val="应交税金的说明"/>
        <w:tag w:val="_GBC_e365cc8f407645ca84ccf91263d3cc28"/>
        <w:id w:val="-1875532429"/>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其他应付款</w:t>
      </w:r>
    </w:p>
    <w:p w:rsidR="004A3868" w:rsidRDefault="003F1AB5">
      <w:pPr>
        <w:pStyle w:val="Style128"/>
        <w:numPr>
          <w:ilvl w:val="0"/>
          <w:numId w:val="93"/>
        </w:numPr>
      </w:pPr>
      <w:r>
        <w:rPr>
          <w:rFonts w:hint="eastAsia"/>
        </w:rPr>
        <w:t>项目列示</w:t>
      </w:r>
    </w:p>
    <w:bookmarkStart w:id="220" w:name="_Hlk532910042" w:displacedByCustomXml="next"/>
    <w:sdt>
      <w:sdtPr>
        <w:alias w:val="是否适用：其他应付款分类列示[双击切换]"/>
        <w:tag w:val="_GBC_66f20e30acfe43c3b4edf860d086ad10"/>
        <w:id w:val="-1724509167"/>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其他应付款分类列示"/>
          <w:tag w:val="_GBC_1d2c755c7a60470390b86f677f589d52"/>
          <w:id w:val="5151123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其他应付款分类列示"/>
          <w:tag w:val="_GBC_54becc5fdf374134a56007701ad1c4e0"/>
          <w:id w:val="21291146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225"/>
        <w:gridCol w:w="2792"/>
        <w:gridCol w:w="2806"/>
      </w:tblGrid>
      <w:tr w:rsidR="004A3868">
        <w:trPr>
          <w:trHeight w:val="397"/>
          <w:jc w:val="center"/>
        </w:trPr>
        <w:sdt>
          <w:sdtPr>
            <w:tag w:val="_PLD_5b32323c48c441e4832da1fe28654990"/>
            <w:id w:val="229668207"/>
          </w:sdtPr>
          <w:sdtEndPr/>
          <w:sdtContent>
            <w:tc>
              <w:tcPr>
                <w:tcW w:w="1828" w:type="pct"/>
                <w:shd w:val="clear" w:color="auto" w:fill="auto"/>
                <w:vAlign w:val="center"/>
              </w:tcPr>
              <w:p w:rsidR="004A3868" w:rsidRDefault="003F1AB5">
                <w:pPr>
                  <w:pStyle w:val="afffb"/>
                </w:pPr>
                <w:r>
                  <w:rPr>
                    <w:rFonts w:hint="eastAsia"/>
                  </w:rPr>
                  <w:t>项目</w:t>
                </w:r>
              </w:p>
            </w:tc>
          </w:sdtContent>
        </w:sdt>
        <w:sdt>
          <w:sdtPr>
            <w:tag w:val="_PLD_427fe40919c945eaada0e2529b497787"/>
            <w:id w:val="2076082084"/>
          </w:sdtPr>
          <w:sdtEndPr/>
          <w:sdtContent>
            <w:tc>
              <w:tcPr>
                <w:tcW w:w="1582" w:type="pct"/>
                <w:shd w:val="clear" w:color="auto" w:fill="auto"/>
                <w:vAlign w:val="center"/>
              </w:tcPr>
              <w:p w:rsidR="004A3868" w:rsidRDefault="003F1AB5">
                <w:pPr>
                  <w:pStyle w:val="afffb"/>
                </w:pPr>
                <w:r>
                  <w:rPr>
                    <w:rFonts w:hint="eastAsia"/>
                  </w:rPr>
                  <w:t>期末余额</w:t>
                </w:r>
              </w:p>
            </w:tc>
          </w:sdtContent>
        </w:sdt>
        <w:sdt>
          <w:sdtPr>
            <w:tag w:val="_PLD_963dd0fff1a644319fa667127e37c635"/>
            <w:id w:val="383073731"/>
          </w:sdtPr>
          <w:sdtEndPr/>
          <w:sdtContent>
            <w:tc>
              <w:tcPr>
                <w:tcW w:w="1590"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828" w:type="pct"/>
            <w:shd w:val="clear" w:color="auto" w:fill="auto"/>
            <w:vAlign w:val="center"/>
          </w:tcPr>
          <w:p w:rsidR="004A3868" w:rsidRDefault="003F1AB5">
            <w:pPr>
              <w:pStyle w:val="afff9"/>
            </w:pPr>
            <w:r>
              <w:rPr>
                <w:rFonts w:hint="eastAsia"/>
              </w:rPr>
              <w:t>其他应付款</w:t>
            </w:r>
          </w:p>
        </w:tc>
        <w:tc>
          <w:tcPr>
            <w:tcW w:w="1582" w:type="pct"/>
            <w:shd w:val="clear" w:color="auto" w:fill="auto"/>
            <w:vAlign w:val="center"/>
          </w:tcPr>
          <w:p w:rsidR="004A3868" w:rsidRDefault="003F1AB5">
            <w:pPr>
              <w:pStyle w:val="afff7"/>
            </w:pPr>
            <w:r>
              <w:t>17,557,617.05</w:t>
            </w:r>
          </w:p>
        </w:tc>
        <w:tc>
          <w:tcPr>
            <w:tcW w:w="1590" w:type="pct"/>
            <w:shd w:val="clear" w:color="auto" w:fill="auto"/>
            <w:vAlign w:val="center"/>
          </w:tcPr>
          <w:p w:rsidR="004A3868" w:rsidRDefault="003F1AB5">
            <w:pPr>
              <w:pStyle w:val="afff7"/>
            </w:pPr>
            <w:r>
              <w:t>15,593,721.54</w:t>
            </w:r>
          </w:p>
        </w:tc>
      </w:tr>
      <w:tr w:rsidR="004A3868">
        <w:trPr>
          <w:trHeight w:val="397"/>
          <w:jc w:val="center"/>
        </w:trPr>
        <w:tc>
          <w:tcPr>
            <w:tcW w:w="1828" w:type="pct"/>
            <w:shd w:val="clear" w:color="auto" w:fill="auto"/>
            <w:vAlign w:val="center"/>
          </w:tcPr>
          <w:p w:rsidR="004A3868" w:rsidRDefault="003F1AB5">
            <w:pPr>
              <w:pStyle w:val="afff9"/>
            </w:pPr>
            <w:r>
              <w:rPr>
                <w:rFonts w:hint="eastAsia"/>
              </w:rPr>
              <w:t>合计</w:t>
            </w:r>
          </w:p>
        </w:tc>
        <w:tc>
          <w:tcPr>
            <w:tcW w:w="1582" w:type="pct"/>
            <w:shd w:val="clear" w:color="auto" w:fill="auto"/>
            <w:vAlign w:val="center"/>
          </w:tcPr>
          <w:p w:rsidR="004A3868" w:rsidRDefault="003F1AB5">
            <w:pPr>
              <w:pStyle w:val="afff7"/>
            </w:pPr>
            <w:r>
              <w:t>17,557,617.05</w:t>
            </w:r>
          </w:p>
        </w:tc>
        <w:tc>
          <w:tcPr>
            <w:tcW w:w="1590" w:type="pct"/>
            <w:shd w:val="clear" w:color="auto" w:fill="auto"/>
            <w:vAlign w:val="center"/>
          </w:tcPr>
          <w:p w:rsidR="004A3868" w:rsidRDefault="003F1AB5">
            <w:pPr>
              <w:pStyle w:val="afff7"/>
            </w:pPr>
            <w:r>
              <w:t>15,593,721.54</w:t>
            </w:r>
          </w:p>
        </w:tc>
      </w:tr>
    </w:tbl>
    <w:p w:rsidR="004A3868" w:rsidRDefault="003F1AB5">
      <w:pPr>
        <w:rPr>
          <w:sz w:val="21"/>
          <w:szCs w:val="21"/>
        </w:rPr>
      </w:pPr>
      <w:r>
        <w:rPr>
          <w:rFonts w:hint="eastAsia"/>
          <w:sz w:val="21"/>
          <w:szCs w:val="21"/>
        </w:rPr>
        <w:t>其他说明：</w:t>
      </w:r>
    </w:p>
    <w:bookmarkStart w:id="221" w:name="_Hlk155097683" w:displacedByCustomXml="next"/>
    <w:sdt>
      <w:sdtPr>
        <w:alias w:val="是否适用：其他应付款分类列示其他说明[双击切换]"/>
        <w:tag w:val="_GBC_9cfb2316deee44a8a3605ab376f15408"/>
        <w:id w:val="-148977973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93"/>
        </w:numPr>
      </w:pPr>
      <w:r>
        <w:rPr>
          <w:rFonts w:hint="eastAsia"/>
        </w:rPr>
        <w:t>应付利息</w:t>
      </w:r>
    </w:p>
    <w:p w:rsidR="004A3868" w:rsidRDefault="003F1AB5">
      <w:pPr>
        <w:pStyle w:val="Style124"/>
      </w:pPr>
      <w:r>
        <w:rPr>
          <w:rFonts w:hint="eastAsia"/>
        </w:rPr>
        <w:t>分类列示</w:t>
      </w:r>
    </w:p>
    <w:sdt>
      <w:sdtPr>
        <w:rPr>
          <w:sz w:val="21"/>
          <w:szCs w:val="21"/>
        </w:rPr>
        <w:alias w:val="是否适用：应付利息[双击切换]"/>
        <w:tag w:val="_GBC_563016e83d32408f90ee8ae140b7dccd"/>
        <w:id w:val="-82320380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逾期的重要应付利息：</w:t>
      </w:r>
    </w:p>
    <w:sdt>
      <w:sdtPr>
        <w:rPr>
          <w:sz w:val="21"/>
          <w:szCs w:val="21"/>
        </w:rPr>
        <w:alias w:val="是否适用：重要的已逾期未支付的利息情况[双击切换]"/>
        <w:tag w:val="_GBC_e97342df449a4b51897b93180a76915c"/>
        <w:id w:val="123481957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lastRenderedPageBreak/>
        <w:t>其他说明：</w:t>
      </w:r>
    </w:p>
    <w:sdt>
      <w:sdtPr>
        <w:rPr>
          <w:sz w:val="21"/>
          <w:szCs w:val="21"/>
        </w:rPr>
        <w:alias w:val="是否适用：应付利息说明[双击切换]"/>
        <w:tag w:val="_GBC_8e7eb675343843e89996290865d02478"/>
        <w:id w:val="-57859159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93"/>
        </w:numPr>
      </w:pPr>
      <w:r>
        <w:rPr>
          <w:rFonts w:hint="eastAsia"/>
        </w:rPr>
        <w:t>应付股利</w:t>
      </w:r>
    </w:p>
    <w:p w:rsidR="004A3868" w:rsidRDefault="003F1AB5">
      <w:pPr>
        <w:pStyle w:val="Style124"/>
      </w:pPr>
      <w:r>
        <w:rPr>
          <w:rFonts w:hint="eastAsia"/>
        </w:rPr>
        <w:t>分类列示</w:t>
      </w:r>
    </w:p>
    <w:sdt>
      <w:sdtPr>
        <w:rPr>
          <w:sz w:val="21"/>
          <w:szCs w:val="21"/>
        </w:rPr>
        <w:alias w:val="是否适用：应付股利[双击切换]"/>
        <w:tag w:val="_GBC_b5ae3881f6d849679d4053b7e1707366"/>
        <w:id w:val="72711298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93"/>
        </w:numPr>
      </w:pPr>
      <w:r>
        <w:rPr>
          <w:rFonts w:hint="eastAsia"/>
        </w:rPr>
        <w:t>其他应付款</w:t>
      </w:r>
    </w:p>
    <w:p w:rsidR="004A3868" w:rsidRDefault="003F1AB5">
      <w:pPr>
        <w:pStyle w:val="Style124"/>
      </w:pPr>
      <w:r>
        <w:rPr>
          <w:rFonts w:hint="eastAsia"/>
        </w:rPr>
        <w:t>按款项性质列示其他应付款</w:t>
      </w:r>
    </w:p>
    <w:sdt>
      <w:sdtPr>
        <w:alias w:val="是否适用：按款项性质列示其他应付款[双击切换]"/>
        <w:tag w:val="_GBC_57fbe084a94a43569e8618c84187e188"/>
        <w:id w:val="62841056"/>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其他应付款情况"/>
          <w:tag w:val="_GBC_d726e1428c6749b29d7f0a192835a738"/>
          <w:id w:val="1505161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其他应付款情况"/>
          <w:tag w:val="_GBC_d6d5ce55cea54bfdb348f465f935498d"/>
          <w:id w:val="-399818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50"/>
        <w:gridCol w:w="2924"/>
        <w:gridCol w:w="3049"/>
      </w:tblGrid>
      <w:tr w:rsidR="004A3868">
        <w:trPr>
          <w:trHeight w:val="397"/>
          <w:jc w:val="center"/>
        </w:trPr>
        <w:sdt>
          <w:sdtPr>
            <w:tag w:val="_PLD_93c8bd274adc4f10996e441415613a6a"/>
            <w:id w:val="2118871905"/>
            <w:lock w:val="sdtLocked"/>
          </w:sdtPr>
          <w:sdtEndPr/>
          <w:sdtContent>
            <w:tc>
              <w:tcPr>
                <w:tcW w:w="1615" w:type="pct"/>
                <w:shd w:val="clear" w:color="auto" w:fill="auto"/>
                <w:vAlign w:val="center"/>
              </w:tcPr>
              <w:p w:rsidR="004A3868" w:rsidRDefault="003F1AB5">
                <w:pPr>
                  <w:pStyle w:val="afffb"/>
                </w:pPr>
                <w:r>
                  <w:rPr>
                    <w:rFonts w:hint="eastAsia"/>
                  </w:rPr>
                  <w:t>项目</w:t>
                </w:r>
              </w:p>
            </w:tc>
          </w:sdtContent>
        </w:sdt>
        <w:sdt>
          <w:sdtPr>
            <w:tag w:val="_PLD_a5c3f7ebd9dd4870a971a7b858fb9f49"/>
            <w:id w:val="-739556076"/>
            <w:lock w:val="sdtLocked"/>
          </w:sdtPr>
          <w:sdtEndPr/>
          <w:sdtContent>
            <w:tc>
              <w:tcPr>
                <w:tcW w:w="1657" w:type="pct"/>
                <w:shd w:val="clear" w:color="auto" w:fill="auto"/>
                <w:vAlign w:val="center"/>
              </w:tcPr>
              <w:p w:rsidR="004A3868" w:rsidRDefault="003F1AB5">
                <w:pPr>
                  <w:pStyle w:val="afffb"/>
                </w:pPr>
                <w:r>
                  <w:rPr>
                    <w:rFonts w:hint="eastAsia"/>
                  </w:rPr>
                  <w:t>期末余额</w:t>
                </w:r>
              </w:p>
            </w:tc>
          </w:sdtContent>
        </w:sdt>
        <w:sdt>
          <w:sdtPr>
            <w:tag w:val="_PLD_f8823e49aba34d32b07cafa41f32e166"/>
            <w:id w:val="1526219193"/>
            <w:lock w:val="sdtLocked"/>
          </w:sdtPr>
          <w:sdtEndPr/>
          <w:sdtContent>
            <w:tc>
              <w:tcPr>
                <w:tcW w:w="1728"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615" w:type="pct"/>
            <w:shd w:val="clear" w:color="auto" w:fill="auto"/>
            <w:vAlign w:val="center"/>
          </w:tcPr>
          <w:p w:rsidR="004A3868" w:rsidRDefault="003F1AB5">
            <w:pPr>
              <w:pStyle w:val="afff9"/>
            </w:pPr>
            <w:r>
              <w:t>差旅费等</w:t>
            </w:r>
          </w:p>
        </w:tc>
        <w:tc>
          <w:tcPr>
            <w:tcW w:w="1657" w:type="pct"/>
            <w:shd w:val="clear" w:color="auto" w:fill="auto"/>
            <w:vAlign w:val="center"/>
          </w:tcPr>
          <w:p w:rsidR="004A3868" w:rsidRDefault="003F1AB5">
            <w:pPr>
              <w:pStyle w:val="afff7"/>
            </w:pPr>
            <w:r>
              <w:t xml:space="preserve"> 6,404,240.30 </w:t>
            </w:r>
          </w:p>
        </w:tc>
        <w:tc>
          <w:tcPr>
            <w:tcW w:w="1728" w:type="pct"/>
            <w:shd w:val="clear" w:color="auto" w:fill="auto"/>
            <w:vAlign w:val="center"/>
          </w:tcPr>
          <w:p w:rsidR="004A3868" w:rsidRDefault="003F1AB5">
            <w:pPr>
              <w:pStyle w:val="afff7"/>
            </w:pPr>
            <w:r>
              <w:t xml:space="preserve"> 3,188,199.87 </w:t>
            </w:r>
          </w:p>
        </w:tc>
      </w:tr>
      <w:tr w:rsidR="004A3868">
        <w:trPr>
          <w:trHeight w:val="397"/>
          <w:jc w:val="center"/>
        </w:trPr>
        <w:tc>
          <w:tcPr>
            <w:tcW w:w="1615" w:type="pct"/>
            <w:shd w:val="clear" w:color="auto" w:fill="auto"/>
            <w:vAlign w:val="center"/>
          </w:tcPr>
          <w:p w:rsidR="004A3868" w:rsidRDefault="003F1AB5">
            <w:pPr>
              <w:pStyle w:val="afff9"/>
            </w:pPr>
            <w:r>
              <w:t>押金及保证金</w:t>
            </w:r>
          </w:p>
        </w:tc>
        <w:tc>
          <w:tcPr>
            <w:tcW w:w="1657" w:type="pct"/>
            <w:shd w:val="clear" w:color="auto" w:fill="auto"/>
            <w:vAlign w:val="center"/>
          </w:tcPr>
          <w:p w:rsidR="004A3868" w:rsidRDefault="003F1AB5">
            <w:pPr>
              <w:pStyle w:val="afff7"/>
            </w:pPr>
            <w:r>
              <w:t>4,202,919.20</w:t>
            </w:r>
          </w:p>
        </w:tc>
        <w:tc>
          <w:tcPr>
            <w:tcW w:w="1728" w:type="pct"/>
            <w:shd w:val="clear" w:color="auto" w:fill="auto"/>
            <w:vAlign w:val="center"/>
          </w:tcPr>
          <w:p w:rsidR="004A3868" w:rsidRDefault="003F1AB5">
            <w:pPr>
              <w:pStyle w:val="afff7"/>
            </w:pPr>
            <w:r>
              <w:t>3,461,750.80</w:t>
            </w:r>
          </w:p>
        </w:tc>
      </w:tr>
      <w:tr w:rsidR="004A3868">
        <w:trPr>
          <w:trHeight w:val="397"/>
          <w:jc w:val="center"/>
        </w:trPr>
        <w:tc>
          <w:tcPr>
            <w:tcW w:w="1615" w:type="pct"/>
            <w:shd w:val="clear" w:color="auto" w:fill="auto"/>
            <w:vAlign w:val="center"/>
          </w:tcPr>
          <w:p w:rsidR="004A3868" w:rsidRDefault="003F1AB5">
            <w:pPr>
              <w:pStyle w:val="afff9"/>
            </w:pPr>
            <w:r>
              <w:t>其他</w:t>
            </w:r>
          </w:p>
        </w:tc>
        <w:tc>
          <w:tcPr>
            <w:tcW w:w="1657" w:type="pct"/>
            <w:shd w:val="clear" w:color="auto" w:fill="auto"/>
            <w:vAlign w:val="center"/>
          </w:tcPr>
          <w:p w:rsidR="004A3868" w:rsidRDefault="003F1AB5">
            <w:pPr>
              <w:pStyle w:val="afff7"/>
            </w:pPr>
            <w:r>
              <w:t>6,950,457.55</w:t>
            </w:r>
          </w:p>
        </w:tc>
        <w:tc>
          <w:tcPr>
            <w:tcW w:w="1728" w:type="pct"/>
            <w:shd w:val="clear" w:color="auto" w:fill="auto"/>
            <w:vAlign w:val="center"/>
          </w:tcPr>
          <w:p w:rsidR="004A3868" w:rsidRDefault="003F1AB5">
            <w:pPr>
              <w:pStyle w:val="afff7"/>
            </w:pPr>
            <w:r>
              <w:t>8,943,770.87</w:t>
            </w:r>
          </w:p>
        </w:tc>
      </w:tr>
      <w:tr w:rsidR="004A3868">
        <w:trPr>
          <w:trHeight w:val="397"/>
          <w:jc w:val="center"/>
        </w:trPr>
        <w:tc>
          <w:tcPr>
            <w:tcW w:w="1615" w:type="pct"/>
            <w:shd w:val="clear" w:color="auto" w:fill="auto"/>
            <w:vAlign w:val="center"/>
          </w:tcPr>
          <w:p w:rsidR="004A3868" w:rsidRDefault="003F1AB5">
            <w:pPr>
              <w:pStyle w:val="afff9"/>
            </w:pPr>
            <w:r>
              <w:rPr>
                <w:rFonts w:hint="eastAsia"/>
              </w:rPr>
              <w:t>合计</w:t>
            </w:r>
          </w:p>
        </w:tc>
        <w:tc>
          <w:tcPr>
            <w:tcW w:w="1657" w:type="pct"/>
            <w:shd w:val="clear" w:color="auto" w:fill="auto"/>
            <w:vAlign w:val="center"/>
          </w:tcPr>
          <w:p w:rsidR="004A3868" w:rsidRDefault="003F1AB5">
            <w:pPr>
              <w:pStyle w:val="afff7"/>
            </w:pPr>
            <w:r>
              <w:t>17,557,617.05</w:t>
            </w:r>
          </w:p>
        </w:tc>
        <w:tc>
          <w:tcPr>
            <w:tcW w:w="1728" w:type="pct"/>
            <w:shd w:val="clear" w:color="auto" w:fill="auto"/>
            <w:vAlign w:val="center"/>
          </w:tcPr>
          <w:p w:rsidR="004A3868" w:rsidRDefault="003F1AB5">
            <w:pPr>
              <w:pStyle w:val="afff7"/>
            </w:pPr>
            <w:r>
              <w:t>15,593,721.54</w:t>
            </w:r>
          </w:p>
        </w:tc>
      </w:tr>
    </w:tbl>
    <w:p w:rsidR="004A3868" w:rsidRDefault="003F1AB5">
      <w:pPr>
        <w:pStyle w:val="Style124"/>
      </w:pPr>
      <w:r>
        <w:rPr>
          <w:rFonts w:hint="eastAsia"/>
        </w:rPr>
        <w:t>账龄超过</w:t>
      </w:r>
      <w:r>
        <w:t>1年</w:t>
      </w:r>
      <w:r>
        <w:rPr>
          <w:rFonts w:hint="eastAsia"/>
        </w:rPr>
        <w:t>或逾期</w:t>
      </w:r>
      <w:r>
        <w:t>的重要其他应付款</w:t>
      </w:r>
    </w:p>
    <w:p w:rsidR="004A3868" w:rsidRDefault="00B34370">
      <w:pPr>
        <w:pStyle w:val="Style124"/>
      </w:pPr>
      <w:sdt>
        <w:sdtPr>
          <w:alias w:val="是否适用：账龄超过1年的重要其他应付款[双击切换]"/>
          <w:tag w:val="_GBC_fcaee62c74504c20ba2aca131c060029"/>
          <w:id w:val="-1337298042"/>
          <w:lock w:val="sdtLocked"/>
          <w:placeholder>
            <w:docPart w:val="GBC22222222222222222222222222222"/>
          </w:placeholder>
        </w:sdtPr>
        <w:sdtEndPr/>
        <w:sdtContent>
          <w:r w:rsidR="003F1AB5">
            <w:fldChar w:fldCharType="begin"/>
          </w:r>
          <w:r w:rsidR="003F1AB5">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Style124"/>
      </w:pPr>
      <w:r>
        <w:rPr>
          <w:rFonts w:hint="eastAsia"/>
        </w:rPr>
        <w:t>其他说明：</w:t>
      </w:r>
    </w:p>
    <w:sdt>
      <w:sdtPr>
        <w:alias w:val="是否适用：其他应付款的其他说明[双击切换]"/>
        <w:tag w:val="_GBC_b02a256e4ac940019e9d9179cb6dc349"/>
        <w:id w:val="864029867"/>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ascii="宋体" w:hAnsi="宋体" w:hint="eastAsia"/>
        </w:rPr>
        <w:t>持有</w:t>
      </w:r>
      <w:r>
        <w:rPr>
          <w:rFonts w:hint="eastAsia"/>
        </w:rPr>
        <w:t>待售负债</w:t>
      </w:r>
    </w:p>
    <w:bookmarkEnd w:id="221" w:displacedByCustomXml="next"/>
    <w:bookmarkEnd w:id="220" w:displacedByCustomXml="next"/>
    <w:sdt>
      <w:sdtPr>
        <w:rPr>
          <w:sz w:val="21"/>
          <w:szCs w:val="21"/>
        </w:rPr>
        <w:alias w:val="是否适用：划分为持有待售的负债[双击切换]"/>
        <w:tag w:val="_GBC_4ea9b2c6d4024d74b39e491f80a07798"/>
        <w:id w:val="129085323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1</w:t>
      </w:r>
      <w:r>
        <w:rPr>
          <w:rFonts w:hint="eastAsia"/>
        </w:rPr>
        <w:t>年内到期的非流动负债</w:t>
      </w:r>
    </w:p>
    <w:bookmarkStart w:id="222" w:name="_Hlk24104125" w:displacedByCustomXml="next"/>
    <w:sdt>
      <w:sdtPr>
        <w:alias w:val="是否适用：1年内到期的非流动负债[双击切换]"/>
        <w:tag w:val="_GBC_bf40c7464345405f8470856436e2c6a3"/>
        <w:id w:val="385918792"/>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222"/>
    <w:p w:rsidR="004A3868" w:rsidRDefault="003F1AB5">
      <w:pPr>
        <w:pStyle w:val="afff5"/>
        <w:rPr>
          <w:sz w:val="21"/>
          <w:szCs w:val="21"/>
        </w:rPr>
      </w:pPr>
      <w:r>
        <w:rPr>
          <w:rFonts w:hint="eastAsia"/>
          <w:sz w:val="21"/>
          <w:szCs w:val="21"/>
        </w:rPr>
        <w:t>单位：</w:t>
      </w:r>
      <w:sdt>
        <w:sdtPr>
          <w:rPr>
            <w:rFonts w:hint="eastAsia"/>
            <w:sz w:val="21"/>
            <w:szCs w:val="21"/>
          </w:rPr>
          <w:alias w:val="单位：1年内到期的非流动负债情况"/>
          <w:tag w:val="_GBC_fc5bef9f043c4967ab706b443fc31d3c"/>
          <w:id w:val="-99287921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1年内到期的非流动负债情况"/>
          <w:tag w:val="_GBC_fbd4d32585d945468e7aeae52abddc6f"/>
          <w:id w:val="147093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36"/>
        <w:gridCol w:w="2961"/>
        <w:gridCol w:w="3026"/>
      </w:tblGrid>
      <w:tr w:rsidR="004A3868">
        <w:trPr>
          <w:trHeight w:val="397"/>
          <w:jc w:val="center"/>
        </w:trPr>
        <w:sdt>
          <w:sdtPr>
            <w:rPr>
              <w:sz w:val="21"/>
              <w:szCs w:val="21"/>
            </w:rPr>
            <w:tag w:val="_PLD_e20bf58d6f134f4caedbea03f8659c14"/>
            <w:id w:val="-29892539"/>
            <w:lock w:val="sdtLocked"/>
          </w:sdtPr>
          <w:sdtEndPr/>
          <w:sdtContent>
            <w:tc>
              <w:tcPr>
                <w:tcW w:w="1607" w:type="pct"/>
                <w:shd w:val="clear" w:color="auto" w:fill="auto"/>
                <w:vAlign w:val="center"/>
              </w:tcPr>
              <w:p w:rsidR="004A3868" w:rsidRDefault="003F1AB5">
                <w:pPr>
                  <w:rPr>
                    <w:sz w:val="21"/>
                    <w:szCs w:val="21"/>
                  </w:rPr>
                </w:pPr>
                <w:r>
                  <w:rPr>
                    <w:rFonts w:hint="eastAsia"/>
                    <w:sz w:val="21"/>
                    <w:szCs w:val="21"/>
                  </w:rPr>
                  <w:t>项目</w:t>
                </w:r>
              </w:p>
            </w:tc>
          </w:sdtContent>
        </w:sdt>
        <w:sdt>
          <w:sdtPr>
            <w:rPr>
              <w:sz w:val="21"/>
              <w:szCs w:val="21"/>
            </w:rPr>
            <w:tag w:val="_PLD_dad829d6a45646668218857399318d20"/>
            <w:id w:val="712693986"/>
            <w:lock w:val="sdtLocked"/>
          </w:sdtPr>
          <w:sdtEndPr/>
          <w:sdtContent>
            <w:tc>
              <w:tcPr>
                <w:tcW w:w="1678" w:type="pct"/>
                <w:shd w:val="clear" w:color="auto" w:fill="auto"/>
                <w:vAlign w:val="center"/>
              </w:tcPr>
              <w:p w:rsidR="004A3868" w:rsidRDefault="003F1AB5">
                <w:pPr>
                  <w:rPr>
                    <w:sz w:val="21"/>
                    <w:szCs w:val="21"/>
                  </w:rPr>
                </w:pPr>
                <w:r>
                  <w:rPr>
                    <w:rFonts w:hint="eastAsia"/>
                    <w:sz w:val="21"/>
                    <w:szCs w:val="21"/>
                  </w:rPr>
                  <w:t>期末余额</w:t>
                </w:r>
              </w:p>
            </w:tc>
          </w:sdtContent>
        </w:sdt>
        <w:sdt>
          <w:sdtPr>
            <w:rPr>
              <w:sz w:val="21"/>
              <w:szCs w:val="21"/>
            </w:rPr>
            <w:tag w:val="_PLD_9d1d036ddf0544b2b2ddd1dc5633a114"/>
            <w:id w:val="-1216039371"/>
            <w:lock w:val="sdtLocked"/>
          </w:sdtPr>
          <w:sdtEndPr/>
          <w:sdtContent>
            <w:tc>
              <w:tcPr>
                <w:tcW w:w="1715" w:type="pct"/>
                <w:shd w:val="clear" w:color="auto" w:fill="auto"/>
                <w:vAlign w:val="center"/>
              </w:tcPr>
              <w:p w:rsidR="004A3868" w:rsidRDefault="003F1AB5">
                <w:pPr>
                  <w:rPr>
                    <w:sz w:val="21"/>
                    <w:szCs w:val="21"/>
                  </w:rPr>
                </w:pPr>
                <w:r>
                  <w:rPr>
                    <w:rFonts w:hint="eastAsia"/>
                    <w:sz w:val="21"/>
                    <w:szCs w:val="21"/>
                  </w:rPr>
                  <w:t>期初余额</w:t>
                </w:r>
              </w:p>
            </w:tc>
          </w:sdtContent>
        </w:sdt>
      </w:tr>
      <w:tr w:rsidR="004A3868">
        <w:trPr>
          <w:trHeight w:val="397"/>
          <w:jc w:val="center"/>
        </w:trPr>
        <w:tc>
          <w:tcPr>
            <w:tcW w:w="1607" w:type="pct"/>
            <w:shd w:val="clear" w:color="auto" w:fill="auto"/>
            <w:vAlign w:val="center"/>
          </w:tcPr>
          <w:p w:rsidR="004A3868" w:rsidRDefault="003F1AB5">
            <w:pPr>
              <w:pStyle w:val="afff9"/>
            </w:pPr>
            <w:r>
              <w:rPr>
                <w:rFonts w:hint="eastAsia"/>
              </w:rPr>
              <w:t>1</w:t>
            </w:r>
            <w:r>
              <w:rPr>
                <w:rFonts w:hint="eastAsia"/>
              </w:rPr>
              <w:t>年内到期的长期借款</w:t>
            </w:r>
          </w:p>
        </w:tc>
        <w:tc>
          <w:tcPr>
            <w:tcW w:w="1678" w:type="pct"/>
            <w:shd w:val="clear" w:color="auto" w:fill="auto"/>
            <w:vAlign w:val="center"/>
          </w:tcPr>
          <w:p w:rsidR="004A3868" w:rsidRDefault="003F1AB5">
            <w:pPr>
              <w:pStyle w:val="afff7"/>
            </w:pPr>
            <w:r>
              <w:t>64,386,967.51</w:t>
            </w:r>
          </w:p>
        </w:tc>
        <w:tc>
          <w:tcPr>
            <w:tcW w:w="1715" w:type="pct"/>
            <w:shd w:val="clear" w:color="auto" w:fill="auto"/>
            <w:vAlign w:val="center"/>
          </w:tcPr>
          <w:p w:rsidR="004A3868" w:rsidRDefault="003F1AB5">
            <w:pPr>
              <w:pStyle w:val="afff7"/>
            </w:pPr>
            <w:r>
              <w:t>12,877,814.66</w:t>
            </w:r>
          </w:p>
        </w:tc>
      </w:tr>
      <w:tr w:rsidR="004A3868">
        <w:trPr>
          <w:trHeight w:val="397"/>
          <w:jc w:val="center"/>
        </w:trPr>
        <w:tc>
          <w:tcPr>
            <w:tcW w:w="1607" w:type="pct"/>
            <w:shd w:val="clear" w:color="auto" w:fill="auto"/>
            <w:vAlign w:val="center"/>
          </w:tcPr>
          <w:p w:rsidR="004A3868" w:rsidRDefault="003F1AB5">
            <w:pPr>
              <w:pStyle w:val="afff9"/>
            </w:pPr>
            <w:r>
              <w:rPr>
                <w:rFonts w:hint="eastAsia"/>
              </w:rPr>
              <w:t>1</w:t>
            </w:r>
            <w:r>
              <w:rPr>
                <w:rFonts w:hint="eastAsia"/>
              </w:rPr>
              <w:t>年内到期的租赁负债</w:t>
            </w:r>
          </w:p>
        </w:tc>
        <w:tc>
          <w:tcPr>
            <w:tcW w:w="1678" w:type="pct"/>
            <w:shd w:val="clear" w:color="auto" w:fill="auto"/>
            <w:vAlign w:val="center"/>
          </w:tcPr>
          <w:p w:rsidR="004A3868" w:rsidRDefault="003F1AB5">
            <w:pPr>
              <w:pStyle w:val="afff7"/>
            </w:pPr>
            <w:r>
              <w:t>4,615,031.05</w:t>
            </w:r>
          </w:p>
        </w:tc>
        <w:tc>
          <w:tcPr>
            <w:tcW w:w="1715" w:type="pct"/>
            <w:shd w:val="clear" w:color="auto" w:fill="auto"/>
            <w:vAlign w:val="center"/>
          </w:tcPr>
          <w:p w:rsidR="004A3868" w:rsidRDefault="003F1AB5">
            <w:pPr>
              <w:pStyle w:val="afff7"/>
            </w:pPr>
            <w:r>
              <w:t>535,257.47</w:t>
            </w:r>
          </w:p>
        </w:tc>
      </w:tr>
      <w:tr w:rsidR="004A3868">
        <w:trPr>
          <w:trHeight w:val="397"/>
          <w:jc w:val="center"/>
        </w:trPr>
        <w:tc>
          <w:tcPr>
            <w:tcW w:w="1607" w:type="pct"/>
            <w:shd w:val="clear" w:color="auto" w:fill="auto"/>
            <w:vAlign w:val="center"/>
          </w:tcPr>
          <w:p w:rsidR="004A3868" w:rsidRDefault="003F1AB5">
            <w:pPr>
              <w:pStyle w:val="afff9"/>
            </w:pPr>
            <w:r>
              <w:rPr>
                <w:rFonts w:hint="eastAsia"/>
              </w:rPr>
              <w:t>合计</w:t>
            </w:r>
          </w:p>
        </w:tc>
        <w:tc>
          <w:tcPr>
            <w:tcW w:w="1678" w:type="pct"/>
            <w:shd w:val="clear" w:color="auto" w:fill="auto"/>
            <w:vAlign w:val="center"/>
          </w:tcPr>
          <w:p w:rsidR="004A3868" w:rsidRDefault="003F1AB5">
            <w:pPr>
              <w:pStyle w:val="afff7"/>
            </w:pPr>
            <w:r>
              <w:t>69,001,998.56</w:t>
            </w:r>
          </w:p>
        </w:tc>
        <w:tc>
          <w:tcPr>
            <w:tcW w:w="1715" w:type="pct"/>
            <w:shd w:val="clear" w:color="auto" w:fill="auto"/>
            <w:vAlign w:val="center"/>
          </w:tcPr>
          <w:p w:rsidR="004A3868" w:rsidRDefault="003F1AB5">
            <w:pPr>
              <w:pStyle w:val="afff7"/>
            </w:pPr>
            <w:r>
              <w:t>13,413,072.13</w:t>
            </w:r>
          </w:p>
        </w:tc>
      </w:tr>
    </w:tbl>
    <w:p w:rsidR="004A3868" w:rsidRDefault="003F1AB5">
      <w:pPr>
        <w:rPr>
          <w:sz w:val="21"/>
          <w:szCs w:val="21"/>
        </w:rPr>
      </w:pPr>
      <w:r>
        <w:rPr>
          <w:rFonts w:hint="eastAsia"/>
          <w:sz w:val="21"/>
          <w:szCs w:val="21"/>
        </w:rPr>
        <w:t>其他说明：</w:t>
      </w:r>
    </w:p>
    <w:sdt>
      <w:sdtPr>
        <w:alias w:val="1年内到期的非流动负债说明"/>
        <w:tag w:val="_GBC_8d20cbb6880f4895b7051ae6dee973ca"/>
        <w:id w:val="2057041685"/>
        <w:lock w:val="sdtLocked"/>
      </w:sdtPr>
      <w:sdtEndPr/>
      <w:sdtContent>
        <w:p w:rsidR="004A3868" w:rsidRDefault="003F1AB5">
          <w:pPr>
            <w:pStyle w:val="Style124"/>
          </w:pPr>
          <w:r>
            <w:rPr>
              <w:rFonts w:hint="eastAsia"/>
            </w:rPr>
            <w:t>无</w:t>
          </w:r>
        </w:p>
      </w:sdtContent>
    </w:sdt>
    <w:p w:rsidR="004A3868" w:rsidRDefault="003F1AB5">
      <w:pPr>
        <w:pStyle w:val="Style12711"/>
      </w:pPr>
      <w:r>
        <w:rPr>
          <w:rFonts w:hint="eastAsia"/>
        </w:rPr>
        <w:t>其他流动负债</w:t>
      </w:r>
    </w:p>
    <w:p w:rsidR="004A3868" w:rsidRDefault="003F1AB5">
      <w:pPr>
        <w:rPr>
          <w:sz w:val="21"/>
          <w:szCs w:val="21"/>
        </w:rPr>
      </w:pPr>
      <w:r>
        <w:rPr>
          <w:rFonts w:hint="eastAsia"/>
          <w:sz w:val="21"/>
          <w:szCs w:val="21"/>
        </w:rPr>
        <w:t>其他流动负债情况</w:t>
      </w:r>
    </w:p>
    <w:bookmarkStart w:id="223" w:name="_Hlk533670262" w:displacedByCustomXml="next"/>
    <w:sdt>
      <w:sdtPr>
        <w:rPr>
          <w:rFonts w:hint="eastAsia"/>
          <w:sz w:val="21"/>
          <w:szCs w:val="21"/>
        </w:rPr>
        <w:alias w:val="是否适用：其他流动负债情况 [双击切换]"/>
        <w:tag w:val="_GBC_a84ebf5eebf04d4ab9f07c3da85115c2"/>
        <w:id w:val="1242294309"/>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其他流动负债"/>
          <w:tag w:val="_GBC_1a3ea80bd2b9426ead4537785c82d01e"/>
          <w:id w:val="10671556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其他流动负债"/>
          <w:tag w:val="_GBC_c39ac2b60b0f44cbbd7534c211405631"/>
          <w:id w:val="12314168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72"/>
        <w:gridCol w:w="2800"/>
        <w:gridCol w:w="3051"/>
      </w:tblGrid>
      <w:tr w:rsidR="004A3868">
        <w:trPr>
          <w:trHeight w:val="397"/>
          <w:jc w:val="center"/>
        </w:trPr>
        <w:bookmarkEnd w:id="223" w:displacedByCustomXml="next"/>
        <w:bookmarkStart w:id="224" w:name="_Hlk533423091" w:displacedByCustomXml="next"/>
        <w:sdt>
          <w:sdtPr>
            <w:tag w:val="_PLD_96b7e8e5e688449c87d23adc1b63439f"/>
            <w:id w:val="-1237936156"/>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项目</w:t>
                </w:r>
              </w:p>
            </w:tc>
          </w:sdtContent>
        </w:sdt>
        <w:sdt>
          <w:sdtPr>
            <w:tag w:val="_PLD_741229e75da644bb809ec002cfe06423"/>
            <w:id w:val="1501320085"/>
            <w:lock w:val="sdtLocked"/>
          </w:sdtPr>
          <w:sdtEndPr/>
          <w:sdtContent>
            <w:tc>
              <w:tcPr>
                <w:tcW w:w="15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期末余额</w:t>
                </w:r>
              </w:p>
            </w:tc>
          </w:sdtContent>
        </w:sdt>
        <w:sdt>
          <w:sdtPr>
            <w:tag w:val="_PLD_426d25a331b04af9b2ec53d6a7e168d4"/>
            <w:id w:val="-497116815"/>
            <w:lock w:val="sdtLocked"/>
          </w:sdtPr>
          <w:sdtEndPr/>
          <w:sdtContent>
            <w:tc>
              <w:tcPr>
                <w:tcW w:w="172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期初余额</w:t>
                </w:r>
              </w:p>
            </w:tc>
          </w:sdtContent>
        </w:sdt>
      </w:tr>
      <w:tr w:rsidR="004A3868">
        <w:trPr>
          <w:trHeight w:val="397"/>
          <w:jc w:val="center"/>
        </w:trPr>
        <w:tc>
          <w:tcPr>
            <w:tcW w:w="16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期末背书未终止确认的汇票</w:t>
            </w:r>
          </w:p>
        </w:tc>
        <w:tc>
          <w:tcPr>
            <w:tcW w:w="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126,966,779.38</w:t>
            </w:r>
          </w:p>
        </w:tc>
        <w:tc>
          <w:tcPr>
            <w:tcW w:w="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147,945,664.23</w:t>
            </w:r>
          </w:p>
        </w:tc>
      </w:tr>
      <w:tr w:rsidR="004A3868">
        <w:trPr>
          <w:trHeight w:val="397"/>
          <w:jc w:val="center"/>
        </w:trPr>
        <w:tc>
          <w:tcPr>
            <w:tcW w:w="16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t>待转销项税额</w:t>
            </w:r>
          </w:p>
        </w:tc>
        <w:tc>
          <w:tcPr>
            <w:tcW w:w="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10,879,828.11</w:t>
            </w:r>
          </w:p>
        </w:tc>
        <w:tc>
          <w:tcPr>
            <w:tcW w:w="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22,702,190.13</w:t>
            </w:r>
          </w:p>
        </w:tc>
      </w:tr>
      <w:tr w:rsidR="004A3868">
        <w:trPr>
          <w:trHeight w:val="397"/>
          <w:jc w:val="center"/>
        </w:trPr>
        <w:tc>
          <w:tcPr>
            <w:tcW w:w="16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lastRenderedPageBreak/>
              <w:t>合计</w:t>
            </w:r>
          </w:p>
        </w:tc>
        <w:tc>
          <w:tcPr>
            <w:tcW w:w="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137,846,607.49</w:t>
            </w:r>
          </w:p>
        </w:tc>
        <w:tc>
          <w:tcPr>
            <w:tcW w:w="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170,647,854.36</w:t>
            </w:r>
          </w:p>
        </w:tc>
      </w:tr>
    </w:tbl>
    <w:p w:rsidR="004A3868" w:rsidRDefault="004A3868">
      <w:pPr>
        <w:sectPr w:rsidR="004A3868">
          <w:pgSz w:w="11906" w:h="16838"/>
          <w:pgMar w:top="1440" w:right="1797" w:bottom="1525" w:left="1276" w:header="856" w:footer="992" w:gutter="0"/>
          <w:cols w:space="425"/>
          <w:docGrid w:type="lines" w:linePitch="312"/>
        </w:sectPr>
      </w:pPr>
    </w:p>
    <w:p w:rsidR="004A3868" w:rsidRDefault="003F1AB5">
      <w:pPr>
        <w:pStyle w:val="Style124"/>
      </w:pPr>
      <w:r>
        <w:rPr>
          <w:rFonts w:hint="eastAsia"/>
        </w:rPr>
        <w:lastRenderedPageBreak/>
        <w:t>短期</w:t>
      </w:r>
      <w:r>
        <w:t>应付债券的增减变动</w:t>
      </w:r>
      <w:r>
        <w:rPr>
          <w:rFonts w:hint="eastAsia"/>
        </w:rPr>
        <w:t>：</w:t>
      </w:r>
    </w:p>
    <w:bookmarkEnd w:id="224" w:displacedByCustomXml="next"/>
    <w:sdt>
      <w:sdtPr>
        <w:alias w:val="是否适用：短期应付债券的增减变动[双击切换]"/>
        <w:tag w:val="_GBC_9702365af41547e6b7eeb62225fd79a4"/>
        <w:id w:val="-285429731"/>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其他说明：</w:t>
      </w:r>
    </w:p>
    <w:sdt>
      <w:sdtPr>
        <w:rPr>
          <w:sz w:val="21"/>
          <w:szCs w:val="21"/>
        </w:rPr>
        <w:alias w:val="是否适用：其他流动负债说明[双击切换]"/>
        <w:tag w:val="_GBC_137d3b80ab3041c1a1b255a500c3d52c"/>
        <w:id w:val="-137322152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4A3868">
      <w:pPr>
        <w:sectPr w:rsidR="004A3868">
          <w:pgSz w:w="16838" w:h="11906" w:orient="landscape"/>
          <w:pgMar w:top="1276" w:right="1440" w:bottom="1797" w:left="1525" w:header="856" w:footer="992" w:gutter="0"/>
          <w:cols w:space="425"/>
          <w:docGrid w:linePitch="312"/>
        </w:sectPr>
      </w:pPr>
    </w:p>
    <w:p w:rsidR="004A3868" w:rsidRDefault="004A3868">
      <w:pPr>
        <w:pStyle w:val="Style842"/>
      </w:pPr>
    </w:p>
    <w:p w:rsidR="004A3868" w:rsidRDefault="003F1AB5">
      <w:pPr>
        <w:pStyle w:val="Style12711"/>
      </w:pPr>
      <w:r>
        <w:rPr>
          <w:rFonts w:hint="eastAsia"/>
        </w:rPr>
        <w:t>长期借款</w:t>
      </w:r>
    </w:p>
    <w:p w:rsidR="004A3868" w:rsidRDefault="003F1AB5">
      <w:pPr>
        <w:pStyle w:val="Style128"/>
        <w:numPr>
          <w:ilvl w:val="3"/>
          <w:numId w:val="94"/>
        </w:numPr>
      </w:pPr>
      <w:r>
        <w:rPr>
          <w:rFonts w:hint="eastAsia"/>
        </w:rPr>
        <w:t>长期借款分类</w:t>
      </w:r>
    </w:p>
    <w:sdt>
      <w:sdtPr>
        <w:alias w:val="是否适用：长期借款分类[双击切换]"/>
        <w:tag w:val="_GBC_f97d0882083646ed86769469b3ee8875"/>
        <w:id w:val="814989757"/>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长期借款分类"/>
          <w:tag w:val="_GBC_1469e55f5b66428a857f07acaf1e4ae0"/>
          <w:id w:val="-9665934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长期借款分类"/>
          <w:tag w:val="_GBC_02e1603886284ce797acd755be7f672a"/>
          <w:id w:val="569161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75"/>
        <w:gridCol w:w="2975"/>
        <w:gridCol w:w="2873"/>
      </w:tblGrid>
      <w:tr w:rsidR="004A3868">
        <w:trPr>
          <w:cantSplit/>
          <w:trHeight w:val="397"/>
          <w:jc w:val="center"/>
        </w:trPr>
        <w:sdt>
          <w:sdtPr>
            <w:tag w:val="_PLD_4e1b60888e3248369c96087fd1f19eed"/>
            <w:id w:val="1200367611"/>
            <w:lock w:val="sdtLocked"/>
          </w:sdtPr>
          <w:sdtEndPr/>
          <w:sdtContent>
            <w:tc>
              <w:tcPr>
                <w:tcW w:w="1686" w:type="pct"/>
                <w:vAlign w:val="center"/>
              </w:tcPr>
              <w:p w:rsidR="004A3868" w:rsidRDefault="003F1AB5">
                <w:pPr>
                  <w:pStyle w:val="afff9"/>
                </w:pPr>
                <w:r>
                  <w:rPr>
                    <w:rFonts w:hint="eastAsia"/>
                  </w:rPr>
                  <w:t>项目</w:t>
                </w:r>
              </w:p>
            </w:tc>
          </w:sdtContent>
        </w:sdt>
        <w:sdt>
          <w:sdtPr>
            <w:tag w:val="_PLD_5eb33a0c1cde49ff9ed499493463ec46"/>
            <w:id w:val="439887964"/>
            <w:lock w:val="sdtLocked"/>
          </w:sdtPr>
          <w:sdtEndPr/>
          <w:sdtContent>
            <w:tc>
              <w:tcPr>
                <w:tcW w:w="1686" w:type="pct"/>
                <w:vAlign w:val="center"/>
              </w:tcPr>
              <w:p w:rsidR="004A3868" w:rsidRDefault="003F1AB5">
                <w:pPr>
                  <w:pStyle w:val="afff9"/>
                </w:pPr>
                <w:r>
                  <w:rPr>
                    <w:rFonts w:hint="eastAsia"/>
                  </w:rPr>
                  <w:t>期末余额</w:t>
                </w:r>
              </w:p>
            </w:tc>
          </w:sdtContent>
        </w:sdt>
        <w:sdt>
          <w:sdtPr>
            <w:tag w:val="_PLD_9b129c446a5847edb58141b866ffac5d"/>
            <w:id w:val="-1617523277"/>
            <w:lock w:val="sdtLocked"/>
          </w:sdtPr>
          <w:sdtEndPr/>
          <w:sdtContent>
            <w:tc>
              <w:tcPr>
                <w:tcW w:w="1628" w:type="pct"/>
                <w:vAlign w:val="center"/>
              </w:tcPr>
              <w:p w:rsidR="004A3868" w:rsidRDefault="003F1AB5">
                <w:pPr>
                  <w:pStyle w:val="afff9"/>
                </w:pPr>
                <w:r>
                  <w:rPr>
                    <w:rFonts w:hint="eastAsia"/>
                  </w:rPr>
                  <w:t>期初余额</w:t>
                </w:r>
              </w:p>
            </w:tc>
          </w:sdtContent>
        </w:sdt>
      </w:tr>
      <w:tr w:rsidR="004A3868">
        <w:trPr>
          <w:cantSplit/>
          <w:trHeight w:val="397"/>
          <w:jc w:val="center"/>
        </w:trPr>
        <w:tc>
          <w:tcPr>
            <w:tcW w:w="1686" w:type="pct"/>
            <w:shd w:val="clear" w:color="auto" w:fill="auto"/>
            <w:vAlign w:val="center"/>
          </w:tcPr>
          <w:p w:rsidR="004A3868" w:rsidRDefault="003F1AB5">
            <w:pPr>
              <w:pStyle w:val="afff9"/>
            </w:pPr>
            <w:r>
              <w:rPr>
                <w:rFonts w:hint="eastAsia"/>
              </w:rPr>
              <w:t>保证及抵押借款</w:t>
            </w:r>
          </w:p>
        </w:tc>
        <w:tc>
          <w:tcPr>
            <w:tcW w:w="1686" w:type="pct"/>
            <w:shd w:val="clear" w:color="auto" w:fill="auto"/>
            <w:vAlign w:val="center"/>
          </w:tcPr>
          <w:p w:rsidR="004A3868" w:rsidRDefault="003F1AB5">
            <w:pPr>
              <w:pStyle w:val="afff7"/>
            </w:pPr>
            <w:r>
              <w:t>176,013,429.00</w:t>
            </w:r>
          </w:p>
        </w:tc>
        <w:tc>
          <w:tcPr>
            <w:tcW w:w="1628" w:type="pct"/>
            <w:shd w:val="clear" w:color="auto" w:fill="auto"/>
            <w:vAlign w:val="center"/>
          </w:tcPr>
          <w:p w:rsidR="004A3868" w:rsidRDefault="003F1AB5">
            <w:pPr>
              <w:pStyle w:val="afff7"/>
            </w:pPr>
            <w:r>
              <w:t>122,451,907.37</w:t>
            </w:r>
          </w:p>
        </w:tc>
      </w:tr>
      <w:tr w:rsidR="004A3868">
        <w:trPr>
          <w:cantSplit/>
          <w:trHeight w:val="397"/>
          <w:jc w:val="center"/>
        </w:trPr>
        <w:tc>
          <w:tcPr>
            <w:tcW w:w="1686" w:type="pct"/>
            <w:shd w:val="clear" w:color="auto" w:fill="auto"/>
            <w:vAlign w:val="center"/>
          </w:tcPr>
          <w:p w:rsidR="004A3868" w:rsidRDefault="003F1AB5">
            <w:pPr>
              <w:pStyle w:val="afff9"/>
            </w:pPr>
            <w:r>
              <w:rPr>
                <w:rFonts w:hint="eastAsia"/>
              </w:rPr>
              <w:t>保证借款</w:t>
            </w:r>
          </w:p>
        </w:tc>
        <w:tc>
          <w:tcPr>
            <w:tcW w:w="1686" w:type="pct"/>
            <w:shd w:val="clear" w:color="auto" w:fill="auto"/>
            <w:vAlign w:val="center"/>
          </w:tcPr>
          <w:p w:rsidR="004A3868" w:rsidRDefault="003F1AB5">
            <w:pPr>
              <w:pStyle w:val="afff7"/>
            </w:pPr>
            <w:r>
              <w:t>13,110,000.00</w:t>
            </w:r>
          </w:p>
        </w:tc>
        <w:tc>
          <w:tcPr>
            <w:tcW w:w="1628" w:type="pct"/>
            <w:shd w:val="clear" w:color="auto" w:fill="auto"/>
            <w:vAlign w:val="center"/>
          </w:tcPr>
          <w:p w:rsidR="004A3868" w:rsidRDefault="003F1AB5">
            <w:pPr>
              <w:pStyle w:val="afff7"/>
            </w:pPr>
            <w:r>
              <w:t>9,000,000.00</w:t>
            </w:r>
          </w:p>
        </w:tc>
      </w:tr>
      <w:tr w:rsidR="004A3868">
        <w:trPr>
          <w:cantSplit/>
          <w:trHeight w:val="397"/>
          <w:jc w:val="center"/>
        </w:trPr>
        <w:tc>
          <w:tcPr>
            <w:tcW w:w="1686" w:type="pct"/>
            <w:shd w:val="clear" w:color="auto" w:fill="auto"/>
            <w:vAlign w:val="center"/>
          </w:tcPr>
          <w:p w:rsidR="004A3868" w:rsidRDefault="003F1AB5">
            <w:pPr>
              <w:pStyle w:val="afff9"/>
            </w:pPr>
            <w:r>
              <w:rPr>
                <w:rFonts w:hint="eastAsia"/>
              </w:rPr>
              <w:t>信用借款</w:t>
            </w:r>
          </w:p>
        </w:tc>
        <w:tc>
          <w:tcPr>
            <w:tcW w:w="1686" w:type="pct"/>
            <w:shd w:val="clear" w:color="auto" w:fill="auto"/>
            <w:vAlign w:val="center"/>
          </w:tcPr>
          <w:p w:rsidR="004A3868" w:rsidRDefault="003F1AB5">
            <w:pPr>
              <w:pStyle w:val="afff7"/>
            </w:pPr>
            <w:r>
              <w:t>306,639,900.00</w:t>
            </w:r>
          </w:p>
        </w:tc>
        <w:tc>
          <w:tcPr>
            <w:tcW w:w="1628" w:type="pct"/>
            <w:shd w:val="clear" w:color="auto" w:fill="auto"/>
            <w:vAlign w:val="center"/>
          </w:tcPr>
          <w:p w:rsidR="004A3868" w:rsidRDefault="003F1AB5">
            <w:pPr>
              <w:pStyle w:val="afff7"/>
            </w:pPr>
            <w:r>
              <w:t>60,408,560.00</w:t>
            </w:r>
          </w:p>
        </w:tc>
      </w:tr>
      <w:tr w:rsidR="004A3868">
        <w:trPr>
          <w:cantSplit/>
          <w:trHeight w:val="397"/>
          <w:jc w:val="center"/>
        </w:trPr>
        <w:tc>
          <w:tcPr>
            <w:tcW w:w="1686" w:type="pct"/>
            <w:shd w:val="clear" w:color="auto" w:fill="auto"/>
            <w:vAlign w:val="center"/>
          </w:tcPr>
          <w:p w:rsidR="004A3868" w:rsidRDefault="003F1AB5">
            <w:pPr>
              <w:pStyle w:val="afff9"/>
            </w:pPr>
            <w:r>
              <w:rPr>
                <w:rFonts w:hint="eastAsia"/>
              </w:rPr>
              <w:t>未到期应付利息</w:t>
            </w:r>
          </w:p>
        </w:tc>
        <w:tc>
          <w:tcPr>
            <w:tcW w:w="1686" w:type="pct"/>
            <w:shd w:val="clear" w:color="auto" w:fill="auto"/>
            <w:vAlign w:val="center"/>
          </w:tcPr>
          <w:p w:rsidR="004A3868" w:rsidRDefault="003F1AB5">
            <w:pPr>
              <w:pStyle w:val="afff7"/>
            </w:pPr>
            <w:r>
              <w:t>700,167.60</w:t>
            </w:r>
          </w:p>
        </w:tc>
        <w:tc>
          <w:tcPr>
            <w:tcW w:w="1628" w:type="pct"/>
            <w:shd w:val="clear" w:color="auto" w:fill="auto"/>
            <w:vAlign w:val="center"/>
          </w:tcPr>
          <w:p w:rsidR="004A3868" w:rsidRDefault="003F1AB5">
            <w:pPr>
              <w:pStyle w:val="afff7"/>
            </w:pPr>
            <w:r>
              <w:t>224,036.03</w:t>
            </w:r>
          </w:p>
        </w:tc>
      </w:tr>
      <w:tr w:rsidR="004A3868">
        <w:trPr>
          <w:cantSplit/>
          <w:trHeight w:val="397"/>
          <w:jc w:val="center"/>
        </w:trPr>
        <w:tc>
          <w:tcPr>
            <w:tcW w:w="1686" w:type="pct"/>
            <w:vAlign w:val="center"/>
          </w:tcPr>
          <w:p w:rsidR="004A3868" w:rsidRDefault="003F1AB5">
            <w:pPr>
              <w:pStyle w:val="afff9"/>
            </w:pPr>
            <w:r>
              <w:t>抵押借款</w:t>
            </w:r>
          </w:p>
        </w:tc>
        <w:tc>
          <w:tcPr>
            <w:tcW w:w="1686" w:type="pct"/>
            <w:vAlign w:val="center"/>
          </w:tcPr>
          <w:p w:rsidR="004A3868" w:rsidRDefault="003F1AB5">
            <w:pPr>
              <w:pStyle w:val="afff7"/>
            </w:pPr>
            <w:r>
              <w:t>233,041,061.50</w:t>
            </w:r>
          </w:p>
        </w:tc>
        <w:tc>
          <w:tcPr>
            <w:tcW w:w="1628" w:type="pct"/>
            <w:vAlign w:val="center"/>
          </w:tcPr>
          <w:p w:rsidR="004A3868" w:rsidRDefault="004A3868">
            <w:pPr>
              <w:pStyle w:val="afff7"/>
            </w:pPr>
          </w:p>
        </w:tc>
      </w:tr>
      <w:tr w:rsidR="004A3868">
        <w:trPr>
          <w:cantSplit/>
          <w:trHeight w:val="397"/>
          <w:jc w:val="center"/>
        </w:trPr>
        <w:tc>
          <w:tcPr>
            <w:tcW w:w="1686" w:type="pct"/>
            <w:vAlign w:val="center"/>
          </w:tcPr>
          <w:p w:rsidR="004A3868" w:rsidRDefault="003F1AB5">
            <w:pPr>
              <w:pStyle w:val="afff9"/>
            </w:pPr>
            <w:r>
              <w:t>减：一年内到期的长期借款</w:t>
            </w:r>
          </w:p>
        </w:tc>
        <w:tc>
          <w:tcPr>
            <w:tcW w:w="1686" w:type="pct"/>
            <w:vAlign w:val="center"/>
          </w:tcPr>
          <w:p w:rsidR="004A3868" w:rsidRDefault="003F1AB5">
            <w:pPr>
              <w:pStyle w:val="afff7"/>
            </w:pPr>
            <w:r>
              <w:t>64,386,967.51</w:t>
            </w:r>
          </w:p>
        </w:tc>
        <w:tc>
          <w:tcPr>
            <w:tcW w:w="1628" w:type="pct"/>
            <w:vAlign w:val="center"/>
          </w:tcPr>
          <w:p w:rsidR="004A3868" w:rsidRDefault="003F1AB5">
            <w:pPr>
              <w:pStyle w:val="afff7"/>
            </w:pPr>
            <w:r>
              <w:t>12,877,814.66</w:t>
            </w:r>
          </w:p>
        </w:tc>
      </w:tr>
      <w:tr w:rsidR="004A3868">
        <w:trPr>
          <w:cantSplit/>
          <w:trHeight w:val="397"/>
          <w:jc w:val="center"/>
        </w:trPr>
        <w:tc>
          <w:tcPr>
            <w:tcW w:w="1686" w:type="pct"/>
            <w:vAlign w:val="center"/>
          </w:tcPr>
          <w:p w:rsidR="004A3868" w:rsidRDefault="003F1AB5">
            <w:pPr>
              <w:pStyle w:val="afff9"/>
            </w:pPr>
            <w:r>
              <w:rPr>
                <w:rFonts w:hint="eastAsia"/>
              </w:rPr>
              <w:t>合计</w:t>
            </w:r>
          </w:p>
        </w:tc>
        <w:tc>
          <w:tcPr>
            <w:tcW w:w="1686" w:type="pct"/>
            <w:vAlign w:val="center"/>
          </w:tcPr>
          <w:p w:rsidR="004A3868" w:rsidRDefault="003F1AB5">
            <w:pPr>
              <w:pStyle w:val="afff7"/>
            </w:pPr>
            <w:r>
              <w:t>665,117,590.59</w:t>
            </w:r>
          </w:p>
        </w:tc>
        <w:tc>
          <w:tcPr>
            <w:tcW w:w="1628" w:type="pct"/>
            <w:vAlign w:val="center"/>
          </w:tcPr>
          <w:p w:rsidR="004A3868" w:rsidRDefault="003F1AB5">
            <w:pPr>
              <w:pStyle w:val="afff7"/>
            </w:pPr>
            <w:r>
              <w:t>179,206,688.74</w:t>
            </w:r>
          </w:p>
        </w:tc>
      </w:tr>
    </w:tbl>
    <w:p w:rsidR="004A3868" w:rsidRDefault="003F1AB5">
      <w:pPr>
        <w:rPr>
          <w:sz w:val="21"/>
          <w:szCs w:val="21"/>
        </w:rPr>
      </w:pPr>
      <w:r>
        <w:rPr>
          <w:rFonts w:hint="eastAsia"/>
          <w:sz w:val="21"/>
          <w:szCs w:val="21"/>
        </w:rPr>
        <w:t>长期借款分类的说明：</w:t>
      </w:r>
    </w:p>
    <w:sdt>
      <w:sdtPr>
        <w:rPr>
          <w:sz w:val="21"/>
          <w:szCs w:val="21"/>
        </w:rPr>
        <w:alias w:val="长期借款分类的说明"/>
        <w:tag w:val="_GBC_b89f86a2a8054eb2892900c86ecbdcb3"/>
        <w:id w:val="1540635081"/>
        <w:placeholder>
          <w:docPart w:val="GBC22222222222222222222222222222"/>
        </w:placeholder>
      </w:sdtPr>
      <w:sdtEndPr/>
      <w:sdtContent>
        <w:p w:rsidR="004A3868" w:rsidRDefault="003F1AB5">
          <w:pPr>
            <w:rPr>
              <w:rFonts w:cstheme="minorBidi"/>
              <w:color w:val="000000" w:themeColor="text1"/>
              <w:sz w:val="21"/>
              <w:szCs w:val="21"/>
            </w:rPr>
          </w:pPr>
          <w:r>
            <w:rPr>
              <w:rStyle w:val="afff4"/>
              <w:rFonts w:hint="eastAsia"/>
              <w:sz w:val="21"/>
              <w:szCs w:val="21"/>
            </w:rPr>
            <w:t>本公司保证、抵押借款，系由本公司资产作为抵押（详见第十节.七.</w:t>
          </w:r>
          <w:r>
            <w:rPr>
              <w:rStyle w:val="afff4"/>
              <w:sz w:val="21"/>
              <w:szCs w:val="21"/>
            </w:rPr>
            <w:t>35所有权或使用权受到限制的资产）、关联方作为担保人（</w:t>
          </w:r>
          <w:r>
            <w:rPr>
              <w:rStyle w:val="afff4"/>
              <w:rFonts w:hint="eastAsia"/>
              <w:sz w:val="21"/>
              <w:szCs w:val="21"/>
            </w:rPr>
            <w:t>详见第十节.十三.5（4）</w:t>
          </w:r>
          <w:r>
            <w:rPr>
              <w:rStyle w:val="afff4"/>
              <w:sz w:val="21"/>
              <w:szCs w:val="21"/>
            </w:rPr>
            <w:t>关联担保情况</w:t>
          </w:r>
          <w:r>
            <w:rPr>
              <w:rStyle w:val="afff4"/>
              <w:rFonts w:hint="eastAsia"/>
              <w:sz w:val="21"/>
              <w:szCs w:val="21"/>
            </w:rPr>
            <w:t>）。</w:t>
          </w:r>
          <w:r>
            <w:rPr>
              <w:rStyle w:val="afff4"/>
              <w:sz w:val="21"/>
              <w:szCs w:val="21"/>
            </w:rPr>
            <w:t xml:space="preserve">  </w:t>
          </w:r>
          <w:r>
            <w:rPr>
              <w:sz w:val="21"/>
              <w:szCs w:val="21"/>
            </w:rPr>
            <w:t xml:space="preserve">     </w:t>
          </w:r>
        </w:p>
      </w:sdtContent>
    </w:sdt>
    <w:p w:rsidR="004A3868" w:rsidRDefault="003F1AB5">
      <w:pPr>
        <w:rPr>
          <w:sz w:val="21"/>
          <w:szCs w:val="21"/>
        </w:rPr>
      </w:pPr>
      <w:r>
        <w:rPr>
          <w:rFonts w:hint="eastAsia"/>
          <w:sz w:val="21"/>
          <w:szCs w:val="21"/>
        </w:rPr>
        <w:t>其他说明：</w:t>
      </w:r>
    </w:p>
    <w:sdt>
      <w:sdtPr>
        <w:rPr>
          <w:sz w:val="21"/>
          <w:szCs w:val="21"/>
        </w:rPr>
        <w:alias w:val="是否适用：长期借款的说明[双击切换]"/>
        <w:tag w:val="_GBC_81b19a673078421a910ba8721333fbbe"/>
        <w:id w:val="81846074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应付债券</w:t>
      </w:r>
    </w:p>
    <w:p w:rsidR="004A3868" w:rsidRDefault="003F1AB5">
      <w:pPr>
        <w:pStyle w:val="Style128"/>
        <w:numPr>
          <w:ilvl w:val="0"/>
          <w:numId w:val="95"/>
        </w:numPr>
      </w:pPr>
      <w:r>
        <w:rPr>
          <w:rFonts w:hint="eastAsia"/>
        </w:rPr>
        <w:t>应付债券</w:t>
      </w:r>
    </w:p>
    <w:sdt>
      <w:sdtPr>
        <w:alias w:val="是否适用：应付债券[双击切换]"/>
        <w:tag w:val="_GBC_645b020b25af4284b8eff88f14f8c5c2"/>
        <w:id w:val="396178388"/>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4A3868">
      <w:pPr>
        <w:pStyle w:val="Style124"/>
      </w:pPr>
    </w:p>
    <w:p w:rsidR="004A3868" w:rsidRDefault="004A3868">
      <w:pPr>
        <w:sectPr w:rsidR="004A3868">
          <w:pgSz w:w="11906" w:h="16838"/>
          <w:pgMar w:top="1440" w:right="1797" w:bottom="1525" w:left="1276" w:header="856" w:footer="992" w:gutter="0"/>
          <w:cols w:space="425"/>
          <w:docGrid w:linePitch="312"/>
        </w:sectPr>
      </w:pPr>
    </w:p>
    <w:p w:rsidR="004A3868" w:rsidRDefault="003F1AB5">
      <w:pPr>
        <w:pStyle w:val="Style128"/>
        <w:numPr>
          <w:ilvl w:val="0"/>
          <w:numId w:val="95"/>
        </w:numPr>
      </w:pPr>
      <w:r>
        <w:lastRenderedPageBreak/>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1407498179"/>
        <w:lock w:val="sdtLocked"/>
        <w:placeholder>
          <w:docPart w:val="GBC22222222222222222222222222222"/>
        </w:placeholder>
      </w:sdtPr>
      <w:sdtEndPr>
        <w:rPr>
          <w:sz w:val="21"/>
          <w:szCs w:val="21"/>
        </w:rPr>
      </w:sdtEndPr>
      <w:sdtContent>
        <w:p w:rsidR="004A3868" w:rsidRDefault="003F1AB5">
          <w:pPr>
            <w:rPr>
              <w:rFonts w:cstheme="minorBidi"/>
              <w:color w:val="000000" w:themeColor="text1"/>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95"/>
        </w:numPr>
      </w:pPr>
      <w:r>
        <w:rPr>
          <w:rFonts w:hint="eastAsia"/>
        </w:rPr>
        <w:t>可</w:t>
      </w:r>
      <w:r>
        <w:rPr>
          <w:rFonts w:ascii="宋体" w:hAnsi="宋体" w:hint="eastAsia"/>
        </w:rPr>
        <w:t>转换公司债</w:t>
      </w:r>
      <w:r>
        <w:rPr>
          <w:rFonts w:hint="eastAsia"/>
        </w:rPr>
        <w:t>券的说明</w:t>
      </w:r>
    </w:p>
    <w:sdt>
      <w:sdtPr>
        <w:rPr>
          <w:rFonts w:hint="eastAsia"/>
          <w:sz w:val="21"/>
          <w:szCs w:val="21"/>
        </w:rPr>
        <w:alias w:val="是否适用：可转换公司债券的转股条件、转股时间说明[双击切换]"/>
        <w:tag w:val="_GBC_2b6cb515ba4c417781662a31ccbd84e3"/>
        <w:id w:val="22148469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转股权会计处理及判断依据</w:t>
      </w:r>
    </w:p>
    <w:sdt>
      <w:sdtPr>
        <w:rPr>
          <w:sz w:val="21"/>
          <w:szCs w:val="21"/>
        </w:rPr>
        <w:alias w:val="是否适用：转股权会计处理及判断依据[双击切换]"/>
        <w:tag w:val="_GBC_8ec57a1730b24863aa91d9cece86f4d1"/>
        <w:id w:val="-66046221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95"/>
        </w:numPr>
      </w:pPr>
      <w:r>
        <w:rPr>
          <w:rFonts w:hint="eastAsia"/>
        </w:rPr>
        <w:t>划分为金融负债的其他金融工具说明</w:t>
      </w:r>
    </w:p>
    <w:p w:rsidR="004A3868" w:rsidRDefault="003F1AB5">
      <w:pPr>
        <w:pStyle w:val="Style124"/>
      </w:pPr>
      <w:r>
        <w:rPr>
          <w:rFonts w:hint="eastAsia"/>
        </w:rPr>
        <w:t>期末发行在外的优先股、永续债等其他金融工具基本情况</w:t>
      </w:r>
    </w:p>
    <w:sdt>
      <w:sdtPr>
        <w:rPr>
          <w:sz w:val="21"/>
          <w:szCs w:val="21"/>
        </w:rPr>
        <w:alias w:val="是否适用：划分为金融负债的其他金融工具说明[双击切换]"/>
        <w:tag w:val="_GBC_354a73ce52fe4fcaa9d974bff59ad9cc"/>
        <w:id w:val="-201845942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期末发行在外的优先股、永续债等金融工具变动情况表</w:t>
      </w:r>
    </w:p>
    <w:sdt>
      <w:sdtPr>
        <w:rPr>
          <w:sz w:val="21"/>
          <w:szCs w:val="21"/>
        </w:rPr>
        <w:alias w:val="是否适用：期末发行在外的优先股、永续债等金融工具变动情况表_应付债券[双击切换]"/>
        <w:tag w:val="_GBC_0ff8720c33d04083ad5271ea8df21c89"/>
        <w:id w:val="-52587053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其他金融工具划分为金融负债的依据说明：</w:t>
      </w:r>
    </w:p>
    <w:sdt>
      <w:sdtPr>
        <w:rPr>
          <w:sz w:val="21"/>
          <w:szCs w:val="21"/>
        </w:rPr>
        <w:alias w:val="是否适用：其他金融工具划分为金融负债的依据说明[双击切换]"/>
        <w:tag w:val="_GBC_b66a33df1ece41d79e36976486595871"/>
        <w:id w:val="-201428608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其他说明：</w:t>
      </w:r>
    </w:p>
    <w:sdt>
      <w:sdtPr>
        <w:rPr>
          <w:sz w:val="21"/>
          <w:szCs w:val="21"/>
        </w:rPr>
        <w:alias w:val="是否适用：应付债券的其他说明[双击切换]"/>
        <w:tag w:val="_GBC_2068e4e6d2994d6f8cfa9ecc26b171d4"/>
        <w:id w:val="-2030181624"/>
        <w:lock w:val="sdtLocked"/>
        <w:placeholder>
          <w:docPart w:val="GBC22222222222222222222222222222"/>
        </w:placeholder>
      </w:sdtPr>
      <w:sdtEndPr>
        <w:rPr>
          <w:sz w:val="24"/>
          <w:szCs w:val="24"/>
        </w:rPr>
      </w:sdtEndPr>
      <w:sdtContent>
        <w:p w:rsidR="004A3868" w:rsidRDefault="003F1AB5">
          <w:pPr>
            <w:sectPr w:rsidR="004A3868">
              <w:pgSz w:w="16838" w:h="11906" w:orient="landscape"/>
              <w:pgMar w:top="1276" w:right="1440" w:bottom="1797" w:left="1525" w:header="856" w:footer="992" w:gutter="0"/>
              <w:cols w:space="425"/>
              <w:docGrid w:linePitch="312"/>
            </w:sect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4A3868">
      <w:pPr>
        <w:pStyle w:val="Style842"/>
      </w:pPr>
    </w:p>
    <w:p w:rsidR="004A3868" w:rsidRDefault="003F1AB5">
      <w:pPr>
        <w:pStyle w:val="Style12711"/>
      </w:pPr>
      <w:r>
        <w:rPr>
          <w:rFonts w:hint="eastAsia"/>
        </w:rPr>
        <w:t>租赁负债</w:t>
      </w:r>
    </w:p>
    <w:bookmarkStart w:id="225" w:name="_Hlk24026742" w:displacedByCustomXml="next"/>
    <w:sdt>
      <w:sdtPr>
        <w:alias w:val="是否适用：租赁负债[双击切换]"/>
        <w:tag w:val="_GBC_abf9a23b0ddc4b63b6f39d768c084973"/>
        <w:id w:val="185715006"/>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租赁负债"/>
          <w:tag w:val="_GBC_33e504b2a4a34d41946083d1a309022f"/>
          <w:id w:val="-142826380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租赁负债"/>
          <w:tag w:val="_GBC_90ebb9825c5740c794669c2bf1475590"/>
          <w:id w:val="-3045554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25"/>
        <w:gridCol w:w="2848"/>
        <w:gridCol w:w="2850"/>
      </w:tblGrid>
      <w:tr w:rsidR="004A3868">
        <w:trPr>
          <w:cantSplit/>
          <w:trHeight w:val="397"/>
          <w:jc w:val="center"/>
        </w:trPr>
        <w:sdt>
          <w:sdtPr>
            <w:tag w:val="_PLD_a05982b715d74082b7e01db9e1e265ef"/>
            <w:id w:val="-38751717"/>
            <w:lock w:val="sdtLocked"/>
          </w:sdtPr>
          <w:sdtEndPr/>
          <w:sdtContent>
            <w:tc>
              <w:tcPr>
                <w:tcW w:w="1771" w:type="pct"/>
                <w:shd w:val="clear" w:color="auto" w:fill="auto"/>
                <w:vAlign w:val="center"/>
              </w:tcPr>
              <w:p w:rsidR="004A3868" w:rsidRDefault="003F1AB5">
                <w:pPr>
                  <w:pStyle w:val="afffb"/>
                </w:pPr>
                <w:r>
                  <w:rPr>
                    <w:rFonts w:hint="eastAsia"/>
                  </w:rPr>
                  <w:t>项目</w:t>
                </w:r>
              </w:p>
            </w:tc>
          </w:sdtContent>
        </w:sdt>
        <w:sdt>
          <w:sdtPr>
            <w:tag w:val="_PLD_84a0d8719b674f50bfcfc1c6ed86fed6"/>
            <w:id w:val="657038828"/>
            <w:lock w:val="sdtLocked"/>
          </w:sdtPr>
          <w:sdtEndPr/>
          <w:sdtContent>
            <w:tc>
              <w:tcPr>
                <w:tcW w:w="1614" w:type="pct"/>
                <w:shd w:val="clear" w:color="auto" w:fill="auto"/>
                <w:vAlign w:val="center"/>
              </w:tcPr>
              <w:p w:rsidR="004A3868" w:rsidRDefault="003F1AB5">
                <w:pPr>
                  <w:pStyle w:val="afffb"/>
                </w:pPr>
                <w:r>
                  <w:rPr>
                    <w:rFonts w:hint="eastAsia"/>
                  </w:rPr>
                  <w:t>期末余额</w:t>
                </w:r>
              </w:p>
            </w:tc>
          </w:sdtContent>
        </w:sdt>
        <w:sdt>
          <w:sdtPr>
            <w:tag w:val="_PLD_d601589800f8414abb18e7477e7b41d6"/>
            <w:id w:val="-857812002"/>
            <w:lock w:val="sdtLocked"/>
          </w:sdtPr>
          <w:sdtEndPr/>
          <w:sdtContent>
            <w:tc>
              <w:tcPr>
                <w:tcW w:w="1615" w:type="pct"/>
                <w:shd w:val="clear" w:color="auto" w:fill="auto"/>
                <w:vAlign w:val="center"/>
              </w:tcPr>
              <w:p w:rsidR="004A3868" w:rsidRDefault="003F1AB5">
                <w:pPr>
                  <w:pStyle w:val="afffb"/>
                </w:pPr>
                <w:r>
                  <w:rPr>
                    <w:rFonts w:hint="eastAsia"/>
                  </w:rPr>
                  <w:t>期初余额</w:t>
                </w:r>
              </w:p>
            </w:tc>
          </w:sdtContent>
        </w:sdt>
      </w:tr>
      <w:tr w:rsidR="004A3868">
        <w:trPr>
          <w:cantSplit/>
          <w:trHeight w:val="397"/>
          <w:jc w:val="center"/>
        </w:trPr>
        <w:tc>
          <w:tcPr>
            <w:tcW w:w="1771" w:type="pct"/>
            <w:vAlign w:val="center"/>
          </w:tcPr>
          <w:p w:rsidR="004A3868" w:rsidRDefault="003F1AB5">
            <w:pPr>
              <w:pStyle w:val="afff9"/>
            </w:pPr>
            <w:r>
              <w:rPr>
                <w:rFonts w:hint="eastAsia"/>
              </w:rPr>
              <w:t>租赁负债</w:t>
            </w:r>
          </w:p>
        </w:tc>
        <w:tc>
          <w:tcPr>
            <w:tcW w:w="1614" w:type="pct"/>
            <w:vAlign w:val="center"/>
          </w:tcPr>
          <w:p w:rsidR="004A3868" w:rsidRDefault="003F1AB5">
            <w:pPr>
              <w:pStyle w:val="afff7"/>
            </w:pPr>
            <w:r>
              <w:t>4,228,032.70</w:t>
            </w:r>
          </w:p>
        </w:tc>
        <w:tc>
          <w:tcPr>
            <w:tcW w:w="1615" w:type="pct"/>
            <w:vAlign w:val="center"/>
          </w:tcPr>
          <w:p w:rsidR="004A3868" w:rsidRDefault="003F1AB5">
            <w:pPr>
              <w:pStyle w:val="afff7"/>
            </w:pPr>
            <w:r>
              <w:t>561,243.09</w:t>
            </w:r>
          </w:p>
        </w:tc>
      </w:tr>
    </w:tbl>
    <w:p w:rsidR="004A3868" w:rsidRDefault="003F1AB5">
      <w:pPr>
        <w:rPr>
          <w:sz w:val="21"/>
          <w:szCs w:val="21"/>
        </w:rPr>
      </w:pPr>
      <w:r>
        <w:rPr>
          <w:rFonts w:hint="eastAsia"/>
          <w:sz w:val="21"/>
          <w:szCs w:val="21"/>
        </w:rPr>
        <w:t>其他说明：</w:t>
      </w:r>
    </w:p>
    <w:sdt>
      <w:sdtPr>
        <w:rPr>
          <w:sz w:val="21"/>
          <w:szCs w:val="21"/>
        </w:rPr>
        <w:alias w:val="租赁负债其他说明"/>
        <w:tag w:val="_GBC_d655dad6394141cbbfbca3ff3319cddc"/>
        <w:id w:val="1298270338"/>
        <w:placeholder>
          <w:docPart w:val="GBC22222222222222222222222222222"/>
        </w:placeholder>
      </w:sdtPr>
      <w:sdtEndPr/>
      <w:sdtContent>
        <w:p w:rsidR="004A3868" w:rsidRDefault="003F1AB5">
          <w:pPr>
            <w:rPr>
              <w:sz w:val="21"/>
              <w:szCs w:val="21"/>
            </w:rPr>
          </w:pPr>
          <w:r>
            <w:rPr>
              <w:rFonts w:hint="eastAsia"/>
              <w:sz w:val="21"/>
              <w:szCs w:val="21"/>
            </w:rPr>
            <w:t>无</w:t>
          </w:r>
        </w:p>
      </w:sdtContent>
    </w:sdt>
    <w:bookmarkEnd w:id="225"/>
    <w:p w:rsidR="004A3868" w:rsidRDefault="003F1AB5">
      <w:pPr>
        <w:pStyle w:val="Style12711"/>
      </w:pPr>
      <w:r>
        <w:rPr>
          <w:rFonts w:hint="eastAsia"/>
        </w:rPr>
        <w:t>长期应付款</w:t>
      </w:r>
    </w:p>
    <w:p w:rsidR="004A3868" w:rsidRDefault="003F1AB5">
      <w:pPr>
        <w:pStyle w:val="Style128"/>
      </w:pPr>
      <w:r>
        <w:rPr>
          <w:rFonts w:hint="eastAsia"/>
        </w:rPr>
        <w:t>项目列示</w:t>
      </w:r>
    </w:p>
    <w:bookmarkStart w:id="226" w:name="_Hlk532911038" w:displacedByCustomXml="next"/>
    <w:sdt>
      <w:sdtPr>
        <w:alias w:val="是否适用：长期应付款分类列示[双击切换]"/>
        <w:tag w:val="_GBC_90d4a9bd673140ef9c99898da48d1614"/>
        <w:id w:val="-109370192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其他说明：</w:t>
      </w:r>
    </w:p>
    <w:bookmarkEnd w:id="226" w:displacedByCustomXml="next"/>
    <w:bookmarkStart w:id="227" w:name="_Hlk532911057" w:displacedByCustomXml="next"/>
    <w:sdt>
      <w:sdtPr>
        <w:rPr>
          <w:sz w:val="21"/>
          <w:szCs w:val="21"/>
        </w:rPr>
        <w:alias w:val="是否适用：长期应付款分类列示其他说明[双击切换]"/>
        <w:tag w:val="_GBC_e7daa7f55cea4e3d835be6ee6457b35d"/>
        <w:id w:val="-19947029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27"/>
    <w:p w:rsidR="004A3868" w:rsidRDefault="003F1AB5">
      <w:pPr>
        <w:pStyle w:val="Style128"/>
      </w:pPr>
      <w:r>
        <w:rPr>
          <w:rFonts w:hint="eastAsia"/>
        </w:rPr>
        <w:t>长期应付款</w:t>
      </w:r>
    </w:p>
    <w:p w:rsidR="004A3868" w:rsidRDefault="003F1AB5">
      <w:pPr>
        <w:pStyle w:val="Style129"/>
        <w:rPr>
          <w:rStyle w:val="5Char"/>
          <w:b/>
          <w:bCs/>
          <w:szCs w:val="21"/>
        </w:rPr>
      </w:pPr>
      <w:r>
        <w:rPr>
          <w:rStyle w:val="5Char"/>
          <w:rFonts w:hint="eastAsia"/>
          <w:b/>
          <w:bCs/>
          <w:szCs w:val="21"/>
        </w:rPr>
        <w:t>按款项性质列示长期应付款</w:t>
      </w:r>
    </w:p>
    <w:sdt>
      <w:sdtPr>
        <w:rPr>
          <w:sz w:val="21"/>
          <w:szCs w:val="21"/>
        </w:rPr>
        <w:alias w:val="是否适用：按款项性质列示长期应付款[双击切换]"/>
        <w:tag w:val="_GBC_6a4cca7cce5341018cd4836f32746cd9"/>
        <w:id w:val="-205283619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pPr>
      <w:r>
        <w:rPr>
          <w:rFonts w:hint="eastAsia"/>
        </w:rPr>
        <w:t>专项应付款</w:t>
      </w:r>
    </w:p>
    <w:p w:rsidR="004A3868" w:rsidRDefault="003F1AB5">
      <w:pPr>
        <w:pStyle w:val="Style129"/>
        <w:rPr>
          <w:rStyle w:val="5Char"/>
          <w:b/>
          <w:bCs/>
          <w:szCs w:val="21"/>
        </w:rPr>
      </w:pPr>
      <w:r>
        <w:rPr>
          <w:rStyle w:val="5Char"/>
          <w:rFonts w:hint="eastAsia"/>
          <w:b/>
          <w:bCs/>
          <w:szCs w:val="21"/>
        </w:rPr>
        <w:t>按款项性质列示专项应付款</w:t>
      </w:r>
    </w:p>
    <w:sdt>
      <w:sdtPr>
        <w:rPr>
          <w:sz w:val="21"/>
          <w:szCs w:val="21"/>
        </w:rPr>
        <w:alias w:val="是否适用：专项应付款[双击切换]"/>
        <w:tag w:val="_GBC_857ddecb5bce4a0f99e428cd2635aa03"/>
        <w:id w:val="1870328100"/>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长期应付职工薪酬</w:t>
      </w:r>
    </w:p>
    <w:sdt>
      <w:sdtPr>
        <w:alias w:val="是否适用：长期应付职工薪酬[双击切换]"/>
        <w:tag w:val="_GBC_24f9546075204a64926cf2cb24e64f0e"/>
        <w:id w:val="1882121193"/>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96"/>
        </w:numPr>
      </w:pPr>
      <w:r>
        <w:rPr>
          <w:rFonts w:hint="eastAsia"/>
        </w:rPr>
        <w:t>长期应付职工薪酬表</w:t>
      </w:r>
    </w:p>
    <w:sdt>
      <w:sdtPr>
        <w:alias w:val="是否适用：长期应付职工薪酬表[双击切换]"/>
        <w:tag w:val="_GBC_b44de9fd198c4a3499852d2770fe541b"/>
        <w:id w:val="-750665174"/>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96"/>
        </w:numPr>
      </w:pPr>
      <w:r>
        <w:rPr>
          <w:rFonts w:hint="eastAsia"/>
        </w:rPr>
        <w:t>设定受益计划变动情况</w:t>
      </w:r>
    </w:p>
    <w:p w:rsidR="004A3868" w:rsidRDefault="003F1AB5">
      <w:pPr>
        <w:rPr>
          <w:sz w:val="21"/>
          <w:szCs w:val="21"/>
        </w:rPr>
      </w:pPr>
      <w:r>
        <w:rPr>
          <w:rFonts w:hint="eastAsia"/>
          <w:sz w:val="21"/>
          <w:szCs w:val="21"/>
        </w:rPr>
        <w:t>设定受益计划义务现值：</w:t>
      </w:r>
    </w:p>
    <w:sdt>
      <w:sdtPr>
        <w:alias w:val="是否适用：设定受益计划义务现值[双击切换]"/>
        <w:tag w:val="_GBC_898bbd8ee5bb4ad698965551469ae3fb"/>
        <w:id w:val="494469685"/>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计划资产：</w:t>
      </w:r>
    </w:p>
    <w:p w:rsidR="004A3868" w:rsidRDefault="00B34370">
      <w:pPr>
        <w:pStyle w:val="Style124"/>
      </w:pPr>
      <w:sdt>
        <w:sdtPr>
          <w:rPr>
            <w:rFonts w:hint="eastAsia"/>
          </w:rPr>
          <w:alias w:val="是否适用：设定受益计划变动情况_计划资产[双击切换]"/>
          <w:tag w:val="_GBC_da74e4a7bfc84e888afc38ffa6096a31"/>
          <w:id w:val="44029046"/>
          <w:lock w:val="sdtLocked"/>
          <w:placeholder>
            <w:docPart w:val="GBC22222222222222222222222222222"/>
          </w:placeholder>
        </w:sdtPr>
        <w:sdtEndPr/>
        <w:sdtContent>
          <w:r w:rsidR="003F1AB5">
            <w:fldChar w:fldCharType="begin"/>
          </w:r>
          <w:r w:rsidR="003F1AB5">
            <w:instrText xml:space="preserve"> 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Style124"/>
      </w:pPr>
      <w:r>
        <w:rPr>
          <w:rFonts w:hint="eastAsia"/>
        </w:rPr>
        <w:t>设定受益计划净负债（净资产）</w:t>
      </w:r>
    </w:p>
    <w:sdt>
      <w:sdtPr>
        <w:rPr>
          <w:sz w:val="21"/>
          <w:szCs w:val="21"/>
        </w:rPr>
        <w:alias w:val="是否适用：设定受益计划变动情况_设定受益计划净负债[双击切换]"/>
        <w:tag w:val="_GBC_4ef7ea9e6dc7431c9365dcd01da99b90"/>
        <w:id w:val="677310322"/>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设定受益计划的内容及与之相关风险、对公司未来现金流量、时间和不确定性的影响说明：</w:t>
      </w:r>
    </w:p>
    <w:sdt>
      <w:sdtPr>
        <w:rPr>
          <w:sz w:val="21"/>
          <w:szCs w:val="21"/>
        </w:rPr>
        <w:alias w:val="是否适用：设定受益计划的内容及与之相关风险、对公司未来现金流量、时间和不确定性的影响说明[双击切换]"/>
        <w:tag w:val="_GBC_4c44a3ab962f4a27836276afcc8a7570"/>
        <w:id w:val="1666283243"/>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设定受益计划重大精算假设及敏感性分析结果说明</w:t>
      </w:r>
    </w:p>
    <w:sdt>
      <w:sdtPr>
        <w:rPr>
          <w:sz w:val="21"/>
          <w:szCs w:val="21"/>
        </w:rPr>
        <w:alias w:val="是否适用：设定受益计划重大精算假设及敏感性分析结果说明[双击切换]"/>
        <w:tag w:val="_GBC_24dfbea0996e4d8cbbe60d6820df50a2"/>
        <w:id w:val="1937787886"/>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其他说明：</w:t>
      </w:r>
    </w:p>
    <w:sdt>
      <w:sdtPr>
        <w:rPr>
          <w:sz w:val="21"/>
          <w:szCs w:val="21"/>
        </w:rPr>
        <w:alias w:val="是否适用：长期应付职工薪酬的其他说明[双击切换]"/>
        <w:tag w:val="_GBC_4c32051ec1ee486180dafb68d556d339"/>
        <w:id w:val="1332180161"/>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预计负债</w:t>
      </w:r>
    </w:p>
    <w:bookmarkStart w:id="228" w:name="_Hlk533670325" w:displacedByCustomXml="next"/>
    <w:sdt>
      <w:sdtPr>
        <w:alias w:val="是否适用：预计负债[双击切换]"/>
        <w:tag w:val="_GBC_d57ab9083835465c9b1fdeb5ed46b3ce"/>
        <w:id w:val="178345405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预计负债"/>
          <w:tag w:val="_GBC_579154bdef014b44aba03cac00df126c"/>
          <w:id w:val="-6186883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预计负债"/>
          <w:tag w:val="_GBC_1129ab1db6684ceb91f0593c32b5d268"/>
          <w:id w:val="-4218014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205"/>
        <w:gridCol w:w="2206"/>
        <w:gridCol w:w="2206"/>
        <w:gridCol w:w="2206"/>
      </w:tblGrid>
      <w:tr w:rsidR="004A3868">
        <w:trPr>
          <w:cantSplit/>
          <w:trHeight w:val="397"/>
          <w:jc w:val="center"/>
        </w:trPr>
        <w:sdt>
          <w:sdtPr>
            <w:tag w:val="_PLD_afddd1066e934e598ead7a6e38343c21"/>
            <w:id w:val="-2093531074"/>
            <w:lock w:val="sdtLocked"/>
          </w:sdtPr>
          <w:sdtEndPr/>
          <w:sdtContent>
            <w:tc>
              <w:tcPr>
                <w:tcW w:w="1250" w:type="pct"/>
                <w:vAlign w:val="center"/>
              </w:tcPr>
              <w:p w:rsidR="004A3868" w:rsidRDefault="003F1AB5">
                <w:pPr>
                  <w:pStyle w:val="afffb"/>
                </w:pPr>
                <w:r>
                  <w:rPr>
                    <w:rFonts w:hint="eastAsia"/>
                  </w:rPr>
                  <w:t>项目</w:t>
                </w:r>
              </w:p>
            </w:tc>
          </w:sdtContent>
        </w:sdt>
        <w:sdt>
          <w:sdtPr>
            <w:tag w:val="_PLD_d493e26e1fb643299cea253bb9f43ca1"/>
            <w:id w:val="-280889122"/>
            <w:lock w:val="sdtLocked"/>
          </w:sdtPr>
          <w:sdtEndPr/>
          <w:sdtContent>
            <w:tc>
              <w:tcPr>
                <w:tcW w:w="1250" w:type="pct"/>
                <w:vAlign w:val="center"/>
              </w:tcPr>
              <w:p w:rsidR="004A3868" w:rsidRDefault="003F1AB5">
                <w:pPr>
                  <w:pStyle w:val="afffb"/>
                </w:pPr>
                <w:r>
                  <w:rPr>
                    <w:rFonts w:hint="eastAsia"/>
                  </w:rPr>
                  <w:t>期初余额</w:t>
                </w:r>
              </w:p>
            </w:tc>
          </w:sdtContent>
        </w:sdt>
        <w:sdt>
          <w:sdtPr>
            <w:tag w:val="_PLD_34e5a75912204ec1a95f806f18cf2748"/>
            <w:id w:val="-1020005262"/>
            <w:lock w:val="sdtLocked"/>
          </w:sdtPr>
          <w:sdtEndPr/>
          <w:sdtContent>
            <w:tc>
              <w:tcPr>
                <w:tcW w:w="1250" w:type="pct"/>
                <w:vAlign w:val="center"/>
              </w:tcPr>
              <w:p w:rsidR="004A3868" w:rsidRDefault="003F1AB5">
                <w:pPr>
                  <w:pStyle w:val="afffb"/>
                </w:pPr>
                <w:r>
                  <w:rPr>
                    <w:rFonts w:hint="eastAsia"/>
                  </w:rPr>
                  <w:t>期末余额</w:t>
                </w:r>
              </w:p>
            </w:tc>
          </w:sdtContent>
        </w:sdt>
        <w:sdt>
          <w:sdtPr>
            <w:tag w:val="_PLD_4ab9627b71924167a2397cf4a5d9e546"/>
            <w:id w:val="817616852"/>
            <w:lock w:val="sdtLocked"/>
          </w:sdtPr>
          <w:sdtEndPr/>
          <w:sdtContent>
            <w:tc>
              <w:tcPr>
                <w:tcW w:w="1250" w:type="pct"/>
                <w:vAlign w:val="center"/>
              </w:tcPr>
              <w:p w:rsidR="004A3868" w:rsidRDefault="003F1AB5">
                <w:pPr>
                  <w:pStyle w:val="afffb"/>
                </w:pPr>
                <w:r>
                  <w:rPr>
                    <w:rFonts w:hint="eastAsia"/>
                  </w:rPr>
                  <w:t>形成原因</w:t>
                </w:r>
              </w:p>
            </w:tc>
          </w:sdtContent>
        </w:sdt>
      </w:tr>
      <w:tr w:rsidR="004A3868">
        <w:trPr>
          <w:cantSplit/>
          <w:trHeight w:val="397"/>
          <w:jc w:val="center"/>
        </w:trPr>
        <w:tc>
          <w:tcPr>
            <w:tcW w:w="1250" w:type="pct"/>
            <w:shd w:val="clear" w:color="auto" w:fill="auto"/>
            <w:vAlign w:val="center"/>
          </w:tcPr>
          <w:p w:rsidR="004A3868" w:rsidRDefault="003F1AB5">
            <w:pPr>
              <w:pStyle w:val="afff9"/>
            </w:pPr>
            <w:r>
              <w:rPr>
                <w:rFonts w:hint="eastAsia"/>
              </w:rPr>
              <w:t>产品质量保证</w:t>
            </w:r>
          </w:p>
        </w:tc>
        <w:tc>
          <w:tcPr>
            <w:tcW w:w="1250" w:type="pct"/>
            <w:vAlign w:val="center"/>
          </w:tcPr>
          <w:p w:rsidR="004A3868" w:rsidRDefault="003F1AB5">
            <w:pPr>
              <w:pStyle w:val="afff7"/>
            </w:pPr>
            <w:r>
              <w:t>2,785,840.00</w:t>
            </w:r>
          </w:p>
        </w:tc>
        <w:tc>
          <w:tcPr>
            <w:tcW w:w="1250" w:type="pct"/>
            <w:vAlign w:val="center"/>
          </w:tcPr>
          <w:p w:rsidR="004A3868" w:rsidRDefault="004A3868">
            <w:pPr>
              <w:pStyle w:val="afff7"/>
            </w:pPr>
          </w:p>
        </w:tc>
        <w:tc>
          <w:tcPr>
            <w:tcW w:w="1250" w:type="pct"/>
            <w:vAlign w:val="center"/>
          </w:tcPr>
          <w:p w:rsidR="004A3868" w:rsidRDefault="003F1AB5">
            <w:pPr>
              <w:pStyle w:val="afffb"/>
            </w:pPr>
            <w:r>
              <w:rPr>
                <w:rFonts w:hint="eastAsia"/>
              </w:rPr>
              <w:t>产品锈蚀货损款</w:t>
            </w:r>
          </w:p>
        </w:tc>
      </w:tr>
      <w:tr w:rsidR="004A3868">
        <w:trPr>
          <w:cantSplit/>
          <w:trHeight w:val="397"/>
          <w:jc w:val="center"/>
        </w:trPr>
        <w:tc>
          <w:tcPr>
            <w:tcW w:w="1250" w:type="pct"/>
            <w:shd w:val="clear" w:color="auto" w:fill="auto"/>
            <w:vAlign w:val="center"/>
          </w:tcPr>
          <w:p w:rsidR="004A3868" w:rsidRDefault="003F1AB5">
            <w:pPr>
              <w:pStyle w:val="afff9"/>
            </w:pPr>
            <w:r>
              <w:rPr>
                <w:rFonts w:hint="eastAsia"/>
              </w:rPr>
              <w:t>未决诉讼</w:t>
            </w:r>
          </w:p>
        </w:tc>
        <w:tc>
          <w:tcPr>
            <w:tcW w:w="1250" w:type="pct"/>
            <w:vAlign w:val="center"/>
          </w:tcPr>
          <w:p w:rsidR="004A3868" w:rsidRDefault="004A3868">
            <w:pPr>
              <w:pStyle w:val="afff7"/>
            </w:pPr>
          </w:p>
        </w:tc>
        <w:tc>
          <w:tcPr>
            <w:tcW w:w="1250" w:type="pct"/>
          </w:tcPr>
          <w:p w:rsidR="004A3868" w:rsidRDefault="003F1AB5">
            <w:pPr>
              <w:pStyle w:val="afff7"/>
            </w:pPr>
            <w:r>
              <w:t>352,153.47</w:t>
            </w:r>
          </w:p>
        </w:tc>
        <w:tc>
          <w:tcPr>
            <w:tcW w:w="1250" w:type="pct"/>
            <w:vAlign w:val="center"/>
          </w:tcPr>
          <w:p w:rsidR="004A3868" w:rsidRDefault="003F1AB5">
            <w:pPr>
              <w:pStyle w:val="afffb"/>
            </w:pPr>
            <w:r>
              <w:rPr>
                <w:rFonts w:hint="eastAsia"/>
              </w:rPr>
              <w:t>详见本节、十六.承诺及或有事项</w:t>
            </w:r>
          </w:p>
        </w:tc>
      </w:tr>
      <w:tr w:rsidR="004A3868">
        <w:trPr>
          <w:cantSplit/>
          <w:trHeight w:val="397"/>
          <w:jc w:val="center"/>
        </w:trPr>
        <w:tc>
          <w:tcPr>
            <w:tcW w:w="1250" w:type="pct"/>
            <w:vAlign w:val="center"/>
          </w:tcPr>
          <w:p w:rsidR="004A3868" w:rsidRDefault="003F1AB5">
            <w:pPr>
              <w:pStyle w:val="afff9"/>
            </w:pPr>
            <w:r>
              <w:rPr>
                <w:rFonts w:hint="eastAsia"/>
              </w:rPr>
              <w:t>合计</w:t>
            </w:r>
          </w:p>
        </w:tc>
        <w:tc>
          <w:tcPr>
            <w:tcW w:w="1250" w:type="pct"/>
            <w:vAlign w:val="center"/>
          </w:tcPr>
          <w:p w:rsidR="004A3868" w:rsidRDefault="003F1AB5">
            <w:pPr>
              <w:pStyle w:val="afff7"/>
            </w:pPr>
            <w:r>
              <w:t>2,785,840.00</w:t>
            </w:r>
          </w:p>
        </w:tc>
        <w:tc>
          <w:tcPr>
            <w:tcW w:w="1250" w:type="pct"/>
          </w:tcPr>
          <w:p w:rsidR="004A3868" w:rsidRDefault="003F1AB5">
            <w:pPr>
              <w:pStyle w:val="afff7"/>
            </w:pPr>
            <w:r>
              <w:t>352,153.47</w:t>
            </w:r>
          </w:p>
        </w:tc>
        <w:tc>
          <w:tcPr>
            <w:tcW w:w="1250" w:type="pct"/>
            <w:vAlign w:val="center"/>
          </w:tcPr>
          <w:p w:rsidR="004A3868" w:rsidRDefault="004A3868">
            <w:pPr>
              <w:pStyle w:val="afffb"/>
            </w:pPr>
          </w:p>
        </w:tc>
      </w:tr>
    </w:tbl>
    <w:p w:rsidR="004A3868" w:rsidRDefault="003F1AB5">
      <w:pPr>
        <w:rPr>
          <w:sz w:val="21"/>
          <w:szCs w:val="21"/>
        </w:rPr>
      </w:pPr>
      <w:r>
        <w:rPr>
          <w:rFonts w:hint="eastAsia"/>
          <w:sz w:val="21"/>
          <w:szCs w:val="21"/>
        </w:rPr>
        <w:t>其他说明，包括重要预计负债的相关重要假设、估计说明：</w:t>
      </w:r>
    </w:p>
    <w:sdt>
      <w:sdtPr>
        <w:alias w:val="预计负债的说明"/>
        <w:tag w:val="_GBC_6e5c9571d9134db08ab20372e7d011c7"/>
        <w:id w:val="1024135725"/>
        <w:placeholder>
          <w:docPart w:val="GBC22222222222222222222222222222"/>
        </w:placeholder>
      </w:sdtPr>
      <w:sdtEndPr>
        <w:rPr>
          <w:sz w:val="21"/>
          <w:szCs w:val="21"/>
        </w:rPr>
      </w:sdtEndPr>
      <w:sdtContent>
        <w:p w:rsidR="004A3868" w:rsidRDefault="003F1AB5">
          <w:pPr>
            <w:rPr>
              <w:sz w:val="21"/>
              <w:szCs w:val="21"/>
            </w:rPr>
          </w:pPr>
          <w:r>
            <w:rPr>
              <w:rFonts w:hint="eastAsia"/>
              <w:sz w:val="21"/>
              <w:szCs w:val="21"/>
            </w:rPr>
            <w:t>无</w:t>
          </w:r>
        </w:p>
      </w:sdtContent>
    </w:sdt>
    <w:bookmarkEnd w:id="228"/>
    <w:p w:rsidR="004A3868" w:rsidRDefault="003F1AB5">
      <w:pPr>
        <w:pStyle w:val="Style12711"/>
      </w:pPr>
      <w:r>
        <w:rPr>
          <w:rFonts w:hint="eastAsia"/>
        </w:rPr>
        <w:t>递延收益</w:t>
      </w:r>
    </w:p>
    <w:p w:rsidR="004A3868" w:rsidRDefault="003F1AB5">
      <w:pPr>
        <w:pStyle w:val="Style152"/>
      </w:pPr>
      <w:r>
        <w:rPr>
          <w:rFonts w:hint="eastAsia"/>
        </w:rPr>
        <w:t>递延收益情况</w:t>
      </w:r>
    </w:p>
    <w:sdt>
      <w:sdtPr>
        <w:rPr>
          <w:rFonts w:hint="eastAsia"/>
        </w:rPr>
        <w:alias w:val="是否适用：递延收益情况 [双击切换]"/>
        <w:tag w:val="_GBC_1dc89c2a3092474186405d574af5f0a9"/>
        <w:id w:val="-1951384752"/>
        <w:placeholder>
          <w:docPart w:val="GBC22222222222222222222222222222"/>
        </w:placeholder>
      </w:sdtPr>
      <w:sdtEndPr/>
      <w:sdtContent>
        <w:p w:rsidR="004A3868" w:rsidRDefault="003F1AB5">
          <w:pPr>
            <w:pStyle w:val="Style152"/>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A3868" w:rsidRDefault="003F1AB5">
      <w:pPr>
        <w:pStyle w:val="afff5"/>
      </w:pPr>
      <w:r>
        <w:rPr>
          <w:rFonts w:hint="eastAsia"/>
        </w:rPr>
        <w:t>单位：</w:t>
      </w:r>
      <w:sdt>
        <w:sdtPr>
          <w:rPr>
            <w:rFonts w:hint="eastAsia"/>
          </w:rPr>
          <w:alias w:val="单位：财务附注：递延收益"/>
          <w:tag w:val="_GBC_302facde74424f4893f0a42db0d6e1ba"/>
          <w:id w:val="-13454031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递延收益"/>
          <w:tag w:val="_GBC_99380f3ab3514d54aa39945566772fb3"/>
          <w:id w:val="-12264473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557"/>
        <w:gridCol w:w="1704"/>
        <w:gridCol w:w="1559"/>
        <w:gridCol w:w="1558"/>
        <w:gridCol w:w="1556"/>
        <w:gridCol w:w="889"/>
      </w:tblGrid>
      <w:tr w:rsidR="004A3868">
        <w:trPr>
          <w:cantSplit/>
          <w:trHeight w:val="397"/>
          <w:jc w:val="center"/>
        </w:trPr>
        <w:bookmarkStart w:id="229" w:name="_Hlk532902569" w:displacedByCustomXml="next"/>
        <w:bookmarkStart w:id="230" w:name="_Hlk532902543" w:displacedByCustomXml="next"/>
        <w:sdt>
          <w:sdtPr>
            <w:tag w:val="_PLD_06c0ddfa4a2746ca8f12eddff124e05c"/>
            <w:id w:val="1898551173"/>
            <w:lock w:val="sdtLocked"/>
          </w:sdtPr>
          <w:sdtEndPr/>
          <w:sdtContent>
            <w:tc>
              <w:tcPr>
                <w:tcW w:w="882" w:type="pct"/>
                <w:shd w:val="clear" w:color="auto" w:fill="auto"/>
                <w:vAlign w:val="center"/>
              </w:tcPr>
              <w:p w:rsidR="004A3868" w:rsidRDefault="003F1AB5">
                <w:pPr>
                  <w:pStyle w:val="afffb"/>
                </w:pPr>
                <w:r>
                  <w:rPr>
                    <w:rFonts w:hint="eastAsia"/>
                  </w:rPr>
                  <w:t>项目</w:t>
                </w:r>
              </w:p>
            </w:tc>
          </w:sdtContent>
        </w:sdt>
        <w:sdt>
          <w:sdtPr>
            <w:tag w:val="_PLD_4c41187d18a94eb4908c030c31b5a141"/>
            <w:id w:val="583569279"/>
            <w:lock w:val="sdtLocked"/>
          </w:sdtPr>
          <w:sdtEndPr/>
          <w:sdtContent>
            <w:tc>
              <w:tcPr>
                <w:tcW w:w="965" w:type="pct"/>
                <w:shd w:val="clear" w:color="auto" w:fill="auto"/>
                <w:vAlign w:val="center"/>
              </w:tcPr>
              <w:p w:rsidR="004A3868" w:rsidRDefault="003F1AB5">
                <w:pPr>
                  <w:pStyle w:val="afffb"/>
                </w:pPr>
                <w:r>
                  <w:rPr>
                    <w:rFonts w:hint="eastAsia"/>
                  </w:rPr>
                  <w:t>期初余额</w:t>
                </w:r>
              </w:p>
            </w:tc>
          </w:sdtContent>
        </w:sdt>
        <w:sdt>
          <w:sdtPr>
            <w:tag w:val="_PLD_7823db68b61845e58a185dffbbfd2804"/>
            <w:id w:val="1300344479"/>
            <w:lock w:val="sdtLocked"/>
          </w:sdtPr>
          <w:sdtEndPr/>
          <w:sdtContent>
            <w:tc>
              <w:tcPr>
                <w:tcW w:w="883" w:type="pct"/>
                <w:shd w:val="clear" w:color="auto" w:fill="auto"/>
                <w:vAlign w:val="center"/>
              </w:tcPr>
              <w:p w:rsidR="004A3868" w:rsidRDefault="003F1AB5">
                <w:pPr>
                  <w:pStyle w:val="afffb"/>
                </w:pPr>
                <w:r>
                  <w:rPr>
                    <w:rFonts w:hint="eastAsia"/>
                  </w:rPr>
                  <w:t>本期增加</w:t>
                </w:r>
              </w:p>
            </w:tc>
          </w:sdtContent>
        </w:sdt>
        <w:sdt>
          <w:sdtPr>
            <w:tag w:val="_PLD_53b43bfd28984007852c2e00c870c71e"/>
            <w:id w:val="1556972297"/>
            <w:lock w:val="sdtLocked"/>
          </w:sdtPr>
          <w:sdtEndPr/>
          <w:sdtContent>
            <w:tc>
              <w:tcPr>
                <w:tcW w:w="883" w:type="pct"/>
                <w:shd w:val="clear" w:color="auto" w:fill="auto"/>
                <w:vAlign w:val="center"/>
              </w:tcPr>
              <w:p w:rsidR="004A3868" w:rsidRDefault="003F1AB5">
                <w:pPr>
                  <w:pStyle w:val="afffb"/>
                </w:pPr>
                <w:r>
                  <w:rPr>
                    <w:rFonts w:hint="eastAsia"/>
                  </w:rPr>
                  <w:t>本期减少</w:t>
                </w:r>
              </w:p>
            </w:tc>
          </w:sdtContent>
        </w:sdt>
        <w:sdt>
          <w:sdtPr>
            <w:tag w:val="_PLD_f07e96209c8b4d728b2a1b24ad38bcf7"/>
            <w:id w:val="1597450568"/>
            <w:lock w:val="sdtLocked"/>
          </w:sdtPr>
          <w:sdtEndPr/>
          <w:sdtContent>
            <w:tc>
              <w:tcPr>
                <w:tcW w:w="882" w:type="pct"/>
                <w:shd w:val="clear" w:color="auto" w:fill="auto"/>
                <w:vAlign w:val="center"/>
              </w:tcPr>
              <w:p w:rsidR="004A3868" w:rsidRDefault="003F1AB5">
                <w:pPr>
                  <w:pStyle w:val="afffb"/>
                </w:pPr>
                <w:r>
                  <w:rPr>
                    <w:rFonts w:hint="eastAsia"/>
                  </w:rPr>
                  <w:t>期末余额</w:t>
                </w:r>
              </w:p>
            </w:tc>
          </w:sdtContent>
        </w:sdt>
        <w:sdt>
          <w:sdtPr>
            <w:tag w:val="_PLD_86dc51c05b1340c5968feded0e64c1f1"/>
            <w:id w:val="216399166"/>
            <w:lock w:val="sdtLocked"/>
          </w:sdtPr>
          <w:sdtEndPr/>
          <w:sdtContent>
            <w:tc>
              <w:tcPr>
                <w:tcW w:w="504" w:type="pct"/>
                <w:shd w:val="clear" w:color="auto" w:fill="auto"/>
                <w:vAlign w:val="center"/>
              </w:tcPr>
              <w:p w:rsidR="004A3868" w:rsidRDefault="003F1AB5">
                <w:pPr>
                  <w:pStyle w:val="afffb"/>
                </w:pPr>
                <w:r>
                  <w:rPr>
                    <w:rFonts w:hint="eastAsia"/>
                  </w:rPr>
                  <w:t>形成原因</w:t>
                </w:r>
              </w:p>
            </w:tc>
          </w:sdtContent>
        </w:sdt>
      </w:tr>
      <w:tr w:rsidR="004A3868">
        <w:trPr>
          <w:cantSplit/>
          <w:trHeight w:val="397"/>
          <w:jc w:val="center"/>
        </w:trPr>
        <w:tc>
          <w:tcPr>
            <w:tcW w:w="882" w:type="pct"/>
            <w:shd w:val="clear" w:color="auto" w:fill="auto"/>
            <w:vAlign w:val="center"/>
          </w:tcPr>
          <w:p w:rsidR="004A3868" w:rsidRDefault="003F1AB5">
            <w:pPr>
              <w:pStyle w:val="afff9"/>
            </w:pPr>
            <w:r>
              <w:rPr>
                <w:rFonts w:hint="eastAsia"/>
              </w:rPr>
              <w:t>与资产相关政府补助</w:t>
            </w:r>
            <w:r>
              <w:rPr>
                <w:rFonts w:hint="eastAsia"/>
              </w:rPr>
              <w:t> </w:t>
            </w:r>
          </w:p>
        </w:tc>
        <w:tc>
          <w:tcPr>
            <w:tcW w:w="965" w:type="pct"/>
            <w:shd w:val="clear" w:color="auto" w:fill="auto"/>
            <w:vAlign w:val="center"/>
          </w:tcPr>
          <w:p w:rsidR="004A3868" w:rsidRDefault="003F1AB5">
            <w:pPr>
              <w:pStyle w:val="afff7"/>
            </w:pPr>
            <w:r>
              <w:t>64,627,958.53</w:t>
            </w:r>
          </w:p>
        </w:tc>
        <w:tc>
          <w:tcPr>
            <w:tcW w:w="883" w:type="pct"/>
            <w:shd w:val="clear" w:color="auto" w:fill="auto"/>
            <w:vAlign w:val="center"/>
          </w:tcPr>
          <w:p w:rsidR="004A3868" w:rsidRDefault="003F1AB5">
            <w:pPr>
              <w:pStyle w:val="afff7"/>
            </w:pPr>
            <w:r>
              <w:t>3,800,000.00</w:t>
            </w:r>
          </w:p>
        </w:tc>
        <w:tc>
          <w:tcPr>
            <w:tcW w:w="883" w:type="pct"/>
            <w:shd w:val="clear" w:color="auto" w:fill="auto"/>
            <w:vAlign w:val="center"/>
          </w:tcPr>
          <w:p w:rsidR="004A3868" w:rsidRDefault="003F1AB5">
            <w:pPr>
              <w:pStyle w:val="afff7"/>
            </w:pPr>
            <w:r>
              <w:t>4,261,859.07</w:t>
            </w:r>
          </w:p>
        </w:tc>
        <w:tc>
          <w:tcPr>
            <w:tcW w:w="882" w:type="pct"/>
            <w:shd w:val="clear" w:color="auto" w:fill="auto"/>
            <w:vAlign w:val="center"/>
          </w:tcPr>
          <w:p w:rsidR="004A3868" w:rsidRDefault="003F1AB5">
            <w:pPr>
              <w:pStyle w:val="afff7"/>
            </w:pPr>
            <w:r>
              <w:t>64,166,099.46</w:t>
            </w:r>
          </w:p>
        </w:tc>
        <w:tc>
          <w:tcPr>
            <w:tcW w:w="504" w:type="pct"/>
            <w:shd w:val="clear" w:color="auto" w:fill="auto"/>
            <w:vAlign w:val="center"/>
          </w:tcPr>
          <w:p w:rsidR="004A3868" w:rsidRDefault="003F1AB5">
            <w:pPr>
              <w:pStyle w:val="afffb"/>
            </w:pPr>
            <w:r>
              <w:t>详见表1</w:t>
            </w:r>
          </w:p>
        </w:tc>
      </w:tr>
      <w:tr w:rsidR="004A3868">
        <w:trPr>
          <w:cantSplit/>
          <w:trHeight w:val="397"/>
          <w:jc w:val="center"/>
        </w:trPr>
        <w:tc>
          <w:tcPr>
            <w:tcW w:w="882" w:type="pct"/>
            <w:shd w:val="clear" w:color="auto" w:fill="auto"/>
          </w:tcPr>
          <w:p w:rsidR="004A3868" w:rsidRDefault="003F1AB5">
            <w:pPr>
              <w:pStyle w:val="afff9"/>
            </w:pPr>
            <w:r>
              <w:t>与收益相关政府补助</w:t>
            </w:r>
            <w:r>
              <w:t> </w:t>
            </w:r>
          </w:p>
        </w:tc>
        <w:tc>
          <w:tcPr>
            <w:tcW w:w="965" w:type="pct"/>
            <w:shd w:val="clear" w:color="auto" w:fill="auto"/>
            <w:vAlign w:val="center"/>
          </w:tcPr>
          <w:p w:rsidR="004A3868" w:rsidRDefault="004A3868">
            <w:pPr>
              <w:pStyle w:val="afff7"/>
            </w:pPr>
          </w:p>
        </w:tc>
        <w:tc>
          <w:tcPr>
            <w:tcW w:w="883" w:type="pct"/>
            <w:shd w:val="clear" w:color="auto" w:fill="auto"/>
            <w:vAlign w:val="center"/>
          </w:tcPr>
          <w:p w:rsidR="004A3868" w:rsidRDefault="004A3868">
            <w:pPr>
              <w:pStyle w:val="afff7"/>
            </w:pPr>
          </w:p>
        </w:tc>
        <w:tc>
          <w:tcPr>
            <w:tcW w:w="883" w:type="pct"/>
            <w:shd w:val="clear" w:color="auto" w:fill="auto"/>
            <w:vAlign w:val="center"/>
          </w:tcPr>
          <w:p w:rsidR="004A3868" w:rsidRDefault="004A3868">
            <w:pPr>
              <w:pStyle w:val="afff7"/>
            </w:pPr>
          </w:p>
        </w:tc>
        <w:tc>
          <w:tcPr>
            <w:tcW w:w="882" w:type="pct"/>
            <w:shd w:val="clear" w:color="auto" w:fill="auto"/>
            <w:vAlign w:val="center"/>
          </w:tcPr>
          <w:p w:rsidR="004A3868" w:rsidRDefault="004A3868">
            <w:pPr>
              <w:pStyle w:val="afff7"/>
            </w:pPr>
          </w:p>
        </w:tc>
        <w:tc>
          <w:tcPr>
            <w:tcW w:w="504" w:type="pct"/>
            <w:shd w:val="clear" w:color="auto" w:fill="auto"/>
            <w:vAlign w:val="center"/>
          </w:tcPr>
          <w:p w:rsidR="004A3868" w:rsidRDefault="003F1AB5">
            <w:pPr>
              <w:pStyle w:val="afffb"/>
            </w:pPr>
            <w:r>
              <w:t>详见表1</w:t>
            </w:r>
          </w:p>
        </w:tc>
      </w:tr>
      <w:tr w:rsidR="004A3868">
        <w:trPr>
          <w:cantSplit/>
          <w:trHeight w:val="397"/>
          <w:jc w:val="center"/>
        </w:trPr>
        <w:tc>
          <w:tcPr>
            <w:tcW w:w="882" w:type="pct"/>
            <w:shd w:val="clear" w:color="auto" w:fill="auto"/>
            <w:vAlign w:val="center"/>
          </w:tcPr>
          <w:p w:rsidR="004A3868" w:rsidRDefault="003F1AB5">
            <w:pPr>
              <w:pStyle w:val="afff9"/>
            </w:pPr>
            <w:r>
              <w:rPr>
                <w:rFonts w:hint="eastAsia"/>
              </w:rPr>
              <w:t>合计</w:t>
            </w:r>
          </w:p>
        </w:tc>
        <w:tc>
          <w:tcPr>
            <w:tcW w:w="965" w:type="pct"/>
            <w:shd w:val="clear" w:color="auto" w:fill="auto"/>
            <w:vAlign w:val="center"/>
          </w:tcPr>
          <w:p w:rsidR="004A3868" w:rsidRDefault="003F1AB5">
            <w:pPr>
              <w:pStyle w:val="afff7"/>
            </w:pPr>
            <w:r>
              <w:t>64,627,958.53</w:t>
            </w:r>
          </w:p>
        </w:tc>
        <w:tc>
          <w:tcPr>
            <w:tcW w:w="883" w:type="pct"/>
            <w:shd w:val="clear" w:color="auto" w:fill="auto"/>
            <w:vAlign w:val="center"/>
          </w:tcPr>
          <w:p w:rsidR="004A3868" w:rsidRDefault="003F1AB5">
            <w:pPr>
              <w:pStyle w:val="afff7"/>
            </w:pPr>
            <w:r>
              <w:t>3,800,000.00</w:t>
            </w:r>
          </w:p>
        </w:tc>
        <w:tc>
          <w:tcPr>
            <w:tcW w:w="883" w:type="pct"/>
            <w:shd w:val="clear" w:color="auto" w:fill="auto"/>
            <w:vAlign w:val="center"/>
          </w:tcPr>
          <w:p w:rsidR="004A3868" w:rsidRDefault="003F1AB5">
            <w:pPr>
              <w:pStyle w:val="afff7"/>
            </w:pPr>
            <w:r>
              <w:t>4,261,859.07</w:t>
            </w:r>
          </w:p>
        </w:tc>
        <w:tc>
          <w:tcPr>
            <w:tcW w:w="882" w:type="pct"/>
            <w:shd w:val="clear" w:color="auto" w:fill="auto"/>
            <w:vAlign w:val="center"/>
          </w:tcPr>
          <w:p w:rsidR="004A3868" w:rsidRDefault="003F1AB5">
            <w:pPr>
              <w:pStyle w:val="afff7"/>
            </w:pPr>
            <w:r>
              <w:t>64,166,099.46</w:t>
            </w:r>
          </w:p>
        </w:tc>
        <w:tc>
          <w:tcPr>
            <w:tcW w:w="504" w:type="pct"/>
            <w:shd w:val="clear" w:color="auto" w:fill="auto"/>
          </w:tcPr>
          <w:p w:rsidR="004A3868" w:rsidRDefault="004A3868">
            <w:pPr>
              <w:pStyle w:val="afffb"/>
            </w:pPr>
          </w:p>
        </w:tc>
      </w:tr>
    </w:tbl>
    <w:p w:rsidR="004A3868" w:rsidRDefault="003F1AB5">
      <w:pPr>
        <w:rPr>
          <w:sz w:val="21"/>
          <w:szCs w:val="21"/>
        </w:rPr>
      </w:pPr>
      <w:r>
        <w:rPr>
          <w:rFonts w:hint="eastAsia"/>
          <w:sz w:val="21"/>
          <w:szCs w:val="21"/>
        </w:rPr>
        <w:t>其他说明：</w:t>
      </w:r>
    </w:p>
    <w:bookmarkEnd w:id="229" w:displacedByCustomXml="next"/>
    <w:bookmarkEnd w:id="230" w:displacedByCustomXml="next"/>
    <w:bookmarkStart w:id="231" w:name="OLE_LINK84" w:displacedByCustomXml="next"/>
    <w:bookmarkStart w:id="232" w:name="OLE_LINK85" w:displacedByCustomXml="next"/>
    <w:sdt>
      <w:sdtPr>
        <w:alias w:val="是否适用：递延收益的其他说明[双击切换]"/>
        <w:tag w:val="_GBC_0c28db54a76349869056f2b92b5d9400"/>
        <w:id w:val="-1471512595"/>
        <w:lock w:val="sdtLocked"/>
        <w:placeholder>
          <w:docPart w:val="GBC22222222222222222222222222222"/>
        </w:placeholder>
      </w:sdtPr>
      <w:sdtEndPr/>
      <w:sdtContent>
        <w:p w:rsidR="004A3868" w:rsidRDefault="003F1AB5">
          <w:pPr>
            <w:pStyle w:val="Style84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232"/>
    <w:bookmarkEnd w:id="231"/>
    <w:p w:rsidR="004A3868" w:rsidRDefault="003F1AB5">
      <w:pPr>
        <w:pStyle w:val="Style12711"/>
      </w:pPr>
      <w:r>
        <w:rPr>
          <w:rFonts w:hint="eastAsia"/>
        </w:rPr>
        <w:t>其他非流动负债</w:t>
      </w:r>
    </w:p>
    <w:bookmarkStart w:id="233" w:name="_Hlk533670383" w:displacedByCustomXml="next"/>
    <w:sdt>
      <w:sdtPr>
        <w:alias w:val="是否适用：其他非流动负债[双击切换]"/>
        <w:tag w:val="_GBC_05e5676f32624ce18727385761bd1a9a"/>
        <w:id w:val="-180440416"/>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33"/>
    <w:p w:rsidR="004A3868" w:rsidRDefault="003F1AB5">
      <w:pPr>
        <w:pStyle w:val="Style12711"/>
      </w:pPr>
      <w:r>
        <w:rPr>
          <w:rFonts w:hint="eastAsia"/>
        </w:rPr>
        <w:t>股本</w:t>
      </w:r>
    </w:p>
    <w:sdt>
      <w:sdtPr>
        <w:alias w:val="是否适用：股本[双击切换]"/>
        <w:tag w:val="_GBC_a2069fb3657946ee9810a9154eb11422"/>
        <w:id w:val="-13826519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股本"/>
          <w:tag w:val="_GBC_e2cacf7f2d9f4ad78dce53a3e345569e"/>
          <w:id w:val="3797490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股本"/>
          <w:tag w:val="_GBC_a1c9c99744d0466d8ff5672b2b69076a"/>
          <w:id w:val="5929803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130"/>
        <w:gridCol w:w="1842"/>
        <w:gridCol w:w="566"/>
        <w:gridCol w:w="826"/>
        <w:gridCol w:w="1159"/>
        <w:gridCol w:w="709"/>
        <w:gridCol w:w="851"/>
        <w:gridCol w:w="1740"/>
      </w:tblGrid>
      <w:tr w:rsidR="004A3868">
        <w:trPr>
          <w:cantSplit/>
          <w:trHeight w:val="397"/>
          <w:jc w:val="center"/>
        </w:trPr>
        <w:tc>
          <w:tcPr>
            <w:tcW w:w="640" w:type="pct"/>
            <w:vMerge w:val="restart"/>
            <w:tcBorders>
              <w:top w:val="single" w:sz="4" w:space="0" w:color="auto"/>
              <w:left w:val="single" w:sz="4" w:space="0" w:color="auto"/>
              <w:bottom w:val="single" w:sz="4" w:space="0" w:color="auto"/>
              <w:right w:val="single" w:sz="4" w:space="0" w:color="auto"/>
            </w:tcBorders>
            <w:vAlign w:val="center"/>
          </w:tcPr>
          <w:p w:rsidR="004A3868" w:rsidRDefault="004A3868">
            <w:pPr>
              <w:pStyle w:val="afffb"/>
            </w:pPr>
          </w:p>
        </w:tc>
        <w:sdt>
          <w:sdtPr>
            <w:tag w:val="_PLD_fd63a619db16496bad52eeb145839158"/>
            <w:id w:val="-1428503136"/>
          </w:sdtPr>
          <w:sdtEndPr/>
          <w:sdtContent>
            <w:tc>
              <w:tcPr>
                <w:tcW w:w="1044" w:type="pct"/>
                <w:vMerge w:val="restart"/>
                <w:tcBorders>
                  <w:top w:val="single" w:sz="4" w:space="0" w:color="auto"/>
                  <w:left w:val="single" w:sz="4" w:space="0" w:color="auto"/>
                  <w:right w:val="single" w:sz="4" w:space="0" w:color="auto"/>
                </w:tcBorders>
                <w:vAlign w:val="center"/>
              </w:tcPr>
              <w:p w:rsidR="004A3868" w:rsidRDefault="003F1AB5">
                <w:pPr>
                  <w:pStyle w:val="afffb"/>
                </w:pPr>
                <w:r>
                  <w:rPr>
                    <w:rFonts w:hint="eastAsia"/>
                  </w:rPr>
                  <w:t>期初余额</w:t>
                </w:r>
              </w:p>
            </w:tc>
          </w:sdtContent>
        </w:sdt>
        <w:sdt>
          <w:sdtPr>
            <w:tag w:val="_PLD_2cb33d9d8b0d47539581498c039e86aa"/>
            <w:id w:val="-308861205"/>
          </w:sdtPr>
          <w:sdtEndPr/>
          <w:sdtContent>
            <w:tc>
              <w:tcPr>
                <w:tcW w:w="2330" w:type="pct"/>
                <w:gridSpan w:val="5"/>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本次变动增减（+、一）</w:t>
                </w:r>
              </w:p>
            </w:tc>
          </w:sdtContent>
        </w:sdt>
        <w:sdt>
          <w:sdtPr>
            <w:tag w:val="_PLD_e579078cb28f47a09273701ab9e2e37a"/>
            <w:id w:val="1721177631"/>
          </w:sdtPr>
          <w:sdtEndPr/>
          <w:sdtContent>
            <w:tc>
              <w:tcPr>
                <w:tcW w:w="986" w:type="pct"/>
                <w:vMerge w:val="restart"/>
                <w:tcBorders>
                  <w:top w:val="single" w:sz="4" w:space="0" w:color="auto"/>
                  <w:left w:val="single" w:sz="4" w:space="0" w:color="auto"/>
                  <w:right w:val="single" w:sz="4" w:space="0" w:color="auto"/>
                </w:tcBorders>
                <w:vAlign w:val="center"/>
              </w:tcPr>
              <w:p w:rsidR="004A3868" w:rsidRDefault="003F1AB5">
                <w:pPr>
                  <w:pStyle w:val="afffb"/>
                </w:pPr>
                <w:r>
                  <w:rPr>
                    <w:rFonts w:hint="eastAsia"/>
                  </w:rPr>
                  <w:t>期末余额</w:t>
                </w:r>
              </w:p>
            </w:tc>
          </w:sdtContent>
        </w:sdt>
      </w:tr>
      <w:tr w:rsidR="004A3868">
        <w:trPr>
          <w:cantSplit/>
          <w:trHeight w:val="397"/>
          <w:jc w:val="center"/>
        </w:trPr>
        <w:tc>
          <w:tcPr>
            <w:tcW w:w="640" w:type="pct"/>
            <w:vMerge/>
            <w:tcBorders>
              <w:top w:val="single" w:sz="4" w:space="0" w:color="auto"/>
              <w:left w:val="single" w:sz="4" w:space="0" w:color="auto"/>
              <w:bottom w:val="single" w:sz="4" w:space="0" w:color="auto"/>
              <w:right w:val="single" w:sz="4" w:space="0" w:color="auto"/>
            </w:tcBorders>
          </w:tcPr>
          <w:p w:rsidR="004A3868" w:rsidRDefault="004A3868">
            <w:pPr>
              <w:rPr>
                <w:sz w:val="21"/>
                <w:szCs w:val="21"/>
              </w:rPr>
            </w:pPr>
          </w:p>
        </w:tc>
        <w:tc>
          <w:tcPr>
            <w:tcW w:w="1044" w:type="pct"/>
            <w:vMerge/>
            <w:tcBorders>
              <w:left w:val="single" w:sz="4" w:space="0" w:color="auto"/>
              <w:bottom w:val="single" w:sz="4" w:space="0" w:color="auto"/>
              <w:right w:val="single" w:sz="4" w:space="0" w:color="auto"/>
            </w:tcBorders>
          </w:tcPr>
          <w:p w:rsidR="004A3868" w:rsidRDefault="004A3868">
            <w:pPr>
              <w:rPr>
                <w:sz w:val="21"/>
                <w:szCs w:val="21"/>
              </w:rPr>
            </w:pPr>
          </w:p>
        </w:tc>
        <w:sdt>
          <w:sdtPr>
            <w:tag w:val="_PLD_2f067dcfa40a4e2d896a383f16e2e483"/>
            <w:id w:val="-340938024"/>
          </w:sdtPr>
          <w:sdtEndPr/>
          <w:sdtContent>
            <w:tc>
              <w:tcPr>
                <w:tcW w:w="3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发行</w:t>
                </w:r>
              </w:p>
              <w:p w:rsidR="004A3868" w:rsidRDefault="003F1AB5">
                <w:pPr>
                  <w:pStyle w:val="afffb"/>
                </w:pPr>
                <w:r>
                  <w:rPr>
                    <w:rFonts w:hint="eastAsia"/>
                  </w:rPr>
                  <w:t>新股</w:t>
                </w:r>
              </w:p>
            </w:tc>
          </w:sdtContent>
        </w:sdt>
        <w:sdt>
          <w:sdtPr>
            <w:tag w:val="_PLD_afc58df66e0343a29873ec3c2270451e"/>
            <w:id w:val="1731808493"/>
          </w:sdtPr>
          <w:sdtEndPr/>
          <w:sdtContent>
            <w:tc>
              <w:tcPr>
                <w:tcW w:w="46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送股</w:t>
                </w:r>
              </w:p>
            </w:tc>
          </w:sdtContent>
        </w:sdt>
        <w:sdt>
          <w:sdtPr>
            <w:tag w:val="_PLD_31d618a387e243239ea8ee139a3a39da"/>
            <w:id w:val="1640845467"/>
          </w:sdtPr>
          <w:sdtEndPr/>
          <w:sdtContent>
            <w:tc>
              <w:tcPr>
                <w:tcW w:w="65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公积金</w:t>
                </w:r>
              </w:p>
              <w:p w:rsidR="004A3868" w:rsidRDefault="003F1AB5">
                <w:pPr>
                  <w:pStyle w:val="afffb"/>
                </w:pPr>
                <w:r>
                  <w:rPr>
                    <w:rFonts w:hint="eastAsia"/>
                  </w:rPr>
                  <w:t>转股</w:t>
                </w:r>
              </w:p>
            </w:tc>
          </w:sdtContent>
        </w:sdt>
        <w:sdt>
          <w:sdtPr>
            <w:tag w:val="_PLD_12526084dedd4dc68d673c8a71c73862"/>
            <w:id w:val="-1591308841"/>
          </w:sdtPr>
          <w:sdtEndPr/>
          <w:sdtContent>
            <w:tc>
              <w:tcPr>
                <w:tcW w:w="4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其他</w:t>
                </w:r>
              </w:p>
            </w:tc>
          </w:sdtContent>
        </w:sdt>
        <w:sdt>
          <w:sdtPr>
            <w:tag w:val="_PLD_fe70bd23af2d4fd680087e555e574f82"/>
            <w:id w:val="-963731490"/>
          </w:sdtPr>
          <w:sdtEndPr/>
          <w:sdtContent>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小计</w:t>
                </w:r>
              </w:p>
            </w:tc>
          </w:sdtContent>
        </w:sdt>
        <w:tc>
          <w:tcPr>
            <w:tcW w:w="986" w:type="pct"/>
            <w:vMerge/>
            <w:tcBorders>
              <w:left w:val="single" w:sz="4" w:space="0" w:color="auto"/>
              <w:bottom w:val="single" w:sz="4" w:space="0" w:color="auto"/>
              <w:right w:val="single" w:sz="4" w:space="0" w:color="auto"/>
            </w:tcBorders>
          </w:tcPr>
          <w:p w:rsidR="004A3868" w:rsidRDefault="004A3868">
            <w:pPr>
              <w:rPr>
                <w:sz w:val="21"/>
                <w:szCs w:val="21"/>
              </w:rPr>
            </w:pPr>
          </w:p>
        </w:tc>
      </w:tr>
      <w:tr w:rsidR="004A3868">
        <w:trPr>
          <w:cantSplit/>
          <w:trHeight w:val="397"/>
          <w:jc w:val="center"/>
        </w:trPr>
        <w:tc>
          <w:tcPr>
            <w:tcW w:w="64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股份总数</w:t>
            </w:r>
          </w:p>
        </w:tc>
        <w:tc>
          <w:tcPr>
            <w:tcW w:w="104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333,167,407.00</w:t>
            </w:r>
          </w:p>
        </w:tc>
        <w:tc>
          <w:tcPr>
            <w:tcW w:w="321"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46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657"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40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9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333,167,407.00</w:t>
            </w:r>
          </w:p>
        </w:tc>
      </w:tr>
    </w:tbl>
    <w:p w:rsidR="004A3868" w:rsidRDefault="003F1AB5">
      <w:pPr>
        <w:rPr>
          <w:sz w:val="21"/>
          <w:szCs w:val="21"/>
        </w:rPr>
      </w:pPr>
      <w:r>
        <w:rPr>
          <w:rFonts w:hint="eastAsia"/>
          <w:sz w:val="21"/>
          <w:szCs w:val="21"/>
        </w:rPr>
        <w:t>其他说明：</w:t>
      </w:r>
    </w:p>
    <w:sdt>
      <w:sdtPr>
        <w:alias w:val="股本变动情况说明"/>
        <w:tag w:val="_GBC_6600e13aac194caa9cb58963beb3073e"/>
        <w:id w:val="1850520576"/>
        <w:placeholder>
          <w:docPart w:val="GBC22222222222222222222222222222"/>
        </w:placeholder>
      </w:sdtPr>
      <w:sdtEndPr>
        <w:rPr>
          <w:sz w:val="21"/>
          <w:szCs w:val="21"/>
        </w:r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cs="宋体" w:hint="eastAsia"/>
          <w:kern w:val="0"/>
        </w:rPr>
        <w:t>其</w:t>
      </w:r>
      <w:r>
        <w:rPr>
          <w:rFonts w:hint="eastAsia"/>
        </w:rPr>
        <w:t>他权益工具</w:t>
      </w:r>
    </w:p>
    <w:p w:rsidR="004A3868" w:rsidRDefault="003F1AB5">
      <w:pPr>
        <w:pStyle w:val="Style128"/>
        <w:numPr>
          <w:ilvl w:val="0"/>
          <w:numId w:val="97"/>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115441701"/>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97"/>
        </w:numPr>
      </w:pPr>
      <w:r>
        <w:rPr>
          <w:rFonts w:hint="eastAsia"/>
        </w:rPr>
        <w:t>期末发行在外的优先股、永续债等金融工具变动情况表</w:t>
      </w:r>
    </w:p>
    <w:bookmarkStart w:id="234" w:name="_Hlk89785156" w:displacedByCustomXml="next"/>
    <w:sdt>
      <w:sdtPr>
        <w:rPr>
          <w:sz w:val="21"/>
          <w:szCs w:val="21"/>
        </w:rPr>
        <w:alias w:val="是否适用：期末发行在外的优先股、永续债等金融工具变动情况表_其他权益工具[双击切换]"/>
        <w:tag w:val="_GBC_894eb45c6bf3473785ba1a45bf437264"/>
        <w:id w:val="-16502670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其他权益工具本期增减变动情况、变动原因说明，以及相关会计处理的依据：</w:t>
      </w:r>
    </w:p>
    <w:bookmarkEnd w:id="234" w:displacedByCustomXml="next"/>
    <w:bookmarkStart w:id="235" w:name="_Hlk89785136" w:displacedByCustomXml="next"/>
    <w:sdt>
      <w:sdtPr>
        <w:rPr>
          <w:sz w:val="21"/>
          <w:szCs w:val="21"/>
        </w:rPr>
        <w:alias w:val="是否适用：其他权益工具本期增减变动情况、变动原因说明，以及相关会计处理的依据[双击切换]"/>
        <w:tag w:val="_GBC_e803942788b34e5092c70a4cbf71f4b5"/>
        <w:id w:val="-1480681408"/>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35"/>
    <w:p w:rsidR="004A3868" w:rsidRDefault="003F1AB5">
      <w:pPr>
        <w:rPr>
          <w:sz w:val="21"/>
          <w:szCs w:val="21"/>
        </w:rPr>
      </w:pPr>
      <w:r>
        <w:rPr>
          <w:rFonts w:hint="eastAsia"/>
          <w:sz w:val="21"/>
          <w:szCs w:val="21"/>
        </w:rPr>
        <w:t>其他说明:</w:t>
      </w:r>
    </w:p>
    <w:bookmarkStart w:id="236" w:name="_Hlk89785124" w:displacedByCustomXml="next"/>
    <w:sdt>
      <w:sdtPr>
        <w:alias w:val="是否适用：其他权益工具的其他说明[双击切换]"/>
        <w:tag w:val="_GBC_af2e32ae9c704175a99ebad592dec5f2"/>
        <w:id w:val="668756490"/>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36"/>
    <w:p w:rsidR="004A3868" w:rsidRDefault="003F1AB5">
      <w:pPr>
        <w:pStyle w:val="Style12711"/>
      </w:pPr>
      <w:r>
        <w:rPr>
          <w:rFonts w:hint="eastAsia"/>
        </w:rPr>
        <w:lastRenderedPageBreak/>
        <w:t>资本公积</w:t>
      </w:r>
    </w:p>
    <w:sdt>
      <w:sdtPr>
        <w:alias w:val="是否适用：资本公积[双击切换]"/>
        <w:tag w:val="_GBC_58b0344d8757456787af32396840e233"/>
        <w:id w:val="1750770968"/>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资本公积"/>
          <w:tag w:val="_GBC_1b11e7474fd44870ad976b16c25b20f4"/>
          <w:id w:val="-2176670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资本公积"/>
          <w:tag w:val="_GBC_6c523a4f3a0744439ef148664a9f722b"/>
          <w:id w:val="-16776399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262"/>
        <w:gridCol w:w="1844"/>
        <w:gridCol w:w="1276"/>
        <w:gridCol w:w="1537"/>
        <w:gridCol w:w="1904"/>
      </w:tblGrid>
      <w:tr w:rsidR="004A3868">
        <w:trPr>
          <w:trHeight w:val="397"/>
          <w:jc w:val="center"/>
        </w:trPr>
        <w:sdt>
          <w:sdtPr>
            <w:tag w:val="_PLD_b4e0b77813064aeb83afd63c7bafbdab"/>
            <w:id w:val="-1204633354"/>
          </w:sdtPr>
          <w:sdtEndPr/>
          <w:sdtContent>
            <w:tc>
              <w:tcPr>
                <w:tcW w:w="1282" w:type="pct"/>
                <w:vAlign w:val="center"/>
              </w:tcPr>
              <w:p w:rsidR="004A3868" w:rsidRDefault="003F1AB5">
                <w:pPr>
                  <w:pStyle w:val="afffb"/>
                </w:pPr>
                <w:r>
                  <w:rPr>
                    <w:rFonts w:hint="eastAsia"/>
                  </w:rPr>
                  <w:t>项目</w:t>
                </w:r>
              </w:p>
            </w:tc>
          </w:sdtContent>
        </w:sdt>
        <w:sdt>
          <w:sdtPr>
            <w:tag w:val="_PLD_2e3387dfd4d8490ca15036edd55f5d7b"/>
            <w:id w:val="-227146536"/>
          </w:sdtPr>
          <w:sdtEndPr/>
          <w:sdtContent>
            <w:tc>
              <w:tcPr>
                <w:tcW w:w="1045" w:type="pct"/>
                <w:vAlign w:val="center"/>
              </w:tcPr>
              <w:p w:rsidR="004A3868" w:rsidRDefault="003F1AB5">
                <w:pPr>
                  <w:pStyle w:val="afffb"/>
                </w:pPr>
                <w:r>
                  <w:rPr>
                    <w:rFonts w:hint="eastAsia"/>
                  </w:rPr>
                  <w:t>期初余额</w:t>
                </w:r>
              </w:p>
            </w:tc>
          </w:sdtContent>
        </w:sdt>
        <w:sdt>
          <w:sdtPr>
            <w:tag w:val="_PLD_48beb7e26e4d4ae4b8c76cfd47809420"/>
            <w:id w:val="307909664"/>
          </w:sdtPr>
          <w:sdtEndPr/>
          <w:sdtContent>
            <w:tc>
              <w:tcPr>
                <w:tcW w:w="723" w:type="pct"/>
                <w:vAlign w:val="center"/>
              </w:tcPr>
              <w:p w:rsidR="004A3868" w:rsidRDefault="003F1AB5">
                <w:pPr>
                  <w:pStyle w:val="afffb"/>
                </w:pPr>
                <w:r>
                  <w:rPr>
                    <w:rFonts w:hint="eastAsia"/>
                  </w:rPr>
                  <w:t>本期增加</w:t>
                </w:r>
              </w:p>
            </w:tc>
          </w:sdtContent>
        </w:sdt>
        <w:sdt>
          <w:sdtPr>
            <w:tag w:val="_PLD_146cd5e556074222b88edab30b505382"/>
            <w:id w:val="-1225145580"/>
          </w:sdtPr>
          <w:sdtEndPr/>
          <w:sdtContent>
            <w:tc>
              <w:tcPr>
                <w:tcW w:w="871" w:type="pct"/>
                <w:vAlign w:val="center"/>
              </w:tcPr>
              <w:p w:rsidR="004A3868" w:rsidRDefault="003F1AB5">
                <w:pPr>
                  <w:pStyle w:val="afffb"/>
                </w:pPr>
                <w:r>
                  <w:rPr>
                    <w:rFonts w:hint="eastAsia"/>
                  </w:rPr>
                  <w:t>本期减少</w:t>
                </w:r>
              </w:p>
            </w:tc>
          </w:sdtContent>
        </w:sdt>
        <w:sdt>
          <w:sdtPr>
            <w:tag w:val="_PLD_ce18950b18064dc1ac40e20c98bf9dcb"/>
            <w:id w:val="1018972705"/>
          </w:sdtPr>
          <w:sdtEndPr/>
          <w:sdtContent>
            <w:tc>
              <w:tcPr>
                <w:tcW w:w="1079" w:type="pct"/>
                <w:vAlign w:val="center"/>
              </w:tcPr>
              <w:p w:rsidR="004A3868" w:rsidRDefault="003F1AB5">
                <w:pPr>
                  <w:pStyle w:val="afffb"/>
                </w:pPr>
                <w:r>
                  <w:rPr>
                    <w:rFonts w:hint="eastAsia"/>
                  </w:rPr>
                  <w:t>期末余额</w:t>
                </w:r>
              </w:p>
            </w:tc>
          </w:sdtContent>
        </w:sdt>
      </w:tr>
      <w:tr w:rsidR="004A3868">
        <w:trPr>
          <w:trHeight w:val="397"/>
          <w:jc w:val="center"/>
        </w:trPr>
        <w:tc>
          <w:tcPr>
            <w:tcW w:w="1282" w:type="pct"/>
            <w:shd w:val="clear" w:color="auto" w:fill="auto"/>
            <w:vAlign w:val="center"/>
          </w:tcPr>
          <w:p w:rsidR="004A3868" w:rsidRDefault="003F1AB5">
            <w:pPr>
              <w:pStyle w:val="afff9"/>
            </w:pPr>
            <w:r>
              <w:rPr>
                <w:rFonts w:hint="eastAsia"/>
              </w:rPr>
              <w:t>资本溢价（股本溢价）</w:t>
            </w:r>
          </w:p>
        </w:tc>
        <w:tc>
          <w:tcPr>
            <w:tcW w:w="1045" w:type="pct"/>
            <w:shd w:val="clear" w:color="auto" w:fill="auto"/>
            <w:vAlign w:val="center"/>
          </w:tcPr>
          <w:p w:rsidR="004A3868" w:rsidRDefault="003F1AB5">
            <w:pPr>
              <w:pStyle w:val="afff7"/>
            </w:pPr>
            <w:r>
              <w:t>982,184,564.80</w:t>
            </w:r>
          </w:p>
        </w:tc>
        <w:tc>
          <w:tcPr>
            <w:tcW w:w="723" w:type="pct"/>
            <w:shd w:val="clear" w:color="auto" w:fill="auto"/>
            <w:vAlign w:val="center"/>
          </w:tcPr>
          <w:p w:rsidR="004A3868" w:rsidRDefault="004A3868">
            <w:pPr>
              <w:pStyle w:val="afff7"/>
            </w:pPr>
          </w:p>
        </w:tc>
        <w:tc>
          <w:tcPr>
            <w:tcW w:w="871" w:type="pct"/>
            <w:shd w:val="clear" w:color="auto" w:fill="auto"/>
            <w:vAlign w:val="center"/>
          </w:tcPr>
          <w:p w:rsidR="004A3868" w:rsidRDefault="003F1AB5">
            <w:pPr>
              <w:pStyle w:val="afff7"/>
            </w:pPr>
            <w:r>
              <w:t>6,685,897.85</w:t>
            </w:r>
          </w:p>
        </w:tc>
        <w:tc>
          <w:tcPr>
            <w:tcW w:w="1079" w:type="pct"/>
            <w:shd w:val="clear" w:color="auto" w:fill="auto"/>
            <w:vAlign w:val="center"/>
          </w:tcPr>
          <w:p w:rsidR="004A3868" w:rsidRDefault="003F1AB5">
            <w:pPr>
              <w:pStyle w:val="afff7"/>
            </w:pPr>
            <w:r>
              <w:t>975,498,666.95</w:t>
            </w:r>
          </w:p>
        </w:tc>
      </w:tr>
      <w:tr w:rsidR="004A3868">
        <w:trPr>
          <w:trHeight w:val="397"/>
          <w:jc w:val="center"/>
        </w:trPr>
        <w:tc>
          <w:tcPr>
            <w:tcW w:w="1282" w:type="pct"/>
            <w:shd w:val="clear" w:color="auto" w:fill="auto"/>
            <w:vAlign w:val="center"/>
          </w:tcPr>
          <w:p w:rsidR="004A3868" w:rsidRDefault="003F1AB5">
            <w:pPr>
              <w:pStyle w:val="afff9"/>
            </w:pPr>
            <w:r>
              <w:rPr>
                <w:rFonts w:hint="eastAsia"/>
              </w:rPr>
              <w:t>其他资本公积</w:t>
            </w:r>
          </w:p>
        </w:tc>
        <w:tc>
          <w:tcPr>
            <w:tcW w:w="1045" w:type="pct"/>
            <w:shd w:val="clear" w:color="auto" w:fill="auto"/>
            <w:vAlign w:val="center"/>
          </w:tcPr>
          <w:p w:rsidR="004A3868" w:rsidRDefault="003F1AB5">
            <w:pPr>
              <w:pStyle w:val="afff7"/>
            </w:pPr>
            <w:r>
              <w:t>200,000.00</w:t>
            </w:r>
          </w:p>
        </w:tc>
        <w:tc>
          <w:tcPr>
            <w:tcW w:w="723" w:type="pct"/>
            <w:shd w:val="clear" w:color="auto" w:fill="auto"/>
            <w:vAlign w:val="center"/>
          </w:tcPr>
          <w:p w:rsidR="004A3868" w:rsidRDefault="004A3868">
            <w:pPr>
              <w:pStyle w:val="afff7"/>
            </w:pPr>
          </w:p>
        </w:tc>
        <w:tc>
          <w:tcPr>
            <w:tcW w:w="871" w:type="pct"/>
            <w:shd w:val="clear" w:color="auto" w:fill="auto"/>
            <w:vAlign w:val="center"/>
          </w:tcPr>
          <w:p w:rsidR="004A3868" w:rsidRDefault="004A3868">
            <w:pPr>
              <w:pStyle w:val="afff7"/>
            </w:pPr>
          </w:p>
        </w:tc>
        <w:tc>
          <w:tcPr>
            <w:tcW w:w="1079" w:type="pct"/>
            <w:shd w:val="clear" w:color="auto" w:fill="auto"/>
            <w:vAlign w:val="center"/>
          </w:tcPr>
          <w:p w:rsidR="004A3868" w:rsidRDefault="003F1AB5">
            <w:pPr>
              <w:pStyle w:val="afff7"/>
            </w:pPr>
            <w:r>
              <w:t>200,000.00</w:t>
            </w:r>
          </w:p>
        </w:tc>
      </w:tr>
      <w:tr w:rsidR="004A3868">
        <w:trPr>
          <w:trHeight w:val="397"/>
          <w:jc w:val="center"/>
        </w:trPr>
        <w:tc>
          <w:tcPr>
            <w:tcW w:w="1282" w:type="pct"/>
            <w:vAlign w:val="center"/>
          </w:tcPr>
          <w:p w:rsidR="004A3868" w:rsidRDefault="003F1AB5">
            <w:pPr>
              <w:pStyle w:val="afff9"/>
            </w:pPr>
            <w:r>
              <w:rPr>
                <w:rFonts w:hint="eastAsia"/>
              </w:rPr>
              <w:t>合计</w:t>
            </w:r>
          </w:p>
        </w:tc>
        <w:tc>
          <w:tcPr>
            <w:tcW w:w="1045" w:type="pct"/>
            <w:vAlign w:val="center"/>
          </w:tcPr>
          <w:p w:rsidR="004A3868" w:rsidRDefault="003F1AB5">
            <w:pPr>
              <w:pStyle w:val="afff7"/>
            </w:pPr>
            <w:r>
              <w:t>982,384,564.80</w:t>
            </w:r>
          </w:p>
        </w:tc>
        <w:tc>
          <w:tcPr>
            <w:tcW w:w="723" w:type="pct"/>
            <w:vAlign w:val="center"/>
          </w:tcPr>
          <w:p w:rsidR="004A3868" w:rsidRDefault="004A3868">
            <w:pPr>
              <w:pStyle w:val="afff7"/>
            </w:pPr>
          </w:p>
        </w:tc>
        <w:tc>
          <w:tcPr>
            <w:tcW w:w="871" w:type="pct"/>
            <w:vAlign w:val="center"/>
          </w:tcPr>
          <w:p w:rsidR="004A3868" w:rsidRDefault="003F1AB5">
            <w:pPr>
              <w:pStyle w:val="afff7"/>
            </w:pPr>
            <w:r>
              <w:t>6,685,897.85</w:t>
            </w:r>
          </w:p>
        </w:tc>
        <w:tc>
          <w:tcPr>
            <w:tcW w:w="1079" w:type="pct"/>
            <w:vAlign w:val="center"/>
          </w:tcPr>
          <w:p w:rsidR="004A3868" w:rsidRDefault="003F1AB5">
            <w:pPr>
              <w:pStyle w:val="afff7"/>
            </w:pPr>
            <w:r>
              <w:t>975,698,666.95</w:t>
            </w:r>
          </w:p>
        </w:tc>
      </w:tr>
    </w:tbl>
    <w:p w:rsidR="004A3868" w:rsidRDefault="003F1AB5">
      <w:pPr>
        <w:pStyle w:val="Style842"/>
      </w:pPr>
      <w:r>
        <w:rPr>
          <w:rFonts w:hint="eastAsia"/>
          <w:sz w:val="21"/>
          <w:szCs w:val="21"/>
        </w:rPr>
        <w:t>其他说明，包括本期增减变动情况、变动原因说明</w:t>
      </w:r>
      <w:r>
        <w:rPr>
          <w:rFonts w:hint="eastAsia"/>
        </w:rPr>
        <w:t>：</w:t>
      </w:r>
    </w:p>
    <w:sdt>
      <w:sdtPr>
        <w:alias w:val="资本公积说明"/>
        <w:tag w:val="_GBC_bd957b69783b49af88b2c285825bd0fc"/>
        <w:id w:val="461543268"/>
        <w:placeholder>
          <w:docPart w:val="GBC22222222222222222222222222222"/>
        </w:placeholder>
      </w:sdtPr>
      <w:sdtEndPr/>
      <w:sdtContent>
        <w:p w:rsidR="004A3868" w:rsidRDefault="003F1AB5">
          <w:pPr>
            <w:pStyle w:val="afff1"/>
            <w:ind w:firstLine="420"/>
          </w:pPr>
          <w:r>
            <w:rPr>
              <w:rStyle w:val="afff4"/>
              <w:rFonts w:hint="eastAsia"/>
              <w:sz w:val="21"/>
              <w:szCs w:val="21"/>
            </w:rPr>
            <w:t>主要系本期收购控股子公司黔南望江变压器有限公司少数股东4</w:t>
          </w:r>
          <w:r>
            <w:rPr>
              <w:rStyle w:val="afff4"/>
              <w:sz w:val="21"/>
              <w:szCs w:val="21"/>
            </w:rPr>
            <w:t>0%</w:t>
          </w:r>
          <w:r>
            <w:rPr>
              <w:rStyle w:val="afff4"/>
              <w:rFonts w:hint="eastAsia"/>
              <w:sz w:val="21"/>
              <w:szCs w:val="21"/>
            </w:rPr>
            <w:t>股权，支付的合并对价大于</w:t>
          </w:r>
          <w:r>
            <w:rPr>
              <w:rStyle w:val="afff4"/>
              <w:sz w:val="21"/>
              <w:szCs w:val="21"/>
            </w:rPr>
            <w:t>新增持股比例计算应享有子公司自购买日开始持续计算的净资产份额之间的差额</w:t>
          </w:r>
          <w:r>
            <w:rPr>
              <w:rStyle w:val="afff4"/>
              <w:rFonts w:hint="eastAsia"/>
              <w:sz w:val="21"/>
              <w:szCs w:val="21"/>
            </w:rPr>
            <w:t>，冲减资本溢价，详见第十节.十“在其他主体中的权益”所述。</w:t>
          </w:r>
        </w:p>
      </w:sdtContent>
    </w:sdt>
    <w:p w:rsidR="004A3868" w:rsidRDefault="003F1AB5">
      <w:pPr>
        <w:pStyle w:val="Style12711"/>
      </w:pPr>
      <w:r>
        <w:rPr>
          <w:rFonts w:hint="eastAsia"/>
        </w:rPr>
        <w:t>库存股</w:t>
      </w:r>
    </w:p>
    <w:sdt>
      <w:sdtPr>
        <w:alias w:val="是否适用：库存股[双击切换]"/>
        <w:tag w:val="_GBC_8e4fbb6e216145d28e75f17bb16e2ed0"/>
        <w:id w:val="101365141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库存股"/>
          <w:tag w:val="_GBC_1762a395ee414a4ab9d088576fc67b95"/>
          <w:id w:val="-13059264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库存股"/>
          <w:tag w:val="_GBC_aa9b77277b2f445fb00ee31519c400b8"/>
          <w:id w:val="11356139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283"/>
        <w:gridCol w:w="1433"/>
        <w:gridCol w:w="1807"/>
        <w:gridCol w:w="1484"/>
        <w:gridCol w:w="1816"/>
      </w:tblGrid>
      <w:tr w:rsidR="004A3868">
        <w:trPr>
          <w:trHeight w:val="397"/>
          <w:jc w:val="center"/>
        </w:trPr>
        <w:sdt>
          <w:sdtPr>
            <w:tag w:val="_PLD_3bb42fd3c8c244e1ba361777cd8b061c"/>
            <w:id w:val="968857688"/>
            <w:lock w:val="sdtLocked"/>
          </w:sdtPr>
          <w:sdtEndPr/>
          <w:sdtContent>
            <w:tc>
              <w:tcPr>
                <w:tcW w:w="1294" w:type="pct"/>
                <w:shd w:val="clear" w:color="auto" w:fill="auto"/>
                <w:vAlign w:val="center"/>
              </w:tcPr>
              <w:p w:rsidR="004A3868" w:rsidRDefault="003F1AB5">
                <w:pPr>
                  <w:pStyle w:val="afffb"/>
                </w:pPr>
                <w:r>
                  <w:rPr>
                    <w:rFonts w:hint="eastAsia"/>
                  </w:rPr>
                  <w:t>项目</w:t>
                </w:r>
              </w:p>
            </w:tc>
          </w:sdtContent>
        </w:sdt>
        <w:sdt>
          <w:sdtPr>
            <w:tag w:val="_PLD_dbccb5fb3e6647159adf418aaf7a819d"/>
            <w:id w:val="-1249726877"/>
            <w:lock w:val="sdtLocked"/>
          </w:sdtPr>
          <w:sdtEndPr/>
          <w:sdtContent>
            <w:tc>
              <w:tcPr>
                <w:tcW w:w="812" w:type="pct"/>
                <w:shd w:val="clear" w:color="auto" w:fill="auto"/>
                <w:vAlign w:val="center"/>
              </w:tcPr>
              <w:p w:rsidR="004A3868" w:rsidRDefault="003F1AB5">
                <w:pPr>
                  <w:pStyle w:val="afffb"/>
                </w:pPr>
                <w:r>
                  <w:rPr>
                    <w:rFonts w:hint="eastAsia"/>
                  </w:rPr>
                  <w:t>期初余额</w:t>
                </w:r>
              </w:p>
            </w:tc>
          </w:sdtContent>
        </w:sdt>
        <w:sdt>
          <w:sdtPr>
            <w:tag w:val="_PLD_efd45699d9ff4436b9e070adb8fb59ad"/>
            <w:id w:val="1946112634"/>
            <w:lock w:val="sdtLocked"/>
          </w:sdtPr>
          <w:sdtEndPr/>
          <w:sdtContent>
            <w:tc>
              <w:tcPr>
                <w:tcW w:w="1024" w:type="pct"/>
                <w:shd w:val="clear" w:color="auto" w:fill="auto"/>
                <w:vAlign w:val="center"/>
              </w:tcPr>
              <w:p w:rsidR="004A3868" w:rsidRDefault="003F1AB5">
                <w:pPr>
                  <w:pStyle w:val="afffb"/>
                </w:pPr>
                <w:r>
                  <w:rPr>
                    <w:rFonts w:hint="eastAsia"/>
                  </w:rPr>
                  <w:t>本期增加</w:t>
                </w:r>
              </w:p>
            </w:tc>
          </w:sdtContent>
        </w:sdt>
        <w:sdt>
          <w:sdtPr>
            <w:tag w:val="_PLD_98330c8585594c0b8f1ac93353a4e2bc"/>
            <w:id w:val="1485742469"/>
            <w:lock w:val="sdtLocked"/>
          </w:sdtPr>
          <w:sdtEndPr/>
          <w:sdtContent>
            <w:tc>
              <w:tcPr>
                <w:tcW w:w="841" w:type="pct"/>
                <w:shd w:val="clear" w:color="auto" w:fill="auto"/>
                <w:vAlign w:val="center"/>
              </w:tcPr>
              <w:p w:rsidR="004A3868" w:rsidRDefault="003F1AB5">
                <w:pPr>
                  <w:pStyle w:val="afffb"/>
                </w:pPr>
                <w:r>
                  <w:rPr>
                    <w:rFonts w:hint="eastAsia"/>
                  </w:rPr>
                  <w:t>本期减少</w:t>
                </w:r>
              </w:p>
            </w:tc>
          </w:sdtContent>
        </w:sdt>
        <w:sdt>
          <w:sdtPr>
            <w:tag w:val="_PLD_6d3e824a5a6f4f1fbc66e6ffabf43d1e"/>
            <w:id w:val="-1173091981"/>
            <w:lock w:val="sdtLocked"/>
          </w:sdtPr>
          <w:sdtEndPr/>
          <w:sdtContent>
            <w:tc>
              <w:tcPr>
                <w:tcW w:w="1031" w:type="pct"/>
                <w:shd w:val="clear" w:color="auto" w:fill="auto"/>
                <w:vAlign w:val="center"/>
              </w:tcPr>
              <w:p w:rsidR="004A3868" w:rsidRDefault="003F1AB5">
                <w:pPr>
                  <w:pStyle w:val="afffb"/>
                </w:pPr>
                <w:r>
                  <w:rPr>
                    <w:rFonts w:hint="eastAsia"/>
                  </w:rPr>
                  <w:t>期末余额</w:t>
                </w:r>
              </w:p>
            </w:tc>
          </w:sdtContent>
        </w:sdt>
      </w:tr>
      <w:tr w:rsidR="004A3868">
        <w:trPr>
          <w:trHeight w:val="397"/>
          <w:jc w:val="center"/>
        </w:trPr>
        <w:tc>
          <w:tcPr>
            <w:tcW w:w="1294" w:type="pct"/>
            <w:shd w:val="clear" w:color="auto" w:fill="auto"/>
          </w:tcPr>
          <w:p w:rsidR="004A3868" w:rsidRDefault="003F1AB5">
            <w:pPr>
              <w:pStyle w:val="afff9"/>
            </w:pPr>
            <w:r>
              <w:t>实行股权激励回购</w:t>
            </w:r>
          </w:p>
        </w:tc>
        <w:tc>
          <w:tcPr>
            <w:tcW w:w="812" w:type="pct"/>
            <w:shd w:val="clear" w:color="auto" w:fill="auto"/>
            <w:vAlign w:val="center"/>
          </w:tcPr>
          <w:p w:rsidR="004A3868" w:rsidRDefault="003F1AB5">
            <w:pPr>
              <w:pStyle w:val="afff9"/>
            </w:pPr>
            <w:r>
              <w:t xml:space="preserve">　</w:t>
            </w:r>
          </w:p>
        </w:tc>
        <w:tc>
          <w:tcPr>
            <w:tcW w:w="1024" w:type="pct"/>
            <w:shd w:val="clear" w:color="auto" w:fill="auto"/>
            <w:vAlign w:val="center"/>
          </w:tcPr>
          <w:p w:rsidR="004A3868" w:rsidRDefault="003F1AB5">
            <w:pPr>
              <w:pStyle w:val="afff7"/>
            </w:pPr>
            <w:r>
              <w:t>50,299,241.28</w:t>
            </w:r>
          </w:p>
        </w:tc>
        <w:tc>
          <w:tcPr>
            <w:tcW w:w="841" w:type="pct"/>
            <w:shd w:val="clear" w:color="auto" w:fill="auto"/>
            <w:vAlign w:val="center"/>
          </w:tcPr>
          <w:p w:rsidR="004A3868" w:rsidRDefault="003F1AB5">
            <w:pPr>
              <w:pStyle w:val="afff7"/>
            </w:pPr>
            <w:r>
              <w:t xml:space="preserve">　</w:t>
            </w:r>
          </w:p>
        </w:tc>
        <w:tc>
          <w:tcPr>
            <w:tcW w:w="1031" w:type="pct"/>
            <w:shd w:val="clear" w:color="auto" w:fill="auto"/>
            <w:vAlign w:val="center"/>
          </w:tcPr>
          <w:p w:rsidR="004A3868" w:rsidRDefault="003F1AB5">
            <w:pPr>
              <w:pStyle w:val="afff7"/>
            </w:pPr>
            <w:r>
              <w:t>50,299,241.28</w:t>
            </w:r>
          </w:p>
        </w:tc>
      </w:tr>
      <w:tr w:rsidR="004A3868">
        <w:trPr>
          <w:trHeight w:val="397"/>
          <w:jc w:val="center"/>
        </w:trPr>
        <w:tc>
          <w:tcPr>
            <w:tcW w:w="1294" w:type="pct"/>
            <w:shd w:val="clear" w:color="auto" w:fill="auto"/>
            <w:vAlign w:val="center"/>
          </w:tcPr>
          <w:p w:rsidR="004A3868" w:rsidRDefault="003F1AB5">
            <w:pPr>
              <w:pStyle w:val="afff9"/>
            </w:pPr>
            <w:r>
              <w:rPr>
                <w:rFonts w:hint="eastAsia"/>
              </w:rPr>
              <w:t>合计</w:t>
            </w:r>
          </w:p>
        </w:tc>
        <w:tc>
          <w:tcPr>
            <w:tcW w:w="812" w:type="pct"/>
            <w:shd w:val="clear" w:color="auto" w:fill="auto"/>
            <w:vAlign w:val="center"/>
          </w:tcPr>
          <w:p w:rsidR="004A3868" w:rsidRDefault="004A3868">
            <w:pPr>
              <w:pStyle w:val="afff9"/>
            </w:pPr>
          </w:p>
        </w:tc>
        <w:tc>
          <w:tcPr>
            <w:tcW w:w="1024" w:type="pct"/>
            <w:shd w:val="clear" w:color="auto" w:fill="auto"/>
            <w:vAlign w:val="center"/>
          </w:tcPr>
          <w:p w:rsidR="004A3868" w:rsidRDefault="003F1AB5">
            <w:pPr>
              <w:pStyle w:val="afff7"/>
            </w:pPr>
            <w:r>
              <w:t>50,299,241.28</w:t>
            </w:r>
          </w:p>
        </w:tc>
        <w:tc>
          <w:tcPr>
            <w:tcW w:w="841" w:type="pct"/>
            <w:shd w:val="clear" w:color="auto" w:fill="auto"/>
            <w:vAlign w:val="center"/>
          </w:tcPr>
          <w:p w:rsidR="004A3868" w:rsidRDefault="004A3868">
            <w:pPr>
              <w:pStyle w:val="afff7"/>
            </w:pPr>
          </w:p>
        </w:tc>
        <w:tc>
          <w:tcPr>
            <w:tcW w:w="1031" w:type="pct"/>
            <w:shd w:val="clear" w:color="auto" w:fill="auto"/>
            <w:vAlign w:val="center"/>
          </w:tcPr>
          <w:p w:rsidR="004A3868" w:rsidRDefault="003F1AB5">
            <w:pPr>
              <w:pStyle w:val="afff7"/>
            </w:pPr>
            <w:r>
              <w:t>50,299,241.28</w:t>
            </w:r>
          </w:p>
        </w:tc>
      </w:tr>
    </w:tbl>
    <w:p w:rsidR="004A3868" w:rsidRDefault="004A3868">
      <w:pPr>
        <w:pStyle w:val="Style124"/>
      </w:pPr>
    </w:p>
    <w:p w:rsidR="004A3868" w:rsidRDefault="003F1AB5">
      <w:pPr>
        <w:rPr>
          <w:sz w:val="21"/>
          <w:szCs w:val="21"/>
        </w:rPr>
      </w:pPr>
      <w:r>
        <w:rPr>
          <w:rFonts w:hint="eastAsia"/>
          <w:sz w:val="21"/>
          <w:szCs w:val="21"/>
        </w:rPr>
        <w:t>其他说明，包括本期增减变动情况、变动原因说明：</w:t>
      </w:r>
    </w:p>
    <w:p w:rsidR="004A3868" w:rsidRDefault="00B34370">
      <w:pPr>
        <w:ind w:firstLineChars="200" w:firstLine="420"/>
        <w:rPr>
          <w:rStyle w:val="afff2"/>
        </w:rPr>
      </w:pPr>
      <w:sdt>
        <w:sdtPr>
          <w:rPr>
            <w:sz w:val="21"/>
            <w:szCs w:val="21"/>
          </w:rPr>
          <w:alias w:val="库存股情况说明"/>
          <w:tag w:val="_GBC_42d286884eca4cfab482f6fcc10c0c0b"/>
          <w:id w:val="-1037496152"/>
          <w:placeholder>
            <w:docPart w:val="GBC22222222222222222222222222222"/>
          </w:placeholder>
        </w:sdtPr>
        <w:sdtEndPr>
          <w:rPr>
            <w:rStyle w:val="afff2"/>
            <w:szCs w:val="24"/>
          </w:rPr>
        </w:sdtEndPr>
        <w:sdtContent>
          <w:r w:rsidR="003F1AB5">
            <w:rPr>
              <w:rStyle w:val="afff2"/>
            </w:rPr>
            <w:t>2023年10月25日，公司召开第三届董事会第十八次会议，审议通过了《关于以集中竞价方式回购公司股份方案的议案》，根据议案内容，公司拟以自有资金通过集中竞价方式回购公司股份，回购资金总额为不低于人民币5,000万元(含本数)且不超过人民币10,000万元(含本数) ，回购的股票将用于对员工的激励计划，</w:t>
          </w:r>
          <w:r w:rsidR="003F1AB5">
            <w:rPr>
              <w:rStyle w:val="afff2"/>
              <w:rFonts w:hint="eastAsia"/>
            </w:rPr>
            <w:t>详见第十节</w:t>
          </w:r>
          <w:r w:rsidR="003F1AB5">
            <w:rPr>
              <w:rStyle w:val="afff2"/>
            </w:rPr>
            <w:t>.十六 “资产负债表日后事项”。截止期末，公司累计已回购本公司股份3,202,768股，占公司总股本的比例为0.9613%。</w:t>
          </w:r>
        </w:sdtContent>
      </w:sdt>
    </w:p>
    <w:p w:rsidR="004A3868" w:rsidRDefault="003F1AB5">
      <w:pPr>
        <w:pStyle w:val="Style12711"/>
      </w:pPr>
      <w:r>
        <w:rPr>
          <w:rFonts w:hint="eastAsia"/>
        </w:rPr>
        <w:t>其他综合收益</w:t>
      </w:r>
    </w:p>
    <w:bookmarkStart w:id="237" w:name="_Hlk24027351" w:displacedByCustomXml="next"/>
    <w:sdt>
      <w:sdtPr>
        <w:rPr>
          <w:sz w:val="21"/>
          <w:szCs w:val="21"/>
        </w:rPr>
        <w:alias w:val="是否适用：其他综合收益[双击切换]"/>
        <w:tag w:val="_GBC_60105f81909745c788232a2118ec8260"/>
        <w:id w:val="1255012415"/>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bookmarkEnd w:id="237"/>
    <w:p w:rsidR="004A3868" w:rsidRDefault="003F1AB5">
      <w:pPr>
        <w:pStyle w:val="Style12711"/>
      </w:pPr>
      <w:r>
        <w:rPr>
          <w:rFonts w:hint="eastAsia"/>
        </w:rPr>
        <w:t>专项储备</w:t>
      </w:r>
    </w:p>
    <w:sdt>
      <w:sdtPr>
        <w:alias w:val="是否适用：专项储备[双击切换]"/>
        <w:tag w:val="_GBC_0e2f337ccf9a4bc6919cf02a896e57c1"/>
        <w:id w:val="12250859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专项储备"/>
          <w:tag w:val="_GBC_b47176c62a0d4cb08df78fbfc975ed8c"/>
          <w:id w:val="-12147285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专项储备"/>
          <w:tag w:val="_GBC_0d38a2dae28a4705ad4e665e5fcad88c"/>
          <w:id w:val="-4542566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658"/>
        <w:gridCol w:w="1786"/>
        <w:gridCol w:w="1786"/>
        <w:gridCol w:w="1807"/>
        <w:gridCol w:w="1786"/>
      </w:tblGrid>
      <w:tr w:rsidR="004A3868">
        <w:trPr>
          <w:trHeight w:val="397"/>
          <w:jc w:val="center"/>
        </w:trPr>
        <w:sdt>
          <w:sdtPr>
            <w:tag w:val="_PLD_1b8418d949a749fe8d001c0cc33cf61e"/>
            <w:id w:val="199282847"/>
          </w:sdtPr>
          <w:sdtEndPr/>
          <w:sdtContent>
            <w:tc>
              <w:tcPr>
                <w:tcW w:w="940" w:type="pct"/>
                <w:shd w:val="clear" w:color="auto" w:fill="auto"/>
                <w:vAlign w:val="center"/>
              </w:tcPr>
              <w:p w:rsidR="004A3868" w:rsidRDefault="003F1AB5">
                <w:pPr>
                  <w:pStyle w:val="afffb"/>
                </w:pPr>
                <w:r>
                  <w:rPr>
                    <w:rFonts w:hint="eastAsia"/>
                  </w:rPr>
                  <w:t>项目</w:t>
                </w:r>
              </w:p>
            </w:tc>
          </w:sdtContent>
        </w:sdt>
        <w:sdt>
          <w:sdtPr>
            <w:tag w:val="_PLD_080ff0821e57448ea6f6c5e836583c19"/>
            <w:id w:val="-889960032"/>
          </w:sdtPr>
          <w:sdtEndPr/>
          <w:sdtContent>
            <w:tc>
              <w:tcPr>
                <w:tcW w:w="1012" w:type="pct"/>
                <w:shd w:val="clear" w:color="auto" w:fill="auto"/>
                <w:vAlign w:val="center"/>
              </w:tcPr>
              <w:p w:rsidR="004A3868" w:rsidRDefault="003F1AB5">
                <w:pPr>
                  <w:pStyle w:val="afffb"/>
                </w:pPr>
                <w:r>
                  <w:rPr>
                    <w:rFonts w:hint="eastAsia"/>
                  </w:rPr>
                  <w:t>期初余额</w:t>
                </w:r>
              </w:p>
            </w:tc>
          </w:sdtContent>
        </w:sdt>
        <w:sdt>
          <w:sdtPr>
            <w:tag w:val="_PLD_99281caa76a54a77b09eef392dfa3e36"/>
            <w:id w:val="-827746994"/>
          </w:sdtPr>
          <w:sdtEndPr/>
          <w:sdtContent>
            <w:tc>
              <w:tcPr>
                <w:tcW w:w="1012" w:type="pct"/>
                <w:shd w:val="clear" w:color="auto" w:fill="auto"/>
                <w:vAlign w:val="center"/>
              </w:tcPr>
              <w:p w:rsidR="004A3868" w:rsidRDefault="003F1AB5">
                <w:pPr>
                  <w:pStyle w:val="afffb"/>
                </w:pPr>
                <w:r>
                  <w:rPr>
                    <w:rFonts w:hint="eastAsia"/>
                  </w:rPr>
                  <w:t>本期增加</w:t>
                </w:r>
              </w:p>
            </w:tc>
          </w:sdtContent>
        </w:sdt>
        <w:sdt>
          <w:sdtPr>
            <w:tag w:val="_PLD_c1f0c2bb01df4af28d10ddd8f2af79a9"/>
            <w:id w:val="671377366"/>
          </w:sdtPr>
          <w:sdtEndPr/>
          <w:sdtContent>
            <w:tc>
              <w:tcPr>
                <w:tcW w:w="1024" w:type="pct"/>
                <w:shd w:val="clear" w:color="auto" w:fill="auto"/>
                <w:vAlign w:val="center"/>
              </w:tcPr>
              <w:p w:rsidR="004A3868" w:rsidRDefault="003F1AB5">
                <w:pPr>
                  <w:pStyle w:val="afffb"/>
                </w:pPr>
                <w:r>
                  <w:rPr>
                    <w:rFonts w:hint="eastAsia"/>
                  </w:rPr>
                  <w:t>本期减少</w:t>
                </w:r>
              </w:p>
            </w:tc>
          </w:sdtContent>
        </w:sdt>
        <w:sdt>
          <w:sdtPr>
            <w:tag w:val="_PLD_c07fab254eb14bc88273a7ed58442223"/>
            <w:id w:val="-527187277"/>
          </w:sdtPr>
          <w:sdtEndPr/>
          <w:sdtContent>
            <w:tc>
              <w:tcPr>
                <w:tcW w:w="1012" w:type="pct"/>
                <w:shd w:val="clear" w:color="auto" w:fill="auto"/>
                <w:vAlign w:val="center"/>
              </w:tcPr>
              <w:p w:rsidR="004A3868" w:rsidRDefault="003F1AB5">
                <w:pPr>
                  <w:pStyle w:val="afffb"/>
                </w:pPr>
                <w:r>
                  <w:rPr>
                    <w:rFonts w:hint="eastAsia"/>
                  </w:rPr>
                  <w:t>期末余额</w:t>
                </w:r>
              </w:p>
            </w:tc>
          </w:sdtContent>
        </w:sdt>
      </w:tr>
      <w:tr w:rsidR="004A3868">
        <w:trPr>
          <w:trHeight w:val="397"/>
          <w:jc w:val="center"/>
        </w:trPr>
        <w:tc>
          <w:tcPr>
            <w:tcW w:w="940" w:type="pct"/>
            <w:shd w:val="clear" w:color="auto" w:fill="auto"/>
            <w:vAlign w:val="center"/>
          </w:tcPr>
          <w:p w:rsidR="004A3868" w:rsidRDefault="003F1AB5">
            <w:pPr>
              <w:pStyle w:val="afff9"/>
            </w:pPr>
            <w:r>
              <w:rPr>
                <w:rFonts w:hint="eastAsia"/>
              </w:rPr>
              <w:t>安全生产费</w:t>
            </w:r>
          </w:p>
        </w:tc>
        <w:tc>
          <w:tcPr>
            <w:tcW w:w="1012" w:type="pct"/>
            <w:shd w:val="clear" w:color="auto" w:fill="auto"/>
            <w:vAlign w:val="center"/>
          </w:tcPr>
          <w:p w:rsidR="004A3868" w:rsidRDefault="003F1AB5">
            <w:pPr>
              <w:pStyle w:val="afff7"/>
            </w:pPr>
            <w:r>
              <w:t>15,311,928.33</w:t>
            </w:r>
          </w:p>
        </w:tc>
        <w:tc>
          <w:tcPr>
            <w:tcW w:w="1012" w:type="pct"/>
            <w:shd w:val="clear" w:color="auto" w:fill="auto"/>
            <w:vAlign w:val="center"/>
          </w:tcPr>
          <w:p w:rsidR="004A3868" w:rsidRDefault="003F1AB5">
            <w:pPr>
              <w:pStyle w:val="afff7"/>
            </w:pPr>
            <w:r>
              <w:t>12,006,177.34</w:t>
            </w:r>
          </w:p>
        </w:tc>
        <w:tc>
          <w:tcPr>
            <w:tcW w:w="1024" w:type="pct"/>
            <w:shd w:val="clear" w:color="auto" w:fill="auto"/>
            <w:vAlign w:val="center"/>
          </w:tcPr>
          <w:p w:rsidR="004A3868" w:rsidRDefault="003F1AB5">
            <w:pPr>
              <w:pStyle w:val="afff7"/>
            </w:pPr>
            <w:r>
              <w:t>5,415,000.97</w:t>
            </w:r>
          </w:p>
        </w:tc>
        <w:tc>
          <w:tcPr>
            <w:tcW w:w="1012" w:type="pct"/>
            <w:shd w:val="clear" w:color="auto" w:fill="auto"/>
            <w:vAlign w:val="center"/>
          </w:tcPr>
          <w:p w:rsidR="004A3868" w:rsidRDefault="003F1AB5">
            <w:pPr>
              <w:pStyle w:val="afff7"/>
            </w:pPr>
            <w:r>
              <w:t>21,903,104.70</w:t>
            </w:r>
          </w:p>
        </w:tc>
      </w:tr>
      <w:tr w:rsidR="004A3868">
        <w:trPr>
          <w:trHeight w:val="397"/>
          <w:jc w:val="center"/>
        </w:trPr>
        <w:tc>
          <w:tcPr>
            <w:tcW w:w="940" w:type="pct"/>
            <w:shd w:val="clear" w:color="auto" w:fill="auto"/>
            <w:vAlign w:val="center"/>
          </w:tcPr>
          <w:p w:rsidR="004A3868" w:rsidRDefault="003F1AB5">
            <w:pPr>
              <w:pStyle w:val="afff9"/>
            </w:pPr>
            <w:r>
              <w:rPr>
                <w:rFonts w:hint="eastAsia"/>
              </w:rPr>
              <w:t>合计</w:t>
            </w:r>
          </w:p>
        </w:tc>
        <w:tc>
          <w:tcPr>
            <w:tcW w:w="1012" w:type="pct"/>
            <w:shd w:val="clear" w:color="auto" w:fill="auto"/>
            <w:vAlign w:val="center"/>
          </w:tcPr>
          <w:p w:rsidR="004A3868" w:rsidRDefault="003F1AB5">
            <w:pPr>
              <w:pStyle w:val="afff7"/>
            </w:pPr>
            <w:r>
              <w:t>15,311,928.33</w:t>
            </w:r>
          </w:p>
        </w:tc>
        <w:tc>
          <w:tcPr>
            <w:tcW w:w="1012" w:type="pct"/>
            <w:shd w:val="clear" w:color="auto" w:fill="auto"/>
            <w:vAlign w:val="center"/>
          </w:tcPr>
          <w:p w:rsidR="004A3868" w:rsidRDefault="003F1AB5">
            <w:pPr>
              <w:pStyle w:val="afff7"/>
            </w:pPr>
            <w:r>
              <w:t>12,006,177.34</w:t>
            </w:r>
          </w:p>
        </w:tc>
        <w:tc>
          <w:tcPr>
            <w:tcW w:w="1024" w:type="pct"/>
            <w:shd w:val="clear" w:color="auto" w:fill="auto"/>
            <w:vAlign w:val="center"/>
          </w:tcPr>
          <w:p w:rsidR="004A3868" w:rsidRDefault="003F1AB5">
            <w:pPr>
              <w:pStyle w:val="afff7"/>
            </w:pPr>
            <w:r>
              <w:t>5,415,000.97</w:t>
            </w:r>
          </w:p>
        </w:tc>
        <w:tc>
          <w:tcPr>
            <w:tcW w:w="1012" w:type="pct"/>
            <w:shd w:val="clear" w:color="auto" w:fill="auto"/>
            <w:vAlign w:val="center"/>
          </w:tcPr>
          <w:p w:rsidR="004A3868" w:rsidRDefault="003F1AB5">
            <w:pPr>
              <w:pStyle w:val="afff7"/>
            </w:pPr>
            <w:r>
              <w:t>21,903,104.70</w:t>
            </w:r>
          </w:p>
        </w:tc>
      </w:tr>
    </w:tbl>
    <w:p w:rsidR="004A3868" w:rsidRDefault="003F1AB5">
      <w:pPr>
        <w:rPr>
          <w:sz w:val="21"/>
          <w:szCs w:val="21"/>
        </w:rPr>
      </w:pPr>
      <w:r>
        <w:rPr>
          <w:rFonts w:hint="eastAsia"/>
          <w:sz w:val="21"/>
          <w:szCs w:val="21"/>
        </w:rPr>
        <w:t>其他说明，包括本期增减变动情况、变动原因说明：</w:t>
      </w:r>
    </w:p>
    <w:p w:rsidR="004A3868" w:rsidRDefault="00B34370">
      <w:pPr>
        <w:ind w:firstLineChars="200" w:firstLine="420"/>
        <w:rPr>
          <w:rStyle w:val="afff4"/>
        </w:rPr>
      </w:pPr>
      <w:sdt>
        <w:sdtPr>
          <w:rPr>
            <w:kern w:val="2"/>
            <w:sz w:val="21"/>
            <w:szCs w:val="21"/>
          </w:rPr>
          <w:alias w:val="专项储备情况说明"/>
          <w:tag w:val="_GBC_a75c8c7cc1e44ab5a1585f4a9964199c"/>
          <w:id w:val="-1242253266"/>
          <w:placeholder>
            <w:docPart w:val="GBC22222222222222222222222222222"/>
          </w:placeholder>
        </w:sdtPr>
        <w:sdtEndPr>
          <w:rPr>
            <w:rStyle w:val="afff4"/>
            <w:sz w:val="24"/>
            <w:szCs w:val="24"/>
          </w:rPr>
        </w:sdtEndPr>
        <w:sdtContent>
          <w:r w:rsidR="003F1AB5">
            <w:rPr>
              <w:rStyle w:val="afff4"/>
              <w:rFonts w:hint="eastAsia"/>
            </w:rPr>
            <w:t>公司以生产取向硅钢、输配电及控制设备为主，公司按照相关管理办法进行提取安全生产费</w:t>
          </w:r>
          <w:r w:rsidR="003F1AB5">
            <w:rPr>
              <w:rStyle w:val="afff4"/>
            </w:rPr>
            <w:t>:本期公司自2022年12月开始依据财政部资、应急部2022年12月13发布的《企业安全生产费用提取和使用管理办法财资(2022)136号》执行</w:t>
          </w:r>
          <w:r w:rsidR="003F1AB5">
            <w:rPr>
              <w:rStyle w:val="afff4"/>
              <w:rFonts w:hint="eastAsia"/>
            </w:rPr>
            <w:t>，本年实际使用的安全生产费用占计提金额</w:t>
          </w:r>
          <w:r w:rsidR="003F1AB5">
            <w:rPr>
              <w:rStyle w:val="afff4"/>
            </w:rPr>
            <w:t>45.10%，主要是部份安全设施设备还在建设中</w:t>
          </w:r>
          <w:r w:rsidR="003F1AB5">
            <w:rPr>
              <w:rStyle w:val="afff4"/>
              <w:rFonts w:hint="eastAsia"/>
            </w:rPr>
            <w:t>。</w:t>
          </w:r>
        </w:sdtContent>
      </w:sdt>
    </w:p>
    <w:p w:rsidR="004A3868" w:rsidRDefault="003F1AB5">
      <w:pPr>
        <w:pStyle w:val="Style12711"/>
      </w:pPr>
      <w:r>
        <w:rPr>
          <w:rFonts w:hint="eastAsia"/>
        </w:rPr>
        <w:lastRenderedPageBreak/>
        <w:t>盈余公积</w:t>
      </w:r>
    </w:p>
    <w:sdt>
      <w:sdtPr>
        <w:alias w:val="是否适用：盈余公积[双击切换]"/>
        <w:tag w:val="_GBC_5a507b0ba3a44a2c828e4df049852353"/>
        <w:id w:val="500468667"/>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盈余公积"/>
          <w:tag w:val="_GBC_8ca7c8f8d04e47ff92c33109bbf55576"/>
          <w:id w:val="-6919854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盈余公积"/>
          <w:tag w:val="_GBC_24d833c69b8448ca876fbf8299519039"/>
          <w:id w:val="11688288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30" w:type="dxa"/>
        </w:tblCellMar>
        <w:tblLook w:val="04A0" w:firstRow="1" w:lastRow="0" w:firstColumn="1" w:lastColumn="0" w:noHBand="0" w:noVBand="1"/>
      </w:tblPr>
      <w:tblGrid>
        <w:gridCol w:w="1866"/>
        <w:gridCol w:w="1828"/>
        <w:gridCol w:w="1826"/>
        <w:gridCol w:w="1355"/>
        <w:gridCol w:w="1948"/>
      </w:tblGrid>
      <w:tr w:rsidR="004A3868">
        <w:trPr>
          <w:trHeight w:val="397"/>
          <w:jc w:val="center"/>
        </w:trPr>
        <w:sdt>
          <w:sdtPr>
            <w:rPr>
              <w:sz w:val="21"/>
              <w:szCs w:val="21"/>
            </w:rPr>
            <w:tag w:val="_PLD_448cc13fae91499a9f41c6e4c1f51937"/>
            <w:id w:val="-1442372868"/>
          </w:sdtPr>
          <w:sdtEndPr/>
          <w:sdtContent>
            <w:tc>
              <w:tcPr>
                <w:tcW w:w="1057" w:type="pct"/>
                <w:vAlign w:val="center"/>
              </w:tcPr>
              <w:p w:rsidR="004A3868" w:rsidRDefault="003F1AB5">
                <w:pPr>
                  <w:rPr>
                    <w:sz w:val="21"/>
                    <w:szCs w:val="21"/>
                  </w:rPr>
                </w:pPr>
                <w:r>
                  <w:rPr>
                    <w:rFonts w:hint="eastAsia"/>
                    <w:sz w:val="21"/>
                    <w:szCs w:val="21"/>
                  </w:rPr>
                  <w:t>项目</w:t>
                </w:r>
              </w:p>
            </w:tc>
          </w:sdtContent>
        </w:sdt>
        <w:sdt>
          <w:sdtPr>
            <w:rPr>
              <w:sz w:val="21"/>
              <w:szCs w:val="21"/>
            </w:rPr>
            <w:tag w:val="_PLD_112a59f6ca7b4b5f8ced860f9465eb1a"/>
            <w:id w:val="1732347527"/>
          </w:sdtPr>
          <w:sdtEndPr/>
          <w:sdtContent>
            <w:tc>
              <w:tcPr>
                <w:tcW w:w="1036" w:type="pct"/>
                <w:vAlign w:val="center"/>
              </w:tcPr>
              <w:p w:rsidR="004A3868" w:rsidRDefault="003F1AB5">
                <w:pPr>
                  <w:rPr>
                    <w:sz w:val="21"/>
                    <w:szCs w:val="21"/>
                  </w:rPr>
                </w:pPr>
                <w:r>
                  <w:rPr>
                    <w:rFonts w:hint="eastAsia"/>
                    <w:sz w:val="21"/>
                    <w:szCs w:val="21"/>
                  </w:rPr>
                  <w:t>期初余额</w:t>
                </w:r>
              </w:p>
            </w:tc>
          </w:sdtContent>
        </w:sdt>
        <w:sdt>
          <w:sdtPr>
            <w:rPr>
              <w:sz w:val="21"/>
              <w:szCs w:val="21"/>
            </w:rPr>
            <w:tag w:val="_PLD_a2c4f4720dd7427b93c04e32666cfd69"/>
            <w:id w:val="1432541088"/>
          </w:sdtPr>
          <w:sdtEndPr/>
          <w:sdtContent>
            <w:tc>
              <w:tcPr>
                <w:tcW w:w="1035" w:type="pct"/>
                <w:vAlign w:val="center"/>
              </w:tcPr>
              <w:p w:rsidR="004A3868" w:rsidRDefault="003F1AB5">
                <w:pPr>
                  <w:rPr>
                    <w:sz w:val="21"/>
                    <w:szCs w:val="21"/>
                  </w:rPr>
                </w:pPr>
                <w:r>
                  <w:rPr>
                    <w:rFonts w:hint="eastAsia"/>
                    <w:sz w:val="21"/>
                    <w:szCs w:val="21"/>
                  </w:rPr>
                  <w:t>本期增加</w:t>
                </w:r>
              </w:p>
            </w:tc>
          </w:sdtContent>
        </w:sdt>
        <w:sdt>
          <w:sdtPr>
            <w:rPr>
              <w:sz w:val="21"/>
              <w:szCs w:val="21"/>
            </w:rPr>
            <w:tag w:val="_PLD_ad1876bb4d7c41eaa003da876ae9e601"/>
            <w:id w:val="2079010956"/>
          </w:sdtPr>
          <w:sdtEndPr/>
          <w:sdtContent>
            <w:tc>
              <w:tcPr>
                <w:tcW w:w="768" w:type="pct"/>
                <w:vAlign w:val="center"/>
              </w:tcPr>
              <w:p w:rsidR="004A3868" w:rsidRDefault="003F1AB5">
                <w:pPr>
                  <w:rPr>
                    <w:sz w:val="21"/>
                    <w:szCs w:val="21"/>
                  </w:rPr>
                </w:pPr>
                <w:r>
                  <w:rPr>
                    <w:rFonts w:hint="eastAsia"/>
                    <w:sz w:val="21"/>
                    <w:szCs w:val="21"/>
                  </w:rPr>
                  <w:t>本期减少</w:t>
                </w:r>
              </w:p>
            </w:tc>
          </w:sdtContent>
        </w:sdt>
        <w:sdt>
          <w:sdtPr>
            <w:rPr>
              <w:sz w:val="21"/>
              <w:szCs w:val="21"/>
            </w:rPr>
            <w:tag w:val="_PLD_45d6cc2a2d2140619579c3f035df8d6a"/>
            <w:id w:val="-1246409563"/>
          </w:sdtPr>
          <w:sdtEndPr/>
          <w:sdtContent>
            <w:tc>
              <w:tcPr>
                <w:tcW w:w="1104" w:type="pct"/>
                <w:vAlign w:val="center"/>
              </w:tcPr>
              <w:p w:rsidR="004A3868" w:rsidRDefault="003F1AB5">
                <w:pPr>
                  <w:rPr>
                    <w:sz w:val="21"/>
                    <w:szCs w:val="21"/>
                  </w:rPr>
                </w:pPr>
                <w:r>
                  <w:rPr>
                    <w:rFonts w:hint="eastAsia"/>
                    <w:sz w:val="21"/>
                    <w:szCs w:val="21"/>
                  </w:rPr>
                  <w:t>期末余额</w:t>
                </w:r>
              </w:p>
            </w:tc>
          </w:sdtContent>
        </w:sdt>
      </w:tr>
      <w:tr w:rsidR="004A3868">
        <w:trPr>
          <w:trHeight w:val="397"/>
          <w:jc w:val="center"/>
        </w:trPr>
        <w:tc>
          <w:tcPr>
            <w:tcW w:w="1057" w:type="pct"/>
            <w:shd w:val="clear" w:color="auto" w:fill="auto"/>
            <w:vAlign w:val="center"/>
          </w:tcPr>
          <w:p w:rsidR="004A3868" w:rsidRDefault="003F1AB5">
            <w:pPr>
              <w:rPr>
                <w:sz w:val="21"/>
                <w:szCs w:val="21"/>
              </w:rPr>
            </w:pPr>
            <w:r>
              <w:rPr>
                <w:rFonts w:hint="eastAsia"/>
                <w:sz w:val="21"/>
                <w:szCs w:val="21"/>
              </w:rPr>
              <w:t>法定盈余公积</w:t>
            </w:r>
          </w:p>
        </w:tc>
        <w:tc>
          <w:tcPr>
            <w:tcW w:w="1036" w:type="pct"/>
            <w:shd w:val="clear" w:color="auto" w:fill="auto"/>
          </w:tcPr>
          <w:p w:rsidR="004A3868" w:rsidRDefault="003F1AB5">
            <w:pPr>
              <w:pStyle w:val="afff7"/>
            </w:pPr>
            <w:r>
              <w:t>94,090,598.13</w:t>
            </w:r>
          </w:p>
        </w:tc>
        <w:tc>
          <w:tcPr>
            <w:tcW w:w="1035" w:type="pct"/>
            <w:shd w:val="clear" w:color="auto" w:fill="auto"/>
          </w:tcPr>
          <w:p w:rsidR="004A3868" w:rsidRDefault="003F1AB5">
            <w:pPr>
              <w:pStyle w:val="afff7"/>
            </w:pPr>
            <w:r>
              <w:t>23,998,074.58</w:t>
            </w:r>
          </w:p>
        </w:tc>
        <w:tc>
          <w:tcPr>
            <w:tcW w:w="768" w:type="pct"/>
            <w:shd w:val="clear" w:color="auto" w:fill="auto"/>
          </w:tcPr>
          <w:p w:rsidR="004A3868" w:rsidRDefault="004A3868">
            <w:pPr>
              <w:pStyle w:val="afff7"/>
            </w:pPr>
          </w:p>
        </w:tc>
        <w:tc>
          <w:tcPr>
            <w:tcW w:w="1104" w:type="pct"/>
            <w:shd w:val="clear" w:color="auto" w:fill="auto"/>
          </w:tcPr>
          <w:p w:rsidR="004A3868" w:rsidRDefault="003F1AB5">
            <w:pPr>
              <w:pStyle w:val="afff7"/>
            </w:pPr>
            <w:r>
              <w:t>118,088,672.71</w:t>
            </w:r>
          </w:p>
        </w:tc>
      </w:tr>
      <w:tr w:rsidR="004A3868">
        <w:trPr>
          <w:trHeight w:val="397"/>
          <w:jc w:val="center"/>
        </w:trPr>
        <w:tc>
          <w:tcPr>
            <w:tcW w:w="1057" w:type="pct"/>
          </w:tcPr>
          <w:p w:rsidR="004A3868" w:rsidRDefault="003F1AB5">
            <w:pPr>
              <w:rPr>
                <w:sz w:val="21"/>
                <w:szCs w:val="21"/>
              </w:rPr>
            </w:pPr>
            <w:r>
              <w:rPr>
                <w:rFonts w:hint="eastAsia"/>
                <w:sz w:val="21"/>
                <w:szCs w:val="21"/>
              </w:rPr>
              <w:t>合计</w:t>
            </w:r>
          </w:p>
        </w:tc>
        <w:tc>
          <w:tcPr>
            <w:tcW w:w="1036" w:type="pct"/>
          </w:tcPr>
          <w:p w:rsidR="004A3868" w:rsidRDefault="003F1AB5">
            <w:pPr>
              <w:pStyle w:val="afff7"/>
            </w:pPr>
            <w:r>
              <w:t>94,090,598.13</w:t>
            </w:r>
          </w:p>
        </w:tc>
        <w:tc>
          <w:tcPr>
            <w:tcW w:w="1035" w:type="pct"/>
          </w:tcPr>
          <w:p w:rsidR="004A3868" w:rsidRDefault="003F1AB5">
            <w:pPr>
              <w:pStyle w:val="afff7"/>
            </w:pPr>
            <w:r>
              <w:t>23,998,074.58</w:t>
            </w:r>
          </w:p>
        </w:tc>
        <w:tc>
          <w:tcPr>
            <w:tcW w:w="768" w:type="pct"/>
          </w:tcPr>
          <w:p w:rsidR="004A3868" w:rsidRDefault="004A3868">
            <w:pPr>
              <w:pStyle w:val="afff7"/>
            </w:pPr>
          </w:p>
        </w:tc>
        <w:tc>
          <w:tcPr>
            <w:tcW w:w="1104" w:type="pct"/>
          </w:tcPr>
          <w:p w:rsidR="004A3868" w:rsidRDefault="003F1AB5">
            <w:pPr>
              <w:pStyle w:val="afff7"/>
            </w:pPr>
            <w:r>
              <w:t>118,088,672.71</w:t>
            </w:r>
          </w:p>
        </w:tc>
      </w:tr>
    </w:tbl>
    <w:p w:rsidR="004A3868" w:rsidRDefault="003F1AB5">
      <w:pPr>
        <w:rPr>
          <w:sz w:val="21"/>
          <w:szCs w:val="21"/>
        </w:rPr>
      </w:pPr>
      <w:r>
        <w:rPr>
          <w:rFonts w:hint="eastAsia"/>
          <w:sz w:val="21"/>
          <w:szCs w:val="21"/>
        </w:rPr>
        <w:t>盈余公积说明，包括本期增减变动情况、变动原因说明：</w:t>
      </w:r>
    </w:p>
    <w:sdt>
      <w:sdtPr>
        <w:rPr>
          <w:sz w:val="21"/>
          <w:szCs w:val="21"/>
        </w:rPr>
        <w:alias w:val="盈余公积说明"/>
        <w:tag w:val="_GBC_538b8c4ba55d480592f5f9485177617e"/>
        <w:id w:val="-1112357199"/>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未分配利润</w:t>
      </w:r>
    </w:p>
    <w:p w:rsidR="004A3868" w:rsidRDefault="00B34370">
      <w:pPr>
        <w:pStyle w:val="Style124"/>
      </w:pPr>
      <w:sdt>
        <w:sdtPr>
          <w:alias w:val="是否适用：未分配利润[双击切换]"/>
          <w:tag w:val="_GBC_0ccb002da9b649db91afd1ca2a9330f8"/>
          <w:id w:val="-665089173"/>
          <w:lock w:val="contentLocked"/>
          <w:placeholder>
            <w:docPart w:val="GBC22222222222222222222222222222"/>
          </w:placeholder>
        </w:sdtPr>
        <w:sdtEndPr/>
        <w:sdtContent>
          <w:r w:rsidR="003F1AB5">
            <w:fldChar w:fldCharType="begin"/>
          </w:r>
          <w:r w:rsidR="003F1AB5">
            <w:rPr>
              <w:rFonts w:hint="eastAsia"/>
            </w:rPr>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afff5"/>
      </w:pPr>
      <w:r>
        <w:rPr>
          <w:rFonts w:hint="eastAsia"/>
        </w:rPr>
        <w:t>单位：</w:t>
      </w:r>
      <w:sdt>
        <w:sdtPr>
          <w:rPr>
            <w:rFonts w:hint="eastAsia"/>
          </w:rPr>
          <w:alias w:val="单位：财务附注：未分配利润"/>
          <w:tag w:val="_GBC_fc12fabcd66949d39f6f74b747284465"/>
          <w:id w:val="-3060928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分配利润"/>
          <w:tag w:val="_GBC_7b3accd97aa744c08d773ec06b05684e"/>
          <w:id w:val="206770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400"/>
        <w:gridCol w:w="2755"/>
        <w:gridCol w:w="2668"/>
      </w:tblGrid>
      <w:tr w:rsidR="004A3868">
        <w:trPr>
          <w:cantSplit/>
          <w:trHeight w:val="397"/>
          <w:jc w:val="center"/>
        </w:trPr>
        <w:sdt>
          <w:sdtPr>
            <w:tag w:val="_PLD_30da0a90f08b46f090b6fee887a691bc"/>
            <w:id w:val="-812562604"/>
            <w:lock w:val="sdtLocked"/>
          </w:sdtPr>
          <w:sdtEndPr/>
          <w:sdtContent>
            <w:tc>
              <w:tcPr>
                <w:tcW w:w="1927" w:type="pct"/>
                <w:vAlign w:val="center"/>
              </w:tcPr>
              <w:p w:rsidR="004A3868" w:rsidRDefault="003F1AB5">
                <w:pPr>
                  <w:pStyle w:val="afffb"/>
                </w:pPr>
                <w:r>
                  <w:rPr>
                    <w:rFonts w:hint="eastAsia"/>
                  </w:rPr>
                  <w:t>项目</w:t>
                </w:r>
              </w:p>
            </w:tc>
          </w:sdtContent>
        </w:sdt>
        <w:sdt>
          <w:sdtPr>
            <w:tag w:val="_PLD_27c0ff4064964dc5b9e335151d04b603"/>
            <w:id w:val="-1294363745"/>
            <w:lock w:val="sdtLocked"/>
          </w:sdtPr>
          <w:sdtEndPr/>
          <w:sdtContent>
            <w:tc>
              <w:tcPr>
                <w:tcW w:w="1561" w:type="pct"/>
                <w:vAlign w:val="center"/>
              </w:tcPr>
              <w:p w:rsidR="004A3868" w:rsidRDefault="003F1AB5">
                <w:pPr>
                  <w:pStyle w:val="afffb"/>
                </w:pPr>
                <w:r>
                  <w:rPr>
                    <w:rFonts w:hint="eastAsia"/>
                  </w:rPr>
                  <w:t>本期</w:t>
                </w:r>
              </w:p>
            </w:tc>
          </w:sdtContent>
        </w:sdt>
        <w:sdt>
          <w:sdtPr>
            <w:tag w:val="_PLD_613460741a0147b7be8212812793694e"/>
            <w:id w:val="-1782482023"/>
            <w:lock w:val="sdtLocked"/>
          </w:sdtPr>
          <w:sdtEndPr/>
          <w:sdtContent>
            <w:tc>
              <w:tcPr>
                <w:tcW w:w="1512" w:type="pct"/>
                <w:vAlign w:val="center"/>
              </w:tcPr>
              <w:p w:rsidR="004A3868" w:rsidRDefault="003F1AB5">
                <w:pPr>
                  <w:pStyle w:val="afffb"/>
                </w:pPr>
                <w:r>
                  <w:rPr>
                    <w:rFonts w:hint="eastAsia"/>
                  </w:rPr>
                  <w:t>上期</w:t>
                </w:r>
              </w:p>
            </w:tc>
          </w:sdtContent>
        </w:sdt>
      </w:tr>
      <w:tr w:rsidR="004A3868">
        <w:trPr>
          <w:cantSplit/>
          <w:trHeight w:val="397"/>
          <w:jc w:val="center"/>
        </w:trPr>
        <w:tc>
          <w:tcPr>
            <w:tcW w:w="1927" w:type="pct"/>
            <w:vAlign w:val="center"/>
          </w:tcPr>
          <w:p w:rsidR="004A3868" w:rsidRDefault="003F1AB5">
            <w:pPr>
              <w:pStyle w:val="afff9"/>
            </w:pPr>
            <w:r>
              <w:rPr>
                <w:rFonts w:hint="eastAsia"/>
              </w:rPr>
              <w:t>调整前上期末未分配利润</w:t>
            </w:r>
          </w:p>
        </w:tc>
        <w:tc>
          <w:tcPr>
            <w:tcW w:w="1561" w:type="pct"/>
            <w:vAlign w:val="center"/>
          </w:tcPr>
          <w:p w:rsidR="004A3868" w:rsidRDefault="003F1AB5">
            <w:pPr>
              <w:pStyle w:val="afff7"/>
            </w:pPr>
            <w:r>
              <w:t>841,631,315.88</w:t>
            </w:r>
          </w:p>
        </w:tc>
        <w:tc>
          <w:tcPr>
            <w:tcW w:w="1512" w:type="pct"/>
            <w:vAlign w:val="center"/>
          </w:tcPr>
          <w:p w:rsidR="004A3868" w:rsidRDefault="003F1AB5">
            <w:pPr>
              <w:pStyle w:val="afff7"/>
            </w:pPr>
            <w:r>
              <w:t>574,120,090.92</w:t>
            </w:r>
          </w:p>
        </w:tc>
      </w:tr>
      <w:tr w:rsidR="004A3868">
        <w:trPr>
          <w:cantSplit/>
          <w:trHeight w:val="397"/>
          <w:jc w:val="center"/>
        </w:trPr>
        <w:tc>
          <w:tcPr>
            <w:tcW w:w="1927" w:type="pct"/>
            <w:vAlign w:val="center"/>
          </w:tcPr>
          <w:p w:rsidR="004A3868" w:rsidRDefault="003F1AB5">
            <w:pPr>
              <w:pStyle w:val="afff9"/>
            </w:pPr>
            <w:r>
              <w:rPr>
                <w:rFonts w:hint="eastAsia"/>
              </w:rPr>
              <w:t>调整期初未分配利润合计数（调增</w:t>
            </w:r>
            <w:r>
              <w:t>+</w:t>
            </w:r>
            <w:r>
              <w:rPr>
                <w:rFonts w:hint="eastAsia"/>
              </w:rPr>
              <w:t>，调减－）</w:t>
            </w:r>
          </w:p>
        </w:tc>
        <w:tc>
          <w:tcPr>
            <w:tcW w:w="1561" w:type="pct"/>
            <w:vAlign w:val="center"/>
          </w:tcPr>
          <w:p w:rsidR="004A3868" w:rsidRDefault="004A3868">
            <w:pPr>
              <w:pStyle w:val="afff7"/>
            </w:pPr>
          </w:p>
        </w:tc>
        <w:tc>
          <w:tcPr>
            <w:tcW w:w="1512" w:type="pct"/>
            <w:vAlign w:val="center"/>
          </w:tcPr>
          <w:p w:rsidR="004A3868" w:rsidRDefault="003F1AB5">
            <w:pPr>
              <w:pStyle w:val="afff7"/>
            </w:pPr>
            <w:r>
              <w:t xml:space="preserve">　</w:t>
            </w:r>
          </w:p>
        </w:tc>
      </w:tr>
      <w:tr w:rsidR="004A3868">
        <w:trPr>
          <w:cantSplit/>
          <w:trHeight w:val="397"/>
          <w:jc w:val="center"/>
        </w:trPr>
        <w:tc>
          <w:tcPr>
            <w:tcW w:w="1927" w:type="pct"/>
            <w:vAlign w:val="center"/>
          </w:tcPr>
          <w:p w:rsidR="004A3868" w:rsidRDefault="003F1AB5">
            <w:pPr>
              <w:pStyle w:val="afff9"/>
            </w:pPr>
            <w:r>
              <w:rPr>
                <w:rFonts w:hint="eastAsia"/>
              </w:rPr>
              <w:t>调整后期初未分配利润</w:t>
            </w:r>
          </w:p>
        </w:tc>
        <w:tc>
          <w:tcPr>
            <w:tcW w:w="1561" w:type="pct"/>
            <w:vAlign w:val="center"/>
          </w:tcPr>
          <w:p w:rsidR="004A3868" w:rsidRDefault="003F1AB5">
            <w:pPr>
              <w:pStyle w:val="afff7"/>
            </w:pPr>
            <w:r>
              <w:t>841,631,315.88</w:t>
            </w:r>
          </w:p>
        </w:tc>
        <w:tc>
          <w:tcPr>
            <w:tcW w:w="1512" w:type="pct"/>
            <w:vAlign w:val="center"/>
          </w:tcPr>
          <w:p w:rsidR="004A3868" w:rsidRDefault="003F1AB5">
            <w:pPr>
              <w:pStyle w:val="afff7"/>
            </w:pPr>
            <w:r>
              <w:t>574,120,090.92</w:t>
            </w:r>
          </w:p>
        </w:tc>
      </w:tr>
      <w:tr w:rsidR="004A3868">
        <w:trPr>
          <w:cantSplit/>
          <w:trHeight w:val="397"/>
          <w:jc w:val="center"/>
        </w:trPr>
        <w:tc>
          <w:tcPr>
            <w:tcW w:w="1927" w:type="pct"/>
            <w:vAlign w:val="center"/>
          </w:tcPr>
          <w:p w:rsidR="004A3868" w:rsidRDefault="003F1AB5">
            <w:pPr>
              <w:pStyle w:val="afff9"/>
            </w:pPr>
            <w:r>
              <w:rPr>
                <w:rFonts w:hint="eastAsia"/>
              </w:rPr>
              <w:t>加：本期归属于母公司所有者的净利润</w:t>
            </w:r>
          </w:p>
        </w:tc>
        <w:tc>
          <w:tcPr>
            <w:tcW w:w="1561" w:type="pct"/>
            <w:vAlign w:val="center"/>
          </w:tcPr>
          <w:p w:rsidR="004A3868" w:rsidRDefault="003F1AB5">
            <w:pPr>
              <w:pStyle w:val="afff7"/>
            </w:pPr>
            <w:r>
              <w:t>234,586,738.82</w:t>
            </w:r>
          </w:p>
        </w:tc>
        <w:tc>
          <w:tcPr>
            <w:tcW w:w="1512" w:type="pct"/>
            <w:vAlign w:val="center"/>
          </w:tcPr>
          <w:p w:rsidR="004A3868" w:rsidRDefault="003F1AB5">
            <w:pPr>
              <w:pStyle w:val="afff7"/>
            </w:pPr>
            <w:r>
              <w:t>298,110,172.84</w:t>
            </w:r>
          </w:p>
        </w:tc>
      </w:tr>
      <w:tr w:rsidR="004A3868">
        <w:trPr>
          <w:cantSplit/>
          <w:trHeight w:val="397"/>
          <w:jc w:val="center"/>
        </w:trPr>
        <w:tc>
          <w:tcPr>
            <w:tcW w:w="1927" w:type="pct"/>
            <w:vAlign w:val="center"/>
          </w:tcPr>
          <w:p w:rsidR="004A3868" w:rsidRDefault="003F1AB5">
            <w:pPr>
              <w:pStyle w:val="afff9"/>
            </w:pPr>
            <w:r>
              <w:rPr>
                <w:rFonts w:hint="eastAsia"/>
              </w:rPr>
              <w:t>减：提取法定盈余公积</w:t>
            </w:r>
          </w:p>
        </w:tc>
        <w:tc>
          <w:tcPr>
            <w:tcW w:w="1561" w:type="pct"/>
            <w:vAlign w:val="center"/>
          </w:tcPr>
          <w:p w:rsidR="004A3868" w:rsidRDefault="003F1AB5">
            <w:pPr>
              <w:pStyle w:val="afff7"/>
            </w:pPr>
            <w:r>
              <w:t>23,998,074.58</w:t>
            </w:r>
          </w:p>
        </w:tc>
        <w:tc>
          <w:tcPr>
            <w:tcW w:w="1512" w:type="pct"/>
            <w:vAlign w:val="center"/>
          </w:tcPr>
          <w:p w:rsidR="004A3868" w:rsidRDefault="003F1AB5">
            <w:pPr>
              <w:pStyle w:val="afff7"/>
            </w:pPr>
            <w:r>
              <w:t>30,598,947.88</w:t>
            </w:r>
          </w:p>
        </w:tc>
      </w:tr>
      <w:tr w:rsidR="004A3868">
        <w:trPr>
          <w:cantSplit/>
          <w:trHeight w:val="397"/>
          <w:jc w:val="center"/>
        </w:trPr>
        <w:tc>
          <w:tcPr>
            <w:tcW w:w="1927" w:type="pct"/>
            <w:vAlign w:val="center"/>
          </w:tcPr>
          <w:p w:rsidR="004A3868" w:rsidRDefault="003F1AB5">
            <w:pPr>
              <w:pStyle w:val="afff9"/>
            </w:pPr>
            <w:r>
              <w:rPr>
                <w:rFonts w:hint="eastAsia"/>
              </w:rPr>
              <w:t>提取任意盈余公积</w:t>
            </w:r>
          </w:p>
        </w:tc>
        <w:tc>
          <w:tcPr>
            <w:tcW w:w="1561" w:type="pct"/>
            <w:vAlign w:val="center"/>
          </w:tcPr>
          <w:p w:rsidR="004A3868" w:rsidRDefault="004A3868">
            <w:pPr>
              <w:pStyle w:val="afff7"/>
            </w:pPr>
          </w:p>
        </w:tc>
        <w:tc>
          <w:tcPr>
            <w:tcW w:w="1512" w:type="pct"/>
            <w:vAlign w:val="center"/>
          </w:tcPr>
          <w:p w:rsidR="004A3868" w:rsidRDefault="003F1AB5">
            <w:pPr>
              <w:pStyle w:val="afff7"/>
            </w:pPr>
            <w:r>
              <w:t xml:space="preserve">　</w:t>
            </w:r>
          </w:p>
        </w:tc>
      </w:tr>
      <w:tr w:rsidR="004A3868">
        <w:trPr>
          <w:cantSplit/>
          <w:trHeight w:val="397"/>
          <w:jc w:val="center"/>
        </w:trPr>
        <w:tc>
          <w:tcPr>
            <w:tcW w:w="1927" w:type="pct"/>
            <w:vAlign w:val="center"/>
          </w:tcPr>
          <w:p w:rsidR="004A3868" w:rsidRDefault="003F1AB5">
            <w:pPr>
              <w:pStyle w:val="afff9"/>
            </w:pPr>
            <w:r>
              <w:rPr>
                <w:rFonts w:hint="eastAsia"/>
              </w:rPr>
              <w:t>提取一般风险准备</w:t>
            </w:r>
          </w:p>
        </w:tc>
        <w:tc>
          <w:tcPr>
            <w:tcW w:w="1561" w:type="pct"/>
            <w:vAlign w:val="center"/>
          </w:tcPr>
          <w:p w:rsidR="004A3868" w:rsidRDefault="004A3868">
            <w:pPr>
              <w:pStyle w:val="afff7"/>
            </w:pPr>
          </w:p>
        </w:tc>
        <w:tc>
          <w:tcPr>
            <w:tcW w:w="1512" w:type="pct"/>
            <w:vAlign w:val="center"/>
          </w:tcPr>
          <w:p w:rsidR="004A3868" w:rsidRDefault="003F1AB5">
            <w:pPr>
              <w:pStyle w:val="afff7"/>
            </w:pPr>
            <w:r>
              <w:t xml:space="preserve">　</w:t>
            </w:r>
          </w:p>
        </w:tc>
      </w:tr>
      <w:tr w:rsidR="004A3868">
        <w:trPr>
          <w:cantSplit/>
          <w:trHeight w:val="397"/>
          <w:jc w:val="center"/>
        </w:trPr>
        <w:tc>
          <w:tcPr>
            <w:tcW w:w="1927" w:type="pct"/>
            <w:vAlign w:val="center"/>
          </w:tcPr>
          <w:p w:rsidR="004A3868" w:rsidRDefault="003F1AB5">
            <w:pPr>
              <w:pStyle w:val="afff9"/>
            </w:pPr>
            <w:r>
              <w:rPr>
                <w:rFonts w:hint="eastAsia"/>
              </w:rPr>
              <w:t>应付普通股股利</w:t>
            </w:r>
          </w:p>
        </w:tc>
        <w:tc>
          <w:tcPr>
            <w:tcW w:w="1561" w:type="pct"/>
            <w:vAlign w:val="center"/>
          </w:tcPr>
          <w:p w:rsidR="004A3868" w:rsidRDefault="003F1AB5">
            <w:pPr>
              <w:pStyle w:val="afff7"/>
            </w:pPr>
            <w:r>
              <w:t>59,970,133.26</w:t>
            </w:r>
          </w:p>
        </w:tc>
        <w:tc>
          <w:tcPr>
            <w:tcW w:w="1512" w:type="pct"/>
            <w:vAlign w:val="center"/>
          </w:tcPr>
          <w:p w:rsidR="004A3868" w:rsidRDefault="003F1AB5">
            <w:pPr>
              <w:pStyle w:val="afff7"/>
            </w:pPr>
            <w:r>
              <w:t xml:space="preserve">　</w:t>
            </w:r>
          </w:p>
        </w:tc>
      </w:tr>
      <w:tr w:rsidR="004A3868">
        <w:trPr>
          <w:cantSplit/>
          <w:trHeight w:val="397"/>
          <w:jc w:val="center"/>
        </w:trPr>
        <w:tc>
          <w:tcPr>
            <w:tcW w:w="1927" w:type="pct"/>
            <w:vAlign w:val="center"/>
          </w:tcPr>
          <w:p w:rsidR="004A3868" w:rsidRDefault="003F1AB5">
            <w:pPr>
              <w:pStyle w:val="afff9"/>
            </w:pPr>
            <w:r>
              <w:rPr>
                <w:rFonts w:hint="eastAsia"/>
              </w:rPr>
              <w:t>转作股本的普通股股利</w:t>
            </w:r>
          </w:p>
        </w:tc>
        <w:tc>
          <w:tcPr>
            <w:tcW w:w="1561" w:type="pct"/>
            <w:vAlign w:val="center"/>
          </w:tcPr>
          <w:p w:rsidR="004A3868" w:rsidRDefault="004A3868">
            <w:pPr>
              <w:pStyle w:val="afff7"/>
            </w:pPr>
          </w:p>
        </w:tc>
        <w:tc>
          <w:tcPr>
            <w:tcW w:w="1512" w:type="pct"/>
            <w:vAlign w:val="center"/>
          </w:tcPr>
          <w:p w:rsidR="004A3868" w:rsidRDefault="004A3868">
            <w:pPr>
              <w:pStyle w:val="afff7"/>
            </w:pPr>
          </w:p>
        </w:tc>
      </w:tr>
      <w:tr w:rsidR="004A3868">
        <w:trPr>
          <w:cantSplit/>
          <w:trHeight w:val="397"/>
          <w:jc w:val="center"/>
        </w:trPr>
        <w:tc>
          <w:tcPr>
            <w:tcW w:w="1927" w:type="pct"/>
            <w:vAlign w:val="center"/>
          </w:tcPr>
          <w:p w:rsidR="004A3868" w:rsidRDefault="003F1AB5">
            <w:pPr>
              <w:pStyle w:val="afff9"/>
            </w:pPr>
            <w:r>
              <w:rPr>
                <w:rFonts w:hint="eastAsia"/>
              </w:rPr>
              <w:t>期末未分配利润</w:t>
            </w:r>
          </w:p>
        </w:tc>
        <w:tc>
          <w:tcPr>
            <w:tcW w:w="1561" w:type="pct"/>
            <w:vAlign w:val="center"/>
          </w:tcPr>
          <w:p w:rsidR="004A3868" w:rsidRDefault="003F1AB5">
            <w:pPr>
              <w:pStyle w:val="afff7"/>
            </w:pPr>
            <w:r>
              <w:t>992,249,846.86</w:t>
            </w:r>
          </w:p>
        </w:tc>
        <w:tc>
          <w:tcPr>
            <w:tcW w:w="1512" w:type="pct"/>
            <w:vAlign w:val="center"/>
          </w:tcPr>
          <w:p w:rsidR="004A3868" w:rsidRDefault="003F1AB5">
            <w:pPr>
              <w:pStyle w:val="afff7"/>
            </w:pPr>
            <w:r>
              <w:t>841,631,315.88</w:t>
            </w:r>
          </w:p>
        </w:tc>
      </w:tr>
    </w:tbl>
    <w:p w:rsidR="004A3868" w:rsidRDefault="004A3868">
      <w:pPr>
        <w:pStyle w:val="Style124"/>
      </w:pPr>
    </w:p>
    <w:p w:rsidR="004A3868" w:rsidRDefault="003F1AB5">
      <w:pPr>
        <w:rPr>
          <w:sz w:val="21"/>
          <w:szCs w:val="21"/>
        </w:rPr>
      </w:pPr>
      <w:r>
        <w:rPr>
          <w:rFonts w:hint="eastAsia"/>
          <w:sz w:val="21"/>
          <w:szCs w:val="21"/>
        </w:rPr>
        <w:t>调整期初未分配利润明细：</w:t>
      </w:r>
    </w:p>
    <w:p w:rsidR="004A3868" w:rsidRDefault="003F1AB5">
      <w:pPr>
        <w:pStyle w:val="afff1"/>
        <w:ind w:firstLine="420"/>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348948674"/>
          <w:placeholder>
            <w:docPart w:val="GBC22222222222222222222222222222"/>
          </w:placeholder>
        </w:sdtPr>
        <w:sdtEndPr/>
        <w:sdtContent>
          <w:r>
            <w:rPr>
              <w:szCs w:val="21"/>
            </w:rPr>
            <w:t>0</w:t>
          </w:r>
        </w:sdtContent>
      </w:sdt>
      <w:r>
        <w:rPr>
          <w:rFonts w:hint="eastAsia"/>
          <w:szCs w:val="21"/>
        </w:rPr>
        <w:t xml:space="preserve"> 元。</w:t>
      </w:r>
    </w:p>
    <w:p w:rsidR="004A3868" w:rsidRDefault="003F1AB5">
      <w:pPr>
        <w:pStyle w:val="afff1"/>
        <w:ind w:firstLine="420"/>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595629952"/>
          <w:placeholder>
            <w:docPart w:val="GBC22222222222222222222222222222"/>
          </w:placeholder>
        </w:sdtPr>
        <w:sdtEndPr/>
        <w:sdtContent>
          <w:r>
            <w:rPr>
              <w:szCs w:val="21"/>
            </w:rPr>
            <w:t>0</w:t>
          </w:r>
        </w:sdtContent>
      </w:sdt>
      <w:r>
        <w:rPr>
          <w:rFonts w:hint="eastAsia"/>
          <w:szCs w:val="21"/>
        </w:rPr>
        <w:t xml:space="preserve"> 元。</w:t>
      </w:r>
    </w:p>
    <w:p w:rsidR="004A3868" w:rsidRDefault="003F1AB5">
      <w:pPr>
        <w:pStyle w:val="afff1"/>
        <w:ind w:firstLine="420"/>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503775417"/>
          <w:placeholder>
            <w:docPart w:val="GBC22222222222222222222222222222"/>
          </w:placeholder>
        </w:sdtPr>
        <w:sdtEndPr/>
        <w:sdtContent>
          <w:r>
            <w:rPr>
              <w:szCs w:val="21"/>
            </w:rPr>
            <w:t>0</w:t>
          </w:r>
        </w:sdtContent>
      </w:sdt>
      <w:r>
        <w:rPr>
          <w:rFonts w:hint="eastAsia"/>
          <w:szCs w:val="21"/>
        </w:rPr>
        <w:t xml:space="preserve"> 元。</w:t>
      </w:r>
    </w:p>
    <w:p w:rsidR="004A3868" w:rsidRDefault="003F1AB5">
      <w:pPr>
        <w:pStyle w:val="afff1"/>
        <w:ind w:firstLine="420"/>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2109034300"/>
          <w:placeholder>
            <w:docPart w:val="GBC22222222222222222222222222222"/>
          </w:placeholder>
        </w:sdtPr>
        <w:sdtEndPr/>
        <w:sdtContent>
          <w:r>
            <w:rPr>
              <w:szCs w:val="21"/>
            </w:rPr>
            <w:t>0</w:t>
          </w:r>
        </w:sdtContent>
      </w:sdt>
      <w:r>
        <w:rPr>
          <w:rFonts w:hint="eastAsia"/>
          <w:szCs w:val="21"/>
        </w:rPr>
        <w:t xml:space="preserve"> 元。</w:t>
      </w:r>
    </w:p>
    <w:p w:rsidR="004A3868" w:rsidRDefault="003F1AB5">
      <w:pPr>
        <w:pStyle w:val="afff1"/>
        <w:ind w:firstLine="420"/>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034815155"/>
          <w:placeholder>
            <w:docPart w:val="GBC22222222222222222222222222222"/>
          </w:placeholder>
        </w:sdtPr>
        <w:sdtEndPr/>
        <w:sdtContent>
          <w:r>
            <w:rPr>
              <w:szCs w:val="21"/>
            </w:rPr>
            <w:t>0</w:t>
          </w:r>
        </w:sdtContent>
      </w:sdt>
      <w:r>
        <w:rPr>
          <w:rFonts w:hint="eastAsia"/>
          <w:szCs w:val="21"/>
        </w:rPr>
        <w:t xml:space="preserve"> 元。</w:t>
      </w:r>
    </w:p>
    <w:p w:rsidR="004A3868" w:rsidRDefault="004A3868">
      <w:pPr>
        <w:rPr>
          <w:sz w:val="21"/>
          <w:szCs w:val="21"/>
        </w:rPr>
      </w:pPr>
    </w:p>
    <w:p w:rsidR="004A3868" w:rsidRDefault="003F1AB5">
      <w:pPr>
        <w:pStyle w:val="Style12711"/>
      </w:pPr>
      <w:r>
        <w:t>营业</w:t>
      </w:r>
      <w:r>
        <w:rPr>
          <w:rFonts w:ascii="宋体" w:hAnsi="宋体"/>
        </w:rPr>
        <w:t>收入</w:t>
      </w:r>
      <w:r>
        <w:t>和营业成本</w:t>
      </w:r>
    </w:p>
    <w:p w:rsidR="004A3868" w:rsidRDefault="003F1AB5">
      <w:pPr>
        <w:pStyle w:val="Style128"/>
        <w:numPr>
          <w:ilvl w:val="0"/>
          <w:numId w:val="98"/>
        </w:numPr>
      </w:pPr>
      <w:r>
        <w:rPr>
          <w:rFonts w:hint="eastAsia"/>
        </w:rPr>
        <w:t>营业收入和营业成本情况</w:t>
      </w:r>
    </w:p>
    <w:sdt>
      <w:sdtPr>
        <w:alias w:val="是否适用：营业收入和营业成本[双击切换]"/>
        <w:tag w:val="_GBC_c0388196e3634afc823f4b5822c5937a"/>
        <w:id w:val="166613272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营业收入"/>
          <w:tag w:val="_GBC_65cadde8ae1e4b178e7f2737b89bb434"/>
          <w:id w:val="14879703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收入"/>
          <w:tag w:val="_GBC_1371c944b91f437595273e807317f64f"/>
          <w:id w:val="-1879764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20"/>
        <w:gridCol w:w="1842"/>
        <w:gridCol w:w="1855"/>
        <w:gridCol w:w="1853"/>
        <w:gridCol w:w="1853"/>
      </w:tblGrid>
      <w:tr w:rsidR="004A3868">
        <w:trPr>
          <w:trHeight w:val="397"/>
          <w:jc w:val="center"/>
        </w:trPr>
        <w:sdt>
          <w:sdtPr>
            <w:tag w:val="_PLD_77e8683f75cd4c9e919404e1278fe9a0"/>
            <w:id w:val="-332927337"/>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e956f55a311f45a19dc3ce9396b931c9"/>
            <w:id w:val="2127416993"/>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sdt>
          <w:sdtPr>
            <w:tag w:val="_PLD_d175a7df90684e2bbdccc1ba942f2760"/>
            <w:id w:val="1619335071"/>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上期发生额</w:t>
                </w:r>
              </w:p>
            </w:tc>
          </w:sdtContent>
        </w:sdt>
      </w:tr>
      <w:tr w:rsidR="004A3868">
        <w:trPr>
          <w:trHeight w:val="397"/>
          <w:jc w:val="center"/>
        </w:trPr>
        <w:tc>
          <w:tcPr>
            <w:tcW w:w="805" w:type="pct"/>
            <w:vMerge/>
            <w:tcBorders>
              <w:left w:val="single" w:sz="4" w:space="0" w:color="auto"/>
              <w:bottom w:val="single" w:sz="4" w:space="0" w:color="auto"/>
              <w:right w:val="single" w:sz="4" w:space="0" w:color="auto"/>
            </w:tcBorders>
            <w:shd w:val="clear" w:color="auto" w:fill="auto"/>
            <w:vAlign w:val="center"/>
          </w:tcPr>
          <w:p w:rsidR="004A3868" w:rsidRDefault="004A3868">
            <w:pPr>
              <w:pStyle w:val="afffb"/>
            </w:pPr>
          </w:p>
        </w:tc>
        <w:sdt>
          <w:sdtPr>
            <w:tag w:val="_PLD_fe053e4bca564a1fbda44c85256ce067"/>
            <w:id w:val="1840200683"/>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收入</w:t>
                </w:r>
              </w:p>
            </w:tc>
          </w:sdtContent>
        </w:sdt>
        <w:sdt>
          <w:sdtPr>
            <w:tag w:val="_PLD_88be7d92d03d4168a79d4492be4a258c"/>
            <w:id w:val="-356120203"/>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成本</w:t>
                </w:r>
              </w:p>
            </w:tc>
          </w:sdtContent>
        </w:sdt>
        <w:sdt>
          <w:sdtPr>
            <w:tag w:val="_PLD_5ba4682bc5644bc38c4b795c78508b1f"/>
            <w:id w:val="654566007"/>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收入</w:t>
                </w:r>
              </w:p>
            </w:tc>
          </w:sdtContent>
        </w:sdt>
        <w:sdt>
          <w:sdtPr>
            <w:tag w:val="_PLD_94a3ede4ab834e37a20364f2c6897976"/>
            <w:id w:val="1695815944"/>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成本</w:t>
                </w:r>
              </w:p>
            </w:tc>
          </w:sdtContent>
        </w:sdt>
      </w:tr>
      <w:tr w:rsidR="004A3868">
        <w:trPr>
          <w:trHeight w:val="397"/>
          <w:jc w:val="center"/>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主营业务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2,646,110,572.78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2,185,296,979.19</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2,465,471,279.62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1,962,529,695.80</w:t>
            </w:r>
          </w:p>
        </w:tc>
      </w:tr>
      <w:tr w:rsidR="004A3868">
        <w:trPr>
          <w:trHeight w:val="397"/>
          <w:jc w:val="center"/>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其他业务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71,678,275.36</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60,698,235.46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61,008,384.18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51,115,781.26</w:t>
            </w:r>
          </w:p>
        </w:tc>
      </w:tr>
      <w:tr w:rsidR="004A3868">
        <w:trPr>
          <w:trHeight w:val="397"/>
          <w:jc w:val="center"/>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2,717,788,848.14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2,245,995,214.65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2,526,479,663.80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2,013,645,477.06</w:t>
            </w:r>
          </w:p>
        </w:tc>
      </w:tr>
    </w:tbl>
    <w:p w:rsidR="004A3868" w:rsidRDefault="004A3868">
      <w:pPr>
        <w:pStyle w:val="Style124"/>
      </w:pPr>
    </w:p>
    <w:p w:rsidR="004A3868" w:rsidRDefault="004A3868">
      <w:pPr>
        <w:sectPr w:rsidR="004A3868">
          <w:pgSz w:w="11906" w:h="16838"/>
          <w:pgMar w:top="1440" w:right="1797" w:bottom="1525" w:left="1276" w:header="856" w:footer="992" w:gutter="0"/>
          <w:cols w:space="425"/>
          <w:docGrid w:linePitch="312"/>
        </w:sectPr>
      </w:pPr>
    </w:p>
    <w:p w:rsidR="004A3868" w:rsidRDefault="004A3868">
      <w:pPr>
        <w:pStyle w:val="Style124"/>
      </w:pPr>
    </w:p>
    <w:sdt>
      <w:sdtPr>
        <w:rPr>
          <w:rFonts w:ascii="宋体" w:eastAsia="宋体" w:hAnsi="宋体" w:cs="宋体" w:hint="eastAsia"/>
          <w:b w:val="0"/>
          <w:bCs w:val="0"/>
          <w:kern w:val="0"/>
          <w:szCs w:val="24"/>
        </w:rPr>
        <w:alias w:val="模块:合同产生的收入的情况"/>
        <w:tag w:val="_SEC_020e88e24a604d8684cb34b724e2379b"/>
        <w:id w:val="-1354115689"/>
        <w:placeholder>
          <w:docPart w:val="GBC22222222222222222222222222222"/>
        </w:placeholder>
      </w:sdtPr>
      <w:sdtEndPr>
        <w:rPr>
          <w:rFonts w:hint="default"/>
          <w:szCs w:val="21"/>
        </w:rPr>
      </w:sdtEndPr>
      <w:sdtContent>
        <w:p w:rsidR="004A3868" w:rsidRDefault="003F1AB5">
          <w:pPr>
            <w:pStyle w:val="Style128"/>
            <w:numPr>
              <w:ilvl w:val="0"/>
              <w:numId w:val="98"/>
            </w:numPr>
          </w:pPr>
          <w:r>
            <w:rPr>
              <w:rFonts w:hint="eastAsia"/>
            </w:rPr>
            <w:t>营业收入、营业成本的分解信息</w:t>
          </w:r>
          <w:r>
            <w:t xml:space="preserve"> </w:t>
          </w:r>
        </w:p>
        <w:sdt>
          <w:sdtPr>
            <w:alias w:val="是否适用：营业收入、营业成本的分解信息 [双击切换]"/>
            <w:tag w:val="_GBC_9ca3964974eb4c71856442f0683fa140"/>
            <w:id w:val="-1904664344"/>
            <w:lock w:val="sdtLocked"/>
            <w:placeholder>
              <w:docPart w:val="GBC22222222222222222222222222222"/>
            </w:placeholder>
          </w:sdtPr>
          <w:sdtEndPr/>
          <w:sdtContent>
            <w:p w:rsidR="004A3868" w:rsidRDefault="003F1AB5">
              <w:pPr>
                <w:pStyle w:val="Style152"/>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A3868" w:rsidRDefault="003F1AB5">
          <w:pPr>
            <w:pStyle w:val="afff5"/>
          </w:pPr>
          <w:r>
            <w:rPr>
              <w:rFonts w:hint="eastAsia"/>
            </w:rPr>
            <w:t>单位：</w:t>
          </w:r>
          <w:sdt>
            <w:sdtPr>
              <w:rPr>
                <w:rFonts w:hint="eastAsia"/>
              </w:rPr>
              <w:alias w:val="单位：营业收入、营业成本的分解信息 "/>
              <w:tag w:val="_GBC_712aadfd959247489c16d4246880bfef"/>
              <w:id w:val="-9855470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营业收入、营业成本的分解信息 "/>
              <w:tag w:val="_GBC_ca9b26593dbf458b829ac632033cd724"/>
              <w:id w:val="1233966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4004"/>
            <w:gridCol w:w="2386"/>
            <w:gridCol w:w="2433"/>
          </w:tblGrid>
          <w:tr w:rsidR="004A3868">
            <w:trPr>
              <w:trHeight w:val="397"/>
              <w:jc w:val="center"/>
            </w:trPr>
            <w:sdt>
              <w:sdtPr>
                <w:rPr>
                  <w:rFonts w:hint="eastAsia"/>
                </w:rPr>
                <w:tag w:val="_PLD_0e9269f20e6e4b7f8a6a8c59b9077225"/>
                <w:id w:val="1090041951"/>
              </w:sdtPr>
              <w:sdtEndPr/>
              <w:sdtContent>
                <w:tc>
                  <w:tcPr>
                    <w:tcW w:w="2269"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合同分类</w:t>
                    </w:r>
                  </w:p>
                </w:tc>
              </w:sdtContent>
            </w:sdt>
            <w:sdt>
              <w:sdtPr>
                <w:rPr>
                  <w:rFonts w:hint="eastAsia"/>
                </w:rPr>
                <w:tag w:val="_PLD_4c617eb15d544d45ba3090cf4fb369da"/>
                <w:id w:val="1983036335"/>
              </w:sdtPr>
              <w:sdtEndPr/>
              <w:sdtContent>
                <w:tc>
                  <w:tcPr>
                    <w:tcW w:w="2731"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合计</w:t>
                    </w:r>
                  </w:p>
                </w:tc>
              </w:sdtContent>
            </w:sdt>
          </w:tr>
          <w:tr w:rsidR="004A3868">
            <w:trPr>
              <w:trHeight w:val="397"/>
              <w:jc w:val="center"/>
            </w:trPr>
            <w:tc>
              <w:tcPr>
                <w:tcW w:w="2269" w:type="pct"/>
                <w:vMerge/>
                <w:tcBorders>
                  <w:left w:val="single" w:sz="4" w:space="0" w:color="auto"/>
                  <w:bottom w:val="single" w:sz="4" w:space="0" w:color="auto"/>
                  <w:right w:val="single" w:sz="4" w:space="0" w:color="auto"/>
                </w:tcBorders>
                <w:shd w:val="clear" w:color="auto" w:fill="auto"/>
                <w:vAlign w:val="center"/>
              </w:tcPr>
              <w:p w:rsidR="004A3868" w:rsidRDefault="004A3868">
                <w:pPr>
                  <w:pStyle w:val="afffb"/>
                </w:pPr>
              </w:p>
            </w:tc>
            <w:sdt>
              <w:sdtPr>
                <w:rPr>
                  <w:rFonts w:hint="eastAsia"/>
                </w:rPr>
                <w:tag w:val="_PLD_63400df9f177476bb0975376f62b78b9"/>
                <w:id w:val="-1623835987"/>
              </w:sdtPr>
              <w:sdtEndPr/>
              <w:sdtContent>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营业收入</w:t>
                    </w:r>
                  </w:p>
                </w:tc>
              </w:sdtContent>
            </w:sdt>
            <w:sdt>
              <w:sdtPr>
                <w:rPr>
                  <w:rFonts w:hint="eastAsia"/>
                </w:rPr>
                <w:tag w:val="_PLD_ccb1ce0fea894f5892ff4f8ace575517"/>
                <w:id w:val="1480034260"/>
              </w:sdtPr>
              <w:sdtEndPr/>
              <w:sdtContent>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营业成本</w:t>
                    </w:r>
                  </w:p>
                </w:tc>
              </w:sdtContent>
            </w:sdt>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商品类型</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2,717,788,848.14</w:t>
                </w:r>
              </w:p>
            </w:tc>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2,245,995,214.65</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取向硅钢</w:t>
                </w:r>
                <w:r>
                  <w:t xml:space="preserve"> </w:t>
                </w:r>
              </w:p>
            </w:tc>
            <w:tc>
              <w:tcPr>
                <w:tcW w:w="1352" w:type="pct"/>
                <w:tcBorders>
                  <w:top w:val="single" w:sz="4" w:space="0" w:color="auto"/>
                  <w:left w:val="single" w:sz="4" w:space="0" w:color="auto"/>
                  <w:bottom w:val="single" w:sz="4" w:space="0" w:color="auto"/>
                  <w:right w:val="single" w:sz="4" w:space="0" w:color="auto"/>
                </w:tcBorders>
              </w:tcPr>
              <w:p w:rsidR="004A3868" w:rsidRDefault="003F1AB5">
                <w:pPr>
                  <w:pStyle w:val="afff7"/>
                </w:pPr>
                <w:r>
                  <w:t>1,292,859,952.18</w:t>
                </w:r>
              </w:p>
            </w:tc>
            <w:tc>
              <w:tcPr>
                <w:tcW w:w="1379" w:type="pct"/>
                <w:tcBorders>
                  <w:top w:val="single" w:sz="4" w:space="0" w:color="auto"/>
                  <w:left w:val="single" w:sz="4" w:space="0" w:color="auto"/>
                  <w:bottom w:val="single" w:sz="4" w:space="0" w:color="auto"/>
                  <w:right w:val="single" w:sz="4" w:space="0" w:color="auto"/>
                </w:tcBorders>
              </w:tcPr>
              <w:p w:rsidR="004A3868" w:rsidRDefault="003F1AB5">
                <w:pPr>
                  <w:pStyle w:val="afff7"/>
                </w:pPr>
                <w:r>
                  <w:t>1,039,380,239.75</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输配电及控制设备</w:t>
                </w:r>
                <w:r>
                  <w:t xml:space="preserve"> </w:t>
                </w:r>
              </w:p>
            </w:tc>
            <w:tc>
              <w:tcPr>
                <w:tcW w:w="1352" w:type="pct"/>
                <w:tcBorders>
                  <w:top w:val="single" w:sz="4" w:space="0" w:color="auto"/>
                  <w:left w:val="single" w:sz="4" w:space="0" w:color="auto"/>
                  <w:bottom w:val="single" w:sz="4" w:space="0" w:color="auto"/>
                  <w:right w:val="single" w:sz="4" w:space="0" w:color="auto"/>
                </w:tcBorders>
              </w:tcPr>
              <w:p w:rsidR="004A3868" w:rsidRDefault="003F1AB5">
                <w:pPr>
                  <w:pStyle w:val="afff7"/>
                </w:pPr>
                <w:r>
                  <w:t>1,353,250,620.60</w:t>
                </w:r>
              </w:p>
            </w:tc>
            <w:tc>
              <w:tcPr>
                <w:tcW w:w="1379" w:type="pct"/>
                <w:tcBorders>
                  <w:top w:val="single" w:sz="4" w:space="0" w:color="auto"/>
                  <w:left w:val="single" w:sz="4" w:space="0" w:color="auto"/>
                  <w:bottom w:val="single" w:sz="4" w:space="0" w:color="auto"/>
                  <w:right w:val="single" w:sz="4" w:space="0" w:color="auto"/>
                </w:tcBorders>
              </w:tcPr>
              <w:p w:rsidR="004A3868" w:rsidRDefault="003F1AB5">
                <w:pPr>
                  <w:pStyle w:val="afff7"/>
                </w:pPr>
                <w:r>
                  <w:t>1,145,916,736.21</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w:t>
                </w:r>
                <w:r>
                  <w:rPr>
                    <w:rFonts w:hint="eastAsia"/>
                  </w:rPr>
                  <w:t> </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71,678,275.36</w:t>
                </w:r>
              </w:p>
            </w:tc>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60,698,238.69</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按经营地区分类</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市场或客户类型</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合同类型</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按商品转让的时间分类</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2,717,788,848.14</w:t>
                </w:r>
              </w:p>
            </w:tc>
            <w:tc>
              <w:tcPr>
                <w:tcW w:w="1379" w:type="pct"/>
                <w:tcBorders>
                  <w:top w:val="single" w:sz="4" w:space="0" w:color="auto"/>
                  <w:left w:val="single" w:sz="4" w:space="0" w:color="auto"/>
                  <w:bottom w:val="single" w:sz="4" w:space="0" w:color="auto"/>
                  <w:right w:val="single" w:sz="4" w:space="0" w:color="auto"/>
                </w:tcBorders>
              </w:tcPr>
              <w:p w:rsidR="004A3868" w:rsidRDefault="003F1AB5">
                <w:pPr>
                  <w:pStyle w:val="afff7"/>
                </w:pPr>
                <w:r>
                  <w:t>2,245,995,214.65</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rPr>
                    <w:color w:val="000000"/>
                  </w:rPr>
                </w:pPr>
                <w:r>
                  <w:rPr>
                    <w:rFonts w:hint="eastAsia"/>
                  </w:rPr>
                  <w:t>在某一时点转让</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2,717,788,848.14</w:t>
                </w:r>
              </w:p>
            </w:tc>
            <w:tc>
              <w:tcPr>
                <w:tcW w:w="1379" w:type="pct"/>
                <w:tcBorders>
                  <w:top w:val="single" w:sz="4" w:space="0" w:color="auto"/>
                  <w:left w:val="single" w:sz="4" w:space="0" w:color="auto"/>
                  <w:bottom w:val="single" w:sz="4" w:space="0" w:color="auto"/>
                  <w:right w:val="single" w:sz="4" w:space="0" w:color="auto"/>
                </w:tcBorders>
              </w:tcPr>
              <w:p w:rsidR="004A3868" w:rsidRDefault="003F1AB5">
                <w:pPr>
                  <w:pStyle w:val="afff7"/>
                </w:pPr>
                <w:r>
                  <w:t>2,245,995,214.65</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color w:val="000000"/>
                    <w:shd w:val="clear" w:color="auto" w:fill="FFFFFF"/>
                  </w:rPr>
                  <w:t>按</w:t>
                </w:r>
                <w:r>
                  <w:rPr>
                    <w:rFonts w:hint="eastAsia"/>
                  </w:rPr>
                  <w:t>合同期限分类</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color w:val="000000"/>
                    <w:shd w:val="clear" w:color="auto" w:fill="FFFFFF"/>
                  </w:rPr>
                  <w:t>按</w:t>
                </w:r>
                <w:r>
                  <w:rPr>
                    <w:rFonts w:hint="eastAsia"/>
                  </w:rPr>
                  <w:t>销售渠道分类</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2,717,788,848.14</w:t>
                </w:r>
              </w:p>
            </w:tc>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2,245,995,214.65</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 </w:t>
                </w:r>
                <w:r>
                  <w:rPr>
                    <w:rFonts w:hint="eastAsia"/>
                  </w:rPr>
                  <w:t>直销</w:t>
                </w:r>
                <w:r>
                  <w:rPr>
                    <w:rFonts w:hint="eastAsia"/>
                  </w:rPr>
                  <w:t> </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 xml:space="preserve">2,117,718,497.41 </w:t>
                </w:r>
              </w:p>
            </w:tc>
            <w:tc>
              <w:tcPr>
                <w:tcW w:w="1379" w:type="pct"/>
                <w:tcBorders>
                  <w:top w:val="single" w:sz="4" w:space="0" w:color="auto"/>
                  <w:left w:val="single" w:sz="4" w:space="0" w:color="auto"/>
                  <w:bottom w:val="single" w:sz="4" w:space="0" w:color="auto"/>
                  <w:right w:val="single" w:sz="4" w:space="0" w:color="auto"/>
                </w:tcBorders>
              </w:tcPr>
              <w:p w:rsidR="004A3868" w:rsidRDefault="003F1AB5">
                <w:pPr>
                  <w:pStyle w:val="afff7"/>
                </w:pPr>
                <w:r>
                  <w:t xml:space="preserve"> 1,778,426,891.57 </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 </w:t>
                </w:r>
                <w:r>
                  <w:rPr>
                    <w:rFonts w:hint="eastAsia"/>
                  </w:rPr>
                  <w:t>贸易商</w:t>
                </w:r>
                <w:r>
                  <w:rPr>
                    <w:rFonts w:hint="eastAsia"/>
                  </w:rPr>
                  <w:t> </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 xml:space="preserve">600,070,350.73 </w:t>
                </w:r>
              </w:p>
            </w:tc>
            <w:tc>
              <w:tcPr>
                <w:tcW w:w="1379" w:type="pct"/>
                <w:tcBorders>
                  <w:top w:val="single" w:sz="4" w:space="0" w:color="auto"/>
                  <w:left w:val="single" w:sz="4" w:space="0" w:color="auto"/>
                  <w:bottom w:val="single" w:sz="4" w:space="0" w:color="auto"/>
                  <w:right w:val="single" w:sz="4" w:space="0" w:color="auto"/>
                </w:tcBorders>
              </w:tcPr>
              <w:p w:rsidR="004A3868" w:rsidRDefault="003F1AB5">
                <w:pPr>
                  <w:pStyle w:val="afff7"/>
                </w:pPr>
                <w:r>
                  <w:t xml:space="preserve"> 467,568,323.08 </w:t>
                </w:r>
              </w:p>
            </w:tc>
          </w:tr>
          <w:tr w:rsidR="004A3868">
            <w:trPr>
              <w:trHeight w:val="397"/>
              <w:jc w:val="center"/>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13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2,717,788,848.14</w:t>
                </w:r>
              </w:p>
            </w:tc>
            <w:tc>
              <w:tcPr>
                <w:tcW w:w="13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2,245,995,214.65</w:t>
                </w:r>
              </w:p>
            </w:tc>
          </w:tr>
        </w:tbl>
        <w:p w:rsidR="004A3868" w:rsidRDefault="003F1AB5">
          <w:pPr>
            <w:pStyle w:val="Style124"/>
          </w:pPr>
          <w:r>
            <w:rPr>
              <w:rFonts w:hint="eastAsia"/>
            </w:rPr>
            <w:t>其他说明</w:t>
          </w:r>
        </w:p>
        <w:sdt>
          <w:sdtPr>
            <w:alias w:val="是否适用：营业收入、营业成本的分解信息说明 [双击切换]"/>
            <w:tag w:val="_GBC_f134aa472e8b45f8af819092314ab743"/>
            <w:id w:val="708684265"/>
            <w:placeholder>
              <w:docPart w:val="GBC22222222222222222222222222222"/>
            </w:placeholder>
          </w:sdtPr>
          <w:sdtEndPr/>
          <w:sdtContent>
            <w:p w:rsidR="004A3868" w:rsidRDefault="003F1AB5">
              <w:pPr>
                <w:pStyle w:val="Style124"/>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A3868" w:rsidRDefault="003F1AB5">
      <w:pPr>
        <w:pStyle w:val="Style128"/>
        <w:numPr>
          <w:ilvl w:val="0"/>
          <w:numId w:val="98"/>
        </w:numPr>
      </w:pPr>
      <w:r>
        <w:rPr>
          <w:rFonts w:hint="eastAsia"/>
        </w:rPr>
        <w:t>履约义务的说明</w:t>
      </w:r>
    </w:p>
    <w:bookmarkStart w:id="238" w:name="_Hlk533670431" w:displacedByCustomXml="next"/>
    <w:sdt>
      <w:sdtPr>
        <w:alias w:val="是否适用：履约义务的说明[双击切换]"/>
        <w:tag w:val="_GBC_2bcc2970f5df4fc982ad2497089d8292"/>
        <w:id w:val="1571537367"/>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8"/>
    <w:p w:rsidR="004A3868" w:rsidRDefault="003F1AB5">
      <w:pPr>
        <w:pStyle w:val="Style128"/>
        <w:numPr>
          <w:ilvl w:val="0"/>
          <w:numId w:val="98"/>
        </w:numPr>
      </w:pPr>
      <w:r>
        <w:rPr>
          <w:rFonts w:hint="eastAsia"/>
        </w:rPr>
        <w:t>分摊至剩余履约义务的说明</w:t>
      </w:r>
    </w:p>
    <w:bookmarkStart w:id="239" w:name="_Hlk533423938" w:displacedByCustomXml="next"/>
    <w:sdt>
      <w:sdtPr>
        <w:alias w:val="是否适用：分摊至剩余履约义务的说明[双击切换]"/>
        <w:tag w:val="_GBC_67defaacf38a42549a2ed747c0fdb075"/>
        <w:id w:val="-891574603"/>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39"/>
    <w:p w:rsidR="004A3868" w:rsidRDefault="003F1AB5">
      <w:pPr>
        <w:pStyle w:val="Style128"/>
        <w:numPr>
          <w:ilvl w:val="0"/>
          <w:numId w:val="98"/>
        </w:numPr>
      </w:pPr>
      <w:r>
        <w:rPr>
          <w:rFonts w:hint="eastAsia"/>
        </w:rPr>
        <w:t>重大合同变更或重大交易价格调整</w:t>
      </w:r>
    </w:p>
    <w:sdt>
      <w:sdtPr>
        <w:alias w:val="是否适用：重大合同变更或重大交易价格调整[双击切换]"/>
        <w:tag w:val="_GBC_0445697eb8d6440497b15f440010cd1d"/>
        <w:id w:val="-669793955"/>
        <w:lock w:val="sdtLocked"/>
        <w:placeholder>
          <w:docPart w:val="GBC22222222222222222222222222222"/>
        </w:placeholder>
      </w:sdtPr>
      <w:sdtEndPr/>
      <w:sdtContent>
        <w:p w:rsidR="004A3868" w:rsidRDefault="003F1AB5">
          <w:pPr>
            <w:pStyle w:val="Style124"/>
            <w:rPr>
              <w:rFonts w:ascii="Arial" w:hAnsi="Arial"/>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rPr>
          <w:sz w:val="21"/>
          <w:szCs w:val="21"/>
        </w:rPr>
      </w:pPr>
      <w:r>
        <w:rPr>
          <w:rFonts w:hint="eastAsia"/>
          <w:sz w:val="21"/>
          <w:szCs w:val="21"/>
        </w:rPr>
        <w:t>其他说明：</w:t>
      </w:r>
    </w:p>
    <w:p w:rsidR="004A3868" w:rsidRDefault="00B34370">
      <w:pPr>
        <w:rPr>
          <w:sz w:val="21"/>
          <w:szCs w:val="21"/>
        </w:rPr>
      </w:pPr>
      <w:sdt>
        <w:sdtPr>
          <w:rPr>
            <w:sz w:val="21"/>
            <w:szCs w:val="21"/>
          </w:rPr>
          <w:alias w:val="主营业务说明"/>
          <w:tag w:val="_GBC_817222ab73384ad1a188a632c919c846"/>
          <w:id w:val="1923210178"/>
          <w:placeholder>
            <w:docPart w:val="GBC22222222222222222222222222222"/>
          </w:placeholder>
        </w:sdtPr>
        <w:sdtEndPr/>
        <w:sdtContent>
          <w:r w:rsidR="003F1AB5">
            <w:rPr>
              <w:rFonts w:hint="eastAsia"/>
              <w:sz w:val="21"/>
              <w:szCs w:val="21"/>
            </w:rPr>
            <w:t>无</w:t>
          </w:r>
        </w:sdtContent>
      </w:sdt>
    </w:p>
    <w:p w:rsidR="004A3868" w:rsidRDefault="003F1AB5">
      <w:pPr>
        <w:pStyle w:val="Style12711"/>
      </w:pPr>
      <w:r>
        <w:rPr>
          <w:rFonts w:hint="eastAsia"/>
        </w:rPr>
        <w:t>税金及附加</w:t>
      </w:r>
    </w:p>
    <w:sdt>
      <w:sdtPr>
        <w:alias w:val="是否适用：税金及附加[双击切换]"/>
        <w:tag w:val="_GBC_08eb9cdd2a3940549b0f2b47081f0a3d"/>
        <w:id w:val="-106349161"/>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b/>
          <w:sz w:val="21"/>
          <w:szCs w:val="21"/>
        </w:rPr>
      </w:pPr>
      <w:r>
        <w:rPr>
          <w:rFonts w:hint="eastAsia"/>
          <w:sz w:val="21"/>
          <w:szCs w:val="21"/>
        </w:rPr>
        <w:t>单位：</w:t>
      </w:r>
      <w:sdt>
        <w:sdtPr>
          <w:rPr>
            <w:rFonts w:hint="eastAsia"/>
            <w:sz w:val="21"/>
            <w:szCs w:val="21"/>
          </w:rPr>
          <w:alias w:val="单位：财务附注：税金及附加"/>
          <w:tag w:val="_GBC_6e5742d697d44a7dabc4411d4cd3c055"/>
          <w:id w:val="3716524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税金及附加"/>
          <w:tag w:val="_GBC_7ad96346369145ef9c54edaefcc18214"/>
          <w:id w:val="-12092573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33"/>
        <w:gridCol w:w="2995"/>
        <w:gridCol w:w="2995"/>
      </w:tblGrid>
      <w:tr w:rsidR="004A3868">
        <w:trPr>
          <w:trHeight w:val="397"/>
          <w:jc w:val="center"/>
        </w:trPr>
        <w:sdt>
          <w:sdtPr>
            <w:tag w:val="_PLD_82dcdcc171754a7b940a70d1c7daa5c1"/>
            <w:id w:val="-1108113214"/>
            <w:lock w:val="sdtLocked"/>
          </w:sdtPr>
          <w:sdtEndPr/>
          <w:sdtContent>
            <w:tc>
              <w:tcPr>
                <w:tcW w:w="1605" w:type="pct"/>
                <w:vAlign w:val="center"/>
              </w:tcPr>
              <w:p w:rsidR="004A3868" w:rsidRDefault="003F1AB5">
                <w:pPr>
                  <w:pStyle w:val="afffb"/>
                </w:pPr>
                <w:r>
                  <w:rPr>
                    <w:rFonts w:hint="eastAsia"/>
                  </w:rPr>
                  <w:t>项目</w:t>
                </w:r>
              </w:p>
            </w:tc>
          </w:sdtContent>
        </w:sdt>
        <w:sdt>
          <w:sdtPr>
            <w:tag w:val="_PLD_a015e641f9074bee9ed1ee81511407cc"/>
            <w:id w:val="-778563741"/>
            <w:lock w:val="sdtLocked"/>
          </w:sdtPr>
          <w:sdtEndPr/>
          <w:sdtContent>
            <w:tc>
              <w:tcPr>
                <w:tcW w:w="1697" w:type="pct"/>
                <w:vAlign w:val="center"/>
              </w:tcPr>
              <w:p w:rsidR="004A3868" w:rsidRDefault="003F1AB5">
                <w:pPr>
                  <w:pStyle w:val="afffb"/>
                </w:pPr>
                <w:r>
                  <w:rPr>
                    <w:rFonts w:hint="eastAsia"/>
                  </w:rPr>
                  <w:t>本期发生额</w:t>
                </w:r>
              </w:p>
            </w:tc>
          </w:sdtContent>
        </w:sdt>
        <w:sdt>
          <w:sdtPr>
            <w:tag w:val="_PLD_5e944d291c9a4b0aab9f6558226d9112"/>
            <w:id w:val="-2037192609"/>
            <w:lock w:val="sdtLocked"/>
          </w:sdtPr>
          <w:sdtEndPr/>
          <w:sdtContent>
            <w:tc>
              <w:tcPr>
                <w:tcW w:w="1697" w:type="pct"/>
                <w:vAlign w:val="center"/>
              </w:tcPr>
              <w:p w:rsidR="004A3868" w:rsidRDefault="003F1AB5">
                <w:pPr>
                  <w:pStyle w:val="afffb"/>
                </w:pPr>
                <w:r>
                  <w:rPr>
                    <w:rFonts w:hint="eastAsia"/>
                  </w:rPr>
                  <w:t>上期发生额</w:t>
                </w:r>
              </w:p>
            </w:tc>
          </w:sdtContent>
        </w:sdt>
      </w:tr>
      <w:tr w:rsidR="004A3868">
        <w:trPr>
          <w:trHeight w:val="397"/>
          <w:jc w:val="center"/>
        </w:trPr>
        <w:tc>
          <w:tcPr>
            <w:tcW w:w="1605" w:type="pct"/>
            <w:vAlign w:val="center"/>
          </w:tcPr>
          <w:p w:rsidR="004A3868" w:rsidRDefault="003F1AB5">
            <w:pPr>
              <w:pStyle w:val="afff9"/>
            </w:pPr>
            <w:r>
              <w:rPr>
                <w:rFonts w:hint="eastAsia"/>
              </w:rPr>
              <w:t>房产税</w:t>
            </w:r>
          </w:p>
        </w:tc>
        <w:tc>
          <w:tcPr>
            <w:tcW w:w="1697" w:type="pct"/>
            <w:vAlign w:val="bottom"/>
          </w:tcPr>
          <w:p w:rsidR="004A3868" w:rsidRDefault="003F1AB5">
            <w:pPr>
              <w:pStyle w:val="afff7"/>
            </w:pPr>
            <w:r>
              <w:t>4,090,044.42</w:t>
            </w:r>
          </w:p>
        </w:tc>
        <w:tc>
          <w:tcPr>
            <w:tcW w:w="1697" w:type="pct"/>
            <w:vAlign w:val="bottom"/>
          </w:tcPr>
          <w:p w:rsidR="004A3868" w:rsidRDefault="003F1AB5">
            <w:pPr>
              <w:pStyle w:val="afff7"/>
            </w:pPr>
            <w:r>
              <w:t>2,819,254.76</w:t>
            </w:r>
          </w:p>
        </w:tc>
      </w:tr>
      <w:tr w:rsidR="004A3868">
        <w:trPr>
          <w:trHeight w:val="397"/>
          <w:jc w:val="center"/>
        </w:trPr>
        <w:tc>
          <w:tcPr>
            <w:tcW w:w="1605" w:type="pct"/>
            <w:vAlign w:val="center"/>
          </w:tcPr>
          <w:p w:rsidR="004A3868" w:rsidRDefault="003F1AB5">
            <w:pPr>
              <w:pStyle w:val="afff9"/>
            </w:pPr>
            <w:r>
              <w:rPr>
                <w:rFonts w:hint="eastAsia"/>
              </w:rPr>
              <w:t>土地使用税</w:t>
            </w:r>
          </w:p>
        </w:tc>
        <w:tc>
          <w:tcPr>
            <w:tcW w:w="1697" w:type="pct"/>
            <w:vAlign w:val="bottom"/>
          </w:tcPr>
          <w:p w:rsidR="004A3868" w:rsidRDefault="003F1AB5">
            <w:pPr>
              <w:pStyle w:val="afff7"/>
            </w:pPr>
            <w:r>
              <w:t>2,750,488.20</w:t>
            </w:r>
          </w:p>
        </w:tc>
        <w:tc>
          <w:tcPr>
            <w:tcW w:w="1697" w:type="pct"/>
            <w:vAlign w:val="bottom"/>
          </w:tcPr>
          <w:p w:rsidR="004A3868" w:rsidRDefault="003F1AB5">
            <w:pPr>
              <w:pStyle w:val="afff7"/>
            </w:pPr>
            <w:r>
              <w:t>2,717,898.33</w:t>
            </w:r>
          </w:p>
        </w:tc>
      </w:tr>
      <w:tr w:rsidR="004A3868">
        <w:trPr>
          <w:trHeight w:val="397"/>
          <w:jc w:val="center"/>
        </w:trPr>
        <w:tc>
          <w:tcPr>
            <w:tcW w:w="1605" w:type="pct"/>
            <w:vAlign w:val="center"/>
          </w:tcPr>
          <w:p w:rsidR="004A3868" w:rsidRDefault="003F1AB5">
            <w:pPr>
              <w:pStyle w:val="afff9"/>
            </w:pPr>
            <w:r>
              <w:rPr>
                <w:rFonts w:hint="eastAsia"/>
              </w:rPr>
              <w:t>印花税</w:t>
            </w:r>
          </w:p>
        </w:tc>
        <w:tc>
          <w:tcPr>
            <w:tcW w:w="1697" w:type="pct"/>
            <w:vAlign w:val="bottom"/>
          </w:tcPr>
          <w:p w:rsidR="004A3868" w:rsidRDefault="003F1AB5">
            <w:pPr>
              <w:pStyle w:val="afff7"/>
            </w:pPr>
            <w:r>
              <w:t>1,849,462.52</w:t>
            </w:r>
          </w:p>
        </w:tc>
        <w:tc>
          <w:tcPr>
            <w:tcW w:w="1697" w:type="pct"/>
            <w:vAlign w:val="bottom"/>
          </w:tcPr>
          <w:p w:rsidR="004A3868" w:rsidRDefault="003F1AB5">
            <w:pPr>
              <w:pStyle w:val="afff7"/>
            </w:pPr>
            <w:r>
              <w:t>1,517,531.52</w:t>
            </w:r>
          </w:p>
        </w:tc>
      </w:tr>
      <w:tr w:rsidR="004A3868">
        <w:trPr>
          <w:trHeight w:val="397"/>
          <w:jc w:val="center"/>
        </w:trPr>
        <w:tc>
          <w:tcPr>
            <w:tcW w:w="1605" w:type="pct"/>
            <w:vAlign w:val="center"/>
          </w:tcPr>
          <w:p w:rsidR="004A3868" w:rsidRDefault="003F1AB5">
            <w:pPr>
              <w:pStyle w:val="afff9"/>
            </w:pPr>
            <w:r>
              <w:rPr>
                <w:rFonts w:hint="eastAsia"/>
              </w:rPr>
              <w:lastRenderedPageBreak/>
              <w:t>城市维护建设税</w:t>
            </w:r>
          </w:p>
        </w:tc>
        <w:tc>
          <w:tcPr>
            <w:tcW w:w="1697" w:type="pct"/>
            <w:vAlign w:val="bottom"/>
          </w:tcPr>
          <w:p w:rsidR="004A3868" w:rsidRDefault="003F1AB5">
            <w:pPr>
              <w:pStyle w:val="afff7"/>
            </w:pPr>
            <w:r>
              <w:t>948,717.09</w:t>
            </w:r>
          </w:p>
        </w:tc>
        <w:tc>
          <w:tcPr>
            <w:tcW w:w="1697" w:type="pct"/>
            <w:vAlign w:val="bottom"/>
          </w:tcPr>
          <w:p w:rsidR="004A3868" w:rsidRDefault="003F1AB5">
            <w:pPr>
              <w:pStyle w:val="afff7"/>
            </w:pPr>
            <w:r>
              <w:t>1,529,880.35</w:t>
            </w:r>
          </w:p>
        </w:tc>
      </w:tr>
      <w:tr w:rsidR="004A3868">
        <w:trPr>
          <w:trHeight w:val="397"/>
          <w:jc w:val="center"/>
        </w:trPr>
        <w:tc>
          <w:tcPr>
            <w:tcW w:w="1605" w:type="pct"/>
            <w:vAlign w:val="center"/>
          </w:tcPr>
          <w:p w:rsidR="004A3868" w:rsidRDefault="003F1AB5">
            <w:pPr>
              <w:pStyle w:val="afff9"/>
            </w:pPr>
            <w:r>
              <w:rPr>
                <w:rFonts w:hint="eastAsia"/>
              </w:rPr>
              <w:t>教育费附加</w:t>
            </w:r>
          </w:p>
        </w:tc>
        <w:tc>
          <w:tcPr>
            <w:tcW w:w="1697" w:type="pct"/>
            <w:vAlign w:val="bottom"/>
          </w:tcPr>
          <w:p w:rsidR="004A3868" w:rsidRDefault="003F1AB5">
            <w:pPr>
              <w:pStyle w:val="afff7"/>
            </w:pPr>
            <w:r>
              <w:t>677,655.04</w:t>
            </w:r>
          </w:p>
        </w:tc>
        <w:tc>
          <w:tcPr>
            <w:tcW w:w="1697" w:type="pct"/>
            <w:vAlign w:val="bottom"/>
          </w:tcPr>
          <w:p w:rsidR="004A3868" w:rsidRDefault="003F1AB5">
            <w:pPr>
              <w:pStyle w:val="afff7"/>
            </w:pPr>
            <w:r>
              <w:t>1,127,128.77</w:t>
            </w:r>
          </w:p>
        </w:tc>
      </w:tr>
      <w:tr w:rsidR="004A3868">
        <w:trPr>
          <w:trHeight w:val="397"/>
          <w:jc w:val="center"/>
        </w:trPr>
        <w:tc>
          <w:tcPr>
            <w:tcW w:w="1605" w:type="pct"/>
            <w:vAlign w:val="center"/>
          </w:tcPr>
          <w:p w:rsidR="004A3868" w:rsidRDefault="003F1AB5">
            <w:pPr>
              <w:pStyle w:val="afff9"/>
            </w:pPr>
            <w:r>
              <w:rPr>
                <w:rFonts w:hint="eastAsia"/>
              </w:rPr>
              <w:t>环境保护税</w:t>
            </w:r>
          </w:p>
        </w:tc>
        <w:tc>
          <w:tcPr>
            <w:tcW w:w="1697" w:type="pct"/>
            <w:vAlign w:val="bottom"/>
          </w:tcPr>
          <w:p w:rsidR="004A3868" w:rsidRDefault="003F1AB5">
            <w:pPr>
              <w:pStyle w:val="afff7"/>
            </w:pPr>
            <w:r>
              <w:t>196,912.66</w:t>
            </w:r>
          </w:p>
        </w:tc>
        <w:tc>
          <w:tcPr>
            <w:tcW w:w="1697" w:type="pct"/>
            <w:vAlign w:val="bottom"/>
          </w:tcPr>
          <w:p w:rsidR="004A3868" w:rsidRDefault="003F1AB5">
            <w:pPr>
              <w:pStyle w:val="afff7"/>
            </w:pPr>
            <w:r>
              <w:t>281,226.77</w:t>
            </w:r>
          </w:p>
        </w:tc>
      </w:tr>
      <w:tr w:rsidR="004A3868">
        <w:trPr>
          <w:trHeight w:val="397"/>
          <w:jc w:val="center"/>
        </w:trPr>
        <w:tc>
          <w:tcPr>
            <w:tcW w:w="1605" w:type="pct"/>
            <w:vAlign w:val="center"/>
          </w:tcPr>
          <w:p w:rsidR="004A3868" w:rsidRDefault="003F1AB5">
            <w:pPr>
              <w:pStyle w:val="afff9"/>
            </w:pPr>
            <w:r>
              <w:rPr>
                <w:rFonts w:hint="eastAsia"/>
              </w:rPr>
              <w:t>车船税</w:t>
            </w:r>
          </w:p>
        </w:tc>
        <w:tc>
          <w:tcPr>
            <w:tcW w:w="1697" w:type="pct"/>
            <w:vAlign w:val="bottom"/>
          </w:tcPr>
          <w:p w:rsidR="004A3868" w:rsidRDefault="003F1AB5">
            <w:pPr>
              <w:pStyle w:val="afff7"/>
            </w:pPr>
            <w:r>
              <w:t>23,663.34</w:t>
            </w:r>
          </w:p>
        </w:tc>
        <w:tc>
          <w:tcPr>
            <w:tcW w:w="1697" w:type="pct"/>
            <w:vAlign w:val="bottom"/>
          </w:tcPr>
          <w:p w:rsidR="004A3868" w:rsidRDefault="003F1AB5">
            <w:pPr>
              <w:pStyle w:val="afff7"/>
            </w:pPr>
            <w:r>
              <w:t>23,464.54</w:t>
            </w:r>
          </w:p>
        </w:tc>
      </w:tr>
      <w:tr w:rsidR="004A3868">
        <w:trPr>
          <w:trHeight w:val="397"/>
          <w:jc w:val="center"/>
        </w:trPr>
        <w:tc>
          <w:tcPr>
            <w:tcW w:w="1605" w:type="pct"/>
            <w:vAlign w:val="center"/>
          </w:tcPr>
          <w:p w:rsidR="004A3868" w:rsidRDefault="003F1AB5">
            <w:pPr>
              <w:pStyle w:val="afff9"/>
            </w:pPr>
            <w:r>
              <w:rPr>
                <w:rFonts w:hint="eastAsia"/>
              </w:rPr>
              <w:t>合计</w:t>
            </w:r>
          </w:p>
        </w:tc>
        <w:tc>
          <w:tcPr>
            <w:tcW w:w="1697" w:type="pct"/>
            <w:vAlign w:val="bottom"/>
          </w:tcPr>
          <w:p w:rsidR="004A3868" w:rsidRDefault="003F1AB5">
            <w:pPr>
              <w:pStyle w:val="afff7"/>
            </w:pPr>
            <w:r>
              <w:t>10,536,943.27</w:t>
            </w:r>
          </w:p>
        </w:tc>
        <w:tc>
          <w:tcPr>
            <w:tcW w:w="1697" w:type="pct"/>
            <w:vAlign w:val="bottom"/>
          </w:tcPr>
          <w:p w:rsidR="004A3868" w:rsidRDefault="003F1AB5">
            <w:pPr>
              <w:pStyle w:val="afff7"/>
            </w:pPr>
            <w:r>
              <w:t>10,016,385.04</w:t>
            </w:r>
          </w:p>
        </w:tc>
      </w:tr>
    </w:tbl>
    <w:p w:rsidR="004A3868" w:rsidRDefault="003F1AB5">
      <w:pPr>
        <w:rPr>
          <w:sz w:val="21"/>
          <w:szCs w:val="21"/>
        </w:rPr>
      </w:pPr>
      <w:r>
        <w:rPr>
          <w:rFonts w:hint="eastAsia"/>
          <w:sz w:val="21"/>
          <w:szCs w:val="21"/>
        </w:rPr>
        <w:t>其他说明：</w:t>
      </w:r>
    </w:p>
    <w:sdt>
      <w:sdtPr>
        <w:rPr>
          <w:rFonts w:hint="eastAsia"/>
          <w:sz w:val="21"/>
          <w:szCs w:val="21"/>
        </w:rPr>
        <w:alias w:val="税金及附加说明"/>
        <w:tag w:val="_GBC_d333a7e7c5ed4b7896c9db975439c1ec"/>
        <w:id w:val="-357422536"/>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销售费用</w:t>
      </w:r>
    </w:p>
    <w:sdt>
      <w:sdtPr>
        <w:alias w:val="是否适用：销售费用[双击切换]"/>
        <w:tag w:val="_GBC_1a0ad35d35924f068ce1b2a2dc02a25f"/>
        <w:id w:val="-22669799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销售费用"/>
          <w:tag w:val="_GBC_c5a59d97d8a94cda9b9fbd8a93ad19dc"/>
          <w:id w:val="8720428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销售费用"/>
          <w:tag w:val="_GBC_57a629bddf6343a1aebbefc90d9378b0"/>
          <w:id w:val="-15887669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249"/>
        <w:gridCol w:w="2788"/>
        <w:gridCol w:w="2786"/>
      </w:tblGrid>
      <w:tr w:rsidR="004A3868">
        <w:trPr>
          <w:trHeight w:val="397"/>
          <w:jc w:val="center"/>
        </w:trPr>
        <w:sdt>
          <w:sdtPr>
            <w:tag w:val="_PLD_27c4bc503cfe4eafa415de62f182f2c1"/>
            <w:id w:val="-77069878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105cce5212fb42a182b1fd8e309ba67c"/>
            <w:id w:val="180350285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sdt>
          <w:sdtPr>
            <w:tag w:val="_PLD_5f148659054c4187a80f7bdffc9e9cde"/>
            <w:id w:val="150847672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上期发生额</w:t>
                </w:r>
              </w:p>
            </w:tc>
          </w:sdtContent>
        </w:sdt>
      </w:tr>
      <w:tr w:rsidR="004A3868">
        <w:trPr>
          <w:trHeight w:val="397"/>
          <w:jc w:val="center"/>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33,696,367.33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27,422,132.47</w:t>
            </w:r>
          </w:p>
        </w:tc>
      </w:tr>
      <w:tr w:rsidR="004A3868">
        <w:trPr>
          <w:trHeight w:val="397"/>
          <w:jc w:val="center"/>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23,711,406.34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18,204,257.11</w:t>
            </w:r>
          </w:p>
        </w:tc>
      </w:tr>
      <w:tr w:rsidR="004A3868">
        <w:trPr>
          <w:trHeight w:val="397"/>
          <w:jc w:val="center"/>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10,212,152.54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7,882,754.20</w:t>
            </w:r>
          </w:p>
        </w:tc>
      </w:tr>
      <w:tr w:rsidR="004A3868">
        <w:trPr>
          <w:trHeight w:val="397"/>
          <w:jc w:val="center"/>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6,652,107.02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6,371,745.84</w:t>
            </w:r>
          </w:p>
        </w:tc>
      </w:tr>
      <w:tr w:rsidR="004A3868">
        <w:trPr>
          <w:trHeight w:val="397"/>
          <w:jc w:val="center"/>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投标服务费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5,959,964.89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3,878,185.53</w:t>
            </w:r>
          </w:p>
        </w:tc>
      </w:tr>
      <w:tr w:rsidR="004A3868">
        <w:trPr>
          <w:trHeight w:val="397"/>
          <w:jc w:val="center"/>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售后费用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4,577,429.78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3,917,150.28</w:t>
            </w:r>
          </w:p>
        </w:tc>
      </w:tr>
      <w:tr w:rsidR="004A3868">
        <w:trPr>
          <w:trHeight w:val="397"/>
          <w:jc w:val="center"/>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sz w:val="21"/>
                <w:szCs w:val="21"/>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7,448,860.99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6,987,115.69</w:t>
            </w:r>
          </w:p>
        </w:tc>
      </w:tr>
      <w:tr w:rsidR="004A3868">
        <w:trPr>
          <w:trHeight w:val="397"/>
          <w:jc w:val="center"/>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rPr>
                <w:sz w:val="21"/>
                <w:szCs w:val="21"/>
              </w:rPr>
            </w:pPr>
            <w:r>
              <w:rPr>
                <w:rFonts w:hint="eastAsia"/>
                <w:sz w:val="21"/>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92,258,288.89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74,663,341.12</w:t>
            </w:r>
          </w:p>
        </w:tc>
      </w:tr>
    </w:tbl>
    <w:p w:rsidR="004A3868" w:rsidRDefault="003F1AB5">
      <w:pPr>
        <w:rPr>
          <w:sz w:val="21"/>
          <w:szCs w:val="21"/>
        </w:rPr>
      </w:pPr>
      <w:r>
        <w:rPr>
          <w:rFonts w:hint="eastAsia"/>
          <w:sz w:val="21"/>
          <w:szCs w:val="21"/>
        </w:rPr>
        <w:t>其他说明：</w:t>
      </w:r>
    </w:p>
    <w:sdt>
      <w:sdtPr>
        <w:rPr>
          <w:sz w:val="21"/>
          <w:szCs w:val="21"/>
        </w:rPr>
        <w:alias w:val="销售费用的其他说明事项"/>
        <w:tag w:val="_GBC_da5acaab2dfe4976b479907a904edb4f"/>
        <w:id w:val="-1073266167"/>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管理费用</w:t>
      </w:r>
    </w:p>
    <w:sdt>
      <w:sdtPr>
        <w:alias w:val="是否适用：管理费用[双击切换]"/>
        <w:tag w:val="_GBC_b376fd9abaac4f3b8e5956b8dcd72faf"/>
        <w:id w:val="-1201552439"/>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管理费用"/>
          <w:tag w:val="_GBC_73606f31bd404afb8bfe5aabe1a68278"/>
          <w:id w:val="16080024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管理费用"/>
          <w:tag w:val="_GBC_0549259a290d43c39c63d67cdad7f80d"/>
          <w:id w:val="-18987341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833"/>
        <w:gridCol w:w="2495"/>
        <w:gridCol w:w="2495"/>
      </w:tblGrid>
      <w:tr w:rsidR="004A3868">
        <w:trPr>
          <w:trHeight w:val="397"/>
          <w:jc w:val="center"/>
        </w:trPr>
        <w:bookmarkStart w:id="240" w:name="_Hlk163503779" w:displacedByCustomXml="next"/>
        <w:sdt>
          <w:sdtPr>
            <w:tag w:val="_PLD_588268d9a550441d943c27cfc1105eb0"/>
            <w:id w:val="-654455708"/>
            <w:lock w:val="sdtLocked"/>
          </w:sdtPr>
          <w:sdtEndPr/>
          <w:sdtContent>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0e4f4d04bcb2408d8a5744ac90a1f89b"/>
            <w:id w:val="1945578898"/>
            <w:lock w:val="sdtLocked"/>
          </w:sdtPr>
          <w:sdtEndPr/>
          <w:sdtContent>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sdt>
          <w:sdtPr>
            <w:tag w:val="_PLD_6f1ab61237164c0db56540ae1980b62c"/>
            <w:id w:val="-2012055075"/>
            <w:lock w:val="sdtLocked"/>
          </w:sdtPr>
          <w:sdtEndPr/>
          <w:sdtContent>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上期发生额</w:t>
                </w:r>
              </w:p>
            </w:tc>
          </w:sdtContent>
        </w:sdt>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职工薪酬</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30,470,455.75</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right"/>
              <w:rPr>
                <w:sz w:val="21"/>
                <w:szCs w:val="21"/>
              </w:rPr>
            </w:pPr>
            <w:r>
              <w:rPr>
                <w:sz w:val="21"/>
                <w:szCs w:val="21"/>
              </w:rPr>
              <w:t>    27,574,961.15</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业务招待费</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13,243,986.95</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right"/>
              <w:rPr>
                <w:sz w:val="21"/>
                <w:szCs w:val="21"/>
              </w:rPr>
            </w:pPr>
            <w:r>
              <w:rPr>
                <w:sz w:val="21"/>
                <w:szCs w:val="21"/>
              </w:rPr>
              <w:t>     7,980,540.88</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安全生产费</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12,068,618.55</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right"/>
              <w:rPr>
                <w:sz w:val="21"/>
                <w:szCs w:val="21"/>
              </w:rPr>
            </w:pPr>
            <w:r>
              <w:rPr>
                <w:sz w:val="21"/>
                <w:szCs w:val="21"/>
              </w:rPr>
              <w:t>     6,828,636.70</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折旧及摊销</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9,187,619.92</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right"/>
              <w:rPr>
                <w:sz w:val="21"/>
                <w:szCs w:val="21"/>
              </w:rPr>
            </w:pPr>
            <w:r>
              <w:rPr>
                <w:sz w:val="21"/>
                <w:szCs w:val="21"/>
              </w:rPr>
              <w:t xml:space="preserve">     4,721,412.17</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中介机构服务费</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3,941,776.11</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right"/>
              <w:rPr>
                <w:sz w:val="21"/>
                <w:szCs w:val="21"/>
              </w:rPr>
            </w:pPr>
            <w:r>
              <w:rPr>
                <w:sz w:val="21"/>
                <w:szCs w:val="21"/>
              </w:rPr>
              <w:t>     4,734,174.53</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办公费</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3,805,313.28</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right"/>
              <w:rPr>
                <w:sz w:val="21"/>
                <w:szCs w:val="21"/>
              </w:rPr>
            </w:pPr>
            <w:r>
              <w:rPr>
                <w:sz w:val="21"/>
                <w:szCs w:val="21"/>
              </w:rPr>
              <w:t>     3,204,144.05</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物业费用</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1,786,956.62</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right"/>
              <w:rPr>
                <w:sz w:val="21"/>
                <w:szCs w:val="21"/>
              </w:rPr>
            </w:pPr>
            <w:r>
              <w:rPr>
                <w:sz w:val="21"/>
                <w:szCs w:val="21"/>
              </w:rPr>
              <w:t>     1,892,290.15</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差旅费</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876,054.23</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right"/>
              <w:rPr>
                <w:sz w:val="21"/>
                <w:szCs w:val="21"/>
              </w:rPr>
            </w:pPr>
            <w:r>
              <w:rPr>
                <w:sz w:val="21"/>
                <w:szCs w:val="21"/>
              </w:rPr>
              <w:t>     316,382.20</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其他</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2,967,030.35</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3,539,524.79</w:t>
            </w:r>
          </w:p>
        </w:tc>
      </w:tr>
      <w:tr w:rsidR="004A3868">
        <w:trPr>
          <w:trHeight w:val="397"/>
          <w:jc w:val="center"/>
        </w:trPr>
        <w:tc>
          <w:tcPr>
            <w:tcW w:w="21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78,347,811.76</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60,792,066.62</w:t>
            </w:r>
          </w:p>
        </w:tc>
      </w:tr>
    </w:tbl>
    <w:bookmarkEnd w:id="240"/>
    <w:p w:rsidR="004A3868" w:rsidRDefault="003F1AB5">
      <w:pPr>
        <w:rPr>
          <w:sz w:val="21"/>
          <w:szCs w:val="21"/>
        </w:rPr>
      </w:pPr>
      <w:r>
        <w:rPr>
          <w:rFonts w:hint="eastAsia"/>
          <w:sz w:val="21"/>
          <w:szCs w:val="21"/>
        </w:rPr>
        <w:t>其他说明：</w:t>
      </w:r>
    </w:p>
    <w:sdt>
      <w:sdtPr>
        <w:rPr>
          <w:sz w:val="21"/>
          <w:szCs w:val="21"/>
        </w:rPr>
        <w:alias w:val="管理费用的其他说明事项"/>
        <w:tag w:val="_GBC_9b151103b3714e6c9261d3362f24bd0a"/>
        <w:id w:val="1825766339"/>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研发费用</w:t>
      </w:r>
    </w:p>
    <w:bookmarkStart w:id="241" w:name="_Hlk155098459" w:displacedByCustomXml="next"/>
    <w:bookmarkStart w:id="242" w:name="_Hlk532912714" w:displacedByCustomXml="next"/>
    <w:sdt>
      <w:sdtPr>
        <w:rPr>
          <w:sz w:val="21"/>
          <w:szCs w:val="21"/>
        </w:rPr>
        <w:alias w:val="是否适用：研发费用[双击切换]"/>
        <w:tag w:val="_GBC_9898510b9c0a486f9cd9779f4b72b75c"/>
        <w:id w:val="-718052981"/>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研发费用"/>
          <w:tag w:val="_GBC_f2389528805243908680cac1cbf74aac"/>
          <w:id w:val="15814069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研发费用"/>
          <w:tag w:val="_GBC_fd53f958c2294dce9fb017f8207a7ff4"/>
          <w:id w:val="10522771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2496"/>
        <w:gridCol w:w="2495"/>
      </w:tblGrid>
      <w:tr w:rsidR="004A3868">
        <w:sdt>
          <w:sdtPr>
            <w:tag w:val="_PLD_70c22a459f7a4323bcf2b066e0398aee"/>
            <w:id w:val="925387504"/>
            <w:lock w:val="sdtLocked"/>
          </w:sdtPr>
          <w:sdtEndPr/>
          <w:sdtContent>
            <w:tc>
              <w:tcPr>
                <w:tcW w:w="217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76c559fcf2df4f56bfb2994739826eb3"/>
            <w:id w:val="744222827"/>
            <w:lock w:val="sdtLocked"/>
          </w:sdtPr>
          <w:sdtEndPr/>
          <w:sdtContent>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sdt>
          <w:sdtPr>
            <w:tag w:val="_PLD_ec7e9f373a83410d886ebef444573eb8"/>
            <w:id w:val="-1391802909"/>
            <w:lock w:val="sdtLocked"/>
          </w:sdtPr>
          <w:sdtEndPr/>
          <w:sdtContent>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上期发生额</w:t>
                </w:r>
              </w:p>
            </w:tc>
          </w:sdtContent>
        </w:sdt>
      </w:tr>
      <w:tr w:rsidR="004A3868">
        <w:tc>
          <w:tcPr>
            <w:tcW w:w="2171"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材料</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11,815,075.42</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8,860,942.46</w:t>
            </w:r>
          </w:p>
        </w:tc>
      </w:tr>
      <w:tr w:rsidR="004A3868">
        <w:tc>
          <w:tcPr>
            <w:tcW w:w="2171"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职工薪酬</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9,631,031.97</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7,746,766.24</w:t>
            </w:r>
          </w:p>
        </w:tc>
      </w:tr>
      <w:tr w:rsidR="004A3868">
        <w:tc>
          <w:tcPr>
            <w:tcW w:w="2171"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检测费及委外研究费用</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4,721,175.56</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8,792,010.04</w:t>
            </w:r>
          </w:p>
        </w:tc>
      </w:tr>
      <w:tr w:rsidR="004A3868">
        <w:tc>
          <w:tcPr>
            <w:tcW w:w="217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折旧费</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1,192,203.13</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511,715.00</w:t>
            </w:r>
          </w:p>
        </w:tc>
      </w:tr>
      <w:tr w:rsidR="004A3868">
        <w:tc>
          <w:tcPr>
            <w:tcW w:w="217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燃料及动力</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386,973.99</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141,973.98</w:t>
            </w:r>
          </w:p>
        </w:tc>
      </w:tr>
      <w:tr w:rsidR="004A3868">
        <w:tc>
          <w:tcPr>
            <w:tcW w:w="217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其他</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1,502,669.74</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1,646,994.22</w:t>
            </w:r>
          </w:p>
        </w:tc>
      </w:tr>
      <w:tr w:rsidR="004A3868">
        <w:tc>
          <w:tcPr>
            <w:tcW w:w="217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29,249,129.81</w:t>
            </w: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27,700,401.94</w:t>
            </w:r>
          </w:p>
        </w:tc>
      </w:tr>
    </w:tbl>
    <w:p w:rsidR="004A3868" w:rsidRDefault="003F1AB5">
      <w:pPr>
        <w:rPr>
          <w:sz w:val="21"/>
          <w:szCs w:val="21"/>
        </w:rPr>
      </w:pPr>
      <w:r>
        <w:rPr>
          <w:rFonts w:hint="eastAsia"/>
          <w:sz w:val="21"/>
          <w:szCs w:val="21"/>
        </w:rPr>
        <w:t>其他说明：</w:t>
      </w:r>
    </w:p>
    <w:sdt>
      <w:sdtPr>
        <w:alias w:val="研发费用其他说明"/>
        <w:tag w:val="_GBC_da0db64d68d44b2fa6262eeadfe7c926"/>
        <w:id w:val="185959073"/>
        <w:placeholder>
          <w:docPart w:val="GBC22222222222222222222222222222"/>
        </w:placeholder>
      </w:sdtPr>
      <w:sdtEndPr/>
      <w:sdtContent>
        <w:p w:rsidR="004A3868" w:rsidRDefault="003F1AB5">
          <w:pPr>
            <w:pStyle w:val="Style124"/>
          </w:pPr>
          <w:r>
            <w:rPr>
              <w:rFonts w:hint="eastAsia"/>
            </w:rPr>
            <w:t>无</w:t>
          </w:r>
        </w:p>
      </w:sdtContent>
    </w:sdt>
    <w:bookmarkEnd w:id="242"/>
    <w:bookmarkEnd w:id="241"/>
    <w:p w:rsidR="004A3868" w:rsidRDefault="003F1AB5">
      <w:pPr>
        <w:pStyle w:val="Style12711"/>
      </w:pPr>
      <w:r>
        <w:rPr>
          <w:rFonts w:hint="eastAsia"/>
        </w:rPr>
        <w:t>财务费用</w:t>
      </w:r>
    </w:p>
    <w:sdt>
      <w:sdtPr>
        <w:alias w:val="是否适用：财务费用[双击切换]"/>
        <w:tag w:val="_GBC_7e467c6faebc402ab141f588df31680d"/>
        <w:id w:val="-1227748046"/>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费用"/>
          <w:tag w:val="_GBC_adcf988d29cd43aba011ce1310eac264"/>
          <w:id w:val="-19830011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费用"/>
          <w:tag w:val="_GBC_f6066e571d54449daf358ae3037f9712"/>
          <w:id w:val="17025121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905"/>
        <w:gridCol w:w="2539"/>
        <w:gridCol w:w="2379"/>
      </w:tblGrid>
      <w:tr w:rsidR="004A3868">
        <w:trPr>
          <w:trHeight w:val="397"/>
          <w:jc w:val="center"/>
        </w:trPr>
        <w:sdt>
          <w:sdtPr>
            <w:tag w:val="_PLD_49977e87dd3f474489b24bbaed00293d"/>
            <w:id w:val="-85063780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f64aa2e290ce4904a39347c56117acb7"/>
            <w:id w:val="98397788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sdt>
          <w:sdtPr>
            <w:tag w:val="_PLD_178c78585f7e495ebd86923cb8c24338"/>
            <w:id w:val="7054930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上期发生额</w:t>
                </w:r>
              </w:p>
            </w:tc>
          </w:sdtContent>
        </w:sdt>
      </w:tr>
      <w:tr w:rsidR="004A3868">
        <w:trPr>
          <w:trHeight w:val="397"/>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15,768,915.69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10,311,590.95</w:t>
            </w:r>
          </w:p>
        </w:tc>
      </w:tr>
      <w:tr w:rsidR="004A3868">
        <w:trPr>
          <w:trHeight w:val="397"/>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33,542,141.89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14,319,484.42</w:t>
            </w:r>
          </w:p>
        </w:tc>
      </w:tr>
      <w:tr w:rsidR="004A3868">
        <w:trPr>
          <w:trHeight w:val="397"/>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-552,115.32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-7,576,052.36</w:t>
            </w:r>
          </w:p>
        </w:tc>
      </w:tr>
      <w:tr w:rsidR="004A3868">
        <w:trPr>
          <w:trHeight w:val="397"/>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1,167,547.39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761,345.04</w:t>
            </w:r>
          </w:p>
        </w:tc>
      </w:tr>
      <w:tr w:rsidR="004A3868">
        <w:trPr>
          <w:trHeight w:val="397"/>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融资租赁利息</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286,665.74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-7,305.05</w:t>
            </w:r>
          </w:p>
        </w:tc>
      </w:tr>
      <w:tr w:rsidR="004A3868">
        <w:trPr>
          <w:trHeight w:val="397"/>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-16,871,128.39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-10,829,905.84</w:t>
            </w:r>
          </w:p>
        </w:tc>
      </w:tr>
    </w:tbl>
    <w:p w:rsidR="004A3868" w:rsidRDefault="003F1AB5">
      <w:pPr>
        <w:rPr>
          <w:sz w:val="21"/>
          <w:szCs w:val="21"/>
        </w:rPr>
      </w:pPr>
      <w:r>
        <w:rPr>
          <w:rFonts w:hint="eastAsia"/>
          <w:sz w:val="21"/>
          <w:szCs w:val="21"/>
        </w:rPr>
        <w:t>其他说明：</w:t>
      </w:r>
    </w:p>
    <w:sdt>
      <w:sdtPr>
        <w:rPr>
          <w:sz w:val="21"/>
          <w:szCs w:val="21"/>
        </w:rPr>
        <w:alias w:val="财务费用的其他说明事项"/>
        <w:tag w:val="_GBC_ac6200ee95c7483d9ee9565f49369f9a"/>
        <w:id w:val="165448516"/>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其他收益</w:t>
      </w:r>
    </w:p>
    <w:sdt>
      <w:sdtPr>
        <w:rPr>
          <w:sz w:val="21"/>
          <w:szCs w:val="21"/>
        </w:rPr>
        <w:alias w:val="是否适用：财务报表其他收益[双击切换]"/>
        <w:tag w:val="_GBC_24722ffac3b6474db1e1d7972d6e4a7b"/>
        <w:id w:val="296967036"/>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rPr>
          <w:sz w:val="21"/>
          <w:szCs w:val="21"/>
        </w:rPr>
      </w:pPr>
      <w:r>
        <w:rPr>
          <w:sz w:val="21"/>
          <w:szCs w:val="21"/>
        </w:rPr>
        <w:t>单位：</w:t>
      </w:r>
      <w:sdt>
        <w:sdtPr>
          <w:rPr>
            <w:sz w:val="21"/>
            <w:szCs w:val="21"/>
          </w:rPr>
          <w:alias w:val="单位：财务报表其他收益明细"/>
          <w:tag w:val="_GBC_74ea52f952324be7ab2c4c494ff673ce"/>
          <w:id w:val="314714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 w:val="21"/>
              <w:szCs w:val="21"/>
            </w:rPr>
            <w:t>元</w:t>
          </w:r>
        </w:sdtContent>
      </w:sdt>
      <w:r>
        <w:rPr>
          <w:sz w:val="21"/>
          <w:szCs w:val="21"/>
        </w:rPr>
        <w:t xml:space="preserve">  </w:t>
      </w:r>
      <w:r>
        <w:rPr>
          <w:sz w:val="21"/>
          <w:szCs w:val="21"/>
        </w:rPr>
        <w:t>币种：</w:t>
      </w:r>
      <w:sdt>
        <w:sdtPr>
          <w:rPr>
            <w:sz w:val="21"/>
            <w:szCs w:val="21"/>
          </w:rPr>
          <w:alias w:val="币种：财务报表其他收益明细"/>
          <w:tag w:val="_GBC_8360ed9b182a496c9b5d2220a414a4cb"/>
          <w:id w:val="13926929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151"/>
        <w:gridCol w:w="3336"/>
        <w:gridCol w:w="3336"/>
      </w:tblGrid>
      <w:tr w:rsidR="004A3868">
        <w:trPr>
          <w:trHeight w:val="397"/>
          <w:jc w:val="center"/>
        </w:trPr>
        <w:sdt>
          <w:sdtPr>
            <w:tag w:val="_PLD_7df5d6dc8fe1463b8e0d41784241e311"/>
            <w:id w:val="894013112"/>
            <w:lock w:val="sdtLocked"/>
          </w:sdtPr>
          <w:sdtEndPr/>
          <w:sdtContent>
            <w:tc>
              <w:tcPr>
                <w:tcW w:w="2151" w:type="dxa"/>
                <w:shd w:val="clear" w:color="auto" w:fill="auto"/>
                <w:vAlign w:val="center"/>
              </w:tcPr>
              <w:p w:rsidR="004A3868" w:rsidRDefault="003F1AB5">
                <w:pPr>
                  <w:pStyle w:val="afffb"/>
                </w:pPr>
                <w:r>
                  <w:rPr>
                    <w:rFonts w:hint="eastAsia"/>
                  </w:rPr>
                  <w:t>按性质分类</w:t>
                </w:r>
              </w:p>
            </w:tc>
          </w:sdtContent>
        </w:sdt>
        <w:sdt>
          <w:sdtPr>
            <w:tag w:val="_PLD_2c34d48a6a534080943d2d340c325c15"/>
            <w:id w:val="-1813240518"/>
            <w:lock w:val="sdtLocked"/>
          </w:sdtPr>
          <w:sdtEndPr/>
          <w:sdtContent>
            <w:tc>
              <w:tcPr>
                <w:tcW w:w="3336" w:type="dxa"/>
                <w:shd w:val="clear" w:color="auto" w:fill="auto"/>
                <w:vAlign w:val="center"/>
              </w:tcPr>
              <w:p w:rsidR="004A3868" w:rsidRDefault="003F1AB5">
                <w:pPr>
                  <w:pStyle w:val="afffb"/>
                </w:pPr>
                <w:r>
                  <w:rPr>
                    <w:rFonts w:hint="eastAsia"/>
                  </w:rPr>
                  <w:t>本期发生额</w:t>
                </w:r>
              </w:p>
            </w:tc>
          </w:sdtContent>
        </w:sdt>
        <w:sdt>
          <w:sdtPr>
            <w:tag w:val="_PLD_1a2c9ed0a9704089897421e22b8696dd"/>
            <w:id w:val="1717397282"/>
            <w:lock w:val="sdtLocked"/>
          </w:sdtPr>
          <w:sdtEndPr/>
          <w:sdtContent>
            <w:tc>
              <w:tcPr>
                <w:tcW w:w="3336" w:type="dxa"/>
                <w:shd w:val="clear" w:color="auto" w:fill="auto"/>
                <w:vAlign w:val="center"/>
              </w:tcPr>
              <w:p w:rsidR="004A3868" w:rsidRDefault="003F1AB5">
                <w:pPr>
                  <w:pStyle w:val="afffb"/>
                </w:pPr>
                <w:r>
                  <w:rPr>
                    <w:rFonts w:hint="eastAsia"/>
                  </w:rPr>
                  <w:t>上期发生额</w:t>
                </w:r>
              </w:p>
            </w:tc>
          </w:sdtContent>
        </w:sdt>
      </w:tr>
      <w:tr w:rsidR="004A3868">
        <w:trPr>
          <w:trHeight w:val="397"/>
          <w:jc w:val="center"/>
        </w:trPr>
        <w:tc>
          <w:tcPr>
            <w:tcW w:w="2151" w:type="dxa"/>
            <w:shd w:val="clear" w:color="auto" w:fill="auto"/>
          </w:tcPr>
          <w:p w:rsidR="004A3868" w:rsidRDefault="003F1AB5">
            <w:pPr>
              <w:pStyle w:val="afff9"/>
            </w:pPr>
            <w:r>
              <w:rPr>
                <w:rFonts w:hint="eastAsia"/>
              </w:rPr>
              <w:t>增值税加计抵减</w:t>
            </w:r>
          </w:p>
        </w:tc>
        <w:tc>
          <w:tcPr>
            <w:tcW w:w="3336" w:type="dxa"/>
            <w:shd w:val="clear" w:color="auto" w:fill="auto"/>
            <w:vAlign w:val="center"/>
          </w:tcPr>
          <w:p w:rsidR="004A3868" w:rsidRDefault="003F1AB5">
            <w:pPr>
              <w:pStyle w:val="afff7"/>
            </w:pPr>
            <w:r>
              <w:t xml:space="preserve">     12,840,108.98</w:t>
            </w:r>
          </w:p>
        </w:tc>
        <w:tc>
          <w:tcPr>
            <w:tcW w:w="3336" w:type="dxa"/>
            <w:shd w:val="clear" w:color="auto" w:fill="auto"/>
            <w:vAlign w:val="center"/>
          </w:tcPr>
          <w:p w:rsidR="004A3868" w:rsidRDefault="003F1AB5">
            <w:pPr>
              <w:pStyle w:val="afff7"/>
            </w:pPr>
            <w:r>
              <w:t xml:space="preserve">　</w:t>
            </w:r>
          </w:p>
        </w:tc>
      </w:tr>
      <w:tr w:rsidR="004A3868">
        <w:trPr>
          <w:trHeight w:val="397"/>
          <w:jc w:val="center"/>
        </w:trPr>
        <w:tc>
          <w:tcPr>
            <w:tcW w:w="2151" w:type="dxa"/>
            <w:shd w:val="clear" w:color="auto" w:fill="auto"/>
          </w:tcPr>
          <w:p w:rsidR="004A3868" w:rsidRDefault="003F1AB5">
            <w:pPr>
              <w:pStyle w:val="afff9"/>
            </w:pPr>
            <w:r>
              <w:rPr>
                <w:rFonts w:hint="eastAsia"/>
              </w:rPr>
              <w:t>政府补助</w:t>
            </w:r>
          </w:p>
        </w:tc>
        <w:tc>
          <w:tcPr>
            <w:tcW w:w="3336" w:type="dxa"/>
            <w:shd w:val="clear" w:color="auto" w:fill="auto"/>
            <w:vAlign w:val="center"/>
          </w:tcPr>
          <w:p w:rsidR="004A3868" w:rsidRDefault="003F1AB5">
            <w:pPr>
              <w:pStyle w:val="afff7"/>
            </w:pPr>
            <w:r>
              <w:t xml:space="preserve">     11,691,184.68</w:t>
            </w:r>
          </w:p>
        </w:tc>
        <w:tc>
          <w:tcPr>
            <w:tcW w:w="3336" w:type="dxa"/>
            <w:shd w:val="clear" w:color="auto" w:fill="auto"/>
            <w:vAlign w:val="center"/>
          </w:tcPr>
          <w:p w:rsidR="004A3868" w:rsidRDefault="003F1AB5">
            <w:pPr>
              <w:pStyle w:val="afff7"/>
            </w:pPr>
            <w:r>
              <w:t xml:space="preserve">     11,425,326.35</w:t>
            </w:r>
          </w:p>
        </w:tc>
      </w:tr>
      <w:tr w:rsidR="004A3868">
        <w:trPr>
          <w:trHeight w:val="397"/>
          <w:jc w:val="center"/>
        </w:trPr>
        <w:tc>
          <w:tcPr>
            <w:tcW w:w="2151" w:type="dxa"/>
            <w:shd w:val="clear" w:color="auto" w:fill="auto"/>
          </w:tcPr>
          <w:p w:rsidR="004A3868" w:rsidRDefault="003F1AB5">
            <w:pPr>
              <w:pStyle w:val="afff9"/>
            </w:pPr>
            <w:r>
              <w:t>代扣个人所得税手续费返还</w:t>
            </w:r>
          </w:p>
        </w:tc>
        <w:tc>
          <w:tcPr>
            <w:tcW w:w="3336" w:type="dxa"/>
            <w:shd w:val="clear" w:color="auto" w:fill="auto"/>
            <w:vAlign w:val="center"/>
          </w:tcPr>
          <w:p w:rsidR="004A3868" w:rsidRDefault="003F1AB5">
            <w:pPr>
              <w:pStyle w:val="afff7"/>
            </w:pPr>
            <w:r>
              <w:t>         56,680.18</w:t>
            </w:r>
          </w:p>
        </w:tc>
        <w:tc>
          <w:tcPr>
            <w:tcW w:w="3336" w:type="dxa"/>
            <w:shd w:val="clear" w:color="auto" w:fill="auto"/>
            <w:vAlign w:val="center"/>
          </w:tcPr>
          <w:p w:rsidR="004A3868" w:rsidRDefault="003F1AB5">
            <w:pPr>
              <w:pStyle w:val="afff7"/>
            </w:pPr>
            <w:r>
              <w:t xml:space="preserve">　</w:t>
            </w:r>
          </w:p>
        </w:tc>
      </w:tr>
      <w:tr w:rsidR="004A3868">
        <w:trPr>
          <w:trHeight w:val="397"/>
          <w:jc w:val="center"/>
        </w:trPr>
        <w:tc>
          <w:tcPr>
            <w:tcW w:w="2151" w:type="dxa"/>
            <w:shd w:val="clear" w:color="auto" w:fill="auto"/>
          </w:tcPr>
          <w:p w:rsidR="004A3868" w:rsidRDefault="003F1AB5">
            <w:pPr>
              <w:pStyle w:val="afff9"/>
            </w:pPr>
            <w:r>
              <w:t>其他</w:t>
            </w:r>
          </w:p>
        </w:tc>
        <w:tc>
          <w:tcPr>
            <w:tcW w:w="3336" w:type="dxa"/>
            <w:shd w:val="clear" w:color="auto" w:fill="auto"/>
            <w:vAlign w:val="center"/>
          </w:tcPr>
          <w:p w:rsidR="004A3868" w:rsidRDefault="003F1AB5">
            <w:pPr>
              <w:pStyle w:val="afff7"/>
            </w:pPr>
            <w:r>
              <w:t>         89,983.42</w:t>
            </w:r>
          </w:p>
        </w:tc>
        <w:tc>
          <w:tcPr>
            <w:tcW w:w="3336" w:type="dxa"/>
            <w:shd w:val="clear" w:color="auto" w:fill="auto"/>
            <w:vAlign w:val="center"/>
          </w:tcPr>
          <w:p w:rsidR="004A3868" w:rsidRDefault="003F1AB5">
            <w:pPr>
              <w:pStyle w:val="afff7"/>
            </w:pPr>
            <w:r>
              <w:t>         47,329.47</w:t>
            </w:r>
          </w:p>
        </w:tc>
      </w:tr>
      <w:tr w:rsidR="004A3868">
        <w:trPr>
          <w:trHeight w:val="397"/>
          <w:jc w:val="center"/>
        </w:trPr>
        <w:tc>
          <w:tcPr>
            <w:tcW w:w="2151" w:type="dxa"/>
            <w:shd w:val="clear" w:color="auto" w:fill="auto"/>
          </w:tcPr>
          <w:p w:rsidR="004A3868" w:rsidRDefault="003F1AB5">
            <w:pPr>
              <w:pStyle w:val="afff9"/>
            </w:pPr>
            <w:r>
              <w:rPr>
                <w:rFonts w:hint="eastAsia"/>
              </w:rPr>
              <w:t>合计</w:t>
            </w:r>
          </w:p>
        </w:tc>
        <w:tc>
          <w:tcPr>
            <w:tcW w:w="3336" w:type="dxa"/>
            <w:shd w:val="clear" w:color="auto" w:fill="auto"/>
            <w:vAlign w:val="center"/>
          </w:tcPr>
          <w:p w:rsidR="004A3868" w:rsidRDefault="003F1AB5">
            <w:pPr>
              <w:pStyle w:val="afff7"/>
            </w:pPr>
            <w:r>
              <w:t>24,677,957.26</w:t>
            </w:r>
          </w:p>
        </w:tc>
        <w:tc>
          <w:tcPr>
            <w:tcW w:w="3336" w:type="dxa"/>
            <w:shd w:val="clear" w:color="auto" w:fill="auto"/>
            <w:vAlign w:val="center"/>
          </w:tcPr>
          <w:p w:rsidR="004A3868" w:rsidRDefault="003F1AB5">
            <w:pPr>
              <w:pStyle w:val="afff7"/>
            </w:pPr>
            <w:r>
              <w:t>11,472,655.82</w:t>
            </w:r>
          </w:p>
        </w:tc>
      </w:tr>
    </w:tbl>
    <w:p w:rsidR="004A3868" w:rsidRDefault="003F1AB5">
      <w:pPr>
        <w:pStyle w:val="Style124"/>
      </w:pPr>
      <w:r>
        <w:rPr>
          <w:rFonts w:hint="eastAsia"/>
        </w:rPr>
        <w:t>其他说明：</w:t>
      </w:r>
    </w:p>
    <w:sdt>
      <w:sdtPr>
        <w:alias w:val="财务报表其他收益其他说明"/>
        <w:tag w:val="_GBC_4b4ba73a66704c609e7c6617d0fa6694"/>
        <w:id w:val="-617838521"/>
        <w:placeholder>
          <w:docPart w:val="GBC22222222222222222222222222222"/>
        </w:placeholder>
      </w:sdtPr>
      <w:sdtEndPr/>
      <w:sdtContent>
        <w:p w:rsidR="004A3868" w:rsidRDefault="003F1AB5">
          <w:pPr>
            <w:pStyle w:val="Style124"/>
          </w:pPr>
          <w:r>
            <w:rPr>
              <w:rFonts w:hint="eastAsia"/>
            </w:rPr>
            <w:t>注：本期退回重庆市第一批重点“小巨人”企业</w:t>
          </w:r>
          <w:r>
            <w:t>1,320,000.00元政府补助款，详见</w:t>
          </w:r>
          <w:r>
            <w:rPr>
              <w:rFonts w:hint="eastAsia"/>
            </w:rPr>
            <w:t>第十节.十一.</w:t>
          </w:r>
          <w:r>
            <w:t>3</w:t>
          </w:r>
          <w:r>
            <w:rPr>
              <w:rFonts w:hint="eastAsia"/>
            </w:rPr>
            <w:t>计入当期损益的政府补助</w:t>
          </w:r>
          <w:r>
            <w:t>所述。</w:t>
          </w:r>
        </w:p>
      </w:sdtContent>
    </w:sdt>
    <w:p w:rsidR="004A3868" w:rsidRDefault="003F1AB5">
      <w:pPr>
        <w:pStyle w:val="Style12711"/>
      </w:pPr>
      <w:r>
        <w:rPr>
          <w:rFonts w:hint="eastAsia"/>
        </w:rPr>
        <w:lastRenderedPageBreak/>
        <w:t>投资收益</w:t>
      </w:r>
    </w:p>
    <w:bookmarkStart w:id="243" w:name="_Hlk24027658" w:displacedByCustomXml="next"/>
    <w:sdt>
      <w:sdtPr>
        <w:alias w:val="是否适用：投资收益[双击切换]"/>
        <w:tag w:val="_GBC_f581223c46c2426aa46b9e88b6b47f4f"/>
        <w:id w:val="2064982205"/>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b/>
          <w:sz w:val="21"/>
          <w:szCs w:val="21"/>
        </w:rPr>
      </w:pPr>
      <w:r>
        <w:rPr>
          <w:sz w:val="21"/>
          <w:szCs w:val="21"/>
        </w:rPr>
        <w:t>单位</w:t>
      </w:r>
      <w:r>
        <w:rPr>
          <w:rFonts w:hint="eastAsia"/>
          <w:sz w:val="21"/>
          <w:szCs w:val="21"/>
        </w:rPr>
        <w:t>：</w:t>
      </w:r>
      <w:sdt>
        <w:sdtPr>
          <w:rPr>
            <w:rFonts w:hint="eastAsia"/>
            <w:sz w:val="21"/>
            <w:szCs w:val="21"/>
          </w:rPr>
          <w:alias w:val="单位：财务附注：会计报表中的投资收益项目增加"/>
          <w:tag w:val="_GBC_aeb04d73052c442cb4e2c86d75a8fbb5"/>
          <w:id w:val="11112506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sz w:val="21"/>
          <w:szCs w:val="21"/>
        </w:rPr>
        <w:t xml:space="preserve">  </w:t>
      </w:r>
      <w:r>
        <w:rPr>
          <w:sz w:val="21"/>
          <w:szCs w:val="21"/>
        </w:rPr>
        <w:t>币种</w:t>
      </w:r>
      <w:r>
        <w:rPr>
          <w:rFonts w:hint="eastAsia"/>
          <w:sz w:val="21"/>
          <w:szCs w:val="21"/>
        </w:rPr>
        <w:t>：</w:t>
      </w:r>
      <w:sdt>
        <w:sdtPr>
          <w:rPr>
            <w:rFonts w:hint="eastAsia"/>
            <w:sz w:val="21"/>
            <w:szCs w:val="21"/>
          </w:rPr>
          <w:alias w:val="币种：财务附注：会计报表中的投资收益项目增加"/>
          <w:tag w:val="_GBC_9845e736e0054165b2ee74d48d6dd757"/>
          <w:id w:val="-14388230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561"/>
        <w:gridCol w:w="2626"/>
        <w:gridCol w:w="2636"/>
      </w:tblGrid>
      <w:tr w:rsidR="004A3868">
        <w:trPr>
          <w:trHeight w:val="397"/>
          <w:jc w:val="center"/>
        </w:trPr>
        <w:sdt>
          <w:sdtPr>
            <w:tag w:val="_PLD_998e1ec79cfc4df397c6fa0a751f3489"/>
            <w:id w:val="-1367588597"/>
          </w:sdtPr>
          <w:sdtEndPr/>
          <w:sdtContent>
            <w:tc>
              <w:tcPr>
                <w:tcW w:w="2018" w:type="pct"/>
                <w:vAlign w:val="center"/>
              </w:tcPr>
              <w:p w:rsidR="004A3868" w:rsidRDefault="003F1AB5">
                <w:pPr>
                  <w:pStyle w:val="afffb"/>
                </w:pPr>
                <w:r>
                  <w:rPr>
                    <w:rFonts w:hint="eastAsia"/>
                  </w:rPr>
                  <w:t>项目</w:t>
                </w:r>
              </w:p>
            </w:tc>
          </w:sdtContent>
        </w:sdt>
        <w:sdt>
          <w:sdtPr>
            <w:tag w:val="_PLD_239208f1271348119306f77c15ab0ec0"/>
            <w:id w:val="-2010979266"/>
          </w:sdtPr>
          <w:sdtEndPr/>
          <w:sdtContent>
            <w:tc>
              <w:tcPr>
                <w:tcW w:w="1488" w:type="pct"/>
                <w:vAlign w:val="center"/>
              </w:tcPr>
              <w:p w:rsidR="004A3868" w:rsidRDefault="003F1AB5">
                <w:pPr>
                  <w:pStyle w:val="afffb"/>
                </w:pPr>
                <w:r>
                  <w:rPr>
                    <w:rFonts w:hint="eastAsia"/>
                  </w:rPr>
                  <w:t>本期发生额</w:t>
                </w:r>
              </w:p>
            </w:tc>
          </w:sdtContent>
        </w:sdt>
        <w:sdt>
          <w:sdtPr>
            <w:tag w:val="_PLD_c548c34a5b7b4e3eb5536d1408d6cc7b"/>
            <w:id w:val="-1710640955"/>
          </w:sdtPr>
          <w:sdtEndPr/>
          <w:sdtContent>
            <w:tc>
              <w:tcPr>
                <w:tcW w:w="1494" w:type="pct"/>
                <w:vAlign w:val="center"/>
              </w:tcPr>
              <w:p w:rsidR="004A3868" w:rsidRDefault="003F1AB5">
                <w:pPr>
                  <w:pStyle w:val="afffb"/>
                </w:pPr>
                <w:r>
                  <w:rPr>
                    <w:rFonts w:hint="eastAsia"/>
                  </w:rPr>
                  <w:t>上期发生额</w:t>
                </w:r>
              </w:p>
            </w:tc>
          </w:sdtContent>
        </w:sdt>
      </w:tr>
      <w:tr w:rsidR="004A3868">
        <w:trPr>
          <w:trHeight w:val="397"/>
          <w:jc w:val="center"/>
        </w:trPr>
        <w:tc>
          <w:tcPr>
            <w:tcW w:w="2018" w:type="pct"/>
          </w:tcPr>
          <w:p w:rsidR="004A3868" w:rsidRDefault="003F1AB5">
            <w:pPr>
              <w:pStyle w:val="afff9"/>
            </w:pPr>
            <w:r>
              <w:rPr>
                <w:rFonts w:hint="eastAsia"/>
              </w:rPr>
              <w:t>权益法核算的长期股权投资收益</w:t>
            </w:r>
          </w:p>
        </w:tc>
        <w:tc>
          <w:tcPr>
            <w:tcW w:w="1488" w:type="pct"/>
            <w:vAlign w:val="center"/>
          </w:tcPr>
          <w:p w:rsidR="004A3868" w:rsidRDefault="003F1AB5">
            <w:pPr>
              <w:pStyle w:val="afff7"/>
            </w:pPr>
            <w:r>
              <w:t>323,689.95</w:t>
            </w:r>
          </w:p>
        </w:tc>
        <w:tc>
          <w:tcPr>
            <w:tcW w:w="1494" w:type="pct"/>
            <w:vAlign w:val="center"/>
          </w:tcPr>
          <w:p w:rsidR="004A3868" w:rsidRDefault="003F1AB5">
            <w:pPr>
              <w:pStyle w:val="afff7"/>
            </w:pPr>
            <w:r>
              <w:t>971,512.67</w:t>
            </w:r>
          </w:p>
        </w:tc>
      </w:tr>
      <w:tr w:rsidR="004A3868">
        <w:trPr>
          <w:trHeight w:val="397"/>
          <w:jc w:val="center"/>
        </w:trPr>
        <w:tc>
          <w:tcPr>
            <w:tcW w:w="2018" w:type="pct"/>
          </w:tcPr>
          <w:p w:rsidR="004A3868" w:rsidRDefault="003F1AB5">
            <w:pPr>
              <w:pStyle w:val="afff9"/>
            </w:pPr>
            <w:r>
              <w:rPr>
                <w:rFonts w:hint="eastAsia"/>
              </w:rPr>
              <w:t>处置交易性金融资产取得的投资收益</w:t>
            </w:r>
          </w:p>
        </w:tc>
        <w:tc>
          <w:tcPr>
            <w:tcW w:w="1488" w:type="pct"/>
            <w:vAlign w:val="center"/>
          </w:tcPr>
          <w:p w:rsidR="004A3868" w:rsidRDefault="003F1AB5">
            <w:pPr>
              <w:pStyle w:val="afff7"/>
            </w:pPr>
            <w:r>
              <w:t>80,361.86</w:t>
            </w:r>
          </w:p>
        </w:tc>
        <w:tc>
          <w:tcPr>
            <w:tcW w:w="1494" w:type="pct"/>
            <w:vAlign w:val="center"/>
          </w:tcPr>
          <w:p w:rsidR="004A3868" w:rsidRDefault="003F1AB5">
            <w:pPr>
              <w:pStyle w:val="afff7"/>
            </w:pPr>
            <w:r>
              <w:t>893,535.54</w:t>
            </w:r>
          </w:p>
        </w:tc>
      </w:tr>
      <w:tr w:rsidR="004A3868">
        <w:trPr>
          <w:trHeight w:val="397"/>
          <w:jc w:val="center"/>
        </w:trPr>
        <w:tc>
          <w:tcPr>
            <w:tcW w:w="2018" w:type="pct"/>
            <w:vAlign w:val="center"/>
          </w:tcPr>
          <w:p w:rsidR="004A3868" w:rsidRDefault="003F1AB5">
            <w:pPr>
              <w:pStyle w:val="afff9"/>
            </w:pPr>
            <w:r>
              <w:rPr>
                <w:rFonts w:hint="eastAsia"/>
              </w:rPr>
              <w:t>合计</w:t>
            </w:r>
          </w:p>
        </w:tc>
        <w:tc>
          <w:tcPr>
            <w:tcW w:w="1488" w:type="pct"/>
            <w:vAlign w:val="center"/>
          </w:tcPr>
          <w:p w:rsidR="004A3868" w:rsidRDefault="003F1AB5">
            <w:pPr>
              <w:pStyle w:val="afff7"/>
            </w:pPr>
            <w:r>
              <w:t>404,051.81</w:t>
            </w:r>
          </w:p>
        </w:tc>
        <w:tc>
          <w:tcPr>
            <w:tcW w:w="1494" w:type="pct"/>
            <w:vAlign w:val="center"/>
          </w:tcPr>
          <w:p w:rsidR="004A3868" w:rsidRDefault="003F1AB5">
            <w:pPr>
              <w:pStyle w:val="afff7"/>
            </w:pPr>
            <w:r>
              <w:t>1,865,048.21</w:t>
            </w:r>
          </w:p>
        </w:tc>
      </w:tr>
    </w:tbl>
    <w:p w:rsidR="004A3868" w:rsidRDefault="003F1AB5">
      <w:pPr>
        <w:rPr>
          <w:sz w:val="21"/>
          <w:szCs w:val="21"/>
        </w:rPr>
      </w:pPr>
      <w:r>
        <w:rPr>
          <w:rFonts w:hint="eastAsia"/>
          <w:sz w:val="21"/>
          <w:szCs w:val="21"/>
        </w:rPr>
        <w:t>其他说明：</w:t>
      </w:r>
    </w:p>
    <w:sdt>
      <w:sdtPr>
        <w:rPr>
          <w:rFonts w:hint="eastAsia"/>
          <w:sz w:val="21"/>
          <w:szCs w:val="21"/>
        </w:rPr>
        <w:alias w:val="投资收益说明"/>
        <w:tag w:val="_GBC_4461c08be8cf4739a76957c4ebbfc521"/>
        <w:id w:val="-524866245"/>
        <w:placeholder>
          <w:docPart w:val="GBC22222222222222222222222222222"/>
        </w:placeholder>
      </w:sdtPr>
      <w:sdtEndPr/>
      <w:sdtContent>
        <w:p w:rsidR="004A3868" w:rsidRDefault="003F1AB5">
          <w:pPr>
            <w:rPr>
              <w:sz w:val="21"/>
              <w:szCs w:val="21"/>
            </w:rPr>
          </w:pPr>
          <w:r>
            <w:rPr>
              <w:rFonts w:hint="eastAsia"/>
              <w:sz w:val="21"/>
              <w:szCs w:val="21"/>
            </w:rPr>
            <w:t>无</w:t>
          </w:r>
        </w:p>
      </w:sdtContent>
    </w:sdt>
    <w:bookmarkEnd w:id="243"/>
    <w:p w:rsidR="004A3868" w:rsidRDefault="003F1AB5">
      <w:pPr>
        <w:pStyle w:val="Style12711"/>
      </w:pPr>
      <w:r>
        <w:rPr>
          <w:rFonts w:hint="eastAsia"/>
        </w:rPr>
        <w:t>净敞口套期收益</w:t>
      </w:r>
    </w:p>
    <w:sdt>
      <w:sdtPr>
        <w:rPr>
          <w:sz w:val="21"/>
          <w:szCs w:val="21"/>
        </w:rPr>
        <w:alias w:val="是否适用：净敞口套期收益[双击切换]"/>
        <w:tag w:val="_GBC_0b9c0635e78547e1b23b27daf08672cd"/>
        <w:id w:val="-1905129369"/>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公允价值变动收益</w:t>
      </w:r>
    </w:p>
    <w:bookmarkStart w:id="244" w:name="_Hlk534895224" w:displacedByCustomXml="next"/>
    <w:sdt>
      <w:sdtPr>
        <w:alias w:val="是否适用：公允价值变动收益[双击切换]"/>
        <w:tag w:val="_GBC_703e46a239ba45afa37afdd4dcae0cb4"/>
        <w:id w:val="-1288732256"/>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公允价值变动收益"/>
          <w:tag w:val="_GBC_c4e1118ffbdf4d6f90815a9b487cc79b"/>
          <w:id w:val="9260771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公允价值变动收益"/>
          <w:tag w:val="_GBC_704565e01a4148fe85dcf135bb9be9b6"/>
          <w:id w:val="-11267782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756"/>
        <w:gridCol w:w="2256"/>
        <w:gridCol w:w="2811"/>
      </w:tblGrid>
      <w:tr w:rsidR="004A3868">
        <w:trPr>
          <w:trHeight w:val="397"/>
          <w:jc w:val="center"/>
        </w:trPr>
        <w:sdt>
          <w:sdtPr>
            <w:tag w:val="_PLD_6e9a92135b46440eb6d0daa39f0ec40f"/>
            <w:id w:val="-2059850606"/>
          </w:sdtPr>
          <w:sdtEndPr/>
          <w:sdtContent>
            <w:tc>
              <w:tcPr>
                <w:tcW w:w="21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产生公允价值变动收益的来源</w:t>
                </w:r>
              </w:p>
            </w:tc>
          </w:sdtContent>
        </w:sdt>
        <w:sdt>
          <w:sdtPr>
            <w:tag w:val="_PLD_7cd0c8223b6b499990a24553e928cba4"/>
            <w:id w:val="547581065"/>
          </w:sdtPr>
          <w:sdtEndPr/>
          <w:sdtContent>
            <w:tc>
              <w:tcPr>
                <w:tcW w:w="12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本期发生额</w:t>
                </w:r>
              </w:p>
            </w:tc>
          </w:sdtContent>
        </w:sdt>
        <w:sdt>
          <w:sdtPr>
            <w:tag w:val="_PLD_1ebddc94af9345a99e7800415f9811c7"/>
            <w:id w:val="255947430"/>
          </w:sdtPr>
          <w:sdtEndPr/>
          <w:sdtContent>
            <w:tc>
              <w:tcPr>
                <w:tcW w:w="159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上期发生额</w:t>
                </w:r>
              </w:p>
            </w:tc>
          </w:sdtContent>
        </w:sdt>
      </w:tr>
      <w:tr w:rsidR="004A3868">
        <w:trPr>
          <w:trHeight w:val="397"/>
          <w:jc w:val="center"/>
        </w:trPr>
        <w:tc>
          <w:tcPr>
            <w:tcW w:w="212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结构性存款</w:t>
            </w:r>
          </w:p>
        </w:tc>
        <w:tc>
          <w:tcPr>
            <w:tcW w:w="1278" w:type="pct"/>
            <w:tcBorders>
              <w:top w:val="single" w:sz="4" w:space="0" w:color="auto"/>
              <w:left w:val="single" w:sz="4" w:space="0" w:color="auto"/>
              <w:bottom w:val="single" w:sz="4" w:space="0" w:color="auto"/>
              <w:right w:val="single" w:sz="4" w:space="0" w:color="auto"/>
            </w:tcBorders>
          </w:tcPr>
          <w:p w:rsidR="004A3868" w:rsidRDefault="004A3868">
            <w:pPr>
              <w:pStyle w:val="afff7"/>
            </w:pPr>
          </w:p>
        </w:tc>
        <w:tc>
          <w:tcPr>
            <w:tcW w:w="159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176,054.79</w:t>
            </w:r>
          </w:p>
        </w:tc>
      </w:tr>
      <w:tr w:rsidR="004A3868">
        <w:trPr>
          <w:trHeight w:val="397"/>
          <w:jc w:val="center"/>
        </w:trPr>
        <w:tc>
          <w:tcPr>
            <w:tcW w:w="21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合计</w:t>
            </w:r>
          </w:p>
        </w:tc>
        <w:tc>
          <w:tcPr>
            <w:tcW w:w="1278" w:type="pct"/>
            <w:tcBorders>
              <w:top w:val="single" w:sz="4" w:space="0" w:color="auto"/>
              <w:left w:val="single" w:sz="4" w:space="0" w:color="auto"/>
              <w:bottom w:val="single" w:sz="4" w:space="0" w:color="auto"/>
              <w:right w:val="single" w:sz="4" w:space="0" w:color="auto"/>
            </w:tcBorders>
          </w:tcPr>
          <w:p w:rsidR="004A3868" w:rsidRDefault="004A3868">
            <w:pPr>
              <w:pStyle w:val="afff7"/>
            </w:pPr>
          </w:p>
        </w:tc>
        <w:tc>
          <w:tcPr>
            <w:tcW w:w="159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176,054.79</w:t>
            </w:r>
          </w:p>
        </w:tc>
      </w:tr>
    </w:tbl>
    <w:p w:rsidR="004A3868" w:rsidRDefault="003F1AB5">
      <w:pPr>
        <w:rPr>
          <w:sz w:val="21"/>
          <w:szCs w:val="21"/>
        </w:rPr>
      </w:pPr>
      <w:r>
        <w:rPr>
          <w:rFonts w:hint="eastAsia"/>
          <w:sz w:val="21"/>
          <w:szCs w:val="21"/>
        </w:rPr>
        <w:t>其他说明：</w:t>
      </w:r>
    </w:p>
    <w:sdt>
      <w:sdtPr>
        <w:rPr>
          <w:rFonts w:hint="eastAsia"/>
          <w:sz w:val="21"/>
          <w:szCs w:val="21"/>
        </w:rPr>
        <w:alias w:val="公允价值变动收益的说明"/>
        <w:tag w:val="_GBC_2de79fa0260c440dae18401771bdd5db"/>
        <w:id w:val="-1760739599"/>
        <w:placeholder>
          <w:docPart w:val="GBC22222222222222222222222222222"/>
        </w:placeholder>
      </w:sdtPr>
      <w:sdtEndPr/>
      <w:sdtContent>
        <w:p w:rsidR="004A3868" w:rsidRDefault="003F1AB5">
          <w:pPr>
            <w:rPr>
              <w:sz w:val="21"/>
              <w:szCs w:val="21"/>
            </w:rPr>
          </w:pPr>
          <w:r>
            <w:rPr>
              <w:rFonts w:hint="eastAsia"/>
              <w:sz w:val="21"/>
              <w:szCs w:val="21"/>
            </w:rPr>
            <w:t>无</w:t>
          </w:r>
        </w:p>
      </w:sdtContent>
    </w:sdt>
    <w:bookmarkEnd w:id="244"/>
    <w:p w:rsidR="004A3868" w:rsidRDefault="003F1AB5">
      <w:pPr>
        <w:pStyle w:val="Style12711"/>
      </w:pPr>
      <w:r>
        <w:rPr>
          <w:rFonts w:hint="eastAsia"/>
        </w:rPr>
        <w:t>信用减值损失</w:t>
      </w:r>
    </w:p>
    <w:sdt>
      <w:sdtPr>
        <w:alias w:val="是否适用：信用减值损失[双击切换]"/>
        <w:tag w:val="_GBC_3e1c9d9dad6c4530991d2befd4b098e3"/>
        <w:id w:val="-340168005"/>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信用减值损失"/>
          <w:tag w:val="_GBC_64c0f12c02d44b548838a6936d90e525"/>
          <w:id w:val="-7804177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信用减值损失"/>
          <w:tag w:val="_GBC_4d6a964234bf4666a052d68fb8b9d060"/>
          <w:id w:val="-1173793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560"/>
        <w:gridCol w:w="2620"/>
        <w:gridCol w:w="2643"/>
      </w:tblGrid>
      <w:tr w:rsidR="004A3868">
        <w:trPr>
          <w:trHeight w:val="397"/>
          <w:jc w:val="center"/>
        </w:trPr>
        <w:sdt>
          <w:sdtPr>
            <w:tag w:val="_PLD_32efbc222fba4f8b87e71fbd7550f57d"/>
            <w:id w:val="1922750641"/>
          </w:sdtPr>
          <w:sdtEndPr/>
          <w:sdtContent>
            <w:tc>
              <w:tcPr>
                <w:tcW w:w="2017" w:type="pct"/>
                <w:shd w:val="clear" w:color="auto" w:fill="auto"/>
                <w:vAlign w:val="center"/>
              </w:tcPr>
              <w:p w:rsidR="004A3868" w:rsidRDefault="003F1AB5">
                <w:pPr>
                  <w:pStyle w:val="afffb"/>
                </w:pPr>
                <w:r>
                  <w:rPr>
                    <w:rFonts w:hint="eastAsia"/>
                  </w:rPr>
                  <w:t>项目</w:t>
                </w:r>
              </w:p>
            </w:tc>
          </w:sdtContent>
        </w:sdt>
        <w:sdt>
          <w:sdtPr>
            <w:tag w:val="_PLD_57fc93ac35684eca9207e23d2b2d6664"/>
            <w:id w:val="1500696665"/>
          </w:sdtPr>
          <w:sdtEndPr/>
          <w:sdtContent>
            <w:tc>
              <w:tcPr>
                <w:tcW w:w="1485" w:type="pct"/>
                <w:shd w:val="clear" w:color="auto" w:fill="auto"/>
                <w:vAlign w:val="center"/>
              </w:tcPr>
              <w:p w:rsidR="004A3868" w:rsidRDefault="003F1AB5">
                <w:pPr>
                  <w:pStyle w:val="afffb"/>
                </w:pPr>
                <w:r>
                  <w:rPr>
                    <w:rFonts w:hint="eastAsia"/>
                  </w:rPr>
                  <w:t>本期发生额</w:t>
                </w:r>
              </w:p>
            </w:tc>
          </w:sdtContent>
        </w:sdt>
        <w:sdt>
          <w:sdtPr>
            <w:tag w:val="_PLD_ddb6bc4a58314fb2abbbb04ed4af2419"/>
            <w:id w:val="1095355751"/>
          </w:sdtPr>
          <w:sdtEndPr/>
          <w:sdtContent>
            <w:tc>
              <w:tcPr>
                <w:tcW w:w="1498" w:type="pct"/>
                <w:shd w:val="clear" w:color="auto" w:fill="auto"/>
                <w:vAlign w:val="center"/>
              </w:tcPr>
              <w:p w:rsidR="004A3868" w:rsidRDefault="003F1AB5">
                <w:pPr>
                  <w:pStyle w:val="afffb"/>
                </w:pPr>
                <w:r>
                  <w:rPr>
                    <w:rFonts w:hint="eastAsia"/>
                  </w:rPr>
                  <w:t>上期发生额</w:t>
                </w:r>
              </w:p>
            </w:tc>
          </w:sdtContent>
        </w:sdt>
      </w:tr>
      <w:tr w:rsidR="004A3868">
        <w:trPr>
          <w:trHeight w:val="397"/>
          <w:jc w:val="center"/>
        </w:trPr>
        <w:tc>
          <w:tcPr>
            <w:tcW w:w="2017" w:type="pct"/>
            <w:shd w:val="clear" w:color="auto" w:fill="auto"/>
          </w:tcPr>
          <w:p w:rsidR="004A3868" w:rsidRDefault="003F1AB5">
            <w:pPr>
              <w:pStyle w:val="afff9"/>
            </w:pPr>
            <w:r>
              <w:rPr>
                <w:rFonts w:hint="eastAsia"/>
              </w:rPr>
              <w:t>应收款项融资坏账准备</w:t>
            </w:r>
          </w:p>
        </w:tc>
        <w:tc>
          <w:tcPr>
            <w:tcW w:w="1485" w:type="pct"/>
            <w:shd w:val="clear" w:color="auto" w:fill="auto"/>
          </w:tcPr>
          <w:p w:rsidR="004A3868" w:rsidRDefault="003F1AB5">
            <w:pPr>
              <w:pStyle w:val="afff7"/>
            </w:pPr>
            <w:r>
              <w:t>57,177.73</w:t>
            </w:r>
          </w:p>
        </w:tc>
        <w:tc>
          <w:tcPr>
            <w:tcW w:w="1498" w:type="pct"/>
            <w:shd w:val="clear" w:color="auto" w:fill="auto"/>
          </w:tcPr>
          <w:p w:rsidR="004A3868" w:rsidRDefault="003F1AB5">
            <w:pPr>
              <w:pStyle w:val="afff7"/>
            </w:pPr>
            <w:r>
              <w:t>-337,499.08</w:t>
            </w:r>
          </w:p>
        </w:tc>
      </w:tr>
      <w:tr w:rsidR="004A3868">
        <w:trPr>
          <w:trHeight w:val="397"/>
          <w:jc w:val="center"/>
        </w:trPr>
        <w:tc>
          <w:tcPr>
            <w:tcW w:w="2017" w:type="pct"/>
            <w:shd w:val="clear" w:color="auto" w:fill="auto"/>
          </w:tcPr>
          <w:p w:rsidR="004A3868" w:rsidRDefault="003F1AB5">
            <w:pPr>
              <w:pStyle w:val="afff9"/>
            </w:pPr>
            <w:r>
              <w:rPr>
                <w:rFonts w:hint="eastAsia"/>
              </w:rPr>
              <w:t>应收票据坏账损失</w:t>
            </w:r>
          </w:p>
        </w:tc>
        <w:tc>
          <w:tcPr>
            <w:tcW w:w="1485" w:type="pct"/>
            <w:shd w:val="clear" w:color="auto" w:fill="auto"/>
          </w:tcPr>
          <w:p w:rsidR="004A3868" w:rsidRDefault="003F1AB5">
            <w:pPr>
              <w:pStyle w:val="afff7"/>
            </w:pPr>
            <w:r>
              <w:t>2,684,278.70</w:t>
            </w:r>
          </w:p>
        </w:tc>
        <w:tc>
          <w:tcPr>
            <w:tcW w:w="1498" w:type="pct"/>
            <w:shd w:val="clear" w:color="auto" w:fill="auto"/>
          </w:tcPr>
          <w:p w:rsidR="004A3868" w:rsidRDefault="003F1AB5">
            <w:pPr>
              <w:pStyle w:val="afff7"/>
            </w:pPr>
            <w:r>
              <w:t>211,815.81</w:t>
            </w:r>
          </w:p>
        </w:tc>
      </w:tr>
      <w:tr w:rsidR="004A3868">
        <w:trPr>
          <w:trHeight w:val="397"/>
          <w:jc w:val="center"/>
        </w:trPr>
        <w:tc>
          <w:tcPr>
            <w:tcW w:w="2017" w:type="pct"/>
            <w:shd w:val="clear" w:color="auto" w:fill="auto"/>
          </w:tcPr>
          <w:p w:rsidR="004A3868" w:rsidRDefault="003F1AB5">
            <w:pPr>
              <w:pStyle w:val="afff9"/>
            </w:pPr>
            <w:r>
              <w:rPr>
                <w:rFonts w:hint="eastAsia"/>
              </w:rPr>
              <w:t>应收账款坏账损失</w:t>
            </w:r>
          </w:p>
        </w:tc>
        <w:tc>
          <w:tcPr>
            <w:tcW w:w="1485" w:type="pct"/>
            <w:shd w:val="clear" w:color="auto" w:fill="auto"/>
          </w:tcPr>
          <w:p w:rsidR="004A3868" w:rsidRDefault="003F1AB5">
            <w:pPr>
              <w:pStyle w:val="afff7"/>
            </w:pPr>
            <w:r>
              <w:t>-23,682,867.04</w:t>
            </w:r>
          </w:p>
        </w:tc>
        <w:tc>
          <w:tcPr>
            <w:tcW w:w="1498" w:type="pct"/>
            <w:shd w:val="clear" w:color="auto" w:fill="auto"/>
          </w:tcPr>
          <w:p w:rsidR="004A3868" w:rsidRDefault="003F1AB5">
            <w:pPr>
              <w:pStyle w:val="afff7"/>
            </w:pPr>
            <w:r>
              <w:t>-24,164,883.31</w:t>
            </w:r>
          </w:p>
        </w:tc>
      </w:tr>
      <w:tr w:rsidR="004A3868">
        <w:trPr>
          <w:trHeight w:val="397"/>
          <w:jc w:val="center"/>
        </w:trPr>
        <w:tc>
          <w:tcPr>
            <w:tcW w:w="2017" w:type="pct"/>
            <w:shd w:val="clear" w:color="auto" w:fill="auto"/>
            <w:vAlign w:val="center"/>
          </w:tcPr>
          <w:p w:rsidR="004A3868" w:rsidRDefault="003F1AB5">
            <w:pPr>
              <w:pStyle w:val="afff9"/>
            </w:pPr>
            <w:r>
              <w:rPr>
                <w:rFonts w:hint="eastAsia"/>
              </w:rPr>
              <w:t>其他应收款坏账损失</w:t>
            </w:r>
          </w:p>
        </w:tc>
        <w:tc>
          <w:tcPr>
            <w:tcW w:w="1485" w:type="pct"/>
            <w:shd w:val="clear" w:color="auto" w:fill="auto"/>
            <w:vAlign w:val="center"/>
          </w:tcPr>
          <w:p w:rsidR="004A3868" w:rsidRDefault="003F1AB5">
            <w:pPr>
              <w:pStyle w:val="afff7"/>
            </w:pPr>
            <w:r>
              <w:t>155,538.07</w:t>
            </w:r>
          </w:p>
        </w:tc>
        <w:tc>
          <w:tcPr>
            <w:tcW w:w="1498" w:type="pct"/>
            <w:shd w:val="clear" w:color="auto" w:fill="auto"/>
            <w:vAlign w:val="center"/>
          </w:tcPr>
          <w:p w:rsidR="004A3868" w:rsidRDefault="003F1AB5">
            <w:pPr>
              <w:pStyle w:val="afff7"/>
            </w:pPr>
            <w:r>
              <w:t>-346,432.28</w:t>
            </w:r>
          </w:p>
        </w:tc>
      </w:tr>
      <w:tr w:rsidR="004A3868">
        <w:trPr>
          <w:trHeight w:val="397"/>
          <w:jc w:val="center"/>
        </w:trPr>
        <w:tc>
          <w:tcPr>
            <w:tcW w:w="2017" w:type="pct"/>
            <w:shd w:val="clear" w:color="auto" w:fill="auto"/>
          </w:tcPr>
          <w:p w:rsidR="004A3868" w:rsidRDefault="003F1AB5">
            <w:pPr>
              <w:pStyle w:val="afff9"/>
            </w:pPr>
            <w:r>
              <w:rPr>
                <w:rFonts w:hint="eastAsia"/>
              </w:rPr>
              <w:t>长期应收款坏账损失</w:t>
            </w:r>
          </w:p>
        </w:tc>
        <w:tc>
          <w:tcPr>
            <w:tcW w:w="1485" w:type="pct"/>
            <w:shd w:val="clear" w:color="auto" w:fill="auto"/>
          </w:tcPr>
          <w:p w:rsidR="004A3868" w:rsidRDefault="003F1AB5">
            <w:pPr>
              <w:pStyle w:val="afff7"/>
            </w:pPr>
            <w:r>
              <w:t>19,325.23</w:t>
            </w:r>
          </w:p>
        </w:tc>
        <w:tc>
          <w:tcPr>
            <w:tcW w:w="1498" w:type="pct"/>
            <w:shd w:val="clear" w:color="auto" w:fill="auto"/>
          </w:tcPr>
          <w:p w:rsidR="004A3868" w:rsidRDefault="003F1AB5">
            <w:pPr>
              <w:pStyle w:val="afff7"/>
            </w:pPr>
            <w:r>
              <w:t>-11,976.54</w:t>
            </w:r>
          </w:p>
        </w:tc>
      </w:tr>
      <w:tr w:rsidR="004A3868">
        <w:trPr>
          <w:trHeight w:val="397"/>
          <w:jc w:val="center"/>
        </w:trPr>
        <w:tc>
          <w:tcPr>
            <w:tcW w:w="2017" w:type="pct"/>
            <w:shd w:val="clear" w:color="auto" w:fill="auto"/>
            <w:vAlign w:val="center"/>
          </w:tcPr>
          <w:p w:rsidR="004A3868" w:rsidRDefault="003F1AB5">
            <w:pPr>
              <w:pStyle w:val="afff9"/>
            </w:pPr>
            <w:r>
              <w:rPr>
                <w:rFonts w:hint="eastAsia"/>
              </w:rPr>
              <w:t>合计</w:t>
            </w:r>
          </w:p>
        </w:tc>
        <w:tc>
          <w:tcPr>
            <w:tcW w:w="1485" w:type="pct"/>
            <w:shd w:val="clear" w:color="auto" w:fill="auto"/>
            <w:vAlign w:val="center"/>
          </w:tcPr>
          <w:p w:rsidR="004A3868" w:rsidRDefault="003F1AB5">
            <w:pPr>
              <w:pStyle w:val="afff7"/>
            </w:pPr>
            <w:r>
              <w:t>-20,766,547.31</w:t>
            </w:r>
          </w:p>
        </w:tc>
        <w:tc>
          <w:tcPr>
            <w:tcW w:w="1498" w:type="pct"/>
            <w:shd w:val="clear" w:color="auto" w:fill="auto"/>
            <w:vAlign w:val="center"/>
          </w:tcPr>
          <w:p w:rsidR="004A3868" w:rsidRDefault="003F1AB5">
            <w:pPr>
              <w:pStyle w:val="afff7"/>
            </w:pPr>
            <w:r>
              <w:t>-24,648,975.40</w:t>
            </w:r>
          </w:p>
        </w:tc>
      </w:tr>
    </w:tbl>
    <w:p w:rsidR="004A3868" w:rsidRDefault="003F1AB5">
      <w:pPr>
        <w:pStyle w:val="Style124"/>
      </w:pPr>
      <w:r>
        <w:rPr>
          <w:rFonts w:hint="eastAsia"/>
        </w:rPr>
        <w:t>其他</w:t>
      </w:r>
      <w:r>
        <w:t>说明</w:t>
      </w:r>
      <w:r>
        <w:rPr>
          <w:rFonts w:hint="eastAsia"/>
        </w:rPr>
        <w:t>：</w:t>
      </w:r>
    </w:p>
    <w:sdt>
      <w:sdtPr>
        <w:alias w:val="信用减值损失其他说明"/>
        <w:tag w:val="_GBC_c4f5a3728c354e07a647f36805e2176b"/>
        <w:id w:val="1474641700"/>
        <w:placeholder>
          <w:docPart w:val="GBC22222222222222222222222222222"/>
        </w:placeholder>
      </w:sdtPr>
      <w:sdtEndPr/>
      <w:sdtContent>
        <w:p w:rsidR="004A3868" w:rsidRDefault="003F1AB5">
          <w:pPr>
            <w:pStyle w:val="Style124"/>
          </w:pPr>
          <w:r>
            <w:rPr>
              <w:rFonts w:hint="eastAsia"/>
            </w:rPr>
            <w:t>无</w:t>
          </w:r>
        </w:p>
      </w:sdtContent>
    </w:sdt>
    <w:p w:rsidR="004A3868" w:rsidRDefault="003F1AB5">
      <w:pPr>
        <w:pStyle w:val="Style12711"/>
      </w:pPr>
      <w:r>
        <w:rPr>
          <w:rFonts w:hint="eastAsia"/>
        </w:rPr>
        <w:t>资产减值损失</w:t>
      </w:r>
    </w:p>
    <w:sdt>
      <w:sdtPr>
        <w:alias w:val="是否适用：资产减值损失[双击切换]"/>
        <w:tag w:val="_GBC_8b37643fea7c43289fdaf85f79b2bcae"/>
        <w:id w:val="-1689826049"/>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资产减值损失"/>
          <w:tag w:val="_GBC_fe85f36c54dd476ea970b9d8ae08135d"/>
          <w:id w:val="4119815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资产减值损失"/>
          <w:tag w:val="_GBC_08596d3dbba143a8b694044119494ec6"/>
          <w:id w:val="16540967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314"/>
        <w:gridCol w:w="2509"/>
        <w:gridCol w:w="3000"/>
      </w:tblGrid>
      <w:tr w:rsidR="004A3868">
        <w:trPr>
          <w:trHeight w:val="397"/>
          <w:jc w:val="center"/>
        </w:trPr>
        <w:sdt>
          <w:sdtPr>
            <w:tag w:val="_PLD_344de032f71b4e06985c561df3bcf55a"/>
            <w:id w:val="1832413501"/>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项目</w:t>
                </w:r>
              </w:p>
            </w:tc>
          </w:sdtContent>
        </w:sdt>
        <w:sdt>
          <w:sdtPr>
            <w:tag w:val="_PLD_9551307ec5c049a3aa84c3c7d3e61d92"/>
            <w:id w:val="1470621510"/>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本期发生额</w:t>
                </w:r>
              </w:p>
            </w:tc>
          </w:sdtContent>
        </w:sdt>
        <w:sdt>
          <w:sdtPr>
            <w:tag w:val="_PLD_46a2a62cd1b1406f877f135b9d7e38a6"/>
            <w:id w:val="-547843415"/>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上期发生额</w:t>
                </w:r>
              </w:p>
            </w:tc>
          </w:sdtContent>
        </w:sdt>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一、合同资产减值损失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21"/>
                <w:szCs w:val="21"/>
              </w:rPr>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rPr>
                <w:sz w:val="21"/>
                <w:szCs w:val="21"/>
              </w:rPr>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-5,623,463.67</w:t>
            </w: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-5,283,281.48</w:t>
            </w: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lastRenderedPageBreak/>
              <w:t>三、长期股权投资减值损失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四、投资性房地产减值损失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五、固定资产减值损失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六、工程物资减值损失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七、在建工程减值损失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八、生产性生物资产减值损失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九、油气资产减值损失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十、无形资产减值损失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十一、商誉减值损失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十二、其他</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878"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合计</w:t>
            </w:r>
          </w:p>
        </w:tc>
        <w:tc>
          <w:tcPr>
            <w:tcW w:w="14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-5,623,463.67</w:t>
            </w:r>
          </w:p>
        </w:tc>
        <w:tc>
          <w:tcPr>
            <w:tcW w:w="170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-5,283,281.48</w:t>
            </w:r>
          </w:p>
        </w:tc>
      </w:tr>
    </w:tbl>
    <w:p w:rsidR="004A3868" w:rsidRDefault="003F1AB5">
      <w:pPr>
        <w:rPr>
          <w:sz w:val="21"/>
          <w:szCs w:val="21"/>
        </w:rPr>
      </w:pPr>
      <w:r>
        <w:rPr>
          <w:rFonts w:hint="eastAsia"/>
          <w:sz w:val="21"/>
          <w:szCs w:val="21"/>
        </w:rPr>
        <w:t>其他说明：</w:t>
      </w:r>
    </w:p>
    <w:sdt>
      <w:sdtPr>
        <w:alias w:val="资产减值损失的说明"/>
        <w:tag w:val="_GBC_1e9b73a63ce74456883b0a5fd2597461"/>
        <w:id w:val="-1086226343"/>
        <w:placeholder>
          <w:docPart w:val="GBC22222222222222222222222222222"/>
        </w:placeholder>
      </w:sdtPr>
      <w:sdtEndPr/>
      <w:sdtContent>
        <w:p w:rsidR="004A3868" w:rsidRDefault="003F1AB5">
          <w:pPr>
            <w:pStyle w:val="Style124"/>
          </w:pPr>
          <w:r>
            <w:rPr>
              <w:rFonts w:hint="eastAsia"/>
            </w:rPr>
            <w:t>无</w:t>
          </w:r>
        </w:p>
      </w:sdtContent>
    </w:sdt>
    <w:p w:rsidR="004A3868" w:rsidRDefault="003F1AB5">
      <w:pPr>
        <w:pStyle w:val="Style12711"/>
      </w:pPr>
      <w:r>
        <w:rPr>
          <w:rFonts w:hint="eastAsia"/>
        </w:rPr>
        <w:t>资产处置收益</w:t>
      </w:r>
    </w:p>
    <w:sdt>
      <w:sdtPr>
        <w:alias w:val="是否适用：资产处置收益[双击切换]"/>
        <w:tag w:val="_GBC_b76400e6a673420c9bc522936e82c207"/>
        <w:id w:val="1014969997"/>
        <w:lock w:val="contentLocked"/>
        <w:placeholder>
          <w:docPart w:val="GBC22222222222222222222222222222"/>
        </w:placeholder>
      </w:sdtPr>
      <w:sdtEndPr/>
      <w:sdtContent>
        <w:p w:rsidR="004A3868" w:rsidRDefault="003F1AB5">
          <w:pPr>
            <w:pStyle w:val="Style84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t>单位：</w:t>
      </w:r>
      <w:sdt>
        <w:sdtPr>
          <w:alias w:val="单位：资产处置收益明细"/>
          <w:tag w:val="_GBC_7ec9558ba3654efb8bffe62787e178bb"/>
          <w:id w:val="1978266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sdt>
        <w:sdtPr>
          <w:alias w:val="币种：资产处置收益明细"/>
          <w:tag w:val="_GBC_6a67bd424d2842be9fe48ecebd5d6f35"/>
          <w:id w:val="15120987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40"/>
        <w:gridCol w:w="2941"/>
        <w:gridCol w:w="2942"/>
      </w:tblGrid>
      <w:tr w:rsidR="004A3868">
        <w:trPr>
          <w:trHeight w:val="397"/>
          <w:jc w:val="center"/>
        </w:trPr>
        <w:sdt>
          <w:sdtPr>
            <w:tag w:val="_PLD_6aa248f59d784f95a8d1e935bd71e05e"/>
            <w:id w:val="-1136786507"/>
          </w:sdtPr>
          <w:sdtEndPr/>
          <w:sdtContent>
            <w:tc>
              <w:tcPr>
                <w:tcW w:w="2940" w:type="dxa"/>
                <w:shd w:val="clear" w:color="auto" w:fill="auto"/>
                <w:vAlign w:val="center"/>
              </w:tcPr>
              <w:p w:rsidR="004A3868" w:rsidRDefault="003F1AB5">
                <w:pPr>
                  <w:pStyle w:val="afffb"/>
                </w:pPr>
                <w:r>
                  <w:rPr>
                    <w:rFonts w:hint="eastAsia"/>
                  </w:rPr>
                  <w:t>项目</w:t>
                </w:r>
              </w:p>
            </w:tc>
          </w:sdtContent>
        </w:sdt>
        <w:sdt>
          <w:sdtPr>
            <w:tag w:val="_PLD_130aaf0b75144f7d943c5d780cfc1b6b"/>
            <w:id w:val="-1941670716"/>
          </w:sdtPr>
          <w:sdtEndPr/>
          <w:sdtContent>
            <w:tc>
              <w:tcPr>
                <w:tcW w:w="2941" w:type="dxa"/>
                <w:shd w:val="clear" w:color="auto" w:fill="auto"/>
                <w:vAlign w:val="center"/>
              </w:tcPr>
              <w:p w:rsidR="004A3868" w:rsidRDefault="003F1AB5">
                <w:pPr>
                  <w:pStyle w:val="afffb"/>
                </w:pPr>
                <w:r>
                  <w:rPr>
                    <w:rFonts w:hint="eastAsia"/>
                  </w:rPr>
                  <w:t>本期发生额</w:t>
                </w:r>
              </w:p>
            </w:tc>
          </w:sdtContent>
        </w:sdt>
        <w:sdt>
          <w:sdtPr>
            <w:tag w:val="_PLD_482f220f08ce46dc8e769190f957eec7"/>
            <w:id w:val="-381878277"/>
          </w:sdtPr>
          <w:sdtEndPr/>
          <w:sdtContent>
            <w:tc>
              <w:tcPr>
                <w:tcW w:w="2942" w:type="dxa"/>
                <w:shd w:val="clear" w:color="auto" w:fill="auto"/>
                <w:vAlign w:val="center"/>
              </w:tcPr>
              <w:p w:rsidR="004A3868" w:rsidRDefault="003F1AB5">
                <w:pPr>
                  <w:pStyle w:val="afffb"/>
                </w:pPr>
                <w:r>
                  <w:rPr>
                    <w:rFonts w:hint="eastAsia"/>
                  </w:rPr>
                  <w:t>上期发生额</w:t>
                </w:r>
              </w:p>
            </w:tc>
          </w:sdtContent>
        </w:sdt>
      </w:tr>
      <w:tr w:rsidR="004A3868">
        <w:trPr>
          <w:trHeight w:val="397"/>
          <w:jc w:val="center"/>
        </w:trPr>
        <w:tc>
          <w:tcPr>
            <w:tcW w:w="2940" w:type="dxa"/>
            <w:shd w:val="clear" w:color="auto" w:fill="auto"/>
          </w:tcPr>
          <w:p w:rsidR="004A3868" w:rsidRDefault="003F1AB5">
            <w:pPr>
              <w:pStyle w:val="afff9"/>
            </w:pPr>
            <w:r>
              <w:rPr>
                <w:rFonts w:hint="eastAsia"/>
              </w:rPr>
              <w:t>固定资产处置利得或损失</w:t>
            </w:r>
          </w:p>
        </w:tc>
        <w:tc>
          <w:tcPr>
            <w:tcW w:w="2941" w:type="dxa"/>
            <w:shd w:val="clear" w:color="auto" w:fill="auto"/>
            <w:vAlign w:val="center"/>
          </w:tcPr>
          <w:p w:rsidR="004A3868" w:rsidRDefault="003F1AB5">
            <w:pPr>
              <w:pStyle w:val="afff7"/>
            </w:pPr>
            <w:r>
              <w:t>1,347.71</w:t>
            </w:r>
          </w:p>
        </w:tc>
        <w:tc>
          <w:tcPr>
            <w:tcW w:w="2942" w:type="dxa"/>
            <w:shd w:val="clear" w:color="auto" w:fill="auto"/>
            <w:vAlign w:val="center"/>
          </w:tcPr>
          <w:p w:rsidR="004A3868" w:rsidRDefault="003F1AB5">
            <w:pPr>
              <w:pStyle w:val="afff7"/>
            </w:pPr>
            <w:r>
              <w:t>-25,448.65</w:t>
            </w:r>
          </w:p>
        </w:tc>
      </w:tr>
      <w:tr w:rsidR="004A3868">
        <w:trPr>
          <w:trHeight w:val="397"/>
          <w:jc w:val="center"/>
        </w:trPr>
        <w:tc>
          <w:tcPr>
            <w:tcW w:w="2940" w:type="dxa"/>
            <w:shd w:val="clear" w:color="auto" w:fill="auto"/>
          </w:tcPr>
          <w:p w:rsidR="004A3868" w:rsidRDefault="003F1AB5">
            <w:pPr>
              <w:pStyle w:val="afff9"/>
            </w:pPr>
            <w:r>
              <w:rPr>
                <w:rFonts w:hint="eastAsia"/>
              </w:rPr>
              <w:t>合计</w:t>
            </w:r>
          </w:p>
        </w:tc>
        <w:tc>
          <w:tcPr>
            <w:tcW w:w="2941" w:type="dxa"/>
            <w:shd w:val="clear" w:color="auto" w:fill="auto"/>
            <w:vAlign w:val="center"/>
          </w:tcPr>
          <w:p w:rsidR="004A3868" w:rsidRDefault="003F1AB5">
            <w:pPr>
              <w:pStyle w:val="afff7"/>
            </w:pPr>
            <w:r>
              <w:t>1,347.71</w:t>
            </w:r>
          </w:p>
        </w:tc>
        <w:tc>
          <w:tcPr>
            <w:tcW w:w="2942" w:type="dxa"/>
            <w:shd w:val="clear" w:color="auto" w:fill="auto"/>
            <w:vAlign w:val="center"/>
          </w:tcPr>
          <w:p w:rsidR="004A3868" w:rsidRDefault="003F1AB5">
            <w:pPr>
              <w:pStyle w:val="afff7"/>
            </w:pPr>
            <w:r>
              <w:t>-25,448.65</w:t>
            </w:r>
          </w:p>
        </w:tc>
      </w:tr>
    </w:tbl>
    <w:p w:rsidR="004A3868" w:rsidRDefault="003F1AB5">
      <w:pPr>
        <w:pStyle w:val="Style124"/>
      </w:pPr>
      <w:r>
        <w:rPr>
          <w:rFonts w:hint="eastAsia"/>
        </w:rPr>
        <w:t>其他说明：</w:t>
      </w:r>
    </w:p>
    <w:sdt>
      <w:sdtPr>
        <w:alias w:val="资产处置收益其他说明"/>
        <w:tag w:val="_GBC_a5d14cbbaa9b4b96b1c008693dadc2d6"/>
        <w:id w:val="-1502961845"/>
        <w:placeholder>
          <w:docPart w:val="GBC22222222222222222222222222222"/>
        </w:placeholder>
      </w:sdtPr>
      <w:sdtEndPr/>
      <w:sdtContent>
        <w:p w:rsidR="004A3868" w:rsidRDefault="003F1AB5">
          <w:pPr>
            <w:pStyle w:val="Style124"/>
          </w:pPr>
          <w:r>
            <w:rPr>
              <w:rFonts w:hint="eastAsia"/>
            </w:rPr>
            <w:t>无</w:t>
          </w:r>
        </w:p>
      </w:sdtContent>
    </w:sdt>
    <w:p w:rsidR="004A3868" w:rsidRDefault="003F1AB5">
      <w:pPr>
        <w:pStyle w:val="Style12711"/>
      </w:pPr>
      <w:r>
        <w:rPr>
          <w:rFonts w:hint="eastAsia"/>
        </w:rPr>
        <w:t>营业外收入</w:t>
      </w:r>
    </w:p>
    <w:p w:rsidR="004A3868" w:rsidRDefault="003F1AB5">
      <w:pPr>
        <w:pStyle w:val="Style124"/>
      </w:pPr>
      <w:r>
        <w:rPr>
          <w:rFonts w:hint="eastAsia"/>
        </w:rPr>
        <w:t>营业外收入情况</w:t>
      </w:r>
    </w:p>
    <w:sdt>
      <w:sdtPr>
        <w:rPr>
          <w:rFonts w:hint="eastAsia"/>
        </w:rPr>
        <w:alias w:val="是否适用：营业外收入情况 [双击切换]"/>
        <w:tag w:val="_GBC_4aec8b65d0e744aaaddac8859ae249bc"/>
        <w:id w:val="1354387626"/>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营业外收入"/>
          <w:tag w:val="_GBC_79d3fe1c29e746e7b2a9a9acfcc43449"/>
          <w:id w:val="-5001191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18687491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059"/>
        <w:gridCol w:w="2248"/>
        <w:gridCol w:w="2257"/>
        <w:gridCol w:w="2259"/>
      </w:tblGrid>
      <w:tr w:rsidR="004A3868">
        <w:trPr>
          <w:trHeight w:val="397"/>
          <w:jc w:val="center"/>
        </w:trPr>
        <w:sdt>
          <w:sdtPr>
            <w:tag w:val="_PLD_1b52b1902e1443609ba6891d7076aebe"/>
            <w:id w:val="-439297472"/>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项目</w:t>
                </w:r>
              </w:p>
            </w:tc>
          </w:sdtContent>
        </w:sdt>
        <w:sdt>
          <w:sdtPr>
            <w:tag w:val="_PLD_9dc87bd465124a2289f545f76d28c96c"/>
            <w:id w:val="1167067768"/>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本期发生额</w:t>
                </w:r>
              </w:p>
            </w:tc>
          </w:sdtContent>
        </w:sdt>
        <w:sdt>
          <w:sdtPr>
            <w:tag w:val="_PLD_e1b91f5db91a439083c1f9a1b7d17ef9"/>
            <w:id w:val="-698623254"/>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上期发生额</w:t>
                </w:r>
              </w:p>
            </w:tc>
          </w:sdtContent>
        </w:sdt>
        <w:sdt>
          <w:sdtPr>
            <w:tag w:val="_PLD_db1c9e08e7ea407889a350e8451d2848"/>
            <w:id w:val="-1603786730"/>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color w:val="FF0000"/>
                  </w:rPr>
                </w:pPr>
                <w:r>
                  <w:rPr>
                    <w:rFonts w:hint="eastAsia"/>
                  </w:rPr>
                  <w:t>计入当期非经常性损益的金额</w:t>
                </w:r>
              </w:p>
            </w:tc>
          </w:sdtContent>
        </w:sdt>
      </w:tr>
      <w:tr w:rsidR="004A3868">
        <w:trPr>
          <w:trHeight w:val="397"/>
          <w:jc w:val="center"/>
        </w:trPr>
        <w:tc>
          <w:tcPr>
            <w:tcW w:w="1167"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非流动资产处置利得合计</w:t>
            </w:r>
          </w:p>
        </w:tc>
        <w:tc>
          <w:tcPr>
            <w:tcW w:w="127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690,296.93</w:t>
            </w:r>
          </w:p>
        </w:tc>
        <w:tc>
          <w:tcPr>
            <w:tcW w:w="12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20,707.06</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690,296.93</w:t>
            </w:r>
          </w:p>
        </w:tc>
      </w:tr>
      <w:tr w:rsidR="004A3868">
        <w:trPr>
          <w:trHeight w:val="397"/>
          <w:jc w:val="center"/>
        </w:trPr>
        <w:tc>
          <w:tcPr>
            <w:tcW w:w="1167"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其中：固定资产处置利得</w:t>
            </w:r>
          </w:p>
        </w:tc>
        <w:tc>
          <w:tcPr>
            <w:tcW w:w="127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690,296.93</w:t>
            </w:r>
          </w:p>
        </w:tc>
        <w:tc>
          <w:tcPr>
            <w:tcW w:w="12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20,707.06</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690,296.93</w:t>
            </w:r>
          </w:p>
        </w:tc>
      </w:tr>
      <w:tr w:rsidR="004A3868">
        <w:trPr>
          <w:trHeight w:val="397"/>
          <w:jc w:val="center"/>
        </w:trPr>
        <w:tc>
          <w:tcPr>
            <w:tcW w:w="1167"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政府补助</w:t>
            </w:r>
          </w:p>
        </w:tc>
        <w:tc>
          <w:tcPr>
            <w:tcW w:w="1274"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c>
          <w:tcPr>
            <w:tcW w:w="12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3,500,000.00</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tr>
      <w:tr w:rsidR="004A3868">
        <w:trPr>
          <w:trHeight w:val="397"/>
          <w:jc w:val="center"/>
        </w:trPr>
        <w:tc>
          <w:tcPr>
            <w:tcW w:w="116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pPr>
            <w:r>
              <w:rPr>
                <w:rFonts w:hint="eastAsia"/>
              </w:rPr>
              <w:t>合计</w:t>
            </w:r>
          </w:p>
        </w:tc>
        <w:tc>
          <w:tcPr>
            <w:tcW w:w="127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690,296.93</w:t>
            </w:r>
          </w:p>
        </w:tc>
        <w:tc>
          <w:tcPr>
            <w:tcW w:w="127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3,520,707.06</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690,296.93</w:t>
            </w:r>
          </w:p>
        </w:tc>
      </w:tr>
    </w:tbl>
    <w:p w:rsidR="004A3868" w:rsidRDefault="003F1AB5">
      <w:pPr>
        <w:rPr>
          <w:sz w:val="21"/>
          <w:szCs w:val="21"/>
        </w:rPr>
      </w:pPr>
      <w:r>
        <w:rPr>
          <w:rFonts w:hint="eastAsia"/>
          <w:sz w:val="21"/>
          <w:szCs w:val="21"/>
        </w:rPr>
        <w:t>其他说明：</w:t>
      </w:r>
    </w:p>
    <w:sdt>
      <w:sdtPr>
        <w:rPr>
          <w:sz w:val="21"/>
          <w:szCs w:val="21"/>
        </w:rPr>
        <w:alias w:val="是否适用：营业外收入说明[双击切换]"/>
        <w:tag w:val="_GBC_746f9c9c9cab4c2a87c7913a430e2392"/>
        <w:id w:val="49423330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营业外支出</w:t>
      </w:r>
    </w:p>
    <w:sdt>
      <w:sdtPr>
        <w:rPr>
          <w:rFonts w:hint="eastAsia"/>
          <w:sz w:val="21"/>
          <w:szCs w:val="21"/>
        </w:rPr>
        <w:alias w:val="是否适用：营业外支出[双击切换]"/>
        <w:tag w:val="_GBC_8e8d3e6e563742f48edf759d6034f4ce"/>
        <w:id w:val="885299823"/>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 </w:instrText>
          </w:r>
          <w:r>
            <w:rPr>
              <w:rFonts w:hint="eastAsia"/>
              <w:sz w:val="21"/>
              <w:szCs w:val="21"/>
            </w:rPr>
            <w:instrText xml:space="preserve">MACROBUTTON  SnrToggleCheckbox √适用 </w:instrText>
          </w:r>
          <w:r>
            <w:rPr>
              <w:sz w:val="21"/>
              <w:szCs w:val="21"/>
            </w:rPr>
            <w:instrText xml:space="preserve">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afff5"/>
      </w:pPr>
      <w:r>
        <w:rPr>
          <w:rFonts w:hint="eastAsia"/>
        </w:rPr>
        <w:t>单位：</w:t>
      </w:r>
      <w:sdt>
        <w:sdtPr>
          <w:rPr>
            <w:rFonts w:hint="eastAsia"/>
          </w:rPr>
          <w:alias w:val="单位：财务附注：营业外支出"/>
          <w:tag w:val="_GBC_825ccc5a51fd47a4888bf19121bc88e6"/>
          <w:id w:val="-3296075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外支出"/>
          <w:tag w:val="_GBC_0236683596bd499a92bd40e4c42dc931"/>
          <w:id w:val="1135596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976"/>
        <w:gridCol w:w="2317"/>
        <w:gridCol w:w="2271"/>
        <w:gridCol w:w="2259"/>
      </w:tblGrid>
      <w:tr w:rsidR="004A3868">
        <w:trPr>
          <w:trHeight w:val="397"/>
          <w:jc w:val="center"/>
        </w:trPr>
        <w:sdt>
          <w:sdtPr>
            <w:tag w:val="_PLD_3e5b39f95fae41609c103f36a1017c54"/>
            <w:id w:val="-1371520552"/>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项目</w:t>
                </w:r>
              </w:p>
            </w:tc>
          </w:sdtContent>
        </w:sdt>
        <w:sdt>
          <w:sdtPr>
            <w:tag w:val="_PLD_9ea5703e0d9641a1acf20638053e3dd5"/>
            <w:id w:val="1331024541"/>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本期发生额</w:t>
                </w:r>
              </w:p>
            </w:tc>
          </w:sdtContent>
        </w:sdt>
        <w:sdt>
          <w:sdtPr>
            <w:tag w:val="_PLD_27cbc4bb29594bcfa61154a0d46b4d20"/>
            <w:id w:val="672766650"/>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上期发生额</w:t>
                </w:r>
              </w:p>
            </w:tc>
          </w:sdtContent>
        </w:sdt>
        <w:sdt>
          <w:sdtPr>
            <w:tag w:val="_PLD_cab5bf568f924fed9d087fb26b588481"/>
            <w:id w:val="1060598983"/>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pPr>
                <w:r>
                  <w:rPr>
                    <w:rFonts w:hint="eastAsia"/>
                  </w:rPr>
                  <w:t>计入当期非经常性损益的金额</w:t>
                </w:r>
              </w:p>
            </w:tc>
          </w:sdtContent>
        </w:sdt>
      </w:tr>
      <w:tr w:rsidR="004A3868">
        <w:trPr>
          <w:trHeight w:val="397"/>
          <w:jc w:val="center"/>
        </w:trPr>
        <w:tc>
          <w:tcPr>
            <w:tcW w:w="1120"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lastRenderedPageBreak/>
              <w:t>对外捐赠</w:t>
            </w:r>
          </w:p>
        </w:tc>
        <w:tc>
          <w:tcPr>
            <w:tcW w:w="13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2,757,000.00</w:t>
            </w:r>
          </w:p>
        </w:tc>
        <w:tc>
          <w:tcPr>
            <w:tcW w:w="12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1,068,509.56</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2,757,000.00</w:t>
            </w:r>
          </w:p>
        </w:tc>
      </w:tr>
      <w:tr w:rsidR="004A3868">
        <w:trPr>
          <w:trHeight w:val="397"/>
          <w:jc w:val="center"/>
        </w:trPr>
        <w:tc>
          <w:tcPr>
            <w:tcW w:w="1120"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非流动资产处置损失合计</w:t>
            </w:r>
          </w:p>
        </w:tc>
        <w:tc>
          <w:tcPr>
            <w:tcW w:w="13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1,449,034.87</w:t>
            </w:r>
          </w:p>
        </w:tc>
        <w:tc>
          <w:tcPr>
            <w:tcW w:w="12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1,281,436.79</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1,449,034.87</w:t>
            </w:r>
          </w:p>
        </w:tc>
      </w:tr>
      <w:tr w:rsidR="004A3868">
        <w:trPr>
          <w:trHeight w:val="397"/>
          <w:jc w:val="center"/>
        </w:trPr>
        <w:tc>
          <w:tcPr>
            <w:tcW w:w="1120"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其中：固定资产处置损失</w:t>
            </w:r>
          </w:p>
        </w:tc>
        <w:tc>
          <w:tcPr>
            <w:tcW w:w="13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1,449,034.87</w:t>
            </w:r>
          </w:p>
        </w:tc>
        <w:tc>
          <w:tcPr>
            <w:tcW w:w="12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1,281,436.79</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1,449,034.87</w:t>
            </w:r>
          </w:p>
        </w:tc>
      </w:tr>
      <w:tr w:rsidR="004A3868">
        <w:trPr>
          <w:trHeight w:val="397"/>
          <w:jc w:val="center"/>
        </w:trPr>
        <w:tc>
          <w:tcPr>
            <w:tcW w:w="1120"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其他</w:t>
            </w:r>
          </w:p>
        </w:tc>
        <w:tc>
          <w:tcPr>
            <w:tcW w:w="13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23,257.55</w:t>
            </w:r>
          </w:p>
        </w:tc>
        <w:tc>
          <w:tcPr>
            <w:tcW w:w="12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64,599.71</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23,257.55</w:t>
            </w:r>
          </w:p>
        </w:tc>
      </w:tr>
      <w:tr w:rsidR="004A3868">
        <w:trPr>
          <w:trHeight w:val="397"/>
          <w:jc w:val="center"/>
        </w:trPr>
        <w:tc>
          <w:tcPr>
            <w:tcW w:w="1120" w:type="pct"/>
            <w:tcBorders>
              <w:top w:val="single" w:sz="4" w:space="0" w:color="auto"/>
              <w:left w:val="single" w:sz="4" w:space="0" w:color="auto"/>
              <w:bottom w:val="single" w:sz="4" w:space="0" w:color="auto"/>
              <w:right w:val="single" w:sz="4" w:space="0" w:color="auto"/>
            </w:tcBorders>
          </w:tcPr>
          <w:p w:rsidR="004A3868" w:rsidRDefault="003F1AB5">
            <w:pPr>
              <w:pStyle w:val="afff9"/>
            </w:pPr>
            <w:r>
              <w:rPr>
                <w:rFonts w:hint="eastAsia"/>
              </w:rPr>
              <w:t>合计</w:t>
            </w:r>
          </w:p>
        </w:tc>
        <w:tc>
          <w:tcPr>
            <w:tcW w:w="13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4,229,292.42</w:t>
            </w:r>
          </w:p>
        </w:tc>
        <w:tc>
          <w:tcPr>
            <w:tcW w:w="12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2,414,546.06</w:t>
            </w:r>
          </w:p>
        </w:tc>
        <w:tc>
          <w:tcPr>
            <w:tcW w:w="128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t>4,229,292.42</w:t>
            </w:r>
          </w:p>
        </w:tc>
      </w:tr>
    </w:tbl>
    <w:p w:rsidR="004A3868" w:rsidRDefault="003F1AB5">
      <w:pPr>
        <w:rPr>
          <w:sz w:val="21"/>
          <w:szCs w:val="21"/>
        </w:rPr>
      </w:pPr>
      <w:r>
        <w:rPr>
          <w:rFonts w:hint="eastAsia"/>
          <w:sz w:val="21"/>
          <w:szCs w:val="21"/>
        </w:rPr>
        <w:t>其他说明：</w:t>
      </w:r>
    </w:p>
    <w:sdt>
      <w:sdtPr>
        <w:rPr>
          <w:rFonts w:hint="eastAsia"/>
          <w:sz w:val="21"/>
          <w:szCs w:val="21"/>
        </w:rPr>
        <w:alias w:val="营业外支出说明"/>
        <w:tag w:val="_GBC_88ac743f9ece44c8ba4b737327409578"/>
        <w:id w:val="1364095506"/>
        <w:placeholder>
          <w:docPart w:val="GBC22222222222222222222222222222"/>
        </w:placeholder>
      </w:sdtPr>
      <w:sdtEndPr>
        <w:rPr>
          <w:rFonts w:asciiTheme="minorHAnsi" w:eastAsiaTheme="minorEastAsia" w:hAnsiTheme="minorHAnsi"/>
        </w:rPr>
      </w:sdtEndPr>
      <w:sdtContent>
        <w:p w:rsidR="004A3868" w:rsidRDefault="003F1AB5">
          <w:pPr>
            <w:rPr>
              <w:sz w:val="21"/>
              <w:szCs w:val="21"/>
            </w:rPr>
          </w:pPr>
          <w:r>
            <w:rPr>
              <w:rFonts w:hint="eastAsia"/>
              <w:sz w:val="21"/>
              <w:szCs w:val="21"/>
            </w:rPr>
            <w:t>无</w:t>
          </w:r>
        </w:p>
      </w:sdtContent>
    </w:sdt>
    <w:p w:rsidR="004A3868" w:rsidRDefault="003F1AB5">
      <w:pPr>
        <w:pStyle w:val="Style12711"/>
      </w:pPr>
      <w:r>
        <w:rPr>
          <w:rFonts w:hint="eastAsia"/>
        </w:rPr>
        <w:t>所得税费用</w:t>
      </w:r>
    </w:p>
    <w:p w:rsidR="004A3868" w:rsidRDefault="003F1AB5">
      <w:pPr>
        <w:pStyle w:val="Style128"/>
        <w:numPr>
          <w:ilvl w:val="0"/>
          <w:numId w:val="99"/>
        </w:numPr>
      </w:pPr>
      <w:r>
        <w:rPr>
          <w:rFonts w:hint="eastAsia"/>
        </w:rPr>
        <w:t>所得税费用表</w:t>
      </w:r>
    </w:p>
    <w:sdt>
      <w:sdtPr>
        <w:alias w:val="是否适用：所得税费用表[双击切换]"/>
        <w:tag w:val="_GBC_3ea18046339d457a8712506679035498"/>
        <w:id w:val="-1996100665"/>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财务附注：所得税费用"/>
          <w:tag w:val="_GBC_5e89c62734b24d50a562694dcf8d2206"/>
          <w:id w:val="-16293126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财务附注：所得税费用"/>
          <w:tag w:val="_GBC_9c72c96e28344525b1836b3923556f61"/>
          <w:id w:val="5070209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31"/>
        <w:gridCol w:w="2854"/>
        <w:gridCol w:w="2838"/>
      </w:tblGrid>
      <w:tr w:rsidR="004A3868">
        <w:trPr>
          <w:trHeight w:val="397"/>
          <w:jc w:val="center"/>
        </w:trPr>
        <w:sdt>
          <w:sdtPr>
            <w:tag w:val="_PLD_e0d72a7f55e04c898352587240ce636b"/>
            <w:id w:val="-99410440"/>
          </w:sdtPr>
          <w:sdtEndPr/>
          <w:sdtContent>
            <w:tc>
              <w:tcPr>
                <w:tcW w:w="1774" w:type="pct"/>
                <w:vAlign w:val="center"/>
              </w:tcPr>
              <w:p w:rsidR="004A3868" w:rsidRDefault="003F1AB5">
                <w:pPr>
                  <w:pStyle w:val="afffb"/>
                </w:pPr>
                <w:r>
                  <w:rPr>
                    <w:rFonts w:hint="eastAsia"/>
                  </w:rPr>
                  <w:t>项目</w:t>
                </w:r>
              </w:p>
            </w:tc>
          </w:sdtContent>
        </w:sdt>
        <w:sdt>
          <w:sdtPr>
            <w:tag w:val="_PLD_e2b12491de324856a6b2f7034aa875da"/>
            <w:id w:val="96539430"/>
          </w:sdtPr>
          <w:sdtEndPr/>
          <w:sdtContent>
            <w:tc>
              <w:tcPr>
                <w:tcW w:w="1617" w:type="pct"/>
                <w:vAlign w:val="center"/>
              </w:tcPr>
              <w:p w:rsidR="004A3868" w:rsidRDefault="003F1AB5">
                <w:pPr>
                  <w:pStyle w:val="afffb"/>
                </w:pPr>
                <w:r>
                  <w:rPr>
                    <w:rFonts w:hint="eastAsia"/>
                  </w:rPr>
                  <w:t>本期发生额</w:t>
                </w:r>
              </w:p>
            </w:tc>
          </w:sdtContent>
        </w:sdt>
        <w:sdt>
          <w:sdtPr>
            <w:tag w:val="_PLD_4b2515977b8d462088eb538637703bf1"/>
            <w:id w:val="-477923721"/>
          </w:sdtPr>
          <w:sdtEndPr/>
          <w:sdtContent>
            <w:tc>
              <w:tcPr>
                <w:tcW w:w="1608" w:type="pct"/>
                <w:vAlign w:val="center"/>
              </w:tcPr>
              <w:p w:rsidR="004A3868" w:rsidRDefault="003F1AB5">
                <w:pPr>
                  <w:pStyle w:val="afffb"/>
                </w:pPr>
                <w:r>
                  <w:rPr>
                    <w:rFonts w:hint="eastAsia"/>
                  </w:rPr>
                  <w:t>上期发生额</w:t>
                </w:r>
              </w:p>
            </w:tc>
          </w:sdtContent>
        </w:sdt>
      </w:tr>
      <w:tr w:rsidR="004A3868">
        <w:trPr>
          <w:trHeight w:val="397"/>
          <w:jc w:val="center"/>
        </w:trPr>
        <w:tc>
          <w:tcPr>
            <w:tcW w:w="1774" w:type="pct"/>
          </w:tcPr>
          <w:p w:rsidR="004A3868" w:rsidRDefault="003F1AB5">
            <w:pPr>
              <w:pStyle w:val="afff9"/>
              <w:rPr>
                <w:b/>
                <w:bCs/>
              </w:rPr>
            </w:pPr>
            <w:r>
              <w:rPr>
                <w:rFonts w:hint="eastAsia"/>
              </w:rPr>
              <w:t>当期所得税费用</w:t>
            </w:r>
          </w:p>
        </w:tc>
        <w:tc>
          <w:tcPr>
            <w:tcW w:w="1617" w:type="pct"/>
          </w:tcPr>
          <w:p w:rsidR="004A3868" w:rsidRDefault="003F1AB5">
            <w:pPr>
              <w:pStyle w:val="afff7"/>
            </w:pPr>
            <w:r>
              <w:t>23,414,362.26</w:t>
            </w:r>
          </w:p>
        </w:tc>
        <w:tc>
          <w:tcPr>
            <w:tcW w:w="1608" w:type="pct"/>
            <w:vAlign w:val="center"/>
          </w:tcPr>
          <w:p w:rsidR="004A3868" w:rsidRDefault="003F1AB5">
            <w:pPr>
              <w:pStyle w:val="afff7"/>
            </w:pPr>
            <w:r>
              <w:t>37,943,904.62</w:t>
            </w:r>
          </w:p>
        </w:tc>
      </w:tr>
      <w:tr w:rsidR="004A3868">
        <w:trPr>
          <w:trHeight w:val="397"/>
          <w:jc w:val="center"/>
        </w:trPr>
        <w:tc>
          <w:tcPr>
            <w:tcW w:w="1774" w:type="pct"/>
          </w:tcPr>
          <w:p w:rsidR="004A3868" w:rsidRDefault="003F1AB5">
            <w:pPr>
              <w:pStyle w:val="afff9"/>
            </w:pPr>
            <w:r>
              <w:rPr>
                <w:rFonts w:hint="eastAsia"/>
              </w:rPr>
              <w:t>递延所得税费用</w:t>
            </w:r>
          </w:p>
        </w:tc>
        <w:tc>
          <w:tcPr>
            <w:tcW w:w="1617" w:type="pct"/>
          </w:tcPr>
          <w:p w:rsidR="004A3868" w:rsidRDefault="003F1AB5">
            <w:pPr>
              <w:pStyle w:val="afff7"/>
            </w:pPr>
            <w:r>
              <w:t>17,994,492.80</w:t>
            </w:r>
          </w:p>
        </w:tc>
        <w:tc>
          <w:tcPr>
            <w:tcW w:w="1608" w:type="pct"/>
            <w:vAlign w:val="center"/>
          </w:tcPr>
          <w:p w:rsidR="004A3868" w:rsidRDefault="003F1AB5">
            <w:pPr>
              <w:pStyle w:val="afff7"/>
            </w:pPr>
            <w:r>
              <w:t>3,602,257.98</w:t>
            </w:r>
          </w:p>
        </w:tc>
      </w:tr>
      <w:tr w:rsidR="004A3868">
        <w:trPr>
          <w:trHeight w:val="397"/>
          <w:jc w:val="center"/>
        </w:trPr>
        <w:tc>
          <w:tcPr>
            <w:tcW w:w="1774" w:type="pct"/>
          </w:tcPr>
          <w:p w:rsidR="004A3868" w:rsidRDefault="003F1AB5">
            <w:pPr>
              <w:pStyle w:val="afff9"/>
            </w:pPr>
            <w:r>
              <w:rPr>
                <w:rFonts w:hint="eastAsia"/>
              </w:rPr>
              <w:t>合计</w:t>
            </w:r>
          </w:p>
        </w:tc>
        <w:tc>
          <w:tcPr>
            <w:tcW w:w="1617" w:type="pct"/>
          </w:tcPr>
          <w:p w:rsidR="004A3868" w:rsidRDefault="003F1AB5">
            <w:pPr>
              <w:pStyle w:val="afff7"/>
            </w:pPr>
            <w:r>
              <w:t xml:space="preserve">41,408,855.06 </w:t>
            </w:r>
          </w:p>
        </w:tc>
        <w:tc>
          <w:tcPr>
            <w:tcW w:w="1608" w:type="pct"/>
            <w:vAlign w:val="center"/>
          </w:tcPr>
          <w:p w:rsidR="004A3868" w:rsidRDefault="003F1AB5">
            <w:pPr>
              <w:pStyle w:val="afff7"/>
            </w:pPr>
            <w:r>
              <w:t>41,546,162.60</w:t>
            </w:r>
          </w:p>
        </w:tc>
      </w:tr>
    </w:tbl>
    <w:p w:rsidR="004A3868" w:rsidRDefault="004A3868">
      <w:pPr>
        <w:pStyle w:val="Style842"/>
      </w:pPr>
    </w:p>
    <w:p w:rsidR="004A3868" w:rsidRDefault="003F1AB5">
      <w:pPr>
        <w:pStyle w:val="Style128"/>
        <w:numPr>
          <w:ilvl w:val="0"/>
          <w:numId w:val="99"/>
        </w:numPr>
      </w:pPr>
      <w:r>
        <w:rPr>
          <w:rFonts w:hint="eastAsia"/>
        </w:rPr>
        <w:t>会计利润与所得税费用调整过程</w:t>
      </w:r>
    </w:p>
    <w:sdt>
      <w:sdtPr>
        <w:alias w:val="是否适用：会计利润与所得税费用调整过程[双击切换]"/>
        <w:tag w:val="_GBC_add00d323e2049ad8bc932f632966661"/>
        <w:id w:val="257257002"/>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会计利润与所得税费用调整过程"/>
          <w:tag w:val="_GBC_10825cb9bb5e445c9210ee34dc80406a"/>
          <w:id w:val="-17293625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20942758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4998" w:type="pct"/>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28" w:type="dxa"/>
        </w:tblCellMar>
        <w:tblLook w:val="04A0" w:firstRow="1" w:lastRow="0" w:firstColumn="1" w:lastColumn="0" w:noHBand="0" w:noVBand="1"/>
      </w:tblPr>
      <w:tblGrid>
        <w:gridCol w:w="4267"/>
        <w:gridCol w:w="4552"/>
      </w:tblGrid>
      <w:tr w:rsidR="004A3868">
        <w:trPr>
          <w:trHeight w:val="397"/>
          <w:jc w:val="center"/>
        </w:trPr>
        <w:sdt>
          <w:sdtPr>
            <w:tag w:val="_PLD_1123621c9879400694da9a8842888e14"/>
            <w:id w:val="2831324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4a270148a32846b69754961e55c75a04"/>
            <w:id w:val="599607314"/>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rPr>
                <w:b/>
                <w:bCs/>
              </w:rPr>
            </w:pPr>
            <w:r>
              <w:rPr>
                <w:rFonts w:hint="eastAsia"/>
              </w:rPr>
              <w:t>利润总额</w:t>
            </w:r>
          </w:p>
        </w:tc>
        <w:tc>
          <w:tcPr>
            <w:tcW w:w="2581" w:type="pct"/>
            <w:tcBorders>
              <w:top w:val="single" w:sz="4" w:space="0" w:color="auto"/>
              <w:left w:val="single" w:sz="4" w:space="0" w:color="auto"/>
              <w:bottom w:val="single" w:sz="6" w:space="0" w:color="auto"/>
              <w:right w:val="single" w:sz="6" w:space="0" w:color="auto"/>
            </w:tcBorders>
            <w:shd w:val="clear" w:color="auto" w:fill="auto"/>
          </w:tcPr>
          <w:p w:rsidR="004A3868" w:rsidRDefault="003F1AB5">
            <w:pPr>
              <w:pStyle w:val="afff7"/>
            </w:pPr>
            <w:r>
              <w:t>273,426,938.46</w:t>
            </w:r>
          </w:p>
        </w:tc>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按法定</w:t>
            </w:r>
            <w:r>
              <w:t>/</w:t>
            </w:r>
            <w:r>
              <w:rPr>
                <w:rFonts w:hint="eastAsia"/>
              </w:rPr>
              <w:t>适用税率计算的所得税费用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4A3868" w:rsidRDefault="003F1AB5">
            <w:pPr>
              <w:pStyle w:val="afff7"/>
              <w:rPr>
                <w:highlight w:val="yellow"/>
              </w:rPr>
            </w:pPr>
            <w:r>
              <w:t>41,014,040.78</w:t>
            </w:r>
          </w:p>
        </w:tc>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子公司适用不同税率的影响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4A3868" w:rsidRDefault="003F1AB5">
            <w:pPr>
              <w:pStyle w:val="afff7"/>
              <w:rPr>
                <w:highlight w:val="yellow"/>
              </w:rPr>
            </w:pPr>
            <w:r>
              <w:t>-19,331.59</w:t>
            </w:r>
          </w:p>
        </w:tc>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调整以前期间所得税的影响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4A3868" w:rsidRDefault="003F1AB5">
            <w:pPr>
              <w:pStyle w:val="afff7"/>
            </w:pPr>
            <w:r>
              <w:t>1,215,779.05</w:t>
            </w:r>
          </w:p>
        </w:tc>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非应税收入的影响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4A3868" w:rsidRDefault="003F1AB5">
            <w:pPr>
              <w:pStyle w:val="afff7"/>
            </w:pPr>
            <w:r>
              <w:t>-158,867.77</w:t>
            </w:r>
          </w:p>
        </w:tc>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不可抵扣的成本、费用和损失的影响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4A3868" w:rsidRDefault="003F1AB5">
            <w:pPr>
              <w:pStyle w:val="afff7"/>
            </w:pPr>
            <w:r>
              <w:t>4,501,491.81</w:t>
            </w:r>
          </w:p>
        </w:tc>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使用前期未确认递延所得税资产的可抵扣亏损的影响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4A3868" w:rsidRDefault="004A3868">
            <w:pPr>
              <w:pStyle w:val="afff7"/>
            </w:pPr>
          </w:p>
        </w:tc>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本期未确认递延所得税资产的可抵扣暂时性差异或可抵扣亏损的影响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4A3868" w:rsidRDefault="004A3868">
            <w:pPr>
              <w:pStyle w:val="afff7"/>
            </w:pPr>
          </w:p>
        </w:tc>
      </w:tr>
      <w:tr w:rsidR="004A3868">
        <w:trPr>
          <w:trHeight w:val="397"/>
          <w:jc w:val="center"/>
        </w:trPr>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rsidR="004A3868" w:rsidRDefault="003F1AB5">
            <w:pPr>
              <w:pStyle w:val="afff9"/>
            </w:pPr>
            <w:r>
              <w:t>研发加计扣除的影响</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afff7"/>
            </w:pPr>
            <w:r>
              <w:t>-5,144,257.22</w:t>
            </w:r>
          </w:p>
        </w:tc>
      </w:tr>
      <w:tr w:rsidR="004A3868">
        <w:trPr>
          <w:trHeight w:val="397"/>
          <w:jc w:val="center"/>
        </w:trPr>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rsidR="004A3868" w:rsidRDefault="003F1AB5">
            <w:pPr>
              <w:pStyle w:val="afff9"/>
            </w:pPr>
            <w:r>
              <w:t>合并层面未实现毛利抵消的影响</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4A3868">
            <w:pPr>
              <w:pStyle w:val="afff7"/>
            </w:pPr>
          </w:p>
        </w:tc>
      </w:tr>
      <w:tr w:rsidR="004A3868">
        <w:trPr>
          <w:trHeight w:val="397"/>
          <w:jc w:val="center"/>
        </w:trPr>
        <w:tc>
          <w:tcPr>
            <w:tcW w:w="241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4A3868" w:rsidRDefault="003F1AB5">
            <w:pPr>
              <w:pStyle w:val="afff7"/>
            </w:pPr>
            <w:r>
              <w:t>41,408,855.06</w:t>
            </w:r>
          </w:p>
        </w:tc>
      </w:tr>
    </w:tbl>
    <w:p w:rsidR="004A3868" w:rsidRDefault="003F1AB5">
      <w:pPr>
        <w:rPr>
          <w:sz w:val="21"/>
          <w:szCs w:val="21"/>
        </w:rPr>
      </w:pPr>
      <w:r>
        <w:rPr>
          <w:rFonts w:hint="eastAsia"/>
          <w:sz w:val="21"/>
          <w:szCs w:val="21"/>
        </w:rPr>
        <w:t>其他说明：</w:t>
      </w:r>
    </w:p>
    <w:sdt>
      <w:sdtPr>
        <w:rPr>
          <w:sz w:val="21"/>
          <w:szCs w:val="21"/>
        </w:rPr>
        <w:alias w:val="是否适用：所得税费用的说明[双击切换]"/>
        <w:tag w:val="_GBC_6d867e6606c643469619e039bd83c158"/>
        <w:id w:val="935334514"/>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lastRenderedPageBreak/>
        <w:t>其他综合收益</w:t>
      </w:r>
    </w:p>
    <w:sdt>
      <w:sdtPr>
        <w:alias w:val="是否适用：其他综合收益说明[双击切换]"/>
        <w:tag w:val="_GBC_055e86e99cd742699e3e89a438a26b74"/>
        <w:id w:val="-426964998"/>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现金流量表项目</w:t>
      </w:r>
    </w:p>
    <w:p w:rsidR="004A3868" w:rsidRDefault="003F1AB5">
      <w:pPr>
        <w:pStyle w:val="Style128"/>
        <w:numPr>
          <w:ilvl w:val="0"/>
          <w:numId w:val="100"/>
        </w:numPr>
      </w:pPr>
      <w:r>
        <w:rPr>
          <w:rFonts w:hint="eastAsia"/>
        </w:rPr>
        <w:t>与经营活动有关的与投资活动有关的现金</w:t>
      </w:r>
    </w:p>
    <w:p w:rsidR="004A3868" w:rsidRDefault="003F1AB5">
      <w:pPr>
        <w:pStyle w:val="Style124"/>
      </w:pPr>
      <w:r>
        <w:rPr>
          <w:rFonts w:hint="eastAsia"/>
        </w:rPr>
        <w:t>收到的其他与经营活动有关的现金</w:t>
      </w:r>
    </w:p>
    <w:sdt>
      <w:sdtPr>
        <w:alias w:val="是否适用：收到的其他与经营活动有关的现金[双击切换]"/>
        <w:tag w:val="_GBC_27345010807c4445aa9d99ce1518a33b"/>
        <w:id w:val="108372789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收到的其他与经营活动有关的现金"/>
          <w:tag w:val="_GBC_dda6e50e7ee34f71977565af2472b533"/>
          <w:id w:val="-20366400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经营活动有关的现金"/>
          <w:tag w:val="_GBC_8a91de0777534f02ab9e5a53784ea05b"/>
          <w:id w:val="-1589342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321"/>
        <w:gridCol w:w="2756"/>
        <w:gridCol w:w="2746"/>
      </w:tblGrid>
      <w:tr w:rsidR="004A3868">
        <w:trPr>
          <w:trHeight w:val="397"/>
          <w:jc w:val="center"/>
        </w:trPr>
        <w:sdt>
          <w:sdtPr>
            <w:tag w:val="_PLD_f7a5d7090c5c4e2b95d9e6f0ea383580"/>
            <w:id w:val="744384006"/>
            <w:lock w:val="sdtLocked"/>
          </w:sdtPr>
          <w:sdtEndPr/>
          <w:sdtContent>
            <w:tc>
              <w:tcPr>
                <w:tcW w:w="1882" w:type="pct"/>
                <w:vAlign w:val="center"/>
              </w:tcPr>
              <w:p w:rsidR="004A3868" w:rsidRDefault="003F1AB5">
                <w:pPr>
                  <w:pStyle w:val="afffb"/>
                </w:pPr>
                <w:r>
                  <w:rPr>
                    <w:rFonts w:hint="eastAsia"/>
                  </w:rPr>
                  <w:t>项目</w:t>
                </w:r>
              </w:p>
            </w:tc>
          </w:sdtContent>
        </w:sdt>
        <w:sdt>
          <w:sdtPr>
            <w:tag w:val="_PLD_6a2d5fc680f64ea980912395fdf43d18"/>
            <w:id w:val="1361400482"/>
            <w:lock w:val="sdtLocked"/>
          </w:sdtPr>
          <w:sdtEndPr/>
          <w:sdtContent>
            <w:tc>
              <w:tcPr>
                <w:tcW w:w="1562" w:type="pct"/>
                <w:vAlign w:val="center"/>
              </w:tcPr>
              <w:p w:rsidR="004A3868" w:rsidRDefault="003F1AB5">
                <w:pPr>
                  <w:pStyle w:val="afffb"/>
                </w:pPr>
                <w:r>
                  <w:rPr>
                    <w:rFonts w:hint="eastAsia"/>
                  </w:rPr>
                  <w:t>本期发生额</w:t>
                </w:r>
              </w:p>
            </w:tc>
          </w:sdtContent>
        </w:sdt>
        <w:sdt>
          <w:sdtPr>
            <w:tag w:val="_PLD_4c33d44ff7254e8994d6dacbfee10de3"/>
            <w:id w:val="1785453123"/>
            <w:lock w:val="sdtLocked"/>
          </w:sdtPr>
          <w:sdtEndPr/>
          <w:sdtContent>
            <w:tc>
              <w:tcPr>
                <w:tcW w:w="1556" w:type="pct"/>
                <w:vAlign w:val="center"/>
              </w:tcPr>
              <w:p w:rsidR="004A3868" w:rsidRDefault="003F1AB5">
                <w:pPr>
                  <w:pStyle w:val="afffb"/>
                </w:pPr>
                <w:r>
                  <w:rPr>
                    <w:rFonts w:hint="eastAsia"/>
                  </w:rPr>
                  <w:t>上期发生额</w:t>
                </w:r>
              </w:p>
            </w:tc>
          </w:sdtContent>
        </w:sdt>
      </w:tr>
      <w:tr w:rsidR="004A3868">
        <w:trPr>
          <w:trHeight w:val="397"/>
          <w:jc w:val="center"/>
        </w:trPr>
        <w:tc>
          <w:tcPr>
            <w:tcW w:w="1882" w:type="pct"/>
            <w:vAlign w:val="center"/>
          </w:tcPr>
          <w:p w:rsidR="004A3868" w:rsidRDefault="003F1AB5">
            <w:pPr>
              <w:pStyle w:val="afff9"/>
            </w:pPr>
            <w:r>
              <w:t>补贴收入</w:t>
            </w:r>
          </w:p>
        </w:tc>
        <w:tc>
          <w:tcPr>
            <w:tcW w:w="1562" w:type="pct"/>
            <w:vAlign w:val="center"/>
          </w:tcPr>
          <w:p w:rsidR="004A3868" w:rsidRDefault="003F1AB5">
            <w:pPr>
              <w:pStyle w:val="afff7"/>
            </w:pPr>
            <w:r>
              <w:t>12,695,989.21</w:t>
            </w:r>
          </w:p>
        </w:tc>
        <w:tc>
          <w:tcPr>
            <w:tcW w:w="1556" w:type="pct"/>
            <w:vAlign w:val="center"/>
          </w:tcPr>
          <w:p w:rsidR="004A3868" w:rsidRDefault="003F1AB5">
            <w:pPr>
              <w:pStyle w:val="afff7"/>
            </w:pPr>
            <w:r>
              <w:t>12,251,330.74</w:t>
            </w:r>
          </w:p>
        </w:tc>
      </w:tr>
      <w:tr w:rsidR="004A3868">
        <w:trPr>
          <w:trHeight w:val="397"/>
          <w:jc w:val="center"/>
        </w:trPr>
        <w:tc>
          <w:tcPr>
            <w:tcW w:w="1882" w:type="pct"/>
            <w:vAlign w:val="center"/>
          </w:tcPr>
          <w:p w:rsidR="004A3868" w:rsidRDefault="003F1AB5">
            <w:pPr>
              <w:pStyle w:val="afff9"/>
            </w:pPr>
            <w:r>
              <w:t>银行存款利息收入</w:t>
            </w:r>
          </w:p>
        </w:tc>
        <w:tc>
          <w:tcPr>
            <w:tcW w:w="1562" w:type="pct"/>
            <w:vAlign w:val="center"/>
          </w:tcPr>
          <w:p w:rsidR="004A3868" w:rsidRDefault="003F1AB5">
            <w:pPr>
              <w:pStyle w:val="afff7"/>
            </w:pPr>
            <w:r>
              <w:t>33,542,141.89</w:t>
            </w:r>
          </w:p>
        </w:tc>
        <w:tc>
          <w:tcPr>
            <w:tcW w:w="1556" w:type="pct"/>
            <w:vAlign w:val="center"/>
          </w:tcPr>
          <w:p w:rsidR="004A3868" w:rsidRDefault="003F1AB5">
            <w:pPr>
              <w:pStyle w:val="afff7"/>
            </w:pPr>
            <w:r>
              <w:t>14,326,789.47</w:t>
            </w:r>
          </w:p>
        </w:tc>
      </w:tr>
      <w:tr w:rsidR="004A3868">
        <w:trPr>
          <w:trHeight w:val="397"/>
          <w:jc w:val="center"/>
        </w:trPr>
        <w:tc>
          <w:tcPr>
            <w:tcW w:w="1882" w:type="pct"/>
            <w:vAlign w:val="center"/>
          </w:tcPr>
          <w:p w:rsidR="004A3868" w:rsidRDefault="003F1AB5">
            <w:pPr>
              <w:pStyle w:val="afff9"/>
            </w:pPr>
            <w:r>
              <w:t>其他及其他往来</w:t>
            </w:r>
          </w:p>
        </w:tc>
        <w:tc>
          <w:tcPr>
            <w:tcW w:w="1562" w:type="pct"/>
            <w:vAlign w:val="center"/>
          </w:tcPr>
          <w:p w:rsidR="004A3868" w:rsidRDefault="003F1AB5">
            <w:pPr>
              <w:pStyle w:val="afff7"/>
            </w:pPr>
            <w:r>
              <w:t xml:space="preserve">  58,247,837.70</w:t>
            </w:r>
          </w:p>
        </w:tc>
        <w:tc>
          <w:tcPr>
            <w:tcW w:w="1556" w:type="pct"/>
            <w:vAlign w:val="center"/>
          </w:tcPr>
          <w:p w:rsidR="004A3868" w:rsidRDefault="003F1AB5">
            <w:pPr>
              <w:pStyle w:val="afff7"/>
            </w:pPr>
            <w:r>
              <w:t>78,550,696.54</w:t>
            </w:r>
          </w:p>
        </w:tc>
      </w:tr>
      <w:tr w:rsidR="004A3868">
        <w:trPr>
          <w:trHeight w:val="397"/>
          <w:jc w:val="center"/>
        </w:trPr>
        <w:tc>
          <w:tcPr>
            <w:tcW w:w="1882" w:type="pct"/>
            <w:vAlign w:val="center"/>
          </w:tcPr>
          <w:p w:rsidR="004A3868" w:rsidRDefault="003F1AB5">
            <w:pPr>
              <w:pStyle w:val="afff9"/>
            </w:pPr>
            <w:r>
              <w:t>合同纠纷法院冻结资金款</w:t>
            </w:r>
          </w:p>
        </w:tc>
        <w:tc>
          <w:tcPr>
            <w:tcW w:w="1562" w:type="pct"/>
            <w:vAlign w:val="center"/>
          </w:tcPr>
          <w:p w:rsidR="004A3868" w:rsidRDefault="003F1AB5">
            <w:pPr>
              <w:pStyle w:val="afff7"/>
            </w:pPr>
            <w:r>
              <w:t>302,760.00</w:t>
            </w:r>
          </w:p>
        </w:tc>
        <w:tc>
          <w:tcPr>
            <w:tcW w:w="1556" w:type="pct"/>
            <w:vAlign w:val="center"/>
          </w:tcPr>
          <w:p w:rsidR="004A3868" w:rsidRDefault="004A3868">
            <w:pPr>
              <w:pStyle w:val="afff7"/>
            </w:pPr>
          </w:p>
        </w:tc>
      </w:tr>
      <w:tr w:rsidR="004A3868">
        <w:trPr>
          <w:trHeight w:val="397"/>
          <w:jc w:val="center"/>
        </w:trPr>
        <w:tc>
          <w:tcPr>
            <w:tcW w:w="1882" w:type="pct"/>
            <w:vAlign w:val="center"/>
          </w:tcPr>
          <w:p w:rsidR="004A3868" w:rsidRDefault="003F1AB5">
            <w:pPr>
              <w:pStyle w:val="afff9"/>
            </w:pPr>
            <w:r>
              <w:rPr>
                <w:rFonts w:hint="eastAsia"/>
              </w:rPr>
              <w:t>合计</w:t>
            </w:r>
          </w:p>
        </w:tc>
        <w:tc>
          <w:tcPr>
            <w:tcW w:w="1562" w:type="pct"/>
            <w:vAlign w:val="center"/>
          </w:tcPr>
          <w:p w:rsidR="004A3868" w:rsidRDefault="003F1AB5">
            <w:pPr>
              <w:pStyle w:val="afff7"/>
            </w:pPr>
            <w:r>
              <w:t>104,788,728.80</w:t>
            </w:r>
          </w:p>
        </w:tc>
        <w:tc>
          <w:tcPr>
            <w:tcW w:w="1556" w:type="pct"/>
            <w:vAlign w:val="center"/>
          </w:tcPr>
          <w:p w:rsidR="004A3868" w:rsidRDefault="003F1AB5">
            <w:pPr>
              <w:pStyle w:val="afff7"/>
            </w:pPr>
            <w:r>
              <w:t>105,128,816.75</w:t>
            </w:r>
          </w:p>
        </w:tc>
      </w:tr>
    </w:tbl>
    <w:p w:rsidR="004A3868" w:rsidRDefault="003F1AB5">
      <w:pPr>
        <w:rPr>
          <w:sz w:val="21"/>
          <w:szCs w:val="21"/>
        </w:rPr>
      </w:pPr>
      <w:r>
        <w:rPr>
          <w:rFonts w:hint="eastAsia"/>
          <w:sz w:val="21"/>
          <w:szCs w:val="21"/>
        </w:rPr>
        <w:t>收到的其他与经营活动有关的现金说明：</w:t>
      </w:r>
    </w:p>
    <w:sdt>
      <w:sdtPr>
        <w:rPr>
          <w:sz w:val="21"/>
          <w:szCs w:val="21"/>
        </w:rPr>
        <w:alias w:val="收到的其他与经营活动有关的现金说明"/>
        <w:tag w:val="_GBC_2e3adcc96d704a9b8dd36934b863d3d4"/>
        <w:id w:val="-1392650889"/>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4"/>
      </w:pPr>
      <w:r>
        <w:rPr>
          <w:rFonts w:hint="eastAsia"/>
        </w:rPr>
        <w:t>支付的其他与经营活动有关的现金</w:t>
      </w:r>
    </w:p>
    <w:sdt>
      <w:sdtPr>
        <w:alias w:val="是否适用：支付的其他与经营活动有关的现金[双击切换]"/>
        <w:tag w:val="_GBC_f4dd9812849049808cd722f0acb16a7a"/>
        <w:id w:val="-1400053104"/>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支付的其他与经营活动有关的现金"/>
          <w:tag w:val="_GBC_43b6d286fa3345adb12f59f8ca6d94fd"/>
          <w:id w:val="4556087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经营活动有关的现金"/>
          <w:tag w:val="_GBC_1cb95a87f7e44f1f81d520deac5b4e18"/>
          <w:id w:val="-4258846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321"/>
        <w:gridCol w:w="2737"/>
        <w:gridCol w:w="2765"/>
      </w:tblGrid>
      <w:tr w:rsidR="004A3868">
        <w:trPr>
          <w:trHeight w:val="397"/>
          <w:jc w:val="center"/>
        </w:trPr>
        <w:sdt>
          <w:sdtPr>
            <w:tag w:val="_PLD_313336294a534de9a634e32311d5592e"/>
            <w:id w:val="-944149254"/>
            <w:lock w:val="sdtLocked"/>
          </w:sdtPr>
          <w:sdtEndPr/>
          <w:sdtContent>
            <w:tc>
              <w:tcPr>
                <w:tcW w:w="1882" w:type="pct"/>
                <w:vAlign w:val="center"/>
              </w:tcPr>
              <w:p w:rsidR="004A3868" w:rsidRDefault="003F1AB5">
                <w:pPr>
                  <w:pStyle w:val="afffb"/>
                </w:pPr>
                <w:r>
                  <w:rPr>
                    <w:rFonts w:hint="eastAsia"/>
                  </w:rPr>
                  <w:t>项目</w:t>
                </w:r>
              </w:p>
            </w:tc>
          </w:sdtContent>
        </w:sdt>
        <w:sdt>
          <w:sdtPr>
            <w:tag w:val="_PLD_254446e36934468da941d479360a4c79"/>
            <w:id w:val="133534395"/>
            <w:lock w:val="sdtLocked"/>
          </w:sdtPr>
          <w:sdtEndPr/>
          <w:sdtContent>
            <w:tc>
              <w:tcPr>
                <w:tcW w:w="1551" w:type="pct"/>
                <w:vAlign w:val="center"/>
              </w:tcPr>
              <w:p w:rsidR="004A3868" w:rsidRDefault="003F1AB5">
                <w:pPr>
                  <w:pStyle w:val="afffb"/>
                </w:pPr>
                <w:r>
                  <w:rPr>
                    <w:rFonts w:hint="eastAsia"/>
                  </w:rPr>
                  <w:t>本期发生额</w:t>
                </w:r>
              </w:p>
            </w:tc>
          </w:sdtContent>
        </w:sdt>
        <w:sdt>
          <w:sdtPr>
            <w:tag w:val="_PLD_7dc479c1c10240cc94f89ea3fc1d6136"/>
            <w:id w:val="1815300955"/>
            <w:lock w:val="sdtLocked"/>
          </w:sdtPr>
          <w:sdtEndPr/>
          <w:sdtContent>
            <w:tc>
              <w:tcPr>
                <w:tcW w:w="1567" w:type="pct"/>
                <w:vAlign w:val="center"/>
              </w:tcPr>
              <w:p w:rsidR="004A3868" w:rsidRDefault="003F1AB5">
                <w:pPr>
                  <w:pStyle w:val="afffb"/>
                </w:pPr>
                <w:r>
                  <w:rPr>
                    <w:rFonts w:hint="eastAsia"/>
                  </w:rPr>
                  <w:t>上期发生额</w:t>
                </w:r>
              </w:p>
            </w:tc>
          </w:sdtContent>
        </w:sdt>
      </w:tr>
      <w:tr w:rsidR="004A3868">
        <w:trPr>
          <w:trHeight w:val="397"/>
          <w:jc w:val="center"/>
        </w:trPr>
        <w:tc>
          <w:tcPr>
            <w:tcW w:w="1882" w:type="pct"/>
            <w:vAlign w:val="center"/>
          </w:tcPr>
          <w:p w:rsidR="004A3868" w:rsidRDefault="003F1AB5">
            <w:pPr>
              <w:pStyle w:val="afff9"/>
            </w:pPr>
            <w:r>
              <w:rPr>
                <w:rFonts w:hint="eastAsia"/>
              </w:rPr>
              <w:t>其他及往来</w:t>
            </w:r>
          </w:p>
        </w:tc>
        <w:tc>
          <w:tcPr>
            <w:tcW w:w="1551" w:type="pct"/>
            <w:vAlign w:val="center"/>
          </w:tcPr>
          <w:p w:rsidR="004A3868" w:rsidRDefault="003F1AB5">
            <w:pPr>
              <w:pStyle w:val="afff7"/>
            </w:pPr>
            <w:r>
              <w:t>122,729,102.67</w:t>
            </w:r>
          </w:p>
        </w:tc>
        <w:tc>
          <w:tcPr>
            <w:tcW w:w="1567" w:type="pct"/>
            <w:vAlign w:val="center"/>
          </w:tcPr>
          <w:p w:rsidR="004A3868" w:rsidRDefault="003F1AB5">
            <w:pPr>
              <w:pStyle w:val="afff7"/>
            </w:pPr>
            <w:r>
              <w:t>21,920,285.97</w:t>
            </w:r>
          </w:p>
        </w:tc>
      </w:tr>
      <w:tr w:rsidR="004A3868">
        <w:trPr>
          <w:trHeight w:val="397"/>
          <w:jc w:val="center"/>
        </w:trPr>
        <w:tc>
          <w:tcPr>
            <w:tcW w:w="1882" w:type="pct"/>
            <w:vAlign w:val="center"/>
          </w:tcPr>
          <w:p w:rsidR="004A3868" w:rsidRDefault="003F1AB5">
            <w:pPr>
              <w:pStyle w:val="afff9"/>
            </w:pPr>
            <w:r>
              <w:t>期间费用</w:t>
            </w:r>
          </w:p>
        </w:tc>
        <w:tc>
          <w:tcPr>
            <w:tcW w:w="1551" w:type="pct"/>
            <w:vAlign w:val="center"/>
          </w:tcPr>
          <w:p w:rsidR="004A3868" w:rsidRDefault="003F1AB5">
            <w:pPr>
              <w:pStyle w:val="afff7"/>
            </w:pPr>
            <w:r>
              <w:t>88,230,658.49</w:t>
            </w:r>
          </w:p>
        </w:tc>
        <w:tc>
          <w:tcPr>
            <w:tcW w:w="1567" w:type="pct"/>
            <w:vAlign w:val="center"/>
          </w:tcPr>
          <w:p w:rsidR="004A3868" w:rsidRDefault="003F1AB5">
            <w:pPr>
              <w:pStyle w:val="afff7"/>
            </w:pPr>
            <w:r>
              <w:t>54,305,402.57</w:t>
            </w:r>
          </w:p>
        </w:tc>
      </w:tr>
      <w:tr w:rsidR="004A3868">
        <w:trPr>
          <w:trHeight w:val="397"/>
          <w:jc w:val="center"/>
        </w:trPr>
        <w:tc>
          <w:tcPr>
            <w:tcW w:w="1882" w:type="pct"/>
            <w:vAlign w:val="center"/>
          </w:tcPr>
          <w:p w:rsidR="004A3868" w:rsidRDefault="003F1AB5">
            <w:pPr>
              <w:pStyle w:val="afff9"/>
            </w:pPr>
            <w:r>
              <w:rPr>
                <w:rFonts w:hint="eastAsia"/>
              </w:rPr>
              <w:t>退回政府补助款</w:t>
            </w:r>
          </w:p>
        </w:tc>
        <w:tc>
          <w:tcPr>
            <w:tcW w:w="1551" w:type="pct"/>
            <w:vAlign w:val="center"/>
          </w:tcPr>
          <w:p w:rsidR="004A3868" w:rsidRDefault="003F1AB5">
            <w:pPr>
              <w:pStyle w:val="afff7"/>
            </w:pPr>
            <w:r>
              <w:t>1,320,000.00</w:t>
            </w:r>
          </w:p>
        </w:tc>
        <w:tc>
          <w:tcPr>
            <w:tcW w:w="1567" w:type="pct"/>
            <w:vAlign w:val="center"/>
          </w:tcPr>
          <w:p w:rsidR="004A3868" w:rsidRDefault="004A3868">
            <w:pPr>
              <w:pStyle w:val="afff7"/>
            </w:pPr>
          </w:p>
        </w:tc>
      </w:tr>
      <w:tr w:rsidR="004A3868">
        <w:trPr>
          <w:trHeight w:val="397"/>
          <w:jc w:val="center"/>
        </w:trPr>
        <w:tc>
          <w:tcPr>
            <w:tcW w:w="1882" w:type="pct"/>
            <w:vAlign w:val="center"/>
          </w:tcPr>
          <w:p w:rsidR="004A3868" w:rsidRDefault="003F1AB5">
            <w:pPr>
              <w:pStyle w:val="afff9"/>
            </w:pPr>
            <w:r>
              <w:t>银行手续费</w:t>
            </w:r>
          </w:p>
        </w:tc>
        <w:tc>
          <w:tcPr>
            <w:tcW w:w="1551" w:type="pct"/>
            <w:vAlign w:val="center"/>
          </w:tcPr>
          <w:p w:rsidR="004A3868" w:rsidRDefault="003F1AB5">
            <w:pPr>
              <w:pStyle w:val="afff7"/>
            </w:pPr>
            <w:r>
              <w:t>1,167,547.39</w:t>
            </w:r>
          </w:p>
        </w:tc>
        <w:tc>
          <w:tcPr>
            <w:tcW w:w="1567" w:type="pct"/>
            <w:vAlign w:val="center"/>
          </w:tcPr>
          <w:p w:rsidR="004A3868" w:rsidRDefault="003F1AB5">
            <w:pPr>
              <w:pStyle w:val="afff7"/>
            </w:pPr>
            <w:r>
              <w:t>761,345.04</w:t>
            </w:r>
          </w:p>
        </w:tc>
      </w:tr>
      <w:tr w:rsidR="004A3868">
        <w:trPr>
          <w:trHeight w:val="397"/>
          <w:jc w:val="center"/>
        </w:trPr>
        <w:tc>
          <w:tcPr>
            <w:tcW w:w="1882" w:type="pct"/>
            <w:vAlign w:val="center"/>
          </w:tcPr>
          <w:p w:rsidR="004A3868" w:rsidRDefault="003F1AB5">
            <w:pPr>
              <w:pStyle w:val="afff9"/>
            </w:pPr>
            <w:r>
              <w:t>合同纠纷法院冻结资金款</w:t>
            </w:r>
          </w:p>
        </w:tc>
        <w:tc>
          <w:tcPr>
            <w:tcW w:w="1551" w:type="pct"/>
            <w:vAlign w:val="center"/>
          </w:tcPr>
          <w:p w:rsidR="004A3868" w:rsidRDefault="004A3868">
            <w:pPr>
              <w:pStyle w:val="afff7"/>
            </w:pPr>
          </w:p>
        </w:tc>
        <w:tc>
          <w:tcPr>
            <w:tcW w:w="1567" w:type="pct"/>
            <w:vAlign w:val="center"/>
          </w:tcPr>
          <w:p w:rsidR="004A3868" w:rsidRDefault="003F1AB5">
            <w:pPr>
              <w:pStyle w:val="afff7"/>
            </w:pPr>
            <w:r>
              <w:t>302,760.00</w:t>
            </w:r>
          </w:p>
        </w:tc>
      </w:tr>
      <w:tr w:rsidR="004A3868">
        <w:trPr>
          <w:trHeight w:val="397"/>
          <w:jc w:val="center"/>
        </w:trPr>
        <w:tc>
          <w:tcPr>
            <w:tcW w:w="1882" w:type="pct"/>
            <w:vAlign w:val="center"/>
          </w:tcPr>
          <w:p w:rsidR="004A3868" w:rsidRDefault="003F1AB5">
            <w:pPr>
              <w:pStyle w:val="afff9"/>
            </w:pPr>
            <w:r>
              <w:rPr>
                <w:rFonts w:hint="eastAsia"/>
              </w:rPr>
              <w:t>合计</w:t>
            </w:r>
          </w:p>
        </w:tc>
        <w:tc>
          <w:tcPr>
            <w:tcW w:w="1551" w:type="pct"/>
            <w:vAlign w:val="center"/>
          </w:tcPr>
          <w:p w:rsidR="004A3868" w:rsidRDefault="003F1AB5">
            <w:pPr>
              <w:pStyle w:val="afff7"/>
            </w:pPr>
            <w:r>
              <w:t>213,447,308.55</w:t>
            </w:r>
          </w:p>
        </w:tc>
        <w:tc>
          <w:tcPr>
            <w:tcW w:w="1567" w:type="pct"/>
            <w:vAlign w:val="center"/>
          </w:tcPr>
          <w:p w:rsidR="004A3868" w:rsidRDefault="003F1AB5">
            <w:pPr>
              <w:pStyle w:val="afff7"/>
            </w:pPr>
            <w:r>
              <w:t>77,289,793.58</w:t>
            </w:r>
          </w:p>
        </w:tc>
      </w:tr>
    </w:tbl>
    <w:p w:rsidR="004A3868" w:rsidRDefault="003F1AB5">
      <w:pPr>
        <w:rPr>
          <w:sz w:val="21"/>
          <w:szCs w:val="21"/>
        </w:rPr>
      </w:pPr>
      <w:r>
        <w:rPr>
          <w:rFonts w:hint="eastAsia"/>
          <w:sz w:val="21"/>
          <w:szCs w:val="21"/>
        </w:rPr>
        <w:t>支付的其他与经营活动有关的现金说明：</w:t>
      </w:r>
    </w:p>
    <w:p w:rsidR="004A3868" w:rsidRDefault="00B34370">
      <w:pPr>
        <w:rPr>
          <w:sz w:val="21"/>
          <w:szCs w:val="21"/>
        </w:rPr>
      </w:pPr>
      <w:sdt>
        <w:sdtPr>
          <w:rPr>
            <w:rFonts w:hint="eastAsia"/>
            <w:sz w:val="21"/>
            <w:szCs w:val="21"/>
          </w:rPr>
          <w:alias w:val="支付的其他与经营活动有关的现金说明"/>
          <w:tag w:val="_GBC_0465de66d71e4a34a0d6c076baa704db"/>
          <w:id w:val="649413616"/>
          <w:placeholder>
            <w:docPart w:val="GBC22222222222222222222222222222"/>
          </w:placeholder>
        </w:sdtPr>
        <w:sdtEndPr>
          <w:rPr>
            <w:b/>
            <w:bCs/>
          </w:rPr>
        </w:sdtEndPr>
        <w:sdtContent>
          <w:r w:rsidR="003F1AB5">
            <w:rPr>
              <w:rFonts w:hint="eastAsia"/>
              <w:sz w:val="21"/>
              <w:szCs w:val="21"/>
            </w:rPr>
            <w:t>本期支付其他与经营活动有关的现金中其他及往来流出金额同比增加主要原因是开具银行承兑汇票支付的保证金所致。</w:t>
          </w:r>
        </w:sdtContent>
      </w:sdt>
    </w:p>
    <w:p w:rsidR="004A3868" w:rsidRDefault="003F1AB5">
      <w:pPr>
        <w:pStyle w:val="Style128"/>
        <w:numPr>
          <w:ilvl w:val="0"/>
          <w:numId w:val="100"/>
        </w:numPr>
      </w:pPr>
      <w:r>
        <w:rPr>
          <w:rFonts w:hint="eastAsia"/>
        </w:rPr>
        <w:t>与投资活动有关的现金</w:t>
      </w:r>
    </w:p>
    <w:sdt>
      <w:sdtPr>
        <w:rPr>
          <w:rFonts w:hint="eastAsia"/>
        </w:rPr>
        <w:alias w:val="模块:收到的重要的投资活动有关的现金"/>
        <w:tag w:val="_SEC_ff82b775f142475bade770a65468604e"/>
        <w:id w:val="-666713075"/>
        <w:lock w:val="sdtLocked"/>
      </w:sdtPr>
      <w:sdtEndPr>
        <w:rPr>
          <w:rFonts w:hint="default"/>
        </w:rPr>
      </w:sdtEndPr>
      <w:sdtContent>
        <w:p w:rsidR="004A3868" w:rsidRDefault="003F1AB5">
          <w:pPr>
            <w:pStyle w:val="Style124"/>
          </w:pPr>
          <w:r>
            <w:rPr>
              <w:rFonts w:hint="eastAsia"/>
            </w:rPr>
            <w:t>收到的重要的投资活动有关的现金</w:t>
          </w:r>
        </w:p>
        <w:sdt>
          <w:sdtPr>
            <w:alias w:val="是否适用：收到的重要的投资活动有关的现金[双击切换]"/>
            <w:tag w:val="_GBC_9196f5edd13f48c58cf11429e2524db4"/>
            <w:id w:val="-1318880880"/>
            <w:lock w:val="sdtLocked"/>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支付的重要的投资活动有关的现金 "/>
        <w:tag w:val="_SEC_7ab55cb8ffdb49ac9c81c84aea21fcdf"/>
        <w:id w:val="-1420479814"/>
        <w:lock w:val="sdtLocked"/>
      </w:sdtPr>
      <w:sdtEndPr>
        <w:rPr>
          <w:rFonts w:hint="default"/>
        </w:rPr>
      </w:sdtEndPr>
      <w:sdtContent>
        <w:p w:rsidR="004A3868" w:rsidRDefault="003F1AB5">
          <w:pPr>
            <w:pStyle w:val="Style124"/>
          </w:pPr>
          <w:r>
            <w:rPr>
              <w:rFonts w:hint="eastAsia"/>
            </w:rPr>
            <w:t>支付的重要的投资活动有关的现金</w:t>
          </w:r>
        </w:p>
        <w:sdt>
          <w:sdtPr>
            <w:alias w:val="是否适用：支付的重要的投资活动有关的现金[双击切换]"/>
            <w:tag w:val="_GBC_87278c8d34004ae4ad117e1026d10209"/>
            <w:id w:val="-1677644310"/>
            <w:lock w:val="sdtLocked"/>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收到的其他与投资活动有关的现金"/>
        <w:tag w:val="_SEC_bffd728d3f034a24a21a18f895399812"/>
        <w:id w:val="812445560"/>
        <w:lock w:val="sdtLocked"/>
      </w:sdtPr>
      <w:sdtEndPr>
        <w:rPr>
          <w:rFonts w:asciiTheme="minorHAnsi" w:hAnsiTheme="minorHAnsi" w:cstheme="minorBidi" w:hint="default"/>
          <w:b w:val="0"/>
          <w:bCs w:val="0"/>
          <w:kern w:val="2"/>
        </w:rPr>
      </w:sdtEndPr>
      <w:sdtContent>
        <w:p w:rsidR="004A3868" w:rsidRDefault="003F1AB5">
          <w:pPr>
            <w:pStyle w:val="Style124"/>
          </w:pPr>
          <w:r>
            <w:rPr>
              <w:rFonts w:hint="eastAsia"/>
            </w:rPr>
            <w:t>收到的其他与投资活动有关的现金</w:t>
          </w:r>
        </w:p>
        <w:sdt>
          <w:sdtPr>
            <w:alias w:val="是否适用：收到的其他与投资活动有关的现金[双击切换]"/>
            <w:tag w:val="_GBC_a9d11a87566b448d9e6aac9a017a8388"/>
            <w:id w:val="1369341080"/>
            <w:lock w:val="sdtLocked"/>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sz w:val="24"/>
          <w:szCs w:val="24"/>
        </w:rPr>
        <w:alias w:val="模块:支付的其他与投资活动有关的现金"/>
        <w:tag w:val="_SEC_aafc72f0aabb4b5faeb8c5be6629eee5"/>
        <w:id w:val="-498815535"/>
      </w:sdtPr>
      <w:sdtEndPr>
        <w:rPr>
          <w:b w:val="0"/>
          <w:bCs w:val="0"/>
        </w:rPr>
      </w:sdtEndPr>
      <w:sdtContent>
        <w:p w:rsidR="004A3868" w:rsidRDefault="003F1AB5">
          <w:pPr>
            <w:pStyle w:val="Style124"/>
          </w:pPr>
          <w:r>
            <w:rPr>
              <w:rFonts w:hint="eastAsia"/>
            </w:rPr>
            <w:t>支付的其他与投资活动有关的现金</w:t>
          </w:r>
        </w:p>
        <w:sdt>
          <w:sdtPr>
            <w:alias w:val="是否适用：支付的其他与投资活动有关的现金[双击切换]"/>
            <w:tag w:val="_GBC_c733aab18a804ecea142a329ce5180ba"/>
            <w:id w:val="939105974"/>
            <w:lock w:val="sdtLocked"/>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支付的其他与投资活动有关的现金"/>
              <w:tag w:val="_GBC_c9261a723e034bd4842ebc9aa57bb713"/>
              <w:id w:val="-1505207"/>
              <w:lock w:val="sdtLocked"/>
              <w:placeholder>
                <w:docPart w:val="7ED5D781710B4E2D825CC608BE9CD3E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投资活动有关的现金"/>
              <w:tag w:val="_GBC_1ac8f59aa2ce48d0af7c6d580cad336c"/>
              <w:id w:val="310828510"/>
              <w:lock w:val="sdtLocked"/>
              <w:placeholder>
                <w:docPart w:val="7ED5D781710B4E2D825CC608BE9CD3E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321"/>
            <w:gridCol w:w="2841"/>
            <w:gridCol w:w="2661"/>
          </w:tblGrid>
          <w:tr w:rsidR="004A3868">
            <w:trPr>
              <w:trHeight w:val="397"/>
              <w:jc w:val="center"/>
            </w:trPr>
            <w:sdt>
              <w:sdtPr>
                <w:tag w:val="_PLD_587dffb6cb394ed0abe3449c37ec4700"/>
                <w:id w:val="-336692939"/>
              </w:sdtPr>
              <w:sdtEndPr/>
              <w:sdtContent>
                <w:tc>
                  <w:tcPr>
                    <w:tcW w:w="1882" w:type="pct"/>
                    <w:vAlign w:val="center"/>
                  </w:tcPr>
                  <w:p w:rsidR="004A3868" w:rsidRDefault="003F1AB5">
                    <w:pPr>
                      <w:pStyle w:val="afffb"/>
                    </w:pPr>
                    <w:r>
                      <w:rPr>
                        <w:rFonts w:hint="eastAsia"/>
                      </w:rPr>
                      <w:t>项目</w:t>
                    </w:r>
                  </w:p>
                </w:tc>
              </w:sdtContent>
            </w:sdt>
            <w:sdt>
              <w:sdtPr>
                <w:tag w:val="_PLD_df7899e6c0274bae9f145af85a8eb277"/>
                <w:id w:val="1148245426"/>
              </w:sdtPr>
              <w:sdtEndPr/>
              <w:sdtContent>
                <w:tc>
                  <w:tcPr>
                    <w:tcW w:w="1610" w:type="pct"/>
                    <w:vAlign w:val="center"/>
                  </w:tcPr>
                  <w:p w:rsidR="004A3868" w:rsidRDefault="003F1AB5">
                    <w:pPr>
                      <w:pStyle w:val="afffb"/>
                    </w:pPr>
                    <w:r>
                      <w:rPr>
                        <w:rFonts w:hint="eastAsia"/>
                      </w:rPr>
                      <w:t>本期发生额</w:t>
                    </w:r>
                  </w:p>
                </w:tc>
              </w:sdtContent>
            </w:sdt>
            <w:sdt>
              <w:sdtPr>
                <w:tag w:val="_PLD_f161b1c392e440818862ceb1761bb906"/>
                <w:id w:val="1920289381"/>
              </w:sdtPr>
              <w:sdtEndPr/>
              <w:sdtContent>
                <w:tc>
                  <w:tcPr>
                    <w:tcW w:w="1508" w:type="pct"/>
                    <w:vAlign w:val="center"/>
                  </w:tcPr>
                  <w:p w:rsidR="004A3868" w:rsidRDefault="003F1AB5">
                    <w:pPr>
                      <w:pStyle w:val="afffb"/>
                    </w:pPr>
                    <w:r>
                      <w:rPr>
                        <w:rFonts w:hint="eastAsia"/>
                      </w:rPr>
                      <w:t>上期发生额</w:t>
                    </w:r>
                  </w:p>
                </w:tc>
              </w:sdtContent>
            </w:sdt>
          </w:tr>
          <w:sdt>
            <w:sdtPr>
              <w:rPr>
                <w:rFonts w:ascii="宋体" w:hAnsi="宋体" w:cs="宋体" w:hint="eastAsia"/>
                <w:kern w:val="0"/>
                <w:sz w:val="24"/>
                <w:szCs w:val="24"/>
              </w:rPr>
              <w:alias w:val="支付的其他与投资活动有关的现金明细"/>
              <w:tag w:val="_TUP_b6c724ac4860419dabcf1acda6dd60f4"/>
              <w:id w:val="1233583601"/>
              <w:placeholder>
                <w:docPart w:val="12A5BFE2139A4413BF95FC55F95BF679"/>
              </w:placeholder>
            </w:sdtPr>
            <w:sdtEndPr>
              <w:rPr>
                <w:sz w:val="21"/>
                <w:szCs w:val="21"/>
              </w:rPr>
            </w:sdtEndPr>
            <w:sdtContent>
              <w:tr w:rsidR="004A3868">
                <w:trPr>
                  <w:trHeight w:val="397"/>
                  <w:jc w:val="center"/>
                </w:trPr>
                <w:tc>
                  <w:tcPr>
                    <w:tcW w:w="1882" w:type="pct"/>
                    <w:vAlign w:val="center"/>
                  </w:tcPr>
                  <w:p w:rsidR="004A3868" w:rsidRDefault="003F1AB5">
                    <w:pPr>
                      <w:pStyle w:val="afff9"/>
                    </w:pPr>
                    <w:r>
                      <w:rPr>
                        <w:rFonts w:hint="eastAsia"/>
                      </w:rPr>
                      <w:t>土地竞拍履约保证金</w:t>
                    </w:r>
                  </w:p>
                </w:tc>
                <w:tc>
                  <w:tcPr>
                    <w:tcW w:w="1610" w:type="pct"/>
                    <w:vAlign w:val="center"/>
                  </w:tcPr>
                  <w:p w:rsidR="004A3868" w:rsidRDefault="003F1AB5">
                    <w:pPr>
                      <w:pStyle w:val="afff7"/>
                    </w:pPr>
                    <w:r>
                      <w:t>40,000,000.00</w:t>
                    </w:r>
                  </w:p>
                </w:tc>
                <w:tc>
                  <w:tcPr>
                    <w:tcW w:w="1508" w:type="pct"/>
                    <w:vAlign w:val="center"/>
                  </w:tcPr>
                  <w:p w:rsidR="004A3868" w:rsidRDefault="004A3868">
                    <w:pPr>
                      <w:pStyle w:val="afff7"/>
                    </w:pPr>
                  </w:p>
                </w:tc>
              </w:tr>
            </w:sdtContent>
          </w:sdt>
          <w:sdt>
            <w:sdtPr>
              <w:rPr>
                <w:rFonts w:ascii="宋体" w:hAnsi="宋体" w:cs="宋体" w:hint="eastAsia"/>
                <w:kern w:val="0"/>
                <w:sz w:val="24"/>
                <w:szCs w:val="24"/>
              </w:rPr>
              <w:alias w:val="支付的其他与投资活动有关的现金明细"/>
              <w:tag w:val="_TUP_b6c724ac4860419dabcf1acda6dd60f4"/>
              <w:id w:val="1770891071"/>
              <w:placeholder>
                <w:docPart w:val="12A5BFE2139A4413BF95FC55F95BF679"/>
              </w:placeholder>
            </w:sdtPr>
            <w:sdtEndPr>
              <w:rPr>
                <w:sz w:val="21"/>
                <w:szCs w:val="21"/>
              </w:rPr>
            </w:sdtEndPr>
            <w:sdtContent>
              <w:tr w:rsidR="004A3868">
                <w:trPr>
                  <w:trHeight w:val="397"/>
                  <w:jc w:val="center"/>
                </w:trPr>
                <w:tc>
                  <w:tcPr>
                    <w:tcW w:w="1882" w:type="pct"/>
                    <w:vAlign w:val="center"/>
                  </w:tcPr>
                  <w:p w:rsidR="004A3868" w:rsidRDefault="003F1AB5">
                    <w:pPr>
                      <w:pStyle w:val="afff9"/>
                    </w:pPr>
                    <w:r>
                      <w:rPr>
                        <w:rFonts w:hint="eastAsia"/>
                      </w:rPr>
                      <w:t>预付投资保证金</w:t>
                    </w:r>
                  </w:p>
                </w:tc>
                <w:tc>
                  <w:tcPr>
                    <w:tcW w:w="1610" w:type="pct"/>
                    <w:vAlign w:val="center"/>
                  </w:tcPr>
                  <w:p w:rsidR="004A3868" w:rsidRDefault="003F1AB5">
                    <w:pPr>
                      <w:pStyle w:val="afff7"/>
                    </w:pPr>
                    <w:r>
                      <w:t>10,000,000.00</w:t>
                    </w:r>
                  </w:p>
                </w:tc>
                <w:tc>
                  <w:tcPr>
                    <w:tcW w:w="1508" w:type="pct"/>
                    <w:vAlign w:val="center"/>
                  </w:tcPr>
                  <w:p w:rsidR="004A3868" w:rsidRDefault="004A3868">
                    <w:pPr>
                      <w:pStyle w:val="afff7"/>
                    </w:pPr>
                  </w:p>
                </w:tc>
              </w:tr>
            </w:sdtContent>
          </w:sdt>
          <w:tr w:rsidR="004A3868">
            <w:trPr>
              <w:trHeight w:val="397"/>
              <w:jc w:val="center"/>
            </w:trPr>
            <w:sdt>
              <w:sdtPr>
                <w:tag w:val="_PLD_1206bbe0dbda46119184b2f0907045c6"/>
                <w:id w:val="1990515477"/>
              </w:sdtPr>
              <w:sdtEndPr/>
              <w:sdtContent>
                <w:tc>
                  <w:tcPr>
                    <w:tcW w:w="1882" w:type="pct"/>
                    <w:vAlign w:val="center"/>
                  </w:tcPr>
                  <w:p w:rsidR="004A3868" w:rsidRDefault="003F1AB5">
                    <w:pPr>
                      <w:pStyle w:val="afff9"/>
                    </w:pPr>
                    <w:r>
                      <w:rPr>
                        <w:rFonts w:hint="eastAsia"/>
                      </w:rPr>
                      <w:t>合计</w:t>
                    </w:r>
                  </w:p>
                </w:tc>
              </w:sdtContent>
            </w:sdt>
            <w:tc>
              <w:tcPr>
                <w:tcW w:w="1610" w:type="pct"/>
                <w:vAlign w:val="center"/>
              </w:tcPr>
              <w:p w:rsidR="004A3868" w:rsidRDefault="003F1AB5">
                <w:pPr>
                  <w:pStyle w:val="afff7"/>
                </w:pPr>
                <w:r>
                  <w:t>50,000,000.00</w:t>
                </w:r>
              </w:p>
            </w:tc>
            <w:tc>
              <w:tcPr>
                <w:tcW w:w="1508" w:type="pct"/>
                <w:vAlign w:val="center"/>
              </w:tcPr>
              <w:p w:rsidR="004A3868" w:rsidRDefault="004A3868">
                <w:pPr>
                  <w:pStyle w:val="afff7"/>
                </w:pPr>
              </w:p>
            </w:tc>
          </w:tr>
        </w:tbl>
        <w:p w:rsidR="004A3868" w:rsidRDefault="003F1AB5">
          <w:pPr>
            <w:rPr>
              <w:sz w:val="21"/>
              <w:szCs w:val="21"/>
            </w:rPr>
          </w:pPr>
          <w:r>
            <w:rPr>
              <w:rFonts w:hint="eastAsia"/>
              <w:sz w:val="21"/>
              <w:szCs w:val="21"/>
            </w:rPr>
            <w:t>支付的其他与投资活动有关的现金说明：</w:t>
          </w:r>
        </w:p>
        <w:sdt>
          <w:sdtPr>
            <w:rPr>
              <w:rFonts w:hint="eastAsia"/>
              <w:sz w:val="21"/>
              <w:szCs w:val="21"/>
            </w:rPr>
            <w:alias w:val="支付的其他与投资活动有关的现金说明"/>
            <w:tag w:val="_GBC_e94cfcc1a78341c4a50c9acc8c5c726c"/>
            <w:id w:val="382607653"/>
            <w:lock w:val="sdtLocked"/>
            <w:placeholder>
              <w:docPart w:val="7ED5D781710B4E2D825CC608BE9CD3E2"/>
            </w:placeholder>
          </w:sdtPr>
          <w:sdtEndPr/>
          <w:sdtContent>
            <w:p w:rsidR="004A3868" w:rsidRDefault="003F1AB5">
              <w:pPr>
                <w:rPr>
                  <w:sz w:val="21"/>
                  <w:szCs w:val="21"/>
                </w:rPr>
              </w:pPr>
              <w:r>
                <w:rPr>
                  <w:rFonts w:hint="eastAsia"/>
                  <w:sz w:val="21"/>
                  <w:szCs w:val="21"/>
                </w:rPr>
                <w:t>无</w:t>
              </w:r>
            </w:p>
          </w:sdtContent>
        </w:sdt>
      </w:sdtContent>
    </w:sdt>
    <w:p w:rsidR="004A3868" w:rsidRDefault="004A3868">
      <w:pPr>
        <w:pStyle w:val="Style842"/>
      </w:pPr>
    </w:p>
    <w:p w:rsidR="004A3868" w:rsidRDefault="003F1AB5">
      <w:pPr>
        <w:pStyle w:val="Style128"/>
        <w:numPr>
          <w:ilvl w:val="0"/>
          <w:numId w:val="100"/>
        </w:numPr>
      </w:pPr>
      <w:r>
        <w:rPr>
          <w:rFonts w:hint="eastAsia"/>
        </w:rPr>
        <w:t>与筹资活动有关的现金</w:t>
      </w:r>
    </w:p>
    <w:p w:rsidR="004A3868" w:rsidRDefault="003F1AB5">
      <w:pPr>
        <w:pStyle w:val="Style124"/>
      </w:pPr>
      <w:r>
        <w:rPr>
          <w:rFonts w:hint="eastAsia"/>
        </w:rPr>
        <w:t>收到的其他与筹资活动有关的现金</w:t>
      </w:r>
    </w:p>
    <w:sdt>
      <w:sdtPr>
        <w:alias w:val="是否适用：收到的其他与筹资活动有关的现金[双击切换]"/>
        <w:tag w:val="_GBC_031910cf781944cf80900ffa99f7a9d7"/>
        <w:id w:val="-1879777540"/>
        <w:lock w:val="sdtLocked"/>
        <w:placeholder>
          <w:docPart w:val="GBC22222222222222222222222222222"/>
        </w:placeholder>
      </w:sdtPr>
      <w:sdtEndPr/>
      <w:sdtContent>
        <w:p w:rsidR="004A3868" w:rsidRDefault="003F1AB5">
          <w:pPr>
            <w:pStyle w:val="Style124"/>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支付的其他与筹资活动有关的现金</w:t>
      </w:r>
    </w:p>
    <w:sdt>
      <w:sdtPr>
        <w:alias w:val="是否适用：支付的其他与筹资活动有关的现金[双击切换]"/>
        <w:tag w:val="_GBC_fcc0d0c43a2d4fa88ca685f3e36f2f40"/>
        <w:id w:val="-542899052"/>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支付的其他与筹资活动有关的现金"/>
          <w:tag w:val="_GBC_f301b3c53ede43608ccf55c09ef288e7"/>
          <w:id w:val="-3797903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筹资活动有关的现金"/>
          <w:tag w:val="_GBC_462cc25e34014e2cb61c7b4f9232d7e5"/>
          <w:id w:val="10372457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321"/>
        <w:gridCol w:w="2841"/>
        <w:gridCol w:w="2661"/>
      </w:tblGrid>
      <w:tr w:rsidR="004A3868">
        <w:trPr>
          <w:trHeight w:val="397"/>
          <w:jc w:val="center"/>
        </w:trPr>
        <w:sdt>
          <w:sdtPr>
            <w:tag w:val="_PLD_e2db8e0335cc47fe9b6461eeb2befa7e"/>
            <w:id w:val="-1624919431"/>
            <w:lock w:val="sdtLocked"/>
          </w:sdtPr>
          <w:sdtEndPr/>
          <w:sdtContent>
            <w:tc>
              <w:tcPr>
                <w:tcW w:w="1882" w:type="pct"/>
              </w:tcPr>
              <w:p w:rsidR="004A3868" w:rsidRDefault="003F1AB5">
                <w:pPr>
                  <w:pStyle w:val="afffb"/>
                </w:pPr>
                <w:r>
                  <w:rPr>
                    <w:rFonts w:hint="eastAsia"/>
                  </w:rPr>
                  <w:t>项目</w:t>
                </w:r>
              </w:p>
            </w:tc>
          </w:sdtContent>
        </w:sdt>
        <w:sdt>
          <w:sdtPr>
            <w:tag w:val="_PLD_bb4a54a8a5be4a6691e4d59483217c64"/>
            <w:id w:val="999537478"/>
            <w:lock w:val="sdtLocked"/>
          </w:sdtPr>
          <w:sdtEndPr/>
          <w:sdtContent>
            <w:tc>
              <w:tcPr>
                <w:tcW w:w="1610" w:type="pct"/>
              </w:tcPr>
              <w:p w:rsidR="004A3868" w:rsidRDefault="003F1AB5">
                <w:pPr>
                  <w:pStyle w:val="afffb"/>
                </w:pPr>
                <w:r>
                  <w:rPr>
                    <w:rFonts w:hint="eastAsia"/>
                  </w:rPr>
                  <w:t>本期发生额</w:t>
                </w:r>
              </w:p>
            </w:tc>
          </w:sdtContent>
        </w:sdt>
        <w:sdt>
          <w:sdtPr>
            <w:tag w:val="_PLD_a4930447bc4d450faf79f923eef8597b"/>
            <w:id w:val="-759823762"/>
            <w:lock w:val="sdtLocked"/>
          </w:sdtPr>
          <w:sdtEndPr/>
          <w:sdtContent>
            <w:tc>
              <w:tcPr>
                <w:tcW w:w="1508" w:type="pct"/>
              </w:tcPr>
              <w:p w:rsidR="004A3868" w:rsidRDefault="003F1AB5">
                <w:pPr>
                  <w:pStyle w:val="afffb"/>
                </w:pPr>
                <w:r>
                  <w:rPr>
                    <w:rFonts w:hint="eastAsia"/>
                  </w:rPr>
                  <w:t>上期发生额</w:t>
                </w:r>
              </w:p>
            </w:tc>
          </w:sdtContent>
        </w:sdt>
      </w:tr>
      <w:tr w:rsidR="004A3868">
        <w:trPr>
          <w:trHeight w:val="397"/>
          <w:jc w:val="center"/>
        </w:trPr>
        <w:tc>
          <w:tcPr>
            <w:tcW w:w="1882" w:type="pct"/>
          </w:tcPr>
          <w:p w:rsidR="004A3868" w:rsidRDefault="003F1AB5">
            <w:pPr>
              <w:pStyle w:val="afff9"/>
            </w:pPr>
            <w:r>
              <w:t>支付股票回购款</w:t>
            </w:r>
          </w:p>
        </w:tc>
        <w:tc>
          <w:tcPr>
            <w:tcW w:w="1610" w:type="pct"/>
            <w:vAlign w:val="center"/>
          </w:tcPr>
          <w:p w:rsidR="004A3868" w:rsidRDefault="003F1AB5">
            <w:pPr>
              <w:pStyle w:val="afff7"/>
            </w:pPr>
            <w:r>
              <w:t>50,299,241.28</w:t>
            </w:r>
          </w:p>
        </w:tc>
        <w:tc>
          <w:tcPr>
            <w:tcW w:w="1508" w:type="pct"/>
            <w:vAlign w:val="center"/>
          </w:tcPr>
          <w:p w:rsidR="004A3868" w:rsidRDefault="004A3868">
            <w:pPr>
              <w:pStyle w:val="afff7"/>
            </w:pPr>
          </w:p>
        </w:tc>
      </w:tr>
      <w:tr w:rsidR="004A3868">
        <w:trPr>
          <w:trHeight w:val="397"/>
          <w:jc w:val="center"/>
        </w:trPr>
        <w:tc>
          <w:tcPr>
            <w:tcW w:w="1882" w:type="pct"/>
          </w:tcPr>
          <w:p w:rsidR="004A3868" w:rsidRDefault="003F1AB5">
            <w:pPr>
              <w:pStyle w:val="afff9"/>
            </w:pPr>
            <w:r>
              <w:t>发行费用</w:t>
            </w:r>
          </w:p>
        </w:tc>
        <w:tc>
          <w:tcPr>
            <w:tcW w:w="1610" w:type="pct"/>
            <w:vAlign w:val="center"/>
          </w:tcPr>
          <w:p w:rsidR="004A3868" w:rsidRDefault="004A3868">
            <w:pPr>
              <w:pStyle w:val="afff7"/>
            </w:pPr>
          </w:p>
        </w:tc>
        <w:tc>
          <w:tcPr>
            <w:tcW w:w="1508" w:type="pct"/>
            <w:vAlign w:val="center"/>
          </w:tcPr>
          <w:p w:rsidR="004A3868" w:rsidRDefault="003F1AB5">
            <w:pPr>
              <w:pStyle w:val="afff7"/>
            </w:pPr>
            <w:r>
              <w:t>23,246,545.90</w:t>
            </w:r>
          </w:p>
        </w:tc>
      </w:tr>
      <w:tr w:rsidR="004A3868">
        <w:trPr>
          <w:trHeight w:val="397"/>
          <w:jc w:val="center"/>
        </w:trPr>
        <w:tc>
          <w:tcPr>
            <w:tcW w:w="1882" w:type="pct"/>
          </w:tcPr>
          <w:p w:rsidR="004A3868" w:rsidRDefault="003F1AB5">
            <w:pPr>
              <w:pStyle w:val="afff9"/>
            </w:pPr>
            <w:r>
              <w:t>租赁费用</w:t>
            </w:r>
          </w:p>
        </w:tc>
        <w:tc>
          <w:tcPr>
            <w:tcW w:w="1610" w:type="pct"/>
            <w:vAlign w:val="center"/>
          </w:tcPr>
          <w:p w:rsidR="004A3868" w:rsidRDefault="003F1AB5">
            <w:pPr>
              <w:pStyle w:val="afff7"/>
            </w:pPr>
            <w:r>
              <w:t>1,356,362.61</w:t>
            </w:r>
          </w:p>
        </w:tc>
        <w:tc>
          <w:tcPr>
            <w:tcW w:w="1508" w:type="pct"/>
            <w:vAlign w:val="center"/>
          </w:tcPr>
          <w:p w:rsidR="004A3868" w:rsidRDefault="003F1AB5">
            <w:pPr>
              <w:pStyle w:val="afff7"/>
            </w:pPr>
            <w:r>
              <w:t>586,170.00</w:t>
            </w:r>
          </w:p>
        </w:tc>
      </w:tr>
      <w:tr w:rsidR="004A3868">
        <w:trPr>
          <w:trHeight w:val="397"/>
          <w:jc w:val="center"/>
        </w:trPr>
        <w:tc>
          <w:tcPr>
            <w:tcW w:w="1882" w:type="pct"/>
          </w:tcPr>
          <w:p w:rsidR="004A3868" w:rsidRDefault="003F1AB5">
            <w:pPr>
              <w:pStyle w:val="afff9"/>
            </w:pPr>
            <w:r>
              <w:rPr>
                <w:rFonts w:hint="eastAsia"/>
              </w:rPr>
              <w:t>合计</w:t>
            </w:r>
          </w:p>
        </w:tc>
        <w:tc>
          <w:tcPr>
            <w:tcW w:w="1610" w:type="pct"/>
            <w:vAlign w:val="center"/>
          </w:tcPr>
          <w:p w:rsidR="004A3868" w:rsidRDefault="003F1AB5">
            <w:pPr>
              <w:pStyle w:val="afff7"/>
            </w:pPr>
            <w:r>
              <w:t>51,655,603.89</w:t>
            </w:r>
          </w:p>
        </w:tc>
        <w:tc>
          <w:tcPr>
            <w:tcW w:w="1508" w:type="pct"/>
            <w:vAlign w:val="center"/>
          </w:tcPr>
          <w:p w:rsidR="004A3868" w:rsidRDefault="003F1AB5">
            <w:pPr>
              <w:pStyle w:val="afff7"/>
            </w:pPr>
            <w:r>
              <w:t>23,832,715.90</w:t>
            </w:r>
          </w:p>
        </w:tc>
      </w:tr>
    </w:tbl>
    <w:p w:rsidR="004A3868" w:rsidRDefault="003F1AB5">
      <w:pPr>
        <w:rPr>
          <w:sz w:val="21"/>
          <w:szCs w:val="21"/>
        </w:rPr>
      </w:pPr>
      <w:r>
        <w:rPr>
          <w:rFonts w:hint="eastAsia"/>
          <w:sz w:val="21"/>
          <w:szCs w:val="21"/>
        </w:rPr>
        <w:t>支付的其他与筹资活动有关的现金说明：</w:t>
      </w:r>
    </w:p>
    <w:sdt>
      <w:sdtPr>
        <w:rPr>
          <w:rFonts w:hint="eastAsia"/>
          <w:sz w:val="21"/>
          <w:szCs w:val="21"/>
        </w:rPr>
        <w:alias w:val="支付的其他与筹资活动有关的现金说明"/>
        <w:tag w:val="_GBC_1701b304ff9b4fe296ba35640eccbe16"/>
        <w:id w:val="-1941058227"/>
        <w:placeholder>
          <w:docPart w:val="GBC22222222222222222222222222222"/>
        </w:placeholder>
      </w:sdtPr>
      <w:sdtEndPr/>
      <w:sdtContent>
        <w:p w:rsidR="004A3868" w:rsidRDefault="003F1AB5">
          <w:pPr>
            <w:rPr>
              <w:rFonts w:asciiTheme="minorHAnsi" w:hAnsiTheme="minorHAnsi" w:cstheme="minorBidi"/>
              <w:kern w:val="2"/>
              <w:sz w:val="21"/>
              <w:szCs w:val="21"/>
            </w:rPr>
          </w:pPr>
          <w:r>
            <w:rPr>
              <w:rFonts w:hint="eastAsia"/>
              <w:sz w:val="21"/>
              <w:szCs w:val="21"/>
            </w:rPr>
            <w:t>无</w:t>
          </w:r>
        </w:p>
      </w:sdtContent>
    </w:sdt>
    <w:p w:rsidR="004A3868" w:rsidRDefault="003F1AB5">
      <w:pPr>
        <w:rPr>
          <w:sz w:val="21"/>
          <w:szCs w:val="21"/>
        </w:rPr>
      </w:pPr>
      <w:r>
        <w:rPr>
          <w:rFonts w:hint="eastAsia"/>
          <w:sz w:val="21"/>
          <w:szCs w:val="21"/>
        </w:rPr>
        <w:t>筹资活动产生的各项负债变动情况</w:t>
      </w:r>
    </w:p>
    <w:sdt>
      <w:sdtPr>
        <w:alias w:val="是否适用：筹资活动产生的各项负债变动情况[双击切换]"/>
        <w:tag w:val="_GBC_6935418490e145edaf7010b5534b8d6c"/>
        <w:id w:val="200108180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100"/>
        </w:numPr>
      </w:pPr>
      <w:r>
        <w:rPr>
          <w:rFonts w:hint="eastAsia"/>
        </w:rPr>
        <w:t>以净额列报现金流量的说明</w:t>
      </w:r>
    </w:p>
    <w:sdt>
      <w:sdtPr>
        <w:alias w:val="是否适用：以净额列报现金流量的说明[双击切换]"/>
        <w:tag w:val="_GBC_3444590230dd455c82f347bceb8bbf05"/>
        <w:id w:val="-64065411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100"/>
        </w:numPr>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850764454"/>
        <w:lock w:val="sdtLocked"/>
        <w:placeholder>
          <w:docPart w:val="GBC22222222222222222222222222222"/>
        </w:placeholder>
      </w:sdtPr>
      <w:sdtEndPr/>
      <w:sdtContent>
        <w:p w:rsidR="004A3868" w:rsidRDefault="003F1AB5">
          <w:pPr>
            <w:rPr>
              <w:color w:val="00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711"/>
      </w:pPr>
      <w:r>
        <w:rPr>
          <w:rFonts w:hint="eastAsia"/>
        </w:rPr>
        <w:t>现金流量表</w:t>
      </w:r>
      <w:r>
        <w:rPr>
          <w:rFonts w:ascii="宋体" w:hAnsi="宋体" w:hint="eastAsia"/>
        </w:rPr>
        <w:t>补充</w:t>
      </w:r>
      <w:r>
        <w:rPr>
          <w:rFonts w:hint="eastAsia"/>
        </w:rPr>
        <w:t>资料</w:t>
      </w:r>
    </w:p>
    <w:p w:rsidR="004A3868" w:rsidRDefault="003F1AB5">
      <w:pPr>
        <w:pStyle w:val="Style128"/>
        <w:numPr>
          <w:ilvl w:val="0"/>
          <w:numId w:val="101"/>
        </w:numPr>
      </w:pPr>
      <w:r>
        <w:rPr>
          <w:rFonts w:hint="eastAsia"/>
        </w:rPr>
        <w:t>现金流量表补充资料</w:t>
      </w:r>
    </w:p>
    <w:sdt>
      <w:sdtPr>
        <w:rPr>
          <w:rFonts w:hint="eastAsia"/>
        </w:rPr>
        <w:alias w:val="是否适用：现金流量表补充资料[双击切换]"/>
        <w:tag w:val="_GBC_f77ea662869c431fa9c3cd98fccb529c"/>
        <w:id w:val="488842510"/>
        <w:placeholder>
          <w:docPart w:val="GBC22222222222222222222222222222"/>
        </w:placeholder>
      </w:sdtPr>
      <w:sdtEndPr/>
      <w:sdtContent>
        <w:p w:rsidR="004A3868" w:rsidRDefault="003F1AB5">
          <w:pPr>
            <w:pStyle w:val="Style124"/>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现金流量表补充资料"/>
          <w:tag w:val="_GBC_816fc4f2c97b4b12911114202247ee82"/>
          <w:id w:val="-6922255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386767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3395"/>
        <w:gridCol w:w="2730"/>
        <w:gridCol w:w="2698"/>
      </w:tblGrid>
      <w:tr w:rsidR="004A3868">
        <w:trPr>
          <w:trHeight w:val="397"/>
          <w:jc w:val="center"/>
        </w:trPr>
        <w:sdt>
          <w:sdtPr>
            <w:tag w:val="_PLD_39bfd38318b44efe9fa609ad19a8685a"/>
            <w:id w:val="178165387"/>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补充资料</w:t>
                </w:r>
              </w:p>
            </w:tc>
          </w:sdtContent>
        </w:sdt>
        <w:sdt>
          <w:sdtPr>
            <w:tag w:val="_PLD_8ef3863737f6403496cc160c411b0b03"/>
            <w:id w:val="-1154061819"/>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本期金额</w:t>
                </w:r>
              </w:p>
            </w:tc>
          </w:sdtContent>
        </w:sdt>
        <w:sdt>
          <w:sdtPr>
            <w:tag w:val="_PLD_73eb01f791e44a84b1edbc96aa42b3f3"/>
            <w:id w:val="-1982995055"/>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上期金额</w:t>
                </w:r>
              </w:p>
            </w:tc>
          </w:sdtContent>
        </w:sdt>
      </w:tr>
      <w:tr w:rsidR="004A3868">
        <w:trPr>
          <w:trHeight w:val="397"/>
          <w:jc w:val="center"/>
        </w:trPr>
        <w:sdt>
          <w:sdtPr>
            <w:rPr>
              <w:sz w:val="21"/>
              <w:szCs w:val="21"/>
            </w:rPr>
            <w:tag w:val="_PLD_c6db035658bd4a67bcf46ade47da315d"/>
            <w:id w:val="1770111393"/>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4A3868" w:rsidRDefault="003F1AB5">
                <w:pPr>
                  <w:rPr>
                    <w:sz w:val="21"/>
                    <w:szCs w:val="21"/>
                  </w:rPr>
                </w:pPr>
                <w:r>
                  <w:rPr>
                    <w:rStyle w:val="afffa"/>
                  </w:rPr>
                  <w:t>1</w:t>
                </w:r>
                <w:r>
                  <w:rPr>
                    <w:rStyle w:val="afffa"/>
                    <w:rFonts w:hint="eastAsia"/>
                  </w:rPr>
                  <w:t>．将净利润调节为经营活动现金流量：</w:t>
                </w:r>
              </w:p>
            </w:tc>
          </w:sdtContent>
        </w:sdt>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净利润</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232,018,083.40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293,607,949.55</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加：资产减值准备</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5,623,463.67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5,283,281.48</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信用减值损失</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20,766,547.31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24,648,975.40</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固定资产折旧、油气资产折耗、生产性生物资产折旧</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85,159,271.51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57,842,570.69</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使用权资产摊销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2,790,980.29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46,556.56</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无形资产摊销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2,367,862.78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2,019,549.63</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长期待摊费用摊销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1,061,163.09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306,910.65</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lastRenderedPageBreak/>
              <w:t>处置固定资产、无形资产和其他长期资产的损失（收益以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-1,347.71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25,448.65</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固定资产报废损失（收益以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758,737.94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1,260,729.73</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公允价值变动损失（收益以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4A3868">
            <w:pPr>
              <w:pStyle w:val="afff7"/>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-176,054.79</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财务费用（收益以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14,774,207.79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8,606,038.60</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投资损失（收益以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-404,051.81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-1,865,048.21</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递延所得税资产减少（增加以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-4,713,608.41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-6,702,830.53</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递延所得税负债增加（减少以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22,708,101.21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10,305,088.51</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存货的减少（增加以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-68,695,617.45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-173,803,030.00</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经营性应收项目的减少（增加以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-237,319,413.23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rPr>
                <w:b/>
              </w:rPr>
            </w:pPr>
            <w:r>
              <w:t>-121,086,973.23</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经营性应付项目的增加（减少以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208,378,458.05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rPr>
                <w:b/>
              </w:rPr>
            </w:pPr>
            <w:r>
              <w:t>100,236,044.37</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6,591,176.37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3,794,659.72</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经营活动产生的现金流量净额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291,864,014.80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204,349,866.78</w:t>
            </w:r>
          </w:p>
        </w:tc>
      </w:tr>
      <w:tr w:rsidR="004A3868">
        <w:trPr>
          <w:trHeight w:val="397"/>
          <w:jc w:val="center"/>
        </w:trPr>
        <w:sdt>
          <w:sdtPr>
            <w:tag w:val="_PLD_4b9bf22c7a64477db916821f6ee032d7"/>
            <w:id w:val="-1258129688"/>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4A3868" w:rsidRDefault="003F1AB5">
                <w:pPr>
                  <w:pStyle w:val="afff9"/>
                </w:pPr>
                <w:r>
                  <w:t>2</w:t>
                </w:r>
                <w:r>
                  <w:rPr>
                    <w:rFonts w:hint="eastAsia"/>
                  </w:rPr>
                  <w:t>．不涉及现金收支的重大投资和筹资活动：</w:t>
                </w:r>
              </w:p>
            </w:tc>
          </w:sdtContent>
        </w:sdt>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债务转为资本</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4A3868" w:rsidRDefault="004A3868">
            <w:pPr>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A3868" w:rsidRDefault="004A3868">
            <w:pPr>
              <w:rPr>
                <w:sz w:val="21"/>
                <w:szCs w:val="21"/>
              </w:rPr>
            </w:pP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一年内到期的可转换公司债券</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4A3868" w:rsidRDefault="004A3868">
            <w:pPr>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A3868" w:rsidRDefault="004A3868">
            <w:pPr>
              <w:rPr>
                <w:sz w:val="21"/>
                <w:szCs w:val="21"/>
              </w:rPr>
            </w:pP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融资租入固定资产</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4A3868" w:rsidRDefault="004A3868">
            <w:pPr>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A3868" w:rsidRDefault="004A3868">
            <w:pPr>
              <w:rPr>
                <w:sz w:val="21"/>
                <w:szCs w:val="21"/>
              </w:rPr>
            </w:pPr>
          </w:p>
        </w:tc>
      </w:tr>
      <w:tr w:rsidR="004A3868">
        <w:trPr>
          <w:trHeight w:val="397"/>
          <w:jc w:val="center"/>
        </w:trPr>
        <w:sdt>
          <w:sdtPr>
            <w:tag w:val="_PLD_b32f2ba3b4a94101978cc22144b58749"/>
            <w:id w:val="-63569910"/>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4A3868" w:rsidRDefault="003F1AB5">
                <w:pPr>
                  <w:pStyle w:val="afff9"/>
                </w:pPr>
                <w:r>
                  <w:t>3</w:t>
                </w:r>
                <w:r>
                  <w:rPr>
                    <w:rFonts w:hint="eastAsia"/>
                  </w:rPr>
                  <w:t>．现金及现金等价物净变动情况：</w:t>
                </w:r>
              </w:p>
            </w:tc>
          </w:sdtContent>
        </w:sdt>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现金的期末余额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1,226,642,655.20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pPr>
            <w:r>
              <w:t>880,322,286.19</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减：现金的期初余额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rPr>
                <w:bCs/>
              </w:rPr>
            </w:pPr>
            <w:r>
              <w:t>880,322,286.19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rPr>
                <w:bCs/>
              </w:rPr>
            </w:pPr>
            <w:r>
              <w:t>224,149,544.53</w:t>
            </w: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加：现金等价物的期末余额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4A3868">
            <w:pPr>
              <w:pStyle w:val="afff7"/>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4A3868">
            <w:pPr>
              <w:pStyle w:val="afff7"/>
            </w:pP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减：现金等价物的期初余额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4A3868">
            <w:pPr>
              <w:pStyle w:val="afff7"/>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4A3868">
            <w:pPr>
              <w:pStyle w:val="afff7"/>
            </w:pPr>
          </w:p>
        </w:tc>
      </w:tr>
      <w:tr w:rsidR="004A3868">
        <w:trPr>
          <w:trHeight w:val="397"/>
          <w:jc w:val="center"/>
        </w:trPr>
        <w:tc>
          <w:tcPr>
            <w:tcW w:w="192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现金及现金等价物净增加额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A3868" w:rsidRDefault="003F1AB5">
            <w:pPr>
              <w:pStyle w:val="afff7"/>
            </w:pPr>
            <w:r>
              <w:t>346,320,369.01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A3868" w:rsidRDefault="003F1AB5">
            <w:pPr>
              <w:pStyle w:val="afff7"/>
              <w:rPr>
                <w:bCs/>
              </w:rPr>
            </w:pPr>
            <w:r>
              <w:t>656,172,741.66</w:t>
            </w:r>
          </w:p>
        </w:tc>
      </w:tr>
    </w:tbl>
    <w:p w:rsidR="004A3868" w:rsidRDefault="004A3868">
      <w:pPr>
        <w:pStyle w:val="Style124"/>
      </w:pPr>
    </w:p>
    <w:p w:rsidR="004A3868" w:rsidRDefault="003F1AB5">
      <w:pPr>
        <w:pStyle w:val="Style128"/>
        <w:numPr>
          <w:ilvl w:val="0"/>
          <w:numId w:val="101"/>
        </w:numPr>
      </w:pPr>
      <w:r>
        <w:rPr>
          <w:rFonts w:hint="eastAsia"/>
        </w:rPr>
        <w:t>本期</w:t>
      </w:r>
      <w:r>
        <w:rPr>
          <w:rFonts w:ascii="宋体" w:hAnsi="宋体" w:cs="宋体" w:hint="eastAsia"/>
          <w:kern w:val="0"/>
        </w:rPr>
        <w:t>支付的</w:t>
      </w:r>
      <w:r>
        <w:rPr>
          <w:rFonts w:hint="eastAsia"/>
        </w:rPr>
        <w:t>取得子公司的现金净额</w:t>
      </w:r>
    </w:p>
    <w:p w:rsidR="004A3868" w:rsidRDefault="00B34370">
      <w:pPr>
        <w:pStyle w:val="Style124"/>
      </w:pPr>
      <w:sdt>
        <w:sdtPr>
          <w:alias w:val="是否适用：本期支付的取得子公司的现金净额[双击切换]"/>
          <w:tag w:val="_GBC_e15d87c710624e119515f4697cba951d"/>
          <w:id w:val="-974054006"/>
          <w:lock w:val="sdtLocked"/>
          <w:placeholder>
            <w:docPart w:val="GBC22222222222222222222222222222"/>
          </w:placeholder>
        </w:sdtPr>
        <w:sdtEndPr/>
        <w:sdtContent>
          <w:r w:rsidR="003F1AB5">
            <w:fldChar w:fldCharType="begin"/>
          </w:r>
          <w:r w:rsidR="003F1AB5">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Style128"/>
        <w:numPr>
          <w:ilvl w:val="0"/>
          <w:numId w:val="101"/>
        </w:numPr>
      </w:pPr>
      <w:r>
        <w:rPr>
          <w:rFonts w:ascii="宋体" w:hAnsi="宋体" w:cs="宋体" w:hint="eastAsia"/>
          <w:kern w:val="0"/>
          <w:szCs w:val="24"/>
        </w:rPr>
        <w:t>本期收到的</w:t>
      </w:r>
      <w:r>
        <w:rPr>
          <w:rFonts w:hint="eastAsia"/>
        </w:rPr>
        <w:t>处置子公司的现金净额</w:t>
      </w:r>
    </w:p>
    <w:p w:rsidR="004A3868" w:rsidRDefault="00B34370">
      <w:pPr>
        <w:pStyle w:val="Style124"/>
      </w:pPr>
      <w:sdt>
        <w:sdtPr>
          <w:alias w:val="是否适用：本期收到的处置子公司的现金净额[双击切换]"/>
          <w:tag w:val="_GBC_34f955c7fd1f404b9df6ccd09e080d38"/>
          <w:id w:val="-2132935697"/>
          <w:lock w:val="sdtLocked"/>
          <w:placeholder>
            <w:docPart w:val="GBC22222222222222222222222222222"/>
          </w:placeholder>
        </w:sdtPr>
        <w:sdtEndPr/>
        <w:sdtContent>
          <w:r w:rsidR="003F1AB5">
            <w:fldChar w:fldCharType="begin"/>
          </w:r>
          <w:r w:rsidR="003F1AB5">
            <w:instrText xml:space="preserve">MACROBUTTON  SnrToggleCheckbox □适用 </w:instrText>
          </w:r>
          <w:r w:rsidR="003F1AB5">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Style128"/>
        <w:numPr>
          <w:ilvl w:val="0"/>
          <w:numId w:val="101"/>
        </w:numPr>
      </w:pPr>
      <w:r>
        <w:rPr>
          <w:rFonts w:ascii="宋体" w:hAnsi="宋体" w:hint="eastAsia"/>
        </w:rPr>
        <w:t>现金</w:t>
      </w:r>
      <w:r>
        <w:rPr>
          <w:rFonts w:hint="eastAsia"/>
        </w:rPr>
        <w:t>和现金等价物的</w:t>
      </w:r>
      <w:r>
        <w:rPr>
          <w:rFonts w:ascii="宋体" w:eastAsia="宋体" w:hAnsi="宋体" w:cs="宋体" w:hint="eastAsia"/>
          <w:kern w:val="0"/>
          <w:szCs w:val="24"/>
        </w:rPr>
        <w:t>构成</w:t>
      </w:r>
    </w:p>
    <w:bookmarkStart w:id="245" w:name="_Hlk152667287" w:displacedByCustomXml="next"/>
    <w:sdt>
      <w:sdtPr>
        <w:alias w:val="是否适用：现金和现金等价物的构成[双击切换]"/>
        <w:tag w:val="_GBC_e0555d7e87b94189b1eb8131088a70ab"/>
        <w:id w:val="1915048813"/>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b/>
        </w:rPr>
      </w:pPr>
      <w:r>
        <w:rPr>
          <w:rFonts w:hint="eastAsia"/>
        </w:rPr>
        <w:t>单位：</w:t>
      </w:r>
      <w:sdt>
        <w:sdtPr>
          <w:rPr>
            <w:rFonts w:hint="eastAsia"/>
          </w:rPr>
          <w:alias w:val="单位：财务附注：现金和现金等价物的构成"/>
          <w:tag w:val="_GBC_1e304caf56fc443fa3c4a1d772d34293"/>
          <w:id w:val="-50050771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d3515d75fc184b1e9585a67f7cb04faa"/>
          <w:id w:val="-15253233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309"/>
        <w:gridCol w:w="2848"/>
        <w:gridCol w:w="2666"/>
      </w:tblGrid>
      <w:tr w:rsidR="004A3868">
        <w:trPr>
          <w:trHeight w:val="397"/>
          <w:jc w:val="center"/>
        </w:trPr>
        <w:sdt>
          <w:sdtPr>
            <w:tag w:val="_PLD_7ae145dd51fc48d4a76bb239061b0a6e"/>
            <w:id w:val="-403220340"/>
          </w:sdtPr>
          <w:sdtEndPr/>
          <w:sdtContent>
            <w:tc>
              <w:tcPr>
                <w:tcW w:w="1875" w:type="pct"/>
                <w:tcBorders>
                  <w:bottom w:val="single" w:sz="4" w:space="0" w:color="auto"/>
                </w:tcBorders>
                <w:shd w:val="clear" w:color="auto" w:fill="auto"/>
                <w:vAlign w:val="center"/>
              </w:tcPr>
              <w:p w:rsidR="004A3868" w:rsidRDefault="003F1AB5">
                <w:pPr>
                  <w:pStyle w:val="afffb"/>
                </w:pPr>
                <w:r>
                  <w:rPr>
                    <w:rFonts w:hint="eastAsia"/>
                  </w:rPr>
                  <w:t>项目</w:t>
                </w:r>
              </w:p>
            </w:tc>
          </w:sdtContent>
        </w:sdt>
        <w:sdt>
          <w:sdtPr>
            <w:tag w:val="_PLD_426ac24378064f8ab324e59db3ac5d98"/>
            <w:id w:val="1002399776"/>
          </w:sdtPr>
          <w:sdtEndPr/>
          <w:sdtContent>
            <w:tc>
              <w:tcPr>
                <w:tcW w:w="1614" w:type="pct"/>
                <w:shd w:val="clear" w:color="auto" w:fill="auto"/>
                <w:vAlign w:val="center"/>
              </w:tcPr>
              <w:p w:rsidR="004A3868" w:rsidRDefault="003F1AB5">
                <w:pPr>
                  <w:pStyle w:val="afffb"/>
                </w:pPr>
                <w:r>
                  <w:rPr>
                    <w:rFonts w:hint="eastAsia"/>
                  </w:rPr>
                  <w:t>期末余额</w:t>
                </w:r>
              </w:p>
            </w:tc>
          </w:sdtContent>
        </w:sdt>
        <w:sdt>
          <w:sdtPr>
            <w:tag w:val="_PLD_d8d41db246514c0dbfacfe0f48eeceac"/>
            <w:id w:val="-67030123"/>
          </w:sdtPr>
          <w:sdtEndPr/>
          <w:sdtContent>
            <w:tc>
              <w:tcPr>
                <w:tcW w:w="1511" w:type="pct"/>
                <w:shd w:val="clear" w:color="auto" w:fill="auto"/>
                <w:vAlign w:val="center"/>
              </w:tcPr>
              <w:p w:rsidR="004A3868" w:rsidRDefault="003F1AB5">
                <w:pPr>
                  <w:pStyle w:val="afffb"/>
                </w:pPr>
                <w:r>
                  <w:rPr>
                    <w:rFonts w:hint="eastAsia"/>
                  </w:rPr>
                  <w:t>期初余额</w:t>
                </w:r>
              </w:p>
            </w:tc>
          </w:sdtContent>
        </w:sdt>
      </w:tr>
      <w:tr w:rsidR="004A3868">
        <w:trPr>
          <w:trHeight w:val="397"/>
          <w:jc w:val="center"/>
        </w:trPr>
        <w:tc>
          <w:tcPr>
            <w:tcW w:w="1875" w:type="pct"/>
            <w:shd w:val="clear" w:color="auto" w:fill="auto"/>
            <w:vAlign w:val="center"/>
          </w:tcPr>
          <w:p w:rsidR="004A3868" w:rsidRDefault="003F1AB5">
            <w:pPr>
              <w:pStyle w:val="afff9"/>
            </w:pPr>
            <w:r>
              <w:rPr>
                <w:rFonts w:hint="eastAsia"/>
              </w:rPr>
              <w:t>一、现金</w:t>
            </w:r>
          </w:p>
        </w:tc>
        <w:tc>
          <w:tcPr>
            <w:tcW w:w="1614" w:type="pct"/>
            <w:shd w:val="clear" w:color="auto" w:fill="auto"/>
            <w:vAlign w:val="center"/>
          </w:tcPr>
          <w:p w:rsidR="004A3868" w:rsidRDefault="003F1AB5">
            <w:pPr>
              <w:pStyle w:val="afff7"/>
            </w:pPr>
            <w:r>
              <w:t>1,226,642,655.20</w:t>
            </w:r>
          </w:p>
        </w:tc>
        <w:tc>
          <w:tcPr>
            <w:tcW w:w="1511" w:type="pct"/>
            <w:shd w:val="clear" w:color="auto" w:fill="auto"/>
            <w:vAlign w:val="center"/>
          </w:tcPr>
          <w:p w:rsidR="004A3868" w:rsidRDefault="003F1AB5">
            <w:pPr>
              <w:pStyle w:val="afff7"/>
            </w:pPr>
            <w:r>
              <w:t>880,322,286.19</w:t>
            </w:r>
          </w:p>
        </w:tc>
      </w:tr>
      <w:tr w:rsidR="004A3868">
        <w:trPr>
          <w:trHeight w:val="397"/>
          <w:jc w:val="center"/>
        </w:trPr>
        <w:tc>
          <w:tcPr>
            <w:tcW w:w="1875" w:type="pct"/>
            <w:shd w:val="clear" w:color="auto" w:fill="auto"/>
            <w:vAlign w:val="center"/>
          </w:tcPr>
          <w:p w:rsidR="004A3868" w:rsidRDefault="003F1AB5">
            <w:pPr>
              <w:pStyle w:val="afff9"/>
            </w:pPr>
            <w:r>
              <w:rPr>
                <w:rFonts w:hint="eastAsia"/>
              </w:rPr>
              <w:t>其中：库存现金</w:t>
            </w:r>
          </w:p>
        </w:tc>
        <w:tc>
          <w:tcPr>
            <w:tcW w:w="1614" w:type="pct"/>
            <w:shd w:val="clear" w:color="auto" w:fill="auto"/>
            <w:vAlign w:val="center"/>
          </w:tcPr>
          <w:p w:rsidR="004A3868" w:rsidRDefault="003F1AB5">
            <w:pPr>
              <w:pStyle w:val="afff7"/>
            </w:pPr>
            <w:r>
              <w:t>64,324.30</w:t>
            </w:r>
          </w:p>
        </w:tc>
        <w:tc>
          <w:tcPr>
            <w:tcW w:w="1511" w:type="pct"/>
            <w:shd w:val="clear" w:color="auto" w:fill="auto"/>
            <w:vAlign w:val="center"/>
          </w:tcPr>
          <w:p w:rsidR="004A3868" w:rsidRDefault="003F1AB5">
            <w:pPr>
              <w:pStyle w:val="afff7"/>
            </w:pPr>
            <w:r>
              <w:t>37,973.20</w:t>
            </w:r>
          </w:p>
        </w:tc>
      </w:tr>
      <w:tr w:rsidR="004A3868">
        <w:trPr>
          <w:trHeight w:val="397"/>
          <w:jc w:val="center"/>
        </w:trPr>
        <w:tc>
          <w:tcPr>
            <w:tcW w:w="1875" w:type="pct"/>
            <w:shd w:val="clear" w:color="auto" w:fill="auto"/>
            <w:vAlign w:val="center"/>
          </w:tcPr>
          <w:p w:rsidR="004A3868" w:rsidRDefault="003F1AB5">
            <w:pPr>
              <w:pStyle w:val="afff9"/>
            </w:pPr>
            <w:r>
              <w:rPr>
                <w:rFonts w:hint="eastAsia"/>
              </w:rPr>
              <w:lastRenderedPageBreak/>
              <w:t xml:space="preserve">　　可随时用于支付的银行存款</w:t>
            </w:r>
          </w:p>
        </w:tc>
        <w:tc>
          <w:tcPr>
            <w:tcW w:w="1614" w:type="pct"/>
            <w:shd w:val="clear" w:color="auto" w:fill="auto"/>
            <w:vAlign w:val="center"/>
          </w:tcPr>
          <w:p w:rsidR="004A3868" w:rsidRDefault="003F1AB5">
            <w:pPr>
              <w:pStyle w:val="afff7"/>
            </w:pPr>
            <w:r>
              <w:t>1,226,578,330.90</w:t>
            </w:r>
          </w:p>
        </w:tc>
        <w:tc>
          <w:tcPr>
            <w:tcW w:w="1511" w:type="pct"/>
            <w:shd w:val="clear" w:color="auto" w:fill="auto"/>
            <w:vAlign w:val="center"/>
          </w:tcPr>
          <w:p w:rsidR="004A3868" w:rsidRDefault="003F1AB5">
            <w:pPr>
              <w:pStyle w:val="afff7"/>
            </w:pPr>
            <w:r>
              <w:t>880,284,312.99</w:t>
            </w:r>
          </w:p>
        </w:tc>
      </w:tr>
      <w:tr w:rsidR="004A3868">
        <w:trPr>
          <w:trHeight w:val="397"/>
          <w:jc w:val="center"/>
        </w:trPr>
        <w:tc>
          <w:tcPr>
            <w:tcW w:w="1875" w:type="pct"/>
            <w:shd w:val="clear" w:color="auto" w:fill="auto"/>
            <w:vAlign w:val="center"/>
          </w:tcPr>
          <w:p w:rsidR="004A3868" w:rsidRDefault="003F1AB5">
            <w:pPr>
              <w:pStyle w:val="afff9"/>
            </w:pPr>
            <w:r>
              <w:rPr>
                <w:rFonts w:hint="eastAsia"/>
              </w:rPr>
              <w:t>二、现金等价物</w:t>
            </w:r>
          </w:p>
        </w:tc>
        <w:tc>
          <w:tcPr>
            <w:tcW w:w="1614" w:type="pct"/>
            <w:shd w:val="clear" w:color="auto" w:fill="auto"/>
            <w:vAlign w:val="center"/>
          </w:tcPr>
          <w:p w:rsidR="004A3868" w:rsidRDefault="004A3868">
            <w:pPr>
              <w:pStyle w:val="afff7"/>
            </w:pPr>
          </w:p>
        </w:tc>
        <w:tc>
          <w:tcPr>
            <w:tcW w:w="1511" w:type="pct"/>
            <w:shd w:val="clear" w:color="auto" w:fill="auto"/>
            <w:vAlign w:val="center"/>
          </w:tcPr>
          <w:p w:rsidR="004A3868" w:rsidRDefault="004A3868">
            <w:pPr>
              <w:pStyle w:val="afff7"/>
            </w:pPr>
          </w:p>
        </w:tc>
      </w:tr>
      <w:tr w:rsidR="004A3868">
        <w:trPr>
          <w:trHeight w:val="397"/>
          <w:jc w:val="center"/>
        </w:trPr>
        <w:tc>
          <w:tcPr>
            <w:tcW w:w="1875" w:type="pct"/>
            <w:tcBorders>
              <w:bottom w:val="single" w:sz="4" w:space="0" w:color="auto"/>
            </w:tcBorders>
            <w:shd w:val="clear" w:color="auto" w:fill="auto"/>
            <w:vAlign w:val="center"/>
          </w:tcPr>
          <w:p w:rsidR="004A3868" w:rsidRDefault="003F1AB5">
            <w:pPr>
              <w:pStyle w:val="afff9"/>
            </w:pPr>
            <w:r>
              <w:rPr>
                <w:rFonts w:hint="eastAsia"/>
              </w:rPr>
              <w:t>其中：三个月内到期的债券投资</w:t>
            </w:r>
          </w:p>
        </w:tc>
        <w:tc>
          <w:tcPr>
            <w:tcW w:w="1614" w:type="pct"/>
            <w:tcBorders>
              <w:bottom w:val="single" w:sz="4" w:space="0" w:color="auto"/>
            </w:tcBorders>
            <w:shd w:val="clear" w:color="auto" w:fill="auto"/>
            <w:vAlign w:val="center"/>
          </w:tcPr>
          <w:p w:rsidR="004A3868" w:rsidRDefault="004A3868">
            <w:pPr>
              <w:pStyle w:val="afff7"/>
            </w:pPr>
          </w:p>
        </w:tc>
        <w:tc>
          <w:tcPr>
            <w:tcW w:w="1511" w:type="pct"/>
            <w:tcBorders>
              <w:bottom w:val="single" w:sz="4" w:space="0" w:color="auto"/>
            </w:tcBorders>
            <w:shd w:val="clear" w:color="auto" w:fill="auto"/>
            <w:vAlign w:val="center"/>
          </w:tcPr>
          <w:p w:rsidR="004A3868" w:rsidRDefault="004A3868">
            <w:pPr>
              <w:pStyle w:val="afff7"/>
            </w:pPr>
          </w:p>
        </w:tc>
      </w:tr>
      <w:tr w:rsidR="004A3868">
        <w:trPr>
          <w:trHeight w:val="397"/>
          <w:jc w:val="center"/>
        </w:trPr>
        <w:tc>
          <w:tcPr>
            <w:tcW w:w="1875" w:type="pct"/>
            <w:shd w:val="clear" w:color="auto" w:fill="auto"/>
            <w:vAlign w:val="center"/>
          </w:tcPr>
          <w:p w:rsidR="004A3868" w:rsidRDefault="003F1AB5">
            <w:pPr>
              <w:pStyle w:val="afff9"/>
            </w:pPr>
            <w:r>
              <w:rPr>
                <w:rFonts w:hint="eastAsia"/>
              </w:rPr>
              <w:t>三、期末现金及现金等价物余额</w:t>
            </w:r>
          </w:p>
        </w:tc>
        <w:tc>
          <w:tcPr>
            <w:tcW w:w="1614" w:type="pct"/>
            <w:shd w:val="clear" w:color="auto" w:fill="auto"/>
            <w:vAlign w:val="center"/>
          </w:tcPr>
          <w:p w:rsidR="004A3868" w:rsidRDefault="003F1AB5">
            <w:pPr>
              <w:pStyle w:val="afff7"/>
            </w:pPr>
            <w:r>
              <w:t>1,226,642,655.20</w:t>
            </w:r>
          </w:p>
        </w:tc>
        <w:tc>
          <w:tcPr>
            <w:tcW w:w="1511" w:type="pct"/>
            <w:shd w:val="clear" w:color="auto" w:fill="auto"/>
            <w:vAlign w:val="center"/>
          </w:tcPr>
          <w:p w:rsidR="004A3868" w:rsidRDefault="003F1AB5">
            <w:pPr>
              <w:pStyle w:val="afff7"/>
            </w:pPr>
            <w:r>
              <w:t>880,322,286.19</w:t>
            </w:r>
          </w:p>
        </w:tc>
      </w:tr>
      <w:tr w:rsidR="004A3868">
        <w:trPr>
          <w:trHeight w:val="397"/>
          <w:jc w:val="center"/>
        </w:trPr>
        <w:tc>
          <w:tcPr>
            <w:tcW w:w="1875" w:type="pct"/>
            <w:shd w:val="clear" w:color="auto" w:fill="auto"/>
            <w:vAlign w:val="center"/>
          </w:tcPr>
          <w:p w:rsidR="004A3868" w:rsidRDefault="003F1AB5">
            <w:pPr>
              <w:pStyle w:val="afff9"/>
            </w:pPr>
            <w:r>
              <w:rPr>
                <w:rFonts w:hint="eastAsia"/>
              </w:rPr>
              <w:t>其中：母公司或集团内子公司使用受限制的现金和现金等价物</w:t>
            </w:r>
          </w:p>
        </w:tc>
        <w:tc>
          <w:tcPr>
            <w:tcW w:w="1614" w:type="pct"/>
            <w:shd w:val="clear" w:color="auto" w:fill="auto"/>
            <w:vAlign w:val="center"/>
          </w:tcPr>
          <w:p w:rsidR="004A3868" w:rsidRDefault="004A3868">
            <w:pPr>
              <w:pStyle w:val="afff7"/>
            </w:pPr>
          </w:p>
        </w:tc>
        <w:tc>
          <w:tcPr>
            <w:tcW w:w="1511" w:type="pct"/>
            <w:shd w:val="clear" w:color="auto" w:fill="auto"/>
            <w:vAlign w:val="center"/>
          </w:tcPr>
          <w:p w:rsidR="004A3868" w:rsidRDefault="004A3868">
            <w:pPr>
              <w:pStyle w:val="afff7"/>
            </w:pPr>
          </w:p>
        </w:tc>
      </w:tr>
    </w:tbl>
    <w:p w:rsidR="004A3868" w:rsidRDefault="004A3868">
      <w:pPr>
        <w:rPr>
          <w:sz w:val="21"/>
          <w:szCs w:val="21"/>
        </w:rPr>
      </w:pPr>
    </w:p>
    <w:p w:rsidR="004A3868" w:rsidRDefault="003F1AB5">
      <w:pPr>
        <w:pStyle w:val="Style128"/>
        <w:numPr>
          <w:ilvl w:val="0"/>
          <w:numId w:val="101"/>
        </w:numPr>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971553073"/>
        <w:lock w:val="sdtLocked"/>
        <w:placeholder>
          <w:docPart w:val="GBC22222222222222222222222222222"/>
        </w:placeholder>
      </w:sdtPr>
      <w:sdtEndPr/>
      <w:sdtContent>
        <w:p w:rsidR="004A3868" w:rsidRDefault="003F1AB5">
          <w:pPr>
            <w:rPr>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8"/>
        <w:numPr>
          <w:ilvl w:val="0"/>
          <w:numId w:val="101"/>
        </w:numPr>
      </w:pPr>
      <w:r>
        <w:rPr>
          <w:rFonts w:hint="eastAsia"/>
        </w:rPr>
        <w:t>不属于现金及现金等价物的货币资金</w:t>
      </w:r>
    </w:p>
    <w:sdt>
      <w:sdtPr>
        <w:alias w:val="是否适用：不属于现金及现金等价物的货币资金[双击切换]"/>
        <w:tag w:val="_GBC_a99c932c933e4271bbb13783f71a0a6a"/>
        <w:id w:val="-384642540"/>
        <w:lock w:val="sdtLocked"/>
        <w:placeholder>
          <w:docPart w:val="GBC22222222222222222222222222222"/>
        </w:placeholder>
      </w:sdtPr>
      <w:sdtEndPr>
        <w:rPr>
          <w:sz w:val="21"/>
          <w:szCs w:val="21"/>
        </w:rPr>
      </w:sdtEndPr>
      <w:sdtContent>
        <w:p w:rsidR="004A3868" w:rsidRDefault="003F1AB5">
          <w:pPr>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rPr>
          <w:sz w:val="21"/>
          <w:szCs w:val="21"/>
        </w:rPr>
      </w:pPr>
      <w:r>
        <w:rPr>
          <w:rFonts w:hint="eastAsia"/>
          <w:sz w:val="21"/>
          <w:szCs w:val="21"/>
        </w:rPr>
        <w:t>其他说明：</w:t>
      </w:r>
    </w:p>
    <w:sdt>
      <w:sdtPr>
        <w:rPr>
          <w:sz w:val="21"/>
          <w:szCs w:val="21"/>
        </w:rPr>
        <w:alias w:val="是否适用：现金流量表补充资料的说明[双击切换]"/>
        <w:tag w:val="_GBC_73894bf4981b4beaae2551b205a2e7cc"/>
        <w:id w:val="-1787966517"/>
        <w:lock w:val="sdtLocked"/>
        <w:placeholder>
          <w:docPart w:val="GBC22222222222222222222222222222"/>
        </w:placeholder>
      </w:sdtPr>
      <w:sdtEndPr/>
      <w:sdtContent>
        <w:p w:rsidR="004A3868" w:rsidRDefault="003F1AB5">
          <w:pPr>
            <w:rPr>
              <w:sz w:val="21"/>
              <w:szCs w:val="21"/>
            </w:rPr>
          </w:pPr>
          <w:r>
            <w:rPr>
              <w:sz w:val="21"/>
              <w:szCs w:val="21"/>
            </w:rPr>
            <w:fldChar w:fldCharType="begin"/>
          </w:r>
          <w:r>
            <w:rPr>
              <w:sz w:val="21"/>
              <w:szCs w:val="21"/>
            </w:rPr>
            <w:instrText xml:space="preserve">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rsidR="004A3868" w:rsidRDefault="003F1AB5">
      <w:pPr>
        <w:pStyle w:val="Style12711"/>
      </w:pPr>
      <w:r>
        <w:rPr>
          <w:rFonts w:hint="eastAsia"/>
        </w:rPr>
        <w:t>所有者权益变动表项目注释</w:t>
      </w:r>
    </w:p>
    <w:p w:rsidR="004A3868" w:rsidRDefault="003F1AB5">
      <w:pPr>
        <w:pStyle w:val="Style124"/>
      </w:pPr>
      <w:r>
        <w:rPr>
          <w:rFonts w:hint="eastAsia"/>
        </w:rPr>
        <w:t>说明对上年期末余额进行调整的“其他”项目名称及调整金额等事项：</w:t>
      </w:r>
    </w:p>
    <w:bookmarkEnd w:id="245" w:displacedByCustomXml="next"/>
    <w:sdt>
      <w:sdtPr>
        <w:alias w:val="是否适用：所有者权益变动表项目注释[双击切换]"/>
        <w:tag w:val="_GBC_fca039532a374a3e9daa81c75d491b1f"/>
        <w:id w:val="-1788424768"/>
        <w:lock w:val="sdtLocked"/>
        <w:placeholder>
          <w:docPart w:val="GBC22222222222222222222222222222"/>
        </w:placeholder>
      </w:sdtPr>
      <w:sdtEndPr/>
      <w:sdtContent>
        <w:p w:rsidR="004A3868" w:rsidRDefault="003F1AB5">
          <w:pPr>
            <w:rPr>
              <w:color w:val="FF00FF"/>
              <w:szCs w:val="21"/>
            </w:rPr>
          </w:pPr>
          <w:r>
            <w:rPr>
              <w:sz w:val="18"/>
              <w:szCs w:val="18"/>
            </w:rPr>
            <w:fldChar w:fldCharType="begin"/>
          </w:r>
          <w:r>
            <w:rPr>
              <w:sz w:val="18"/>
              <w:szCs w:val="18"/>
            </w:rPr>
            <w:instrText xml:space="preserve">MACROBUTTON  SnrToggleCheckbox □适用 </w:instrText>
          </w:r>
          <w:r>
            <w:rPr>
              <w:sz w:val="18"/>
              <w:szCs w:val="18"/>
            </w:rPr>
            <w:fldChar w:fldCharType="end"/>
          </w:r>
          <w:r>
            <w:rPr>
              <w:sz w:val="18"/>
              <w:szCs w:val="18"/>
            </w:rPr>
            <w:fldChar w:fldCharType="begin"/>
          </w:r>
          <w:r>
            <w:rPr>
              <w:sz w:val="18"/>
              <w:szCs w:val="18"/>
            </w:rPr>
            <w:instrText xml:space="preserve"> MACROBUTTON  SnrToggleCheckbox √不适用 </w:instrText>
          </w:r>
          <w:r>
            <w:rPr>
              <w:sz w:val="18"/>
              <w:szCs w:val="18"/>
            </w:rPr>
            <w:fldChar w:fldCharType="end"/>
          </w:r>
        </w:p>
      </w:sdtContent>
    </w:sdt>
    <w:p w:rsidR="004A3868" w:rsidRDefault="003F1AB5">
      <w:pPr>
        <w:pStyle w:val="Style12711"/>
      </w:pPr>
      <w:r>
        <w:rPr>
          <w:rFonts w:hint="eastAsia"/>
        </w:rPr>
        <w:t>外币货币性项目</w:t>
      </w:r>
    </w:p>
    <w:p w:rsidR="004A3868" w:rsidRDefault="003F1AB5">
      <w:pPr>
        <w:pStyle w:val="Style128"/>
        <w:numPr>
          <w:ilvl w:val="0"/>
          <w:numId w:val="102"/>
        </w:numPr>
      </w:pPr>
      <w:r>
        <w:rPr>
          <w:rStyle w:val="Style137"/>
          <w:rFonts w:ascii="宋体" w:hAnsi="宋体" w:hint="eastAsia"/>
          <w:b/>
          <w:szCs w:val="21"/>
        </w:rPr>
        <w:t>外币货币性项目</w:t>
      </w:r>
    </w:p>
    <w:sdt>
      <w:sdtPr>
        <w:alias w:val="是否适用：外币货币性项目[双击切换]"/>
        <w:tag w:val="_GBC_6b0f646811a94c228ba6be3453047191"/>
        <w:id w:val="-1781415187"/>
        <w:placeholder>
          <w:docPart w:val="GBC22222222222222222222222222222"/>
        </w:placeholder>
      </w:sdtPr>
      <w:sdtEndPr/>
      <w:sdtContent>
        <w:p w:rsidR="004A3868" w:rsidRDefault="003F1AB5">
          <w:pPr>
            <w:pStyle w:val="Style12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pPr>
      <w:r>
        <w:rPr>
          <w:rFonts w:hint="eastAsia"/>
        </w:rPr>
        <w:t>单位：</w:t>
      </w:r>
      <w:sdt>
        <w:sdtPr>
          <w:rPr>
            <w:rFonts w:hint="eastAsia"/>
          </w:rPr>
          <w:alias w:val="单位：财务附注：外币货币性项目"/>
          <w:tag w:val="_GBC_43871b6586c8428c8da522abb267c528"/>
          <w:id w:val="17677289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p>
    <w:tbl>
      <w:tblPr>
        <w:tblStyle w:val="g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25"/>
        <w:gridCol w:w="1998"/>
        <w:gridCol w:w="2006"/>
        <w:gridCol w:w="1994"/>
      </w:tblGrid>
      <w:tr w:rsidR="004A3868">
        <w:trPr>
          <w:trHeight w:val="397"/>
          <w:jc w:val="center"/>
        </w:trPr>
        <w:sdt>
          <w:sdtPr>
            <w:tag w:val="_PLD_a5c3516dfa974dea983fcf6d3a5e4272"/>
            <w:id w:val="-1822499939"/>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c677b8fd217342e7b28e98a1c8e497e9"/>
            <w:id w:val="-2038039009"/>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期末外币余额</w:t>
                </w:r>
              </w:p>
            </w:tc>
          </w:sdtContent>
        </w:sdt>
        <w:sdt>
          <w:sdtPr>
            <w:tag w:val="_PLD_e0e88022a2754ae991eb4bb1a9caae4f"/>
            <w:id w:val="1225251593"/>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折算汇率</w:t>
                </w:r>
              </w:p>
            </w:tc>
          </w:sdtContent>
        </w:sdt>
        <w:sdt>
          <w:sdtPr>
            <w:tag w:val="_PLD_a1542d7b69a444ef9e91ceaf4a96f49d"/>
            <w:id w:val="1376279474"/>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期末折算人民币</w:t>
                </w:r>
              </w:p>
              <w:p w:rsidR="004A3868" w:rsidRDefault="003F1AB5">
                <w:pPr>
                  <w:pStyle w:val="afffb"/>
                </w:pPr>
                <w:r>
                  <w:rPr>
                    <w:rFonts w:hint="eastAsia"/>
                  </w:rPr>
                  <w:t>余额</w:t>
                </w:r>
              </w:p>
            </w:tc>
          </w:sdtContent>
        </w:sdt>
      </w:tr>
      <w:tr w:rsidR="004A3868">
        <w:trPr>
          <w:trHeight w:val="397"/>
          <w:jc w:val="center"/>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rPr>
                <w:sz w:val="21"/>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21"/>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A3868" w:rsidRDefault="004A3868">
            <w:pPr>
              <w:rPr>
                <w:sz w:val="21"/>
                <w:szCs w:val="21"/>
              </w:rPr>
            </w:pPr>
          </w:p>
        </w:tc>
      </w:tr>
      <w:tr w:rsidR="004A3868">
        <w:trPr>
          <w:trHeight w:val="397"/>
          <w:jc w:val="center"/>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其中：</w:t>
            </w:r>
            <w:sdt>
              <w:sdtPr>
                <w:alias w:val="以外币核算的币种明细-币种名称"/>
                <w:tag w:val="_GBC_b9ad493c07994625bf872e807197c998"/>
                <w:id w:val="-829519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2,606,682.57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7.08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18,462,350.64</w:t>
            </w:r>
          </w:p>
        </w:tc>
      </w:tr>
      <w:tr w:rsidR="004A3868">
        <w:trPr>
          <w:trHeight w:val="397"/>
          <w:jc w:val="center"/>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r>
      <w:tr w:rsidR="004A3868">
        <w:trPr>
          <w:trHeight w:val="397"/>
          <w:jc w:val="center"/>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其中：</w:t>
            </w:r>
            <w:sdt>
              <w:sdtPr>
                <w:alias w:val="以外币核算的币种明细-币种名称"/>
                <w:tag w:val="_GBC_b9ad493c07994625bf872e807197c998"/>
                <w:id w:val="-210024960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5,129,805.34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7.08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36,332,872.27</w:t>
            </w:r>
          </w:p>
        </w:tc>
      </w:tr>
      <w:tr w:rsidR="004A3868">
        <w:trPr>
          <w:trHeight w:val="397"/>
          <w:jc w:val="center"/>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r>
      <w:tr w:rsidR="004A3868">
        <w:trPr>
          <w:trHeight w:val="397"/>
          <w:jc w:val="center"/>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其中：</w:t>
            </w:r>
            <w:sdt>
              <w:sdtPr>
                <w:alias w:val="以外币核算的币种明细-币种名称"/>
                <w:tag w:val="_GBC_b9ad493c07994625bf872e807197c998"/>
                <w:id w:val="107308561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105,249.00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7.08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745,447.09</w:t>
            </w:r>
          </w:p>
        </w:tc>
      </w:tr>
      <w:tr w:rsidR="004A3868">
        <w:trPr>
          <w:trHeight w:val="397"/>
          <w:jc w:val="center"/>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 xml:space="preserve">　　　</w:t>
            </w:r>
            <w:sdt>
              <w:sdtPr>
                <w:alias w:val="以外币核算的币种明细-币种名称"/>
                <w:tag w:val="_GBC_b9ad493c07994625bf872e807197c998"/>
                <w:id w:val="153546695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552,800.00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7.86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4,344,565.76</w:t>
            </w:r>
          </w:p>
        </w:tc>
      </w:tr>
    </w:tbl>
    <w:p w:rsidR="004A3868" w:rsidRDefault="003F1AB5">
      <w:pPr>
        <w:rPr>
          <w:sz w:val="21"/>
          <w:szCs w:val="21"/>
        </w:rPr>
      </w:pPr>
      <w:r>
        <w:rPr>
          <w:rFonts w:hint="eastAsia"/>
          <w:sz w:val="21"/>
          <w:szCs w:val="21"/>
        </w:rPr>
        <w:t>其他说明：</w:t>
      </w:r>
    </w:p>
    <w:sdt>
      <w:sdtPr>
        <w:rPr>
          <w:sz w:val="21"/>
          <w:szCs w:val="21"/>
        </w:rPr>
        <w:alias w:val="外币货币性项目的其他说明"/>
        <w:tag w:val="_GBC_293dd519b8b44c699246ad508c51bbfd"/>
        <w:id w:val="-57860181"/>
        <w:placeholder>
          <w:docPart w:val="GBC22222222222222222222222222222"/>
        </w:placeholder>
      </w:sdtPr>
      <w:sdtEndPr/>
      <w:sdtContent>
        <w:p w:rsidR="004A3868" w:rsidRDefault="003F1AB5">
          <w:pPr>
            <w:rPr>
              <w:sz w:val="21"/>
              <w:szCs w:val="21"/>
            </w:rPr>
          </w:pPr>
          <w:r>
            <w:rPr>
              <w:rFonts w:hint="eastAsia"/>
              <w:sz w:val="21"/>
              <w:szCs w:val="21"/>
            </w:rPr>
            <w:t>无</w:t>
          </w:r>
        </w:p>
      </w:sdtContent>
    </w:sdt>
    <w:p w:rsidR="004A3868" w:rsidRDefault="003F1AB5">
      <w:pPr>
        <w:pStyle w:val="Style128"/>
        <w:numPr>
          <w:ilvl w:val="0"/>
          <w:numId w:val="102"/>
        </w:numPr>
      </w:pPr>
      <w:r>
        <w:rPr>
          <w:rStyle w:val="Style137"/>
          <w:rFonts w:ascii="宋体" w:hAnsi="宋体" w:hint="eastAsia"/>
          <w:b/>
          <w:szCs w:val="21"/>
        </w:rPr>
        <w:t>境外</w:t>
      </w:r>
      <w:r>
        <w:rPr>
          <w:rFonts w:hint="eastAsia"/>
        </w:rPr>
        <w:t>经营实体说明，包括对于重要的境外经营实体，应披露其境外主要经营地、记账本位币及选择依据，记账本位币发生变化的还应披露原因</w:t>
      </w:r>
    </w:p>
    <w:p w:rsidR="004A3868" w:rsidRDefault="00B34370">
      <w:pPr>
        <w:pStyle w:val="Style842"/>
      </w:pPr>
      <w:sdt>
        <w:sdtPr>
          <w:alias w:val="是否适用：境外经营实体主要报表项目的折算汇率[双击切换]"/>
          <w:tag w:val="_GBC_c433d39e245c4fb79cd5170717bb5b9c"/>
          <w:id w:val="832116039"/>
          <w:lock w:val="sdtLocked"/>
          <w:placeholder>
            <w:docPart w:val="GBC22222222222222222222222222222"/>
          </w:placeholder>
        </w:sdtPr>
        <w:sdtEndPr/>
        <w:sdtContent>
          <w:r w:rsidR="003F1AB5">
            <w:rPr>
              <w:sz w:val="21"/>
              <w:szCs w:val="21"/>
            </w:rPr>
            <w:fldChar w:fldCharType="begin"/>
          </w:r>
          <w:r w:rsidR="003F1AB5">
            <w:rPr>
              <w:sz w:val="21"/>
              <w:szCs w:val="21"/>
            </w:rPr>
            <w:instrText xml:space="preserve">MACROBUTTON  SnrToggleCheckbox □适用 </w:instrText>
          </w:r>
          <w:r w:rsidR="003F1AB5">
            <w:rPr>
              <w:sz w:val="21"/>
              <w:szCs w:val="21"/>
            </w:rPr>
            <w:fldChar w:fldCharType="end"/>
          </w:r>
          <w:r w:rsidR="003F1AB5">
            <w:fldChar w:fldCharType="begin"/>
          </w:r>
          <w:r w:rsidR="003F1AB5">
            <w:instrText xml:space="preserve"> MACROBUTTON  SnrToggleCheckbox √不适用 </w:instrText>
          </w:r>
          <w:r w:rsidR="003F1AB5">
            <w:fldChar w:fldCharType="end"/>
          </w:r>
        </w:sdtContent>
      </w:sdt>
    </w:p>
    <w:p w:rsidR="004A3868" w:rsidRDefault="003F1AB5">
      <w:pPr>
        <w:pStyle w:val="Style12711"/>
      </w:pPr>
      <w:r>
        <w:rPr>
          <w:rFonts w:hint="eastAsia"/>
        </w:rPr>
        <w:t>租赁</w:t>
      </w:r>
    </w:p>
    <w:p w:rsidR="004A3868" w:rsidRDefault="003F1AB5">
      <w:pPr>
        <w:pStyle w:val="Style128"/>
        <w:numPr>
          <w:ilvl w:val="0"/>
          <w:numId w:val="103"/>
        </w:numPr>
      </w:pPr>
      <w:r>
        <w:t>作为承租人</w:t>
      </w:r>
    </w:p>
    <w:sdt>
      <w:sdtPr>
        <w:alias w:val="是否适用：作为承租人[双击切换]"/>
        <w:tag w:val="_GBC_fe311ebf6010457c8817199183148161"/>
        <w:id w:val="-1995945612"/>
        <w:lock w:val="sdtConten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0"/>
        <w:tblW w:w="5000" w:type="pct"/>
        <w:jc w:val="center"/>
        <w:tblLayout w:type="fixed"/>
        <w:tblCellMar>
          <w:left w:w="0" w:type="dxa"/>
          <w:right w:w="28" w:type="dxa"/>
        </w:tblCellMar>
        <w:tblLook w:val="04A0" w:firstRow="1" w:lastRow="0" w:firstColumn="1" w:lastColumn="0" w:noHBand="0" w:noVBand="1"/>
      </w:tblPr>
      <w:tblGrid>
        <w:gridCol w:w="2941"/>
        <w:gridCol w:w="2941"/>
        <w:gridCol w:w="2941"/>
      </w:tblGrid>
      <w:tr w:rsidR="004A3868">
        <w:trPr>
          <w:trHeight w:val="397"/>
          <w:jc w:val="center"/>
        </w:trPr>
        <w:tc>
          <w:tcPr>
            <w:tcW w:w="2941" w:type="dxa"/>
            <w:vAlign w:val="center"/>
          </w:tcPr>
          <w:p w:rsidR="004A3868" w:rsidRDefault="003F1AB5">
            <w:pPr>
              <w:pStyle w:val="afffb"/>
            </w:pPr>
            <w:r>
              <w:rPr>
                <w:rFonts w:hint="eastAsia"/>
              </w:rPr>
              <w:t>项目</w:t>
            </w:r>
          </w:p>
        </w:tc>
        <w:tc>
          <w:tcPr>
            <w:tcW w:w="2941" w:type="dxa"/>
            <w:vAlign w:val="center"/>
          </w:tcPr>
          <w:p w:rsidR="004A3868" w:rsidRDefault="003F1AB5">
            <w:pPr>
              <w:pStyle w:val="afffb"/>
            </w:pPr>
            <w:r>
              <w:rPr>
                <w:rFonts w:hint="eastAsia"/>
              </w:rPr>
              <w:t>本期发生额</w:t>
            </w:r>
          </w:p>
        </w:tc>
        <w:tc>
          <w:tcPr>
            <w:tcW w:w="2941" w:type="dxa"/>
            <w:vAlign w:val="center"/>
          </w:tcPr>
          <w:p w:rsidR="004A3868" w:rsidRDefault="003F1AB5">
            <w:pPr>
              <w:pStyle w:val="afffb"/>
            </w:pPr>
            <w:r>
              <w:rPr>
                <w:rFonts w:hint="eastAsia"/>
              </w:rPr>
              <w:t>上期发生额</w:t>
            </w:r>
          </w:p>
        </w:tc>
      </w:tr>
      <w:tr w:rsidR="004A3868">
        <w:trPr>
          <w:trHeight w:val="397"/>
          <w:jc w:val="center"/>
        </w:trPr>
        <w:tc>
          <w:tcPr>
            <w:tcW w:w="2941" w:type="dxa"/>
            <w:vAlign w:val="center"/>
          </w:tcPr>
          <w:p w:rsidR="004A3868" w:rsidRDefault="003F1AB5">
            <w:pPr>
              <w:pStyle w:val="afff9"/>
            </w:pPr>
            <w:r>
              <w:rPr>
                <w:rFonts w:hint="eastAsia"/>
              </w:rPr>
              <w:lastRenderedPageBreak/>
              <w:t>租赁负债的利息</w:t>
            </w:r>
          </w:p>
        </w:tc>
        <w:tc>
          <w:tcPr>
            <w:tcW w:w="2941" w:type="dxa"/>
            <w:vAlign w:val="center"/>
          </w:tcPr>
          <w:p w:rsidR="004A3868" w:rsidRDefault="003F1AB5">
            <w:pPr>
              <w:pStyle w:val="afff7"/>
            </w:pPr>
            <w:r>
              <w:t>296,598.93</w:t>
            </w:r>
          </w:p>
        </w:tc>
        <w:tc>
          <w:tcPr>
            <w:tcW w:w="2941" w:type="dxa"/>
            <w:vAlign w:val="center"/>
          </w:tcPr>
          <w:p w:rsidR="004A3868" w:rsidRDefault="003F1AB5">
            <w:pPr>
              <w:pStyle w:val="afff7"/>
            </w:pPr>
            <w:r>
              <w:t>6,634.31</w:t>
            </w:r>
          </w:p>
        </w:tc>
      </w:tr>
    </w:tbl>
    <w:p w:rsidR="004A3868" w:rsidRDefault="003F1AB5">
      <w:pPr>
        <w:pStyle w:val="Style124"/>
      </w:pPr>
      <w:r>
        <w:rPr>
          <w:rFonts w:hint="eastAsia"/>
        </w:rPr>
        <w:t>未纳入租赁负债计量的可变租赁付款额</w:t>
      </w:r>
    </w:p>
    <w:sdt>
      <w:sdtPr>
        <w:alias w:val="是否适用：未纳入租赁负债计量的可变租赁付款额[双击切换]"/>
        <w:tag w:val="_GBC_80d6a089e2ee407391cb1582a957568e"/>
        <w:id w:val="1207382851"/>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简化处理的短期租赁或低价值资产的租赁费用</w:t>
      </w:r>
    </w:p>
    <w:sdt>
      <w:sdtPr>
        <w:alias w:val="是否适用：简化处理的短期租赁或低价值资产的租赁费用[双击切换]"/>
        <w:tag w:val="_GBC_9750a0f7bb7b4d4eb353b64f9aef7ed1"/>
        <w:id w:val="-353030089"/>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简化处理的短期租赁或低价值资产的租赁费用"/>
        <w:tag w:val="_GBC_3b8234b2706245babde4cf12e0a046e4"/>
        <w:id w:val="349762706"/>
        <w:lock w:val="sdtLocked"/>
        <w:placeholder>
          <w:docPart w:val="5D45A576BD8E4B0985A9045B005EE7C8"/>
        </w:placeholder>
      </w:sdtPr>
      <w:sdtEndPr/>
      <w:sdtContent>
        <w:p w:rsidR="004A3868" w:rsidRDefault="004A3868"/>
        <w:tbl>
          <w:tblPr>
            <w:tblStyle w:val="aff5"/>
            <w:tblW w:w="0" w:type="auto"/>
            <w:tblLook w:val="04A0" w:firstRow="1" w:lastRow="0" w:firstColumn="1" w:lastColumn="0" w:noHBand="0" w:noVBand="1"/>
          </w:tblPr>
          <w:tblGrid>
            <w:gridCol w:w="2941"/>
            <w:gridCol w:w="2941"/>
            <w:gridCol w:w="2941"/>
          </w:tblGrid>
          <w:tr w:rsidR="004A3868">
            <w:tc>
              <w:tcPr>
                <w:tcW w:w="2941" w:type="dxa"/>
                <w:vAlign w:val="center"/>
              </w:tcPr>
              <w:p w:rsidR="004A3868" w:rsidRDefault="003F1AB5">
                <w:pPr>
                  <w:jc w:val="center"/>
                </w:pPr>
                <w:r>
                  <w:t>项目</w:t>
                </w:r>
              </w:p>
            </w:tc>
            <w:tc>
              <w:tcPr>
                <w:tcW w:w="2941" w:type="dxa"/>
                <w:vAlign w:val="center"/>
              </w:tcPr>
              <w:p w:rsidR="004A3868" w:rsidRDefault="003F1AB5">
                <w:pPr>
                  <w:jc w:val="center"/>
                </w:pPr>
                <w:r>
                  <w:t>本期发生额</w:t>
                </w:r>
              </w:p>
            </w:tc>
            <w:tc>
              <w:tcPr>
                <w:tcW w:w="2941" w:type="dxa"/>
                <w:vAlign w:val="center"/>
              </w:tcPr>
              <w:p w:rsidR="004A3868" w:rsidRDefault="003F1AB5">
                <w:pPr>
                  <w:jc w:val="center"/>
                </w:pPr>
                <w:r>
                  <w:t>上期发生额</w:t>
                </w:r>
              </w:p>
            </w:tc>
          </w:tr>
          <w:tr w:rsidR="004A3868">
            <w:tc>
              <w:tcPr>
                <w:tcW w:w="2941" w:type="dxa"/>
              </w:tcPr>
              <w:p w:rsidR="004A3868" w:rsidRDefault="003F1AB5">
                <w:r>
                  <w:t>短期租赁费用</w:t>
                </w:r>
              </w:p>
            </w:tc>
            <w:tc>
              <w:tcPr>
                <w:tcW w:w="2941" w:type="dxa"/>
              </w:tcPr>
              <w:p w:rsidR="004A3868" w:rsidRDefault="003F1AB5">
                <w:r>
                  <w:t>576,615.65</w:t>
                </w:r>
              </w:p>
            </w:tc>
            <w:tc>
              <w:tcPr>
                <w:tcW w:w="2941" w:type="dxa"/>
              </w:tcPr>
              <w:p w:rsidR="004A3868" w:rsidRDefault="003F1AB5">
                <w:r>
                  <w:t>597,499.22</w:t>
                </w:r>
              </w:p>
            </w:tc>
          </w:tr>
        </w:tbl>
        <w:p w:rsidR="004A3868" w:rsidRDefault="00B34370"/>
      </w:sdtContent>
    </w:sdt>
    <w:p w:rsidR="004A3868" w:rsidRDefault="003F1AB5">
      <w:pPr>
        <w:pStyle w:val="Style124"/>
      </w:pPr>
      <w:r>
        <w:rPr>
          <w:rFonts w:hint="eastAsia"/>
        </w:rPr>
        <w:t>售后租回交易及判断依据</w:t>
      </w:r>
    </w:p>
    <w:sdt>
      <w:sdtPr>
        <w:alias w:val="是否适用：售后租回交易及判断依据[双击切换]"/>
        <w:tag w:val="_GBC_a5dfb8e554434d8eb3f4c59e01e27ea4"/>
        <w:id w:val="20544904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与租赁相关的现金流出总额</w:t>
      </w:r>
      <w:sdt>
        <w:sdtPr>
          <w:rPr>
            <w:rFonts w:hint="eastAsia"/>
          </w:rPr>
          <w:alias w:val="与租赁相关的现金流出总额"/>
          <w:tag w:val="_GBC_c17023cf7ca74e9a8636a8f592034a57"/>
          <w:id w:val="-1351938045"/>
          <w:lock w:val="sdtLocked"/>
          <w:placeholder>
            <w:docPart w:val="GBC22222222222222222222222222222"/>
          </w:placeholder>
        </w:sdtPr>
        <w:sdtEndPr/>
        <w:sdtContent>
          <w:r>
            <w:t>1,356,362.61</w:t>
          </w:r>
        </w:sdtContent>
      </w:sdt>
      <w:r>
        <w:rPr>
          <w:rFonts w:hint="eastAsia"/>
        </w:rPr>
        <w:t>(单位：</w:t>
      </w:r>
      <w:sdt>
        <w:sdtPr>
          <w:rPr>
            <w:rFonts w:hint="eastAsia"/>
          </w:rPr>
          <w:alias w:val="单位：与租赁相关的现金流出总额"/>
          <w:tag w:val="_GBC_958c18bfb6e24086971643691eba660d"/>
          <w:id w:val="-17473372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2126496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w:t>
      </w:r>
    </w:p>
    <w:p w:rsidR="004A3868" w:rsidRDefault="003F1AB5">
      <w:pPr>
        <w:pStyle w:val="Style128"/>
        <w:numPr>
          <w:ilvl w:val="0"/>
          <w:numId w:val="103"/>
        </w:numPr>
      </w:pPr>
      <w:r>
        <w:t>作为出租人</w:t>
      </w:r>
    </w:p>
    <w:p w:rsidR="004A3868" w:rsidRDefault="003F1AB5">
      <w:pPr>
        <w:pStyle w:val="Style124"/>
      </w:pPr>
      <w:r>
        <w:t>作为出租人的经营</w:t>
      </w:r>
      <w:r>
        <w:rPr>
          <w:rFonts w:hint="eastAsia"/>
        </w:rPr>
        <w:t>租赁</w:t>
      </w:r>
    </w:p>
    <w:sdt>
      <w:sdtPr>
        <w:rPr>
          <w:rFonts w:hint="eastAsia"/>
        </w:rPr>
        <w:alias w:val="是否适用：作为出租人的经营租赁[双击切换]"/>
        <w:tag w:val="_GBC_d5cd3a4b291f4a089f0080385207b552"/>
        <w:id w:val="-794981946"/>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作为出租人的经营租赁"/>
          <w:tag w:val="_GBC_33154e0a2b6b4de1ba1d9ac25d94b964"/>
          <w:id w:val="-599339584"/>
          <w:lock w:val="sdtLocked"/>
          <w:placeholder>
            <w:docPart w:val="1DD372FB3B2347C283C198977DB684AA"/>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作为出租人的经营租赁"/>
          <w:tag w:val="_GBC_74d27fbc036640eebacb9f62324bdfd2"/>
          <w:id w:val="-1639413701"/>
          <w:lock w:val="sdtLocked"/>
          <w:placeholder>
            <w:docPart w:val="1DD372FB3B2347C283C198977DB684A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p>
    <w:tbl>
      <w:tblPr>
        <w:tblStyle w:val="g8"/>
        <w:tblW w:w="499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36"/>
        <w:gridCol w:w="2938"/>
        <w:gridCol w:w="2938"/>
      </w:tblGrid>
      <w:tr w:rsidR="004A3868">
        <w:trPr>
          <w:trHeight w:val="397"/>
          <w:jc w:val="center"/>
        </w:trPr>
        <w:sdt>
          <w:sdtPr>
            <w:rPr>
              <w:rFonts w:hint="eastAsia"/>
            </w:rPr>
            <w:tag w:val="_PLD_00ecb26a541b4476ae397f9dc938c006"/>
            <w:id w:val="-1492258501"/>
            <w:lock w:val="sdtLocked"/>
          </w:sdtPr>
          <w:sdtEndPr/>
          <w:sdtContent>
            <w:tc>
              <w:tcPr>
                <w:tcW w:w="1666" w:type="pct"/>
                <w:shd w:val="clear" w:color="auto" w:fill="auto"/>
                <w:vAlign w:val="center"/>
              </w:tcPr>
              <w:p w:rsidR="004A3868" w:rsidRDefault="003F1AB5">
                <w:pPr>
                  <w:pStyle w:val="afffb"/>
                </w:pPr>
                <w:r>
                  <w:rPr>
                    <w:rFonts w:hint="eastAsia"/>
                  </w:rPr>
                  <w:t>项目</w:t>
                </w:r>
              </w:p>
            </w:tc>
          </w:sdtContent>
        </w:sdt>
        <w:sdt>
          <w:sdtPr>
            <w:tag w:val="_PLD_96216f0f4e664412a0e5e854a957fa35"/>
            <w:id w:val="-939059654"/>
            <w:lock w:val="sdtLocked"/>
          </w:sdtPr>
          <w:sdtEndPr/>
          <w:sdtContent>
            <w:tc>
              <w:tcPr>
                <w:tcW w:w="1667" w:type="pct"/>
                <w:shd w:val="clear" w:color="auto" w:fill="auto"/>
                <w:vAlign w:val="center"/>
              </w:tcPr>
              <w:p w:rsidR="004A3868" w:rsidRDefault="003F1AB5">
                <w:pPr>
                  <w:pStyle w:val="afffb"/>
                </w:pPr>
                <w:r>
                  <w:t>租赁收入</w:t>
                </w:r>
              </w:p>
            </w:tc>
          </w:sdtContent>
        </w:sdt>
        <w:sdt>
          <w:sdtPr>
            <w:tag w:val="_PLD_ad377951fc0c44299ea39a709c6a8089"/>
            <w:id w:val="80261400"/>
            <w:lock w:val="sdtLocked"/>
          </w:sdtPr>
          <w:sdtEndPr/>
          <w:sdtContent>
            <w:tc>
              <w:tcPr>
                <w:tcW w:w="1667" w:type="pct"/>
                <w:shd w:val="clear" w:color="auto" w:fill="auto"/>
                <w:vAlign w:val="center"/>
              </w:tcPr>
              <w:p w:rsidR="004A3868" w:rsidRDefault="003F1AB5">
                <w:pPr>
                  <w:pStyle w:val="afffb"/>
                </w:pPr>
                <w:r>
                  <w:t>其中</w:t>
                </w:r>
                <w:r>
                  <w:rPr>
                    <w:rFonts w:hint="eastAsia"/>
                  </w:rPr>
                  <w:t>:</w:t>
                </w:r>
                <w:r>
                  <w:t>未计入租赁收款额的可变租赁付款额相关的收入</w:t>
                </w:r>
              </w:p>
            </w:tc>
          </w:sdtContent>
        </w:sdt>
      </w:tr>
      <w:tr w:rsidR="004A3868">
        <w:trPr>
          <w:trHeight w:val="397"/>
          <w:jc w:val="center"/>
        </w:trPr>
        <w:tc>
          <w:tcPr>
            <w:tcW w:w="1666" w:type="pct"/>
            <w:shd w:val="clear" w:color="auto" w:fill="auto"/>
            <w:vAlign w:val="center"/>
          </w:tcPr>
          <w:p w:rsidR="004A3868" w:rsidRDefault="003F1AB5">
            <w:pPr>
              <w:pStyle w:val="afff9"/>
            </w:pPr>
            <w:r>
              <w:t>经营租赁收入</w:t>
            </w:r>
          </w:p>
        </w:tc>
        <w:tc>
          <w:tcPr>
            <w:tcW w:w="1667" w:type="pct"/>
            <w:shd w:val="clear" w:color="auto" w:fill="auto"/>
            <w:vAlign w:val="center"/>
          </w:tcPr>
          <w:p w:rsidR="004A3868" w:rsidRDefault="003F1AB5">
            <w:pPr>
              <w:pStyle w:val="afff7"/>
            </w:pPr>
            <w:r>
              <w:t>1,130,903.18</w:t>
            </w:r>
          </w:p>
        </w:tc>
        <w:tc>
          <w:tcPr>
            <w:tcW w:w="1667" w:type="pct"/>
            <w:shd w:val="clear" w:color="auto" w:fill="auto"/>
            <w:vAlign w:val="center"/>
          </w:tcPr>
          <w:p w:rsidR="004A3868" w:rsidRDefault="004A3868">
            <w:pPr>
              <w:pStyle w:val="afff7"/>
            </w:pPr>
          </w:p>
        </w:tc>
      </w:tr>
      <w:tr w:rsidR="004A3868">
        <w:trPr>
          <w:trHeight w:val="397"/>
          <w:jc w:val="center"/>
        </w:trPr>
        <w:tc>
          <w:tcPr>
            <w:tcW w:w="1666" w:type="pct"/>
            <w:shd w:val="clear" w:color="auto" w:fill="auto"/>
            <w:vAlign w:val="center"/>
          </w:tcPr>
          <w:p w:rsidR="004A3868" w:rsidRDefault="003F1AB5">
            <w:pPr>
              <w:pStyle w:val="afff9"/>
            </w:pPr>
            <w:r>
              <w:t>合计</w:t>
            </w:r>
          </w:p>
        </w:tc>
        <w:tc>
          <w:tcPr>
            <w:tcW w:w="1667" w:type="pct"/>
            <w:shd w:val="clear" w:color="auto" w:fill="auto"/>
            <w:vAlign w:val="center"/>
          </w:tcPr>
          <w:p w:rsidR="004A3868" w:rsidRDefault="003F1AB5">
            <w:pPr>
              <w:pStyle w:val="afff7"/>
            </w:pPr>
            <w:r>
              <w:t>1,130,903.18</w:t>
            </w:r>
          </w:p>
        </w:tc>
        <w:tc>
          <w:tcPr>
            <w:tcW w:w="1667" w:type="pct"/>
            <w:shd w:val="clear" w:color="auto" w:fill="auto"/>
            <w:vAlign w:val="center"/>
          </w:tcPr>
          <w:p w:rsidR="004A3868" w:rsidRDefault="004A3868">
            <w:pPr>
              <w:pStyle w:val="afff7"/>
            </w:pPr>
          </w:p>
        </w:tc>
      </w:tr>
    </w:tbl>
    <w:p w:rsidR="004A3868" w:rsidRDefault="003F1AB5">
      <w:pPr>
        <w:pStyle w:val="Style124"/>
      </w:pPr>
      <w:r>
        <w:t>作为出租人的融资租赁</w:t>
      </w:r>
    </w:p>
    <w:sdt>
      <w:sdtPr>
        <w:alias w:val="是否适用：作为出租人的融资租赁[双击切换]"/>
        <w:tag w:val="_GBC_a96fee2f2d7c4192a3a8f10ae08d73cc"/>
        <w:id w:val="1481348512"/>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afff5"/>
        <w:rPr>
          <w:sz w:val="21"/>
          <w:szCs w:val="21"/>
        </w:rPr>
      </w:pPr>
      <w:r>
        <w:rPr>
          <w:rFonts w:hint="eastAsia"/>
          <w:sz w:val="21"/>
          <w:szCs w:val="21"/>
        </w:rPr>
        <w:t>单位：</w:t>
      </w:r>
      <w:sdt>
        <w:sdtPr>
          <w:rPr>
            <w:rFonts w:hint="eastAsia"/>
            <w:sz w:val="21"/>
            <w:szCs w:val="21"/>
          </w:rPr>
          <w:alias w:val="单位：作为出租人的融资租赁"/>
          <w:tag w:val="_GBC_7e5ad3e47d994af2a4d1969a8776182f"/>
          <w:id w:val="1761710862"/>
          <w:lock w:val="sdtLocked"/>
          <w:placeholder>
            <w:docPart w:val="22DE4989F8EE45939B1523ECDCAEFCF7"/>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 w:val="21"/>
              <w:szCs w:val="21"/>
            </w:rPr>
            <w:t>元</w:t>
          </w:r>
        </w:sdtContent>
      </w:sdt>
      <w:r>
        <w:rPr>
          <w:rFonts w:hint="eastAsia"/>
          <w:sz w:val="21"/>
          <w:szCs w:val="21"/>
        </w:rPr>
        <w:t xml:space="preserve">  </w:t>
      </w:r>
      <w:r>
        <w:rPr>
          <w:rFonts w:hint="eastAsia"/>
          <w:sz w:val="21"/>
          <w:szCs w:val="21"/>
        </w:rPr>
        <w:t>币种：</w:t>
      </w:r>
      <w:sdt>
        <w:sdtPr>
          <w:rPr>
            <w:rFonts w:hint="eastAsia"/>
            <w:sz w:val="21"/>
            <w:szCs w:val="21"/>
          </w:rPr>
          <w:alias w:val="币种：作为出租人的融资租赁"/>
          <w:tag w:val="_GBC_b587162685b74cafa7cddf55bd848be8"/>
          <w:id w:val="-401224468"/>
          <w:lock w:val="sdtLocked"/>
          <w:placeholder>
            <w:docPart w:val="22DE4989F8EE45939B1523ECDCAEFCF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21"/>
              <w:szCs w:val="21"/>
            </w:rPr>
            <w:t>人民币</w:t>
          </w:r>
        </w:sdtContent>
      </w:sdt>
      <w:r>
        <w:rPr>
          <w:sz w:val="21"/>
          <w:szCs w:val="21"/>
        </w:rPr>
        <w:t xml:space="preserve"> </w:t>
      </w:r>
    </w:p>
    <w:tbl>
      <w:tblPr>
        <w:tblStyle w:val="g8"/>
        <w:tblW w:w="499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71"/>
        <w:gridCol w:w="1986"/>
        <w:gridCol w:w="1842"/>
        <w:gridCol w:w="2013"/>
      </w:tblGrid>
      <w:tr w:rsidR="004A3868">
        <w:trPr>
          <w:trHeight w:val="397"/>
          <w:jc w:val="center"/>
        </w:trPr>
        <w:sdt>
          <w:sdtPr>
            <w:rPr>
              <w:rFonts w:hint="eastAsia"/>
            </w:rPr>
            <w:tag w:val="_PLD_851d086b7c204669a846541f185c37f1"/>
            <w:id w:val="-228853911"/>
            <w:lock w:val="sdtLocked"/>
          </w:sdtPr>
          <w:sdtEndPr/>
          <w:sdtContent>
            <w:tc>
              <w:tcPr>
                <w:tcW w:w="1686" w:type="pct"/>
                <w:shd w:val="clear" w:color="auto" w:fill="auto"/>
                <w:vAlign w:val="center"/>
              </w:tcPr>
              <w:p w:rsidR="004A3868" w:rsidRDefault="003F1AB5">
                <w:pPr>
                  <w:pStyle w:val="afffb"/>
                </w:pPr>
                <w:r>
                  <w:rPr>
                    <w:rFonts w:hint="eastAsia"/>
                  </w:rPr>
                  <w:t>项目</w:t>
                </w:r>
              </w:p>
            </w:tc>
          </w:sdtContent>
        </w:sdt>
        <w:sdt>
          <w:sdtPr>
            <w:tag w:val="_PLD_966e39d04829482699c330c176380e40"/>
            <w:id w:val="-165251292"/>
            <w:lock w:val="sdtLocked"/>
          </w:sdtPr>
          <w:sdtEndPr/>
          <w:sdtContent>
            <w:tc>
              <w:tcPr>
                <w:tcW w:w="1127" w:type="pct"/>
                <w:shd w:val="clear" w:color="auto" w:fill="auto"/>
                <w:vAlign w:val="center"/>
              </w:tcPr>
              <w:p w:rsidR="004A3868" w:rsidRDefault="003F1AB5">
                <w:pPr>
                  <w:pStyle w:val="afffb"/>
                </w:pPr>
                <w:r>
                  <w:t>销售损益</w:t>
                </w:r>
              </w:p>
            </w:tc>
          </w:sdtContent>
        </w:sdt>
        <w:sdt>
          <w:sdtPr>
            <w:tag w:val="_PLD_f153a9aed5ab47bbbf37674b02c92829"/>
            <w:id w:val="-212192733"/>
            <w:lock w:val="sdtLocked"/>
          </w:sdtPr>
          <w:sdtEndPr/>
          <w:sdtContent>
            <w:tc>
              <w:tcPr>
                <w:tcW w:w="1045" w:type="pct"/>
                <w:shd w:val="clear" w:color="auto" w:fill="auto"/>
                <w:vAlign w:val="center"/>
              </w:tcPr>
              <w:p w:rsidR="004A3868" w:rsidRDefault="003F1AB5">
                <w:pPr>
                  <w:pStyle w:val="afffb"/>
                </w:pPr>
                <w:r>
                  <w:t>融资收益</w:t>
                </w:r>
              </w:p>
            </w:tc>
          </w:sdtContent>
        </w:sdt>
        <w:sdt>
          <w:sdtPr>
            <w:tag w:val="_PLD_7d268617a1154a86ae736c4f4b815f5c"/>
            <w:id w:val="-1013999237"/>
            <w:lock w:val="sdtLocked"/>
          </w:sdtPr>
          <w:sdtEndPr/>
          <w:sdtContent>
            <w:tc>
              <w:tcPr>
                <w:tcW w:w="1142" w:type="pct"/>
                <w:vAlign w:val="center"/>
              </w:tcPr>
              <w:p w:rsidR="004A3868" w:rsidRDefault="003F1AB5">
                <w:pPr>
                  <w:pStyle w:val="afffb"/>
                </w:pPr>
                <w:r>
                  <w:t>未纳入租赁投资净额的可变租赁付款额的相关收入</w:t>
                </w:r>
              </w:p>
            </w:tc>
          </w:sdtContent>
        </w:sdt>
      </w:tr>
      <w:tr w:rsidR="004A3868">
        <w:trPr>
          <w:trHeight w:val="397"/>
          <w:jc w:val="center"/>
        </w:trPr>
        <w:tc>
          <w:tcPr>
            <w:tcW w:w="1686" w:type="pct"/>
            <w:shd w:val="clear" w:color="auto" w:fill="auto"/>
          </w:tcPr>
          <w:p w:rsidR="004A3868" w:rsidRDefault="003F1AB5">
            <w:pPr>
              <w:pStyle w:val="afff9"/>
            </w:pPr>
            <w:r>
              <w:rPr>
                <w:rFonts w:hint="eastAsia"/>
              </w:rPr>
              <w:t>潼南双江片区棚户区改造安置房建设项目</w:t>
            </w:r>
            <w:r>
              <w:t>(</w:t>
            </w:r>
            <w:r>
              <w:t>凤凰湾项目</w:t>
            </w:r>
            <w:r>
              <w:t>)</w:t>
            </w:r>
            <w:r>
              <w:t>临时配电工程项目</w:t>
            </w:r>
          </w:p>
        </w:tc>
        <w:tc>
          <w:tcPr>
            <w:tcW w:w="1127" w:type="pct"/>
            <w:shd w:val="clear" w:color="auto" w:fill="auto"/>
            <w:vAlign w:val="center"/>
          </w:tcPr>
          <w:p w:rsidR="004A3868" w:rsidRDefault="004A3868">
            <w:pPr>
              <w:pStyle w:val="afff7"/>
            </w:pPr>
          </w:p>
        </w:tc>
        <w:tc>
          <w:tcPr>
            <w:tcW w:w="1045" w:type="pct"/>
            <w:shd w:val="clear" w:color="auto" w:fill="auto"/>
            <w:vAlign w:val="center"/>
          </w:tcPr>
          <w:p w:rsidR="004A3868" w:rsidRDefault="003F1AB5">
            <w:pPr>
              <w:pStyle w:val="afff7"/>
            </w:pPr>
            <w:r>
              <w:t>5,762.90</w:t>
            </w:r>
          </w:p>
        </w:tc>
        <w:tc>
          <w:tcPr>
            <w:tcW w:w="1142" w:type="pct"/>
            <w:vAlign w:val="center"/>
          </w:tcPr>
          <w:p w:rsidR="004A3868" w:rsidRDefault="004A3868">
            <w:pPr>
              <w:pStyle w:val="afff7"/>
            </w:pPr>
          </w:p>
        </w:tc>
      </w:tr>
      <w:tr w:rsidR="004A3868">
        <w:trPr>
          <w:trHeight w:val="397"/>
          <w:jc w:val="center"/>
        </w:trPr>
        <w:tc>
          <w:tcPr>
            <w:tcW w:w="1686" w:type="pct"/>
            <w:shd w:val="clear" w:color="auto" w:fill="auto"/>
          </w:tcPr>
          <w:p w:rsidR="004A3868" w:rsidRDefault="003F1AB5">
            <w:pPr>
              <w:pStyle w:val="afff9"/>
            </w:pPr>
            <w:r>
              <w:rPr>
                <w:rFonts w:hint="eastAsia"/>
              </w:rPr>
              <w:t>重庆涪润建材有限公司新增配电工程项目</w:t>
            </w:r>
          </w:p>
        </w:tc>
        <w:tc>
          <w:tcPr>
            <w:tcW w:w="1127" w:type="pct"/>
            <w:shd w:val="clear" w:color="auto" w:fill="auto"/>
            <w:vAlign w:val="center"/>
          </w:tcPr>
          <w:p w:rsidR="004A3868" w:rsidRDefault="004A3868">
            <w:pPr>
              <w:pStyle w:val="afff7"/>
            </w:pPr>
          </w:p>
        </w:tc>
        <w:tc>
          <w:tcPr>
            <w:tcW w:w="1045" w:type="pct"/>
            <w:shd w:val="clear" w:color="auto" w:fill="auto"/>
            <w:vAlign w:val="center"/>
          </w:tcPr>
          <w:p w:rsidR="004A3868" w:rsidRDefault="003F1AB5">
            <w:pPr>
              <w:pStyle w:val="afff7"/>
            </w:pPr>
            <w:r>
              <w:t>4,170.29</w:t>
            </w:r>
          </w:p>
        </w:tc>
        <w:tc>
          <w:tcPr>
            <w:tcW w:w="1142" w:type="pct"/>
            <w:vAlign w:val="center"/>
          </w:tcPr>
          <w:p w:rsidR="004A3868" w:rsidRDefault="004A3868">
            <w:pPr>
              <w:pStyle w:val="afff7"/>
            </w:pPr>
          </w:p>
        </w:tc>
      </w:tr>
      <w:tr w:rsidR="004A3868">
        <w:trPr>
          <w:trHeight w:val="397"/>
          <w:jc w:val="center"/>
        </w:trPr>
        <w:tc>
          <w:tcPr>
            <w:tcW w:w="1686" w:type="pct"/>
            <w:shd w:val="clear" w:color="auto" w:fill="auto"/>
            <w:vAlign w:val="center"/>
          </w:tcPr>
          <w:p w:rsidR="004A3868" w:rsidRDefault="003F1AB5">
            <w:pPr>
              <w:pStyle w:val="afff9"/>
            </w:pPr>
            <w:r>
              <w:t>合计</w:t>
            </w:r>
          </w:p>
        </w:tc>
        <w:tc>
          <w:tcPr>
            <w:tcW w:w="1127" w:type="pct"/>
            <w:shd w:val="clear" w:color="auto" w:fill="auto"/>
            <w:vAlign w:val="center"/>
          </w:tcPr>
          <w:p w:rsidR="004A3868" w:rsidRDefault="004A3868">
            <w:pPr>
              <w:pStyle w:val="afff7"/>
            </w:pPr>
          </w:p>
        </w:tc>
        <w:tc>
          <w:tcPr>
            <w:tcW w:w="1045" w:type="pct"/>
            <w:shd w:val="clear" w:color="auto" w:fill="auto"/>
            <w:vAlign w:val="center"/>
          </w:tcPr>
          <w:p w:rsidR="004A3868" w:rsidRDefault="003F1AB5">
            <w:pPr>
              <w:pStyle w:val="afff7"/>
            </w:pPr>
            <w:r>
              <w:t>9,933.19</w:t>
            </w:r>
          </w:p>
        </w:tc>
        <w:tc>
          <w:tcPr>
            <w:tcW w:w="1142" w:type="pct"/>
            <w:vAlign w:val="center"/>
          </w:tcPr>
          <w:p w:rsidR="004A3868" w:rsidRDefault="004A3868">
            <w:pPr>
              <w:pStyle w:val="afff7"/>
            </w:pPr>
          </w:p>
        </w:tc>
      </w:tr>
    </w:tbl>
    <w:p w:rsidR="004A3868" w:rsidRDefault="003F1AB5">
      <w:pPr>
        <w:pStyle w:val="afff3"/>
        <w:ind w:firstLine="420"/>
      </w:pPr>
      <w:r>
        <w:rPr>
          <w:rFonts w:hint="eastAsia"/>
        </w:rPr>
        <w:t>与融资租赁相关信息：</w:t>
      </w:r>
    </w:p>
    <w:p w:rsidR="004A3868" w:rsidRDefault="003F1AB5">
      <w:pPr>
        <w:pStyle w:val="afff3"/>
        <w:ind w:firstLine="420"/>
      </w:pPr>
      <w:r>
        <w:rPr>
          <w:rFonts w:hint="eastAsia"/>
        </w:rPr>
        <w:t>与重庆市潼南区两景旅游开发有限公司签订了《潼南双江片区棚户区改造安置房建设项目</w:t>
      </w:r>
      <w:r>
        <w:t>(凤凰湾项目)临时配电工程项目》的融资租赁合同本期已到期，截至期末应收未收款项68,683.88元于2024年2月已收回。与重庆涪润建材有限公司签订了《重庆涪润建材有限公司新增配电工程项目》的融资租赁合同本期已到期，款项均已收回。未折现租赁收款额与租赁投资净额的调节表</w:t>
      </w:r>
    </w:p>
    <w:sdt>
      <w:sdtPr>
        <w:alias w:val="是否适用：未折现租赁收款额与租赁投资净额的调节表?[双击切换]"/>
        <w:tag w:val="_GBC_4a108274280e49bd8dc1cba49cff5159"/>
        <w:id w:val="1706136483"/>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t>未来五年</w:t>
      </w:r>
      <w:r>
        <w:rPr>
          <w:rFonts w:hint="eastAsia"/>
        </w:rPr>
        <w:t>未</w:t>
      </w:r>
      <w:r>
        <w:t>折现租赁收款额</w:t>
      </w:r>
    </w:p>
    <w:sdt>
      <w:sdtPr>
        <w:alias w:val="是否适用：未来五年未折现租赁收款额[双击切换]"/>
        <w:tag w:val="_GBC_60c95c043b424e188bd225c67d071e24"/>
        <w:id w:val="699597347"/>
        <w:lock w:val="sdtLocked"/>
        <w:placeholder>
          <w:docPart w:val="GBC22222222222222222222222222222"/>
        </w:placeholder>
      </w:sdtPr>
      <w:sdtEndPr/>
      <w:sdtContent>
        <w:p w:rsidR="004A3868" w:rsidRDefault="003F1AB5">
          <w:pPr>
            <w:pStyle w:val="Style124"/>
            <w:rPr>
              <w:b/>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8"/>
        <w:numPr>
          <w:ilvl w:val="0"/>
          <w:numId w:val="103"/>
        </w:numPr>
      </w:pPr>
      <w:r>
        <w:t>作为生产商或经销商确认融资租赁销售损益</w:t>
      </w:r>
    </w:p>
    <w:sdt>
      <w:sdtPr>
        <w:alias w:val="是否适用：作为生产商或经销商确认融资租赁销售损益[双击切换]"/>
        <w:tag w:val="_GBC_595c7ca108a34d50bffdd3e765cca466"/>
        <w:id w:val="1222557628"/>
        <w:lock w:val="sdtLocked"/>
        <w:placeholder>
          <w:docPart w:val="GBC22222222222222222222222222222"/>
        </w:placeholder>
      </w:sdtPr>
      <w:sdtEndPr/>
      <w:sdtContent>
        <w:p w:rsidR="004A3868" w:rsidRDefault="003F1AB5">
          <w:pPr>
            <w:pStyle w:val="Style12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124"/>
      </w:pPr>
      <w:r>
        <w:rPr>
          <w:rFonts w:hint="eastAsia"/>
        </w:rPr>
        <w:t>其他说明</w:t>
      </w:r>
    </w:p>
    <w:sdt>
      <w:sdtPr>
        <w:alias w:val="租赁其他说明"/>
        <w:tag w:val="_GBC_c4951ce943a04c5e965df092a40963b7"/>
        <w:id w:val="-494801735"/>
        <w:placeholder>
          <w:docPart w:val="GBC22222222222222222222222222222"/>
        </w:placeholder>
      </w:sdtPr>
      <w:sdtEndPr/>
      <w:sdtContent>
        <w:p w:rsidR="004A3868" w:rsidRDefault="003F1AB5">
          <w:pPr>
            <w:pStyle w:val="Style124"/>
          </w:pPr>
          <w:r>
            <w:rPr>
              <w:rFonts w:hint="eastAsia"/>
            </w:rPr>
            <w:t>无</w:t>
          </w:r>
        </w:p>
      </w:sdtContent>
    </w:sdt>
    <w:p w:rsidR="004A3868" w:rsidRDefault="003F1AB5">
      <w:pPr>
        <w:pStyle w:val="Style12711"/>
      </w:pPr>
      <w:r>
        <w:rPr>
          <w:rFonts w:hint="eastAsia"/>
        </w:rPr>
        <w:lastRenderedPageBreak/>
        <w:t>其他</w:t>
      </w:r>
    </w:p>
    <w:sdt>
      <w:sdtPr>
        <w:alias w:val="是否适用：合并财务报表项目注释其他需要说明的事项[双击切换]"/>
        <w:tag w:val="_GBC_67815da71293483fad0e823098235edb"/>
        <w:id w:val="-628466697"/>
        <w:placeholder>
          <w:docPart w:val="GBC22222222222222222222222222222"/>
        </w:placeholder>
      </w:sdtPr>
      <w:sdtEndPr/>
      <w:sdtContent>
        <w:p w:rsidR="004A3868" w:rsidRDefault="003F1AB5">
          <w:pPr>
            <w:pStyle w:val="Style124"/>
            <w:sectPr w:rsidR="004A3868">
              <w:pgSz w:w="11906" w:h="16838"/>
              <w:pgMar w:top="1440" w:right="1797" w:bottom="1525" w:left="1276" w:header="856" w:footer="992" w:gutter="0"/>
              <w:cols w:space="425"/>
              <w:docGrid w:linePitch="312"/>
            </w:sect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954"/>
        <w:rPr>
          <w:rStyle w:val="Char10"/>
        </w:rPr>
      </w:pPr>
      <w:r>
        <w:rPr>
          <w:rStyle w:val="Char10"/>
          <w:rFonts w:hint="eastAsia"/>
        </w:rPr>
        <w:lastRenderedPageBreak/>
        <w:t>合并范围的变更</w:t>
      </w:r>
    </w:p>
    <w:p w:rsidR="004A3868" w:rsidRDefault="003F1AB5">
      <w:pPr>
        <w:pStyle w:val="Style955"/>
        <w:numPr>
          <w:ilvl w:val="0"/>
          <w:numId w:val="104"/>
        </w:numPr>
        <w:spacing w:before="120"/>
        <w:rPr>
          <w:rStyle w:val="Char10"/>
        </w:rPr>
      </w:pPr>
      <w:r>
        <w:rPr>
          <w:rStyle w:val="Char10"/>
          <w:rFonts w:hint="eastAsia"/>
        </w:rPr>
        <w:t>非同一控制下企业合并</w:t>
      </w:r>
    </w:p>
    <w:sdt>
      <w:sdtPr>
        <w:rPr>
          <w:rStyle w:val="Char10"/>
        </w:rPr>
        <w:alias w:val="是否适用：非同一控制下企业合并[双击切换]"/>
        <w:tag w:val="_GBC_f305adddf4654659bd28ceedc072aa05"/>
        <w:id w:val="1975947805"/>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05"/>
        </w:numPr>
        <w:rPr>
          <w:rStyle w:val="Char10"/>
        </w:rPr>
      </w:pPr>
      <w:r>
        <w:rPr>
          <w:rStyle w:val="Char10"/>
          <w:rFonts w:hint="eastAsia"/>
        </w:rPr>
        <w:t>本期发生的非同一控制下企业合并交易</w:t>
      </w:r>
    </w:p>
    <w:sdt>
      <w:sdtPr>
        <w:rPr>
          <w:rStyle w:val="Char10"/>
        </w:rPr>
        <w:alias w:val="是否适用：本期发生的非同一控制下企业合并[双击切换]"/>
        <w:tag w:val="_GBC_01020b54a2124714b02e7c09b7def8bd"/>
        <w:id w:val="-932200485"/>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05"/>
        </w:numPr>
        <w:rPr>
          <w:rStyle w:val="Char10"/>
        </w:rPr>
      </w:pPr>
      <w:r>
        <w:rPr>
          <w:rStyle w:val="Char10"/>
          <w:rFonts w:hint="eastAsia"/>
        </w:rPr>
        <w:t>合并成本及商誉</w:t>
      </w:r>
    </w:p>
    <w:sdt>
      <w:sdtPr>
        <w:rPr>
          <w:rStyle w:val="Char10"/>
        </w:rPr>
        <w:alias w:val="是否适用：合并成本及商誉[双击切换]"/>
        <w:tag w:val="_GBC_a60bf29a08f34ad38e2b707d1dc7dd55"/>
        <w:id w:val="-1641037348"/>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05"/>
        </w:numPr>
        <w:rPr>
          <w:rStyle w:val="Char10"/>
        </w:rPr>
      </w:pPr>
      <w:r>
        <w:rPr>
          <w:rStyle w:val="Char10"/>
          <w:rFonts w:hint="eastAsia"/>
        </w:rPr>
        <w:t>被购买方于购买日可辨认资产、负债</w:t>
      </w:r>
    </w:p>
    <w:sdt>
      <w:sdtPr>
        <w:alias w:val="是否适用：被购买方于购买日可辨认资产、负债[双击切换]"/>
        <w:tag w:val="_GBC_35c89f63b29241e89ece385e44435f24"/>
        <w:id w:val="1835883148"/>
        <w:lock w:val="sdtLocked"/>
        <w:placeholder>
          <w:docPart w:val="GBC22222222222222222222222222222"/>
        </w:placeholder>
      </w:sdtPr>
      <w:sdtEndPr>
        <w:rPr>
          <w:rStyle w:val="Char10"/>
          <w:rFonts w:ascii="Times New Roman" w:hAnsi="Times New Roman"/>
          <w:kern w:val="2"/>
          <w:sz w:val="21"/>
          <w:szCs w:val="21"/>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05"/>
        </w:numPr>
        <w:rPr>
          <w:rStyle w:val="Char10"/>
        </w:rPr>
      </w:pPr>
      <w:r>
        <w:rPr>
          <w:rStyle w:val="Char10"/>
          <w:rFonts w:hint="eastAsia"/>
        </w:rPr>
        <w:t>购买日之前持有的股权按照公允价值重新计量产生的利得或损失</w:t>
      </w:r>
    </w:p>
    <w:p w:rsidR="004A3868" w:rsidRDefault="003F1AB5">
      <w:pPr>
        <w:rPr>
          <w:rStyle w:val="Char10"/>
        </w:rPr>
      </w:pPr>
      <w:r>
        <w:rPr>
          <w:rStyle w:val="Char10"/>
          <w:rFonts w:hint="eastAsia"/>
        </w:rPr>
        <w:t>是否存在通过多次交易分步实现企业合并且在报告期内取得控制权的交易</w:t>
      </w:r>
    </w:p>
    <w:p w:rsidR="004A3868" w:rsidRDefault="00B34370">
      <w:pPr>
        <w:rPr>
          <w:rStyle w:val="Char10"/>
        </w:rPr>
      </w:pPr>
      <w:sdt>
        <w:sdtPr>
          <w:rPr>
            <w:rStyle w:val="Char10"/>
          </w:rPr>
          <w:alias w:val="是否存在通过多次交易分步实现企业合并且在本报告期取得控制权的情形[双击切换]"/>
          <w:tag w:val="_GBC_f16c6a756bf64379a37d1a5a881514ea"/>
          <w:id w:val="292958260"/>
          <w:lock w:val="sdtLocked"/>
          <w:placeholder>
            <w:docPart w:val="GBC22222222222222222222222222222"/>
          </w:placeholder>
        </w:sdtPr>
        <w:sdtEndPr>
          <w:rPr>
            <w:rStyle w:val="Char10"/>
          </w:rPr>
        </w:sdtEndPr>
        <w:sdtContent>
          <w:r w:rsidR="003F1AB5">
            <w:rPr>
              <w:rStyle w:val="Char10"/>
            </w:rPr>
            <w:fldChar w:fldCharType="begin"/>
          </w:r>
          <w:r w:rsidR="003F1AB5">
            <w:rPr>
              <w:rStyle w:val="Char10"/>
            </w:rPr>
            <w:instrText>MACROBUTTON  SnrToggleCheckbox □</w:instrText>
          </w:r>
          <w:r w:rsidR="003F1AB5">
            <w:rPr>
              <w:rStyle w:val="Char10"/>
            </w:rPr>
            <w:instrText>适用</w:instrText>
          </w:r>
          <w:r w:rsidR="003F1AB5">
            <w:rPr>
              <w:rStyle w:val="Char10"/>
            </w:rPr>
            <w:instrText xml:space="preserve"> </w:instrText>
          </w:r>
          <w:r w:rsidR="003F1AB5">
            <w:rPr>
              <w:rStyle w:val="Char10"/>
            </w:rPr>
            <w:fldChar w:fldCharType="end"/>
          </w:r>
          <w:r w:rsidR="003F1AB5">
            <w:rPr>
              <w:rStyle w:val="Char10"/>
            </w:rPr>
            <w:fldChar w:fldCharType="begin"/>
          </w:r>
          <w:r w:rsidR="003F1AB5">
            <w:rPr>
              <w:rStyle w:val="Char10"/>
            </w:rPr>
            <w:instrText xml:space="preserve"> MACROBUTTON  SnrToggleCheckbox √</w:instrText>
          </w:r>
          <w:r w:rsidR="003F1AB5">
            <w:rPr>
              <w:rStyle w:val="Char10"/>
            </w:rPr>
            <w:instrText>不适用</w:instrText>
          </w:r>
          <w:r w:rsidR="003F1AB5">
            <w:rPr>
              <w:rStyle w:val="Char10"/>
            </w:rPr>
            <w:instrText xml:space="preserve"> </w:instrText>
          </w:r>
          <w:r w:rsidR="003F1AB5">
            <w:rPr>
              <w:rStyle w:val="Char10"/>
            </w:rPr>
            <w:fldChar w:fldCharType="end"/>
          </w:r>
        </w:sdtContent>
      </w:sdt>
    </w:p>
    <w:p w:rsidR="004A3868" w:rsidRDefault="003F1AB5">
      <w:pPr>
        <w:pStyle w:val="Style956"/>
        <w:numPr>
          <w:ilvl w:val="0"/>
          <w:numId w:val="105"/>
        </w:numPr>
        <w:rPr>
          <w:rStyle w:val="Char10"/>
        </w:rPr>
      </w:pPr>
      <w:r>
        <w:rPr>
          <w:rStyle w:val="Char10"/>
          <w:rFonts w:hint="eastAsia"/>
        </w:rPr>
        <w:t>购买日或合并当期期末无法合理确定合并对价或被购买方可辨认资产、负债公允价值的相关说明</w:t>
      </w:r>
    </w:p>
    <w:sdt>
      <w:sdtPr>
        <w:rPr>
          <w:rStyle w:val="Char10"/>
          <w:rFonts w:hint="eastAsia"/>
        </w:rPr>
        <w:alias w:val="是否适用：购买日或合并当期期末无法合理确定合并对价或被购买方可辨认资产、负债公允价值的相关说明[双击切换]"/>
        <w:tag w:val="_GBC_356c94258e3a4bd7bb489882bf311bd0"/>
        <w:id w:val="2131978050"/>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05"/>
        </w:numPr>
        <w:rPr>
          <w:rStyle w:val="Char10"/>
        </w:rPr>
      </w:pPr>
      <w:r>
        <w:rPr>
          <w:rStyle w:val="Char10"/>
          <w:rFonts w:hint="eastAsia"/>
        </w:rPr>
        <w:t>其他说明</w:t>
      </w:r>
    </w:p>
    <w:sdt>
      <w:sdtPr>
        <w:rPr>
          <w:rFonts w:hint="eastAsia"/>
        </w:rPr>
        <w:alias w:val="是否适用：非同一控制下企业合并其他需要说明的事项[双击切换]"/>
        <w:tag w:val="_GBC_34e320a5c7264ae9995be47f5972ed90"/>
        <w:id w:val="-1504515554"/>
        <w:lock w:val="sdtLocked"/>
        <w:placeholder>
          <w:docPart w:val="GBC22222222222222222222222222222"/>
        </w:placeholder>
      </w:sdtPr>
      <w:sdtEndPr>
        <w:rPr>
          <w:rStyle w:val="Char10"/>
          <w:rFonts w:ascii="Times New Roman" w:hAnsi="Times New Roman"/>
          <w:kern w:val="2"/>
          <w:sz w:val="21"/>
          <w:szCs w:val="21"/>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04"/>
        </w:numPr>
        <w:spacing w:before="120"/>
        <w:rPr>
          <w:rStyle w:val="Char10"/>
        </w:rPr>
      </w:pPr>
      <w:r>
        <w:rPr>
          <w:rStyle w:val="Char10"/>
          <w:rFonts w:hint="eastAsia"/>
        </w:rPr>
        <w:t>同一控制下企业合并</w:t>
      </w:r>
    </w:p>
    <w:sdt>
      <w:sdtPr>
        <w:alias w:val="是否适用：同一控制下企业合并[双击切换]"/>
        <w:tag w:val="_GBC_698d1a451f094ec0bf9c3a278d26a0d3"/>
        <w:id w:val="-268704661"/>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06"/>
        </w:numPr>
        <w:rPr>
          <w:rStyle w:val="Char10"/>
        </w:rPr>
      </w:pPr>
      <w:r>
        <w:rPr>
          <w:rStyle w:val="Char10"/>
          <w:rFonts w:hint="eastAsia"/>
        </w:rPr>
        <w:t>本期发生的同一控制下企业合并</w:t>
      </w:r>
    </w:p>
    <w:sdt>
      <w:sdtPr>
        <w:alias w:val="是否适用：本期发生的同一控制下企业合并[双击切换]"/>
        <w:tag w:val="_GBC_50aeb159f0be4e099170131affd5d1bc"/>
        <w:id w:val="1340119384"/>
        <w:lock w:val="sdtLocked"/>
        <w:placeholder>
          <w:docPart w:val="GBC22222222222222222222222222222"/>
        </w:placeholder>
      </w:sdtPr>
      <w:sdtEndPr>
        <w:rPr>
          <w:rStyle w:val="Char10"/>
          <w:rFonts w:ascii="Times New Roman" w:hAnsi="Times New Roman"/>
          <w:kern w:val="2"/>
          <w:sz w:val="21"/>
          <w:szCs w:val="21"/>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06"/>
        </w:numPr>
        <w:rPr>
          <w:rStyle w:val="Char10"/>
        </w:rPr>
      </w:pPr>
      <w:r>
        <w:rPr>
          <w:rStyle w:val="Char10"/>
          <w:rFonts w:hint="eastAsia"/>
        </w:rPr>
        <w:t>合并成本</w:t>
      </w:r>
    </w:p>
    <w:sdt>
      <w:sdtPr>
        <w:rPr>
          <w:rStyle w:val="Char10"/>
        </w:rPr>
        <w:alias w:val="是否适用：合并成本[双击切换]"/>
        <w:tag w:val="_GBC_5a2f1a0aa219473a9ea30bef3c2b1ffb"/>
        <w:id w:val="460848869"/>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06"/>
        </w:numPr>
        <w:rPr>
          <w:rStyle w:val="Char10"/>
        </w:rPr>
      </w:pPr>
      <w:r>
        <w:rPr>
          <w:rStyle w:val="Char10"/>
          <w:rFonts w:hint="eastAsia"/>
        </w:rPr>
        <w:t>合并日被合并方资产、负债的账面价值</w:t>
      </w:r>
    </w:p>
    <w:sdt>
      <w:sdtPr>
        <w:rPr>
          <w:rStyle w:val="Char10"/>
        </w:rPr>
        <w:alias w:val="是否适用：合并日被合并方资产、负债的账面价值[双击切换]"/>
        <w:tag w:val="_GBC_5dec2961a29c4f7dba84a8d8fd453dab"/>
        <w:id w:val="-109670265"/>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其他说明：</w:t>
      </w:r>
    </w:p>
    <w:p w:rsidR="004A3868" w:rsidRDefault="00B34370">
      <w:pPr>
        <w:pStyle w:val="Style842"/>
        <w:rPr>
          <w:rStyle w:val="Char10"/>
        </w:rPr>
      </w:pPr>
      <w:sdt>
        <w:sdtPr>
          <w:rPr>
            <w:rStyle w:val="Char10"/>
          </w:rPr>
          <w:alias w:val="被合并方的资产、负债的说明"/>
          <w:tag w:val="_GBC_a5a71573b5aa4c7fa78cb0423d690d33"/>
          <w:id w:val="-609202810"/>
          <w:placeholder>
            <w:docPart w:val="GBC22222222222222222222222222222"/>
          </w:placeholder>
        </w:sdtPr>
        <w:sdtEndPr>
          <w:rPr>
            <w:rStyle w:val="Char10"/>
          </w:rPr>
        </w:sdtEndPr>
        <w:sdtContent>
          <w:r w:rsidR="003F1AB5">
            <w:rPr>
              <w:rStyle w:val="Char10"/>
              <w:rFonts w:hint="eastAsia"/>
            </w:rPr>
            <w:t>无</w:t>
          </w:r>
        </w:sdtContent>
      </w:sdt>
    </w:p>
    <w:p w:rsidR="004A3868" w:rsidRDefault="003F1AB5">
      <w:pPr>
        <w:pStyle w:val="Style955"/>
        <w:numPr>
          <w:ilvl w:val="0"/>
          <w:numId w:val="104"/>
        </w:numPr>
        <w:spacing w:before="120"/>
        <w:rPr>
          <w:rStyle w:val="Char10"/>
        </w:rPr>
      </w:pPr>
      <w:r>
        <w:rPr>
          <w:rStyle w:val="Char10"/>
          <w:rFonts w:hint="eastAsia"/>
        </w:rPr>
        <w:t>反向购买</w:t>
      </w:r>
    </w:p>
    <w:sdt>
      <w:sdtPr>
        <w:rPr>
          <w:rStyle w:val="Char10"/>
        </w:rPr>
        <w:alias w:val="是否适用：反向购买[双击切换]"/>
        <w:tag w:val="_GBC_717fa638fefe45c09c1f2627ba167ee4"/>
        <w:id w:val="1951970141"/>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4A3868">
      <w:pPr>
        <w:rPr>
          <w:lang w:val="en-GB"/>
        </w:rPr>
      </w:pPr>
    </w:p>
    <w:p w:rsidR="004A3868" w:rsidRDefault="004A3868">
      <w:pPr>
        <w:pStyle w:val="Style842"/>
      </w:pPr>
    </w:p>
    <w:p w:rsidR="004A3868" w:rsidRDefault="004A3868">
      <w:pPr>
        <w:sectPr w:rsidR="004A3868">
          <w:pgSz w:w="11906" w:h="16838"/>
          <w:pgMar w:top="1440" w:right="1797" w:bottom="1525" w:left="1276" w:header="856" w:footer="992" w:gutter="0"/>
          <w:cols w:space="425"/>
          <w:docGrid w:linePitch="312"/>
        </w:sectPr>
      </w:pPr>
    </w:p>
    <w:p w:rsidR="004A3868" w:rsidRDefault="003F1AB5">
      <w:pPr>
        <w:pStyle w:val="Style955"/>
        <w:numPr>
          <w:ilvl w:val="0"/>
          <w:numId w:val="104"/>
        </w:numPr>
        <w:spacing w:before="120"/>
        <w:rPr>
          <w:rStyle w:val="Char10"/>
        </w:rPr>
      </w:pPr>
      <w:r>
        <w:rPr>
          <w:rStyle w:val="Char10"/>
          <w:rFonts w:hint="eastAsia"/>
        </w:rPr>
        <w:lastRenderedPageBreak/>
        <w:t>处置子公司</w:t>
      </w:r>
    </w:p>
    <w:p w:rsidR="004A3868" w:rsidRDefault="003F1AB5">
      <w:pPr>
        <w:pStyle w:val="Style853"/>
        <w:rPr>
          <w:rStyle w:val="Char10"/>
        </w:rPr>
      </w:pPr>
      <w:r>
        <w:rPr>
          <w:rStyle w:val="Char10"/>
          <w:rFonts w:hint="eastAsia"/>
        </w:rPr>
        <w:t>本期是否存在</w:t>
      </w:r>
      <w:r>
        <w:rPr>
          <w:rStyle w:val="Char10"/>
        </w:rPr>
        <w:t>丧失</w:t>
      </w:r>
      <w:r>
        <w:rPr>
          <w:rStyle w:val="Char10"/>
          <w:rFonts w:hint="eastAsia"/>
        </w:rPr>
        <w:t>子公司</w:t>
      </w:r>
      <w:r>
        <w:rPr>
          <w:rStyle w:val="Char10"/>
        </w:rPr>
        <w:t>控制权</w:t>
      </w:r>
      <w:r>
        <w:rPr>
          <w:rStyle w:val="Char10"/>
          <w:rFonts w:hint="eastAsia"/>
        </w:rPr>
        <w:t>的交易或事项</w:t>
      </w:r>
    </w:p>
    <w:sdt>
      <w:sdtPr>
        <w:rPr>
          <w:rStyle w:val="Char10"/>
          <w:rFonts w:hint="eastAsia"/>
        </w:rPr>
        <w:alias w:val="是否存在单次交易处置对子公司投资即丧失控制权的情形[双击切换]"/>
        <w:tag w:val="_GBC_34b271ee01844be4a0580269d95adcf3"/>
        <w:id w:val="1264181960"/>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其他说明：</w:t>
      </w:r>
    </w:p>
    <w:sdt>
      <w:sdtPr>
        <w:rPr>
          <w:rStyle w:val="Char10"/>
        </w:rPr>
        <w:alias w:val="是否适用：单次交易处置对子公司投资即丧失控制权的情形的说明[双击切换]"/>
        <w:tag w:val="_GBC_e9745370c40b4780b36f3f18da05201e"/>
        <w:id w:val="2098290430"/>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是否存在通过多次交易分步处置对子公司投资且在本期丧失控制权的情形</w:t>
      </w:r>
    </w:p>
    <w:bookmarkStart w:id="246" w:name="_Hlk153549147" w:displacedByCustomXml="next"/>
    <w:sdt>
      <w:sdtPr>
        <w:rPr>
          <w:rStyle w:val="Char10"/>
          <w:rFonts w:hint="eastAsia"/>
        </w:rPr>
        <w:alias w:val="是否存在通过多次交易分步处置对子公司投资且在本期丧失控制权的情形[双击切换]"/>
        <w:tag w:val="_GBC_4b70a49fc9804e569104ce532e1e0bd8"/>
        <w:id w:val="-1771230330"/>
        <w:lock w:val="sdtLocked"/>
        <w:placeholder>
          <w:docPart w:val="GBC22222222222222222222222222222"/>
        </w:placeholder>
      </w:sdtPr>
      <w:sdtEndPr>
        <w:rPr>
          <w:rStyle w:val="Char10"/>
        </w:rPr>
      </w:sdtEndPr>
      <w:sdtContent>
        <w:p w:rsidR="004A3868" w:rsidRDefault="003F1AB5">
          <w:pPr>
            <w:pStyle w:val="Style965"/>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46"/>
    <w:p w:rsidR="004A3868" w:rsidRDefault="003F1AB5">
      <w:pPr>
        <w:pStyle w:val="Style842"/>
        <w:rPr>
          <w:rStyle w:val="Char10"/>
        </w:rPr>
      </w:pPr>
      <w:r>
        <w:rPr>
          <w:rStyle w:val="Char10"/>
          <w:rFonts w:hint="eastAsia"/>
        </w:rPr>
        <w:t>其他说明：</w:t>
      </w:r>
    </w:p>
    <w:sdt>
      <w:sdtPr>
        <w:rPr>
          <w:rStyle w:val="Char10"/>
        </w:rPr>
        <w:alias w:val="是否适用：是否存在通过多次交易分步处置对子公司投资且在本期丧失控制权的情形的说明[双击切换]"/>
        <w:tag w:val="_GBC_c934ae55b23744bba8048538d6771d0e"/>
        <w:id w:val="22672349"/>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04"/>
        </w:numPr>
        <w:spacing w:before="120"/>
        <w:rPr>
          <w:rStyle w:val="Char10"/>
        </w:rPr>
      </w:pPr>
      <w:r>
        <w:rPr>
          <w:rStyle w:val="Char10"/>
          <w:rFonts w:hint="eastAsia"/>
        </w:rPr>
        <w:t>其他原因的合并范围变动</w:t>
      </w:r>
    </w:p>
    <w:p w:rsidR="004A3868" w:rsidRDefault="003F1AB5">
      <w:pPr>
        <w:pStyle w:val="Style853"/>
        <w:rPr>
          <w:rStyle w:val="Char10"/>
        </w:rPr>
      </w:pPr>
      <w:r>
        <w:rPr>
          <w:rStyle w:val="Char10"/>
          <w:rFonts w:hint="eastAsia"/>
        </w:rPr>
        <w:t>说明其他原因导致的合并范围变动（如，新设子公司、清算子公司等）及其相关情况：</w:t>
      </w:r>
    </w:p>
    <w:sdt>
      <w:sdtPr>
        <w:rPr>
          <w:rStyle w:val="Char10"/>
        </w:rPr>
        <w:alias w:val="是否适用：其他原因导致的合并范围变动及其相关情况[双击切换]"/>
        <w:tag w:val="_GBC_a178c205f79f4941b8b4edb9c45db613"/>
        <w:id w:val="-673343110"/>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04"/>
        </w:numPr>
        <w:spacing w:before="120"/>
        <w:rPr>
          <w:rStyle w:val="Char10"/>
        </w:rPr>
      </w:pPr>
      <w:r>
        <w:rPr>
          <w:rStyle w:val="Char10"/>
          <w:rFonts w:hint="eastAsia"/>
        </w:rPr>
        <w:t>其他</w:t>
      </w:r>
    </w:p>
    <w:sdt>
      <w:sdtPr>
        <w:rPr>
          <w:rStyle w:val="Char10"/>
          <w:rFonts w:hint="eastAsia"/>
        </w:rPr>
        <w:alias w:val="是否适用：合并范围的变更-其他说明[双击切换]"/>
        <w:tag w:val="_GBC_f93907dc64cd43f0a9e4c85b200aec0c"/>
        <w:id w:val="848909896"/>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4A3868">
      <w:pPr>
        <w:pStyle w:val="Style842"/>
      </w:pPr>
    </w:p>
    <w:p w:rsidR="004A3868" w:rsidRDefault="004A3868">
      <w:pPr>
        <w:sectPr w:rsidR="004A3868">
          <w:pgSz w:w="16838" w:h="11906" w:orient="landscape"/>
          <w:pgMar w:top="1797" w:right="1525" w:bottom="1276" w:left="1440" w:header="856" w:footer="992" w:gutter="0"/>
          <w:cols w:space="425"/>
          <w:docGrid w:linePitch="312"/>
        </w:sectPr>
      </w:pPr>
    </w:p>
    <w:p w:rsidR="004A3868" w:rsidRDefault="003F1AB5">
      <w:pPr>
        <w:pStyle w:val="Style954"/>
      </w:pPr>
      <w:r>
        <w:rPr>
          <w:rFonts w:hint="eastAsia"/>
        </w:rPr>
        <w:lastRenderedPageBreak/>
        <w:t>在其他主体中的权益</w:t>
      </w:r>
    </w:p>
    <w:p w:rsidR="004A3868" w:rsidRDefault="003F1AB5">
      <w:pPr>
        <w:pStyle w:val="Style955"/>
        <w:numPr>
          <w:ilvl w:val="2"/>
          <w:numId w:val="107"/>
        </w:numPr>
        <w:spacing w:before="120"/>
        <w:rPr>
          <w:rStyle w:val="Char10"/>
        </w:rPr>
      </w:pPr>
      <w:r>
        <w:rPr>
          <w:rStyle w:val="Char10"/>
          <w:rFonts w:hint="eastAsia"/>
        </w:rPr>
        <w:t>在子公司中的权益</w:t>
      </w:r>
    </w:p>
    <w:p w:rsidR="004A3868" w:rsidRDefault="003F1AB5">
      <w:pPr>
        <w:pStyle w:val="Style956"/>
        <w:numPr>
          <w:ilvl w:val="3"/>
          <w:numId w:val="108"/>
        </w:numPr>
        <w:rPr>
          <w:rStyle w:val="Char10"/>
        </w:rPr>
      </w:pPr>
      <w:r>
        <w:rPr>
          <w:rStyle w:val="Char10"/>
          <w:rFonts w:hint="eastAsia"/>
        </w:rPr>
        <w:t>企业集团的构成</w:t>
      </w:r>
    </w:p>
    <w:sdt>
      <w:sdtPr>
        <w:rPr>
          <w:rStyle w:val="Char10"/>
        </w:rPr>
        <w:alias w:val="是否适用：企业集团的构成[双击切换]"/>
        <w:tag w:val="_GBC_f4dcd24cd0a6465f817fe278addb6568"/>
        <w:id w:val="1475873450"/>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r>
        <w:rPr>
          <w:rStyle w:val="Char10"/>
          <w:rFonts w:hint="eastAsia"/>
        </w:rPr>
        <w:t>:</w:t>
      </w:r>
      <w:sdt>
        <w:sdtPr>
          <w:rPr>
            <w:rStyle w:val="Char10"/>
            <w:rFonts w:hint="eastAsia"/>
          </w:rPr>
          <w:alias w:val="单位：企业集团的构成"/>
          <w:tag w:val="_GBC_69130484488a4b33b14f19ef0f1abce9"/>
          <w:id w:val="171353894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Style w:val="Char10"/>
          </w:rPr>
        </w:sdtEndPr>
        <w:sdtContent>
          <w:r>
            <w:rPr>
              <w:rStyle w:val="Char10"/>
              <w:rFonts w:hint="eastAsia"/>
            </w:rPr>
            <w:t>万元</w:t>
          </w:r>
        </w:sdtContent>
      </w:sdt>
      <w:r>
        <w:rPr>
          <w:rStyle w:val="Char10"/>
          <w:rFonts w:hint="eastAsia"/>
        </w:rPr>
        <w:t xml:space="preserve">  </w:t>
      </w:r>
      <w:r>
        <w:rPr>
          <w:rStyle w:val="Char10"/>
          <w:rFonts w:hint="eastAsia"/>
        </w:rPr>
        <w:t>币种</w:t>
      </w:r>
      <w:r>
        <w:rPr>
          <w:rStyle w:val="Char10"/>
          <w:rFonts w:hint="eastAsia"/>
        </w:rPr>
        <w:t>:</w:t>
      </w:r>
      <w:sdt>
        <w:sdtPr>
          <w:rPr>
            <w:rStyle w:val="Char10"/>
            <w:rFonts w:hint="eastAsia"/>
          </w:rPr>
          <w:alias w:val="币种：企业集团的构成"/>
          <w:tag w:val="_GBC_3be075e5c9a5407c89e1aab348039bf5"/>
          <w:id w:val="14690916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024"/>
        <w:gridCol w:w="955"/>
        <w:gridCol w:w="1701"/>
        <w:gridCol w:w="993"/>
        <w:gridCol w:w="993"/>
        <w:gridCol w:w="1133"/>
        <w:gridCol w:w="817"/>
        <w:gridCol w:w="1207"/>
      </w:tblGrid>
      <w:tr w:rsidR="004A3868">
        <w:trPr>
          <w:trHeight w:val="397"/>
          <w:jc w:val="center"/>
        </w:trPr>
        <w:sdt>
          <w:sdtPr>
            <w:rPr>
              <w:rStyle w:val="Char10"/>
            </w:rPr>
            <w:tag w:val="_PLD_d102f36c2e2645ad9579603ca28588c8"/>
            <w:id w:val="631912030"/>
            <w:lock w:val="sdtLocked"/>
          </w:sdtPr>
          <w:sdtEndPr>
            <w:rPr>
              <w:rStyle w:val="Char10"/>
            </w:rPr>
          </w:sdtEndPr>
          <w:sdtContent>
            <w:tc>
              <w:tcPr>
                <w:tcW w:w="580" w:type="pct"/>
                <w:vMerge w:val="restart"/>
                <w:shd w:val="clear" w:color="auto" w:fill="auto"/>
                <w:vAlign w:val="center"/>
              </w:tcPr>
              <w:p w:rsidR="004A3868" w:rsidRDefault="003F1AB5">
                <w:pPr>
                  <w:pStyle w:val="Style1226"/>
                  <w:rPr>
                    <w:rStyle w:val="Char10"/>
                  </w:rPr>
                </w:pPr>
                <w:r>
                  <w:rPr>
                    <w:rStyle w:val="Char10"/>
                    <w:rFonts w:hint="eastAsia"/>
                  </w:rPr>
                  <w:t>子公司</w:t>
                </w:r>
              </w:p>
              <w:p w:rsidR="004A3868" w:rsidRDefault="003F1AB5">
                <w:pPr>
                  <w:pStyle w:val="Style1226"/>
                  <w:rPr>
                    <w:rStyle w:val="Char10"/>
                  </w:rPr>
                </w:pPr>
                <w:r>
                  <w:rPr>
                    <w:rStyle w:val="Char10"/>
                    <w:rFonts w:hint="eastAsia"/>
                  </w:rPr>
                  <w:t>名称</w:t>
                </w:r>
              </w:p>
            </w:tc>
          </w:sdtContent>
        </w:sdt>
        <w:sdt>
          <w:sdtPr>
            <w:rPr>
              <w:rStyle w:val="Char10"/>
            </w:rPr>
            <w:tag w:val="_PLD_f2f68356b5494ce8941038ba206c0e79"/>
            <w:id w:val="-152143111"/>
            <w:lock w:val="sdtLocked"/>
          </w:sdtPr>
          <w:sdtEndPr>
            <w:rPr>
              <w:rStyle w:val="Char10"/>
            </w:rPr>
          </w:sdtEndPr>
          <w:sdtContent>
            <w:tc>
              <w:tcPr>
                <w:tcW w:w="541" w:type="pct"/>
                <w:vMerge w:val="restart"/>
                <w:shd w:val="clear" w:color="auto" w:fill="auto"/>
                <w:vAlign w:val="center"/>
              </w:tcPr>
              <w:p w:rsidR="004A3868" w:rsidRDefault="003F1AB5">
                <w:pPr>
                  <w:pStyle w:val="Style1226"/>
                  <w:rPr>
                    <w:rStyle w:val="Char10"/>
                  </w:rPr>
                </w:pPr>
                <w:r>
                  <w:rPr>
                    <w:rStyle w:val="Char10"/>
                    <w:rFonts w:hint="eastAsia"/>
                  </w:rPr>
                  <w:t>主要经营地</w:t>
                </w:r>
              </w:p>
            </w:tc>
          </w:sdtContent>
        </w:sdt>
        <w:tc>
          <w:tcPr>
            <w:tcW w:w="964" w:type="pct"/>
            <w:vMerge w:val="restart"/>
            <w:vAlign w:val="center"/>
          </w:tcPr>
          <w:sdt>
            <w:sdtPr>
              <w:rPr>
                <w:rStyle w:val="Char10"/>
                <w:rFonts w:hint="eastAsia"/>
              </w:rPr>
              <w:tag w:val="_PLD_e8bcd6ecc6b44104942668e86b86bbbe"/>
              <w:id w:val="256576649"/>
              <w:lock w:val="sdtLocked"/>
            </w:sdtPr>
            <w:sdtEndPr>
              <w:rPr>
                <w:rStyle w:val="Char10"/>
              </w:rPr>
            </w:sdtEndPr>
            <w:sdtContent>
              <w:p w:rsidR="004A3868" w:rsidRDefault="003F1AB5">
                <w:pPr>
                  <w:pStyle w:val="Style1226"/>
                  <w:rPr>
                    <w:rStyle w:val="Char10"/>
                  </w:rPr>
                </w:pPr>
                <w:r>
                  <w:rPr>
                    <w:rStyle w:val="Char10"/>
                    <w:rFonts w:hint="eastAsia"/>
                  </w:rPr>
                  <w:t>注册资本</w:t>
                </w:r>
              </w:p>
            </w:sdtContent>
          </w:sdt>
        </w:tc>
        <w:sdt>
          <w:sdtPr>
            <w:rPr>
              <w:rStyle w:val="Char10"/>
            </w:rPr>
            <w:tag w:val="_PLD_e9cbfd017bcc45b9be4599d5ee950f92"/>
            <w:id w:val="988292523"/>
            <w:lock w:val="sdtLocked"/>
          </w:sdtPr>
          <w:sdtEndPr>
            <w:rPr>
              <w:rStyle w:val="Char10"/>
            </w:rPr>
          </w:sdtEndPr>
          <w:sdtContent>
            <w:tc>
              <w:tcPr>
                <w:tcW w:w="563" w:type="pct"/>
                <w:vMerge w:val="restart"/>
                <w:shd w:val="clear" w:color="auto" w:fill="auto"/>
                <w:vAlign w:val="center"/>
              </w:tcPr>
              <w:p w:rsidR="004A3868" w:rsidRDefault="003F1AB5">
                <w:pPr>
                  <w:pStyle w:val="Style1226"/>
                  <w:rPr>
                    <w:rStyle w:val="Char10"/>
                  </w:rPr>
                </w:pPr>
                <w:r>
                  <w:rPr>
                    <w:rStyle w:val="Char10"/>
                    <w:rFonts w:hint="eastAsia"/>
                  </w:rPr>
                  <w:t>注册地</w:t>
                </w:r>
              </w:p>
            </w:tc>
          </w:sdtContent>
        </w:sdt>
        <w:sdt>
          <w:sdtPr>
            <w:rPr>
              <w:rStyle w:val="Char10"/>
            </w:rPr>
            <w:tag w:val="_PLD_da5558f3e8f24c30b756f825b0ebca03"/>
            <w:id w:val="1739137166"/>
            <w:lock w:val="sdtLocked"/>
          </w:sdtPr>
          <w:sdtEndPr>
            <w:rPr>
              <w:rStyle w:val="Char10"/>
            </w:rPr>
          </w:sdtEndPr>
          <w:sdtContent>
            <w:tc>
              <w:tcPr>
                <w:tcW w:w="563" w:type="pct"/>
                <w:vMerge w:val="restart"/>
                <w:shd w:val="clear" w:color="auto" w:fill="auto"/>
                <w:vAlign w:val="center"/>
              </w:tcPr>
              <w:p w:rsidR="004A3868" w:rsidRDefault="003F1AB5">
                <w:pPr>
                  <w:pStyle w:val="Style1226"/>
                  <w:rPr>
                    <w:rStyle w:val="Char10"/>
                  </w:rPr>
                </w:pPr>
                <w:r>
                  <w:rPr>
                    <w:rStyle w:val="Char10"/>
                    <w:rFonts w:hint="eastAsia"/>
                  </w:rPr>
                  <w:t>业务性质</w:t>
                </w:r>
              </w:p>
            </w:tc>
          </w:sdtContent>
        </w:sdt>
        <w:sdt>
          <w:sdtPr>
            <w:rPr>
              <w:rStyle w:val="Char10"/>
            </w:rPr>
            <w:tag w:val="_PLD_817e427c8eff4fd1875d12860133e99e"/>
            <w:id w:val="870272401"/>
            <w:lock w:val="sdtLocked"/>
          </w:sdtPr>
          <w:sdtEndPr>
            <w:rPr>
              <w:rStyle w:val="Char10"/>
            </w:rPr>
          </w:sdtEndPr>
          <w:sdtContent>
            <w:tc>
              <w:tcPr>
                <w:tcW w:w="1105" w:type="pct"/>
                <w:gridSpan w:val="2"/>
                <w:shd w:val="clear" w:color="auto" w:fill="auto"/>
                <w:vAlign w:val="center"/>
              </w:tcPr>
              <w:p w:rsidR="004A3868" w:rsidRDefault="003F1AB5">
                <w:pPr>
                  <w:pStyle w:val="Style1226"/>
                  <w:rPr>
                    <w:rStyle w:val="Char10"/>
                  </w:rPr>
                </w:pPr>
                <w:r>
                  <w:rPr>
                    <w:rStyle w:val="Char10"/>
                    <w:rFonts w:hint="eastAsia"/>
                  </w:rPr>
                  <w:t>持股比例</w:t>
                </w:r>
                <w:r>
                  <w:rPr>
                    <w:rStyle w:val="Char10"/>
                  </w:rPr>
                  <w:t>(%)</w:t>
                </w:r>
              </w:p>
            </w:tc>
          </w:sdtContent>
        </w:sdt>
        <w:sdt>
          <w:sdtPr>
            <w:rPr>
              <w:rStyle w:val="Char10"/>
            </w:rPr>
            <w:tag w:val="_PLD_0bb5e453efe4450ba0d853b98eb2c2b0"/>
            <w:id w:val="343666916"/>
            <w:lock w:val="sdtLocked"/>
          </w:sdtPr>
          <w:sdtEndPr>
            <w:rPr>
              <w:rStyle w:val="Char10"/>
            </w:rPr>
          </w:sdtEndPr>
          <w:sdtContent>
            <w:tc>
              <w:tcPr>
                <w:tcW w:w="684" w:type="pct"/>
                <w:vMerge w:val="restart"/>
                <w:shd w:val="clear" w:color="auto" w:fill="auto"/>
                <w:vAlign w:val="center"/>
              </w:tcPr>
              <w:p w:rsidR="004A3868" w:rsidRDefault="003F1AB5">
                <w:pPr>
                  <w:pStyle w:val="Style1226"/>
                  <w:rPr>
                    <w:rStyle w:val="Char10"/>
                  </w:rPr>
                </w:pPr>
                <w:r>
                  <w:rPr>
                    <w:rStyle w:val="Char10"/>
                    <w:rFonts w:hint="eastAsia"/>
                  </w:rPr>
                  <w:t>取得</w:t>
                </w:r>
              </w:p>
              <w:p w:rsidR="004A3868" w:rsidRDefault="003F1AB5">
                <w:pPr>
                  <w:pStyle w:val="Style1226"/>
                  <w:rPr>
                    <w:rStyle w:val="Char10"/>
                  </w:rPr>
                </w:pPr>
                <w:r>
                  <w:rPr>
                    <w:rStyle w:val="Char10"/>
                    <w:rFonts w:hint="eastAsia"/>
                  </w:rPr>
                  <w:t>方式</w:t>
                </w:r>
              </w:p>
            </w:tc>
          </w:sdtContent>
        </w:sdt>
      </w:tr>
      <w:tr w:rsidR="004A3868">
        <w:trPr>
          <w:trHeight w:val="397"/>
          <w:jc w:val="center"/>
        </w:trPr>
        <w:tc>
          <w:tcPr>
            <w:tcW w:w="580" w:type="pct"/>
            <w:vMerge/>
            <w:shd w:val="clear" w:color="auto" w:fill="auto"/>
            <w:vAlign w:val="center"/>
          </w:tcPr>
          <w:p w:rsidR="004A3868" w:rsidRDefault="004A3868">
            <w:pPr>
              <w:pStyle w:val="Style842"/>
              <w:rPr>
                <w:rStyle w:val="Char10"/>
              </w:rPr>
            </w:pPr>
          </w:p>
        </w:tc>
        <w:tc>
          <w:tcPr>
            <w:tcW w:w="541" w:type="pct"/>
            <w:vMerge/>
            <w:shd w:val="clear" w:color="auto" w:fill="auto"/>
            <w:vAlign w:val="center"/>
          </w:tcPr>
          <w:p w:rsidR="004A3868" w:rsidRDefault="004A3868">
            <w:pPr>
              <w:pStyle w:val="Style842"/>
              <w:rPr>
                <w:rStyle w:val="Char10"/>
              </w:rPr>
            </w:pPr>
          </w:p>
        </w:tc>
        <w:tc>
          <w:tcPr>
            <w:tcW w:w="964" w:type="pct"/>
            <w:vMerge/>
          </w:tcPr>
          <w:p w:rsidR="004A3868" w:rsidRDefault="004A3868">
            <w:pPr>
              <w:pStyle w:val="Style842"/>
              <w:rPr>
                <w:rStyle w:val="Char10"/>
              </w:rPr>
            </w:pPr>
          </w:p>
        </w:tc>
        <w:tc>
          <w:tcPr>
            <w:tcW w:w="563" w:type="pct"/>
            <w:vMerge/>
            <w:shd w:val="clear" w:color="auto" w:fill="auto"/>
            <w:vAlign w:val="center"/>
          </w:tcPr>
          <w:p w:rsidR="004A3868" w:rsidRDefault="004A3868">
            <w:pPr>
              <w:pStyle w:val="Style842"/>
              <w:rPr>
                <w:rStyle w:val="Char10"/>
              </w:rPr>
            </w:pPr>
          </w:p>
        </w:tc>
        <w:tc>
          <w:tcPr>
            <w:tcW w:w="563" w:type="pct"/>
            <w:vMerge/>
            <w:shd w:val="clear" w:color="auto" w:fill="auto"/>
            <w:vAlign w:val="center"/>
          </w:tcPr>
          <w:p w:rsidR="004A3868" w:rsidRDefault="004A3868">
            <w:pPr>
              <w:pStyle w:val="Style842"/>
              <w:rPr>
                <w:rStyle w:val="Char10"/>
              </w:rPr>
            </w:pPr>
          </w:p>
        </w:tc>
        <w:sdt>
          <w:sdtPr>
            <w:rPr>
              <w:rStyle w:val="Char10"/>
            </w:rPr>
            <w:tag w:val="_PLD_3f641d83162f4ae3a8840b93258d7ced"/>
            <w:id w:val="-1039587057"/>
            <w:lock w:val="sdtLocked"/>
          </w:sdtPr>
          <w:sdtEndPr>
            <w:rPr>
              <w:rStyle w:val="Char10"/>
            </w:rPr>
          </w:sdtEndPr>
          <w:sdtContent>
            <w:tc>
              <w:tcPr>
                <w:tcW w:w="642" w:type="pct"/>
                <w:shd w:val="clear" w:color="auto" w:fill="auto"/>
                <w:vAlign w:val="center"/>
              </w:tcPr>
              <w:p w:rsidR="004A3868" w:rsidRDefault="003F1AB5">
                <w:pPr>
                  <w:pStyle w:val="Style1226"/>
                  <w:rPr>
                    <w:rStyle w:val="Char10"/>
                  </w:rPr>
                </w:pPr>
                <w:r>
                  <w:rPr>
                    <w:rStyle w:val="Char10"/>
                    <w:rFonts w:hint="eastAsia"/>
                  </w:rPr>
                  <w:t>直接</w:t>
                </w:r>
              </w:p>
            </w:tc>
          </w:sdtContent>
        </w:sdt>
        <w:sdt>
          <w:sdtPr>
            <w:rPr>
              <w:rStyle w:val="Char10"/>
            </w:rPr>
            <w:tag w:val="_PLD_ebc96648c2794ae08bfb57e63f0a34c5"/>
            <w:id w:val="2042707816"/>
            <w:lock w:val="sdtLocked"/>
          </w:sdtPr>
          <w:sdtEndPr>
            <w:rPr>
              <w:rStyle w:val="Char10"/>
            </w:rPr>
          </w:sdtEndPr>
          <w:sdtContent>
            <w:tc>
              <w:tcPr>
                <w:tcW w:w="463" w:type="pct"/>
                <w:shd w:val="clear" w:color="auto" w:fill="auto"/>
                <w:vAlign w:val="center"/>
              </w:tcPr>
              <w:p w:rsidR="004A3868" w:rsidRDefault="003F1AB5">
                <w:pPr>
                  <w:pStyle w:val="Style1226"/>
                  <w:rPr>
                    <w:rStyle w:val="Char10"/>
                  </w:rPr>
                </w:pPr>
                <w:r>
                  <w:rPr>
                    <w:rStyle w:val="Char10"/>
                    <w:rFonts w:hint="eastAsia"/>
                  </w:rPr>
                  <w:t>间接</w:t>
                </w:r>
              </w:p>
            </w:tc>
          </w:sdtContent>
        </w:sdt>
        <w:tc>
          <w:tcPr>
            <w:tcW w:w="684" w:type="pct"/>
            <w:vMerge/>
          </w:tcPr>
          <w:p w:rsidR="004A3868" w:rsidRDefault="004A3868">
            <w:pPr>
              <w:pStyle w:val="Style842"/>
              <w:rPr>
                <w:rStyle w:val="Char10"/>
              </w:rPr>
            </w:pPr>
          </w:p>
        </w:tc>
      </w:tr>
      <w:tr w:rsidR="004A3868">
        <w:trPr>
          <w:trHeight w:val="397"/>
          <w:jc w:val="center"/>
        </w:trPr>
        <w:tc>
          <w:tcPr>
            <w:tcW w:w="580" w:type="pct"/>
            <w:vAlign w:val="center"/>
          </w:tcPr>
          <w:p w:rsidR="004A3868" w:rsidRDefault="003F1AB5">
            <w:pPr>
              <w:pStyle w:val="Style1226"/>
              <w:rPr>
                <w:rStyle w:val="Char10"/>
              </w:rPr>
            </w:pPr>
            <w:r>
              <w:rPr>
                <w:rStyle w:val="Char10"/>
              </w:rPr>
              <w:t>重庆惠泽电器有限公司</w:t>
            </w:r>
          </w:p>
        </w:tc>
        <w:tc>
          <w:tcPr>
            <w:tcW w:w="541" w:type="pct"/>
            <w:vAlign w:val="center"/>
          </w:tcPr>
          <w:p w:rsidR="004A3868" w:rsidRDefault="003F1AB5">
            <w:pPr>
              <w:pStyle w:val="Style1226"/>
              <w:rPr>
                <w:rStyle w:val="Char10"/>
              </w:rPr>
            </w:pPr>
            <w:r>
              <w:rPr>
                <w:rStyle w:val="Char10"/>
              </w:rPr>
              <w:t>重庆市</w:t>
            </w:r>
          </w:p>
        </w:tc>
        <w:tc>
          <w:tcPr>
            <w:tcW w:w="964" w:type="pct"/>
            <w:vAlign w:val="center"/>
          </w:tcPr>
          <w:p w:rsidR="004A3868" w:rsidRDefault="003F1AB5">
            <w:pPr>
              <w:pStyle w:val="Style1222"/>
              <w:rPr>
                <w:rStyle w:val="Char10"/>
              </w:rPr>
            </w:pPr>
            <w:r>
              <w:rPr>
                <w:rStyle w:val="Char10"/>
              </w:rPr>
              <w:t>4,000.00</w:t>
            </w:r>
          </w:p>
        </w:tc>
        <w:tc>
          <w:tcPr>
            <w:tcW w:w="563" w:type="pct"/>
            <w:vAlign w:val="center"/>
          </w:tcPr>
          <w:p w:rsidR="004A3868" w:rsidRDefault="003F1AB5">
            <w:pPr>
              <w:pStyle w:val="Style1226"/>
              <w:rPr>
                <w:rStyle w:val="Char10"/>
              </w:rPr>
            </w:pPr>
            <w:r>
              <w:rPr>
                <w:rStyle w:val="Char10"/>
              </w:rPr>
              <w:t>重庆市</w:t>
            </w:r>
          </w:p>
        </w:tc>
        <w:tc>
          <w:tcPr>
            <w:tcW w:w="563" w:type="pct"/>
            <w:vAlign w:val="center"/>
          </w:tcPr>
          <w:p w:rsidR="004A3868" w:rsidRDefault="003F1AB5">
            <w:pPr>
              <w:pStyle w:val="Style1226"/>
              <w:rPr>
                <w:rStyle w:val="Char10"/>
              </w:rPr>
            </w:pPr>
            <w:r>
              <w:rPr>
                <w:rStyle w:val="Char10"/>
              </w:rPr>
              <w:t>制造业</w:t>
            </w:r>
          </w:p>
        </w:tc>
        <w:tc>
          <w:tcPr>
            <w:tcW w:w="642" w:type="pct"/>
            <w:vAlign w:val="center"/>
          </w:tcPr>
          <w:p w:rsidR="004A3868" w:rsidRDefault="003F1AB5">
            <w:pPr>
              <w:pStyle w:val="Style1226"/>
              <w:rPr>
                <w:rStyle w:val="Char10"/>
              </w:rPr>
            </w:pPr>
            <w:r>
              <w:rPr>
                <w:rStyle w:val="Char10"/>
              </w:rPr>
              <w:t>100</w:t>
            </w:r>
          </w:p>
        </w:tc>
        <w:tc>
          <w:tcPr>
            <w:tcW w:w="463" w:type="pct"/>
            <w:vAlign w:val="center"/>
          </w:tcPr>
          <w:p w:rsidR="004A3868" w:rsidRDefault="004A3868">
            <w:pPr>
              <w:pStyle w:val="Style1226"/>
              <w:rPr>
                <w:rStyle w:val="Char10"/>
              </w:rPr>
            </w:pPr>
          </w:p>
        </w:tc>
        <w:tc>
          <w:tcPr>
            <w:tcW w:w="684" w:type="pct"/>
            <w:vAlign w:val="center"/>
          </w:tcPr>
          <w:p w:rsidR="004A3868" w:rsidRDefault="003F1AB5">
            <w:pPr>
              <w:pStyle w:val="Style1226"/>
              <w:rPr>
                <w:rStyle w:val="Char10"/>
              </w:rPr>
            </w:pPr>
            <w:r>
              <w:rPr>
                <w:rStyle w:val="Char10"/>
              </w:rPr>
              <w:t>同一控制下合并</w:t>
            </w:r>
          </w:p>
        </w:tc>
      </w:tr>
      <w:tr w:rsidR="004A3868">
        <w:trPr>
          <w:trHeight w:val="397"/>
          <w:jc w:val="center"/>
        </w:trPr>
        <w:tc>
          <w:tcPr>
            <w:tcW w:w="580" w:type="pct"/>
            <w:vAlign w:val="center"/>
          </w:tcPr>
          <w:p w:rsidR="004A3868" w:rsidRDefault="003F1AB5">
            <w:pPr>
              <w:pStyle w:val="Style1226"/>
              <w:rPr>
                <w:rStyle w:val="Char10"/>
              </w:rPr>
            </w:pPr>
            <w:r>
              <w:rPr>
                <w:rStyle w:val="Char10"/>
              </w:rPr>
              <w:t>黔南望江变压器有限公司</w:t>
            </w:r>
          </w:p>
        </w:tc>
        <w:tc>
          <w:tcPr>
            <w:tcW w:w="541" w:type="pct"/>
            <w:vAlign w:val="center"/>
          </w:tcPr>
          <w:p w:rsidR="004A3868" w:rsidRDefault="003F1AB5">
            <w:pPr>
              <w:pStyle w:val="Style1226"/>
              <w:rPr>
                <w:rStyle w:val="Char10"/>
              </w:rPr>
            </w:pPr>
            <w:r>
              <w:rPr>
                <w:rStyle w:val="Char10"/>
              </w:rPr>
              <w:t>都匀市</w:t>
            </w:r>
          </w:p>
        </w:tc>
        <w:tc>
          <w:tcPr>
            <w:tcW w:w="964" w:type="pct"/>
            <w:vAlign w:val="center"/>
          </w:tcPr>
          <w:p w:rsidR="004A3868" w:rsidRDefault="003F1AB5">
            <w:pPr>
              <w:pStyle w:val="Style1222"/>
              <w:rPr>
                <w:rStyle w:val="Char10"/>
              </w:rPr>
            </w:pPr>
            <w:r>
              <w:rPr>
                <w:rStyle w:val="Char10"/>
              </w:rPr>
              <w:t>6,000.00</w:t>
            </w:r>
          </w:p>
        </w:tc>
        <w:tc>
          <w:tcPr>
            <w:tcW w:w="563" w:type="pct"/>
            <w:vAlign w:val="center"/>
          </w:tcPr>
          <w:p w:rsidR="004A3868" w:rsidRDefault="003F1AB5">
            <w:pPr>
              <w:pStyle w:val="Style1226"/>
              <w:rPr>
                <w:rStyle w:val="Char10"/>
              </w:rPr>
            </w:pPr>
            <w:r>
              <w:rPr>
                <w:rStyle w:val="Char10"/>
              </w:rPr>
              <w:t>都匀市</w:t>
            </w:r>
          </w:p>
        </w:tc>
        <w:tc>
          <w:tcPr>
            <w:tcW w:w="563" w:type="pct"/>
            <w:vAlign w:val="center"/>
          </w:tcPr>
          <w:p w:rsidR="004A3868" w:rsidRDefault="003F1AB5">
            <w:pPr>
              <w:pStyle w:val="Style1226"/>
              <w:rPr>
                <w:rStyle w:val="Char10"/>
              </w:rPr>
            </w:pPr>
            <w:r>
              <w:rPr>
                <w:rStyle w:val="Char10"/>
              </w:rPr>
              <w:t>制造业</w:t>
            </w:r>
          </w:p>
        </w:tc>
        <w:tc>
          <w:tcPr>
            <w:tcW w:w="642" w:type="pct"/>
            <w:vAlign w:val="center"/>
          </w:tcPr>
          <w:p w:rsidR="004A3868" w:rsidRDefault="003F1AB5">
            <w:pPr>
              <w:pStyle w:val="Style1226"/>
              <w:rPr>
                <w:rStyle w:val="Char10"/>
              </w:rPr>
            </w:pPr>
            <w:r>
              <w:rPr>
                <w:rStyle w:val="Char10"/>
              </w:rPr>
              <w:t>100</w:t>
            </w:r>
          </w:p>
        </w:tc>
        <w:tc>
          <w:tcPr>
            <w:tcW w:w="463" w:type="pct"/>
            <w:vAlign w:val="center"/>
          </w:tcPr>
          <w:p w:rsidR="004A3868" w:rsidRDefault="004A3868">
            <w:pPr>
              <w:pStyle w:val="Style1226"/>
              <w:rPr>
                <w:rStyle w:val="Char10"/>
              </w:rPr>
            </w:pPr>
          </w:p>
        </w:tc>
        <w:tc>
          <w:tcPr>
            <w:tcW w:w="684" w:type="pct"/>
            <w:vAlign w:val="center"/>
          </w:tcPr>
          <w:p w:rsidR="004A3868" w:rsidRDefault="003F1AB5">
            <w:pPr>
              <w:pStyle w:val="Style1226"/>
              <w:rPr>
                <w:rStyle w:val="Char10"/>
              </w:rPr>
            </w:pPr>
            <w:r>
              <w:rPr>
                <w:rStyle w:val="Char10"/>
              </w:rPr>
              <w:t>同一控制下合并</w:t>
            </w:r>
          </w:p>
        </w:tc>
      </w:tr>
    </w:tbl>
    <w:p w:rsidR="004A3868" w:rsidRDefault="003F1AB5">
      <w:pPr>
        <w:pStyle w:val="Style842"/>
        <w:rPr>
          <w:rStyle w:val="Char10"/>
        </w:rPr>
      </w:pPr>
      <w:r>
        <w:rPr>
          <w:rStyle w:val="Char10"/>
          <w:rFonts w:hint="eastAsia"/>
        </w:rPr>
        <w:t>在子公司的持股比例不同于表决权比例的说明：</w:t>
      </w:r>
    </w:p>
    <w:p w:rsidR="004A3868" w:rsidRDefault="00B34370">
      <w:pPr>
        <w:pStyle w:val="Style842"/>
        <w:rPr>
          <w:rStyle w:val="Char10"/>
        </w:rPr>
      </w:pPr>
      <w:sdt>
        <w:sdtPr>
          <w:rPr>
            <w:rStyle w:val="Char10"/>
          </w:rPr>
          <w:alias w:val="在子公司的持股比例不同于表决权比例的说明"/>
          <w:tag w:val="_GBC_b7be591163dc47e4b00f98006e6fbb0b"/>
          <w:id w:val="-770861955"/>
          <w:placeholder>
            <w:docPart w:val="GBC22222222222222222222222222222"/>
          </w:placeholder>
        </w:sdtPr>
        <w:sdtEndPr>
          <w:rPr>
            <w:rStyle w:val="Char10"/>
          </w:rPr>
        </w:sdtEndPr>
        <w:sdtContent>
          <w:r w:rsidR="003F1AB5">
            <w:rPr>
              <w:rStyle w:val="Char10"/>
              <w:rFonts w:hint="eastAsia"/>
            </w:rPr>
            <w:t>无</w:t>
          </w:r>
        </w:sdtContent>
      </w:sdt>
    </w:p>
    <w:p w:rsidR="004A3868" w:rsidRDefault="003F1AB5">
      <w:pPr>
        <w:pStyle w:val="Style842"/>
        <w:rPr>
          <w:rStyle w:val="Char10"/>
        </w:rPr>
      </w:pPr>
      <w:r>
        <w:rPr>
          <w:rStyle w:val="Char10"/>
          <w:rFonts w:hint="eastAsia"/>
        </w:rPr>
        <w:t>持有半数或以下表决权但仍控制被投资单位、以及持有半数以上表决权但不控制被投资单位的依据：</w:t>
      </w:r>
    </w:p>
    <w:sdt>
      <w:sdtPr>
        <w:rPr>
          <w:rStyle w:val="Char10"/>
        </w:rPr>
        <w:alias w:val="持有半数或以下表决权但仍控制被投资单位、以及持有半数以上表决权但不控制被投资单位的依据"/>
        <w:tag w:val="_GBC_e9c6ba07b58c4f8e9e3004170d14542b"/>
        <w:id w:val="-718658926"/>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p w:rsidR="004A3868" w:rsidRDefault="003F1AB5">
      <w:pPr>
        <w:pStyle w:val="Style842"/>
        <w:rPr>
          <w:rStyle w:val="Char10"/>
        </w:rPr>
      </w:pPr>
      <w:r>
        <w:rPr>
          <w:rStyle w:val="Char10"/>
          <w:rFonts w:hint="eastAsia"/>
        </w:rPr>
        <w:t>对于纳入合并范围的重要的结构化主体，控制的依据：</w:t>
      </w:r>
    </w:p>
    <w:sdt>
      <w:sdtPr>
        <w:rPr>
          <w:rStyle w:val="Char10"/>
          <w:rFonts w:hint="eastAsia"/>
        </w:rPr>
        <w:alias w:val="对于纳入合并范围的重要的结构化主体，控制的依据"/>
        <w:tag w:val="_GBC_254d83ec47cd4003902f2d0f6017d432"/>
        <w:id w:val="2121336481"/>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p w:rsidR="004A3868" w:rsidRDefault="003F1AB5">
      <w:pPr>
        <w:pStyle w:val="Style842"/>
        <w:rPr>
          <w:rStyle w:val="Char10"/>
        </w:rPr>
      </w:pPr>
      <w:r>
        <w:rPr>
          <w:rStyle w:val="Char10"/>
          <w:rFonts w:hint="eastAsia"/>
        </w:rPr>
        <w:t>确定公司是代理人还是委托人的依据：</w:t>
      </w:r>
    </w:p>
    <w:sdt>
      <w:sdtPr>
        <w:rPr>
          <w:rFonts w:hint="eastAsia"/>
        </w:rPr>
        <w:alias w:val="确定公司是代理人还是委托人的依据"/>
        <w:tag w:val="_GBC_f515cb0c8a654271b5991b0accabe800"/>
        <w:id w:val="-1925337714"/>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42"/>
            <w:rPr>
              <w:rStyle w:val="Char10"/>
            </w:rPr>
          </w:pPr>
          <w:r>
            <w:rPr>
              <w:rStyle w:val="Char10"/>
              <w:rFonts w:hint="eastAsia"/>
            </w:rPr>
            <w:t>无</w:t>
          </w:r>
        </w:p>
      </w:sdtContent>
    </w:sdt>
    <w:p w:rsidR="004A3868" w:rsidRDefault="003F1AB5">
      <w:pPr>
        <w:pStyle w:val="Style842"/>
        <w:rPr>
          <w:rStyle w:val="Char10"/>
        </w:rPr>
      </w:pPr>
      <w:r>
        <w:rPr>
          <w:rStyle w:val="Char10"/>
          <w:rFonts w:hint="eastAsia"/>
        </w:rPr>
        <w:t>其他说明：</w:t>
      </w:r>
    </w:p>
    <w:sdt>
      <w:sdtPr>
        <w:alias w:val="企业集团的构成的其他需要说明的事项"/>
        <w:tag w:val="_GBC_7dc3099f920f4546b2a983c0eb4c2ce0"/>
        <w:id w:val="-1914461334"/>
        <w:placeholder>
          <w:docPart w:val="GBC22222222222222222222222222222"/>
        </w:placeholder>
      </w:sdtPr>
      <w:sdtEndPr>
        <w:rPr>
          <w:rStyle w:val="Char10"/>
          <w:rFonts w:ascii="Times New Roman" w:hAnsi="Times New Roman"/>
          <w:kern w:val="2"/>
          <w:sz w:val="21"/>
          <w:szCs w:val="21"/>
        </w:rPr>
      </w:sdtEndPr>
      <w:sdtContent>
        <w:p w:rsidR="004A3868" w:rsidRDefault="003F1AB5">
          <w:pPr>
            <w:rPr>
              <w:rStyle w:val="Char10"/>
            </w:rPr>
          </w:pPr>
          <w:r>
            <w:rPr>
              <w:rStyle w:val="Char10"/>
              <w:rFonts w:hint="eastAsia"/>
            </w:rPr>
            <w:t>无</w:t>
          </w:r>
        </w:p>
      </w:sdtContent>
    </w:sdt>
    <w:p w:rsidR="004A3868" w:rsidRDefault="003F1AB5">
      <w:pPr>
        <w:pStyle w:val="Style956"/>
        <w:numPr>
          <w:ilvl w:val="3"/>
          <w:numId w:val="108"/>
        </w:numPr>
        <w:rPr>
          <w:rStyle w:val="Char10"/>
        </w:rPr>
      </w:pPr>
      <w:r>
        <w:rPr>
          <w:rStyle w:val="Char10"/>
          <w:rFonts w:hint="eastAsia"/>
        </w:rPr>
        <w:t>重要的非全资子公司</w:t>
      </w:r>
    </w:p>
    <w:sdt>
      <w:sdtPr>
        <w:rPr>
          <w:rStyle w:val="Char10"/>
        </w:rPr>
        <w:alias w:val="是否适用：重要的非全资子公司[双击切换]"/>
        <w:tag w:val="_GBC_51a84bfe201248b8bd5edb53b6cd6283"/>
        <w:id w:val="-1972668290"/>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08"/>
        </w:numPr>
        <w:rPr>
          <w:rStyle w:val="Char10"/>
        </w:rPr>
      </w:pPr>
      <w:r>
        <w:rPr>
          <w:rStyle w:val="Char10"/>
          <w:rFonts w:hint="eastAsia"/>
        </w:rPr>
        <w:t>重要非全资子公司的主要财务信息</w:t>
      </w:r>
    </w:p>
    <w:sdt>
      <w:sdtPr>
        <w:rPr>
          <w:rStyle w:val="Char10"/>
        </w:rPr>
        <w:alias w:val="是否适用：重要非全资子公司的主要财务信息[双击切换]"/>
        <w:tag w:val="_GBC_04ab753eff3c46fda94161ee757bd1fa"/>
        <w:id w:val="-502512936"/>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08"/>
        </w:numPr>
        <w:rPr>
          <w:rStyle w:val="Char10"/>
        </w:rPr>
      </w:pPr>
      <w:r>
        <w:rPr>
          <w:rStyle w:val="Char10"/>
          <w:rFonts w:hint="eastAsia"/>
        </w:rPr>
        <w:t>使用企业集团资产和清偿企业集团债务的重大限制</w:t>
      </w:r>
    </w:p>
    <w:sdt>
      <w:sdtPr>
        <w:rPr>
          <w:rStyle w:val="Char10"/>
        </w:rPr>
        <w:alias w:val="是否适用：使用企业集团资产和清偿企业集团债务的重大限制[双击切换]"/>
        <w:tag w:val="_GBC_0dc24609295b4971a9a7ef9a15e4f46f"/>
        <w:id w:val="-1700311670"/>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08"/>
        </w:numPr>
        <w:rPr>
          <w:rStyle w:val="Char10"/>
        </w:rPr>
      </w:pPr>
      <w:r>
        <w:rPr>
          <w:rStyle w:val="Char10"/>
          <w:rFonts w:hint="eastAsia"/>
        </w:rPr>
        <w:t>向纳入合并财务报表范围的结构化主体提供的财务支持或其他支持</w:t>
      </w:r>
    </w:p>
    <w:sdt>
      <w:sdtPr>
        <w:rPr>
          <w:rStyle w:val="Char10"/>
          <w:rFonts w:hint="eastAsia"/>
        </w:rPr>
        <w:alias w:val="是否适用：向纳入合并财务报表范围的结构化主体提供的财务支持或其他支持[双击切换]"/>
        <w:tag w:val="_GBC_395393741a9c49d1bd1b845f818ade1e"/>
        <w:id w:val="-36583859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其他说明：</w:t>
      </w:r>
    </w:p>
    <w:sdt>
      <w:sdtPr>
        <w:rPr>
          <w:rStyle w:val="Char10"/>
        </w:rPr>
        <w:alias w:val="是否适用：在子公司中的权益其他说明[双击切换]"/>
        <w:tag w:val="_GBC_b26ad9d381c8467f9c05b435b2cb6493"/>
        <w:id w:val="1590661663"/>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2"/>
          <w:numId w:val="107"/>
        </w:numPr>
        <w:spacing w:before="120"/>
        <w:rPr>
          <w:rStyle w:val="Char10"/>
        </w:rPr>
      </w:pPr>
      <w:r>
        <w:rPr>
          <w:rStyle w:val="Char10"/>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233591560"/>
        <w:placeholder>
          <w:docPart w:val="GBC22222222222222222222222222222"/>
        </w:placeholder>
      </w:sdtPr>
      <w:sdtEndPr/>
      <w:sdtContent>
        <w:p w:rsidR="004A3868" w:rsidRDefault="003F1AB5">
          <w:pPr>
            <w:pStyle w:val="Style853"/>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Fonts w:ascii="宋体" w:eastAsia="宋体" w:hAnsi="宋体" w:cs="宋体" w:hint="eastAsia"/>
          <w:b w:val="0"/>
          <w:bCs w:val="0"/>
          <w:kern w:val="0"/>
          <w:sz w:val="24"/>
          <w:szCs w:val="24"/>
        </w:rPr>
        <w:alias w:val="模块:在子公司所有者权益份额的变化情况的说明"/>
        <w:tag w:val="_GBC_97caac97575742839d3ba3c28ee39a60"/>
        <w:id w:val="-1551680434"/>
        <w:lock w:val="sdtLocked"/>
        <w:placeholder>
          <w:docPart w:val="BDFDC1F3631947A3A535FFBA6E404A1F"/>
        </w:placeholder>
      </w:sdtPr>
      <w:sdtEndPr>
        <w:rPr>
          <w:rStyle w:val="Char10"/>
          <w:rFonts w:ascii="Times New Roman" w:hAnsi="Times New Roman"/>
          <w:kern w:val="2"/>
          <w:sz w:val="21"/>
          <w:szCs w:val="21"/>
        </w:rPr>
      </w:sdtEndPr>
      <w:sdtContent>
        <w:p w:rsidR="004A3868" w:rsidRDefault="003F1AB5">
          <w:pPr>
            <w:pStyle w:val="Style846"/>
            <w:numPr>
              <w:ilvl w:val="0"/>
              <w:numId w:val="109"/>
            </w:numPr>
            <w:rPr>
              <w:rStyle w:val="Char20"/>
            </w:rPr>
          </w:pPr>
          <w:r>
            <w:rPr>
              <w:rStyle w:val="Char20"/>
              <w:rFonts w:hint="eastAsia"/>
            </w:rPr>
            <w:t>在子公司所有者权益份额的变化情况的说明</w:t>
          </w:r>
        </w:p>
        <w:sdt>
          <w:sdtPr>
            <w:rPr>
              <w:rStyle w:val="Char20"/>
              <w:rFonts w:hint="eastAsia"/>
            </w:rPr>
            <w:alias w:val="是否适用：在子公司所有者权益份额的变化情况的说明[双击切换]"/>
            <w:tag w:val="_GBC_8fcd7586a7a04450a37f9fb53e3ddd9d"/>
            <w:id w:val="-1597251527"/>
            <w:lock w:val="sdtLocked"/>
            <w:placeholder>
              <w:docPart w:val="BDFDC1F3631947A3A535FFBA6E404A1F"/>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sdt>
          <w:sdtPr>
            <w:alias w:val="在子公司所有者权益份额的变化情况的说明"/>
            <w:tag w:val="_GBC_841b13bceaa744e7899c18aef7689caf"/>
            <w:id w:val="1359543060"/>
            <w:lock w:val="sdtLocked"/>
            <w:placeholder>
              <w:docPart w:val="BDFDC1F3631947A3A535FFBA6E404A1F"/>
            </w:placeholder>
          </w:sdtPr>
          <w:sdtEndPr>
            <w:rPr>
              <w:rStyle w:val="Char10"/>
              <w:rFonts w:ascii="Times New Roman" w:hAnsi="Times New Roman"/>
              <w:kern w:val="2"/>
              <w:sz w:val="21"/>
              <w:szCs w:val="21"/>
            </w:rPr>
          </w:sdtEndPr>
          <w:sdtContent>
            <w:p w:rsidR="004A3868" w:rsidRDefault="003F1AB5">
              <w:pPr>
                <w:spacing w:line="360" w:lineRule="auto"/>
                <w:ind w:firstLineChars="200" w:firstLine="480"/>
                <w:rPr>
                  <w:rStyle w:val="Char10"/>
                </w:rPr>
              </w:pPr>
              <w:r>
                <w:rPr>
                  <w:rStyle w:val="Char10"/>
                  <w:rFonts w:hint="eastAsia"/>
                </w:rPr>
                <w:t>公司于</w:t>
              </w:r>
              <w:r>
                <w:rPr>
                  <w:rStyle w:val="Char10"/>
                </w:rPr>
                <w:t>2023</w:t>
              </w:r>
              <w:r>
                <w:rPr>
                  <w:rStyle w:val="Char10"/>
                </w:rPr>
                <w:t>年</w:t>
              </w:r>
              <w:r>
                <w:rPr>
                  <w:rStyle w:val="Char10"/>
                </w:rPr>
                <w:t>8</w:t>
              </w:r>
              <w:r>
                <w:rPr>
                  <w:rStyle w:val="Char10"/>
                </w:rPr>
                <w:t>月</w:t>
              </w:r>
              <w:r>
                <w:rPr>
                  <w:rStyle w:val="Char10"/>
                </w:rPr>
                <w:t>21</w:t>
              </w:r>
              <w:r>
                <w:rPr>
                  <w:rStyle w:val="Char10"/>
                </w:rPr>
                <w:t>日召开第三届董事会第十七次会议，审议通过了《关于收购子公司股权暨关联交易的议案》，同意公司以现金方式收购控股子公司黔南望江变压器有限公司少数股</w:t>
              </w:r>
              <w:r>
                <w:rPr>
                  <w:rStyle w:val="Char10"/>
                </w:rPr>
                <w:t>40%</w:t>
              </w:r>
              <w:r>
                <w:rPr>
                  <w:rStyle w:val="Char10"/>
                </w:rPr>
                <w:t>股权。根据经少数股东主管机构审核</w:t>
              </w:r>
              <w:r>
                <w:rPr>
                  <w:rStyle w:val="Char10"/>
                </w:rPr>
                <w:t>/</w:t>
              </w:r>
              <w:r>
                <w:rPr>
                  <w:rStyle w:val="Char10"/>
                </w:rPr>
                <w:t>备案的《重庆望变电气</w:t>
              </w:r>
              <w:r>
                <w:rPr>
                  <w:rStyle w:val="Char10"/>
                </w:rPr>
                <w:t>(</w:t>
              </w:r>
              <w:r>
                <w:rPr>
                  <w:rStyle w:val="Char10"/>
                </w:rPr>
                <w:t>集团</w:t>
              </w:r>
              <w:r>
                <w:rPr>
                  <w:rStyle w:val="Char10"/>
                </w:rPr>
                <w:t>)</w:t>
              </w:r>
              <w:r>
                <w:rPr>
                  <w:rStyle w:val="Char10"/>
                </w:rPr>
                <w:t>股份有限公司拟收购黔南都能开发有限公司持有的黔南望江变压器有限公司</w:t>
              </w:r>
              <w:r>
                <w:rPr>
                  <w:rStyle w:val="Char10"/>
                </w:rPr>
                <w:t>40%</w:t>
              </w:r>
              <w:r>
                <w:rPr>
                  <w:rStyle w:val="Char10"/>
                </w:rPr>
                <w:t>的股权涉及的黔南望江变压器有限公司股东全部权益价值资产评估报告》</w:t>
              </w:r>
              <w:r>
                <w:rPr>
                  <w:rStyle w:val="Char10"/>
                </w:rPr>
                <w:t>(</w:t>
              </w:r>
              <w:r>
                <w:rPr>
                  <w:rStyle w:val="Char10"/>
                </w:rPr>
                <w:t>沃克森国际评报字</w:t>
              </w:r>
              <w:r>
                <w:rPr>
                  <w:rStyle w:val="Char10"/>
                </w:rPr>
                <w:t>(2022)</w:t>
              </w:r>
              <w:r>
                <w:rPr>
                  <w:rStyle w:val="Char10"/>
                </w:rPr>
                <w:t>第</w:t>
              </w:r>
              <w:r>
                <w:rPr>
                  <w:rStyle w:val="Char10"/>
                </w:rPr>
                <w:t>2377</w:t>
              </w:r>
              <w:r>
                <w:rPr>
                  <w:rStyle w:val="Char10"/>
                </w:rPr>
                <w:t>号</w:t>
              </w:r>
              <w:r>
                <w:rPr>
                  <w:rStyle w:val="Char10"/>
                </w:rPr>
                <w:t>)</w:t>
              </w:r>
              <w:r>
                <w:rPr>
                  <w:rStyle w:val="Char10"/>
                </w:rPr>
                <w:t>，截至评估基准日</w:t>
              </w:r>
              <w:r>
                <w:rPr>
                  <w:rStyle w:val="Char10"/>
                </w:rPr>
                <w:t>2022</w:t>
              </w:r>
              <w:r>
                <w:rPr>
                  <w:rStyle w:val="Char10"/>
                </w:rPr>
                <w:t>年</w:t>
              </w:r>
              <w:r>
                <w:rPr>
                  <w:rStyle w:val="Char10"/>
                </w:rPr>
                <w:t>9</w:t>
              </w:r>
              <w:r>
                <w:rPr>
                  <w:rStyle w:val="Char10"/>
                </w:rPr>
                <w:t>月</w:t>
              </w:r>
              <w:r>
                <w:rPr>
                  <w:rStyle w:val="Char10"/>
                </w:rPr>
                <w:t>30</w:t>
              </w:r>
              <w:r>
                <w:rPr>
                  <w:rStyle w:val="Char10"/>
                </w:rPr>
                <w:t>日，标的公司股东全部权益的评估价值为</w:t>
              </w:r>
              <w:r>
                <w:rPr>
                  <w:rStyle w:val="Char10"/>
                </w:rPr>
                <w:t>1</w:t>
              </w:r>
              <w:r>
                <w:rPr>
                  <w:rStyle w:val="Char10"/>
                  <w:rFonts w:hint="eastAsia"/>
                </w:rPr>
                <w:t>,</w:t>
              </w:r>
              <w:r>
                <w:rPr>
                  <w:rStyle w:val="Char10"/>
                </w:rPr>
                <w:t>201.23</w:t>
              </w:r>
              <w:r>
                <w:rPr>
                  <w:rStyle w:val="Char10"/>
                </w:rPr>
                <w:t>万元，标的</w:t>
              </w:r>
              <w:r>
                <w:rPr>
                  <w:rStyle w:val="Char10"/>
                  <w:rFonts w:hint="eastAsia"/>
                </w:rPr>
                <w:t>股权的评估价值为</w:t>
              </w:r>
              <w:r>
                <w:rPr>
                  <w:rStyle w:val="Char10"/>
                </w:rPr>
                <w:t>480.4920</w:t>
              </w:r>
              <w:r>
                <w:rPr>
                  <w:rStyle w:val="Char10"/>
                </w:rPr>
                <w:t>万元。</w:t>
              </w:r>
            </w:p>
          </w:sdtContent>
        </w:sdt>
      </w:sdtContent>
    </w:sdt>
    <w:sdt>
      <w:sdtPr>
        <w:rPr>
          <w:rStyle w:val="Char10"/>
          <w:rFonts w:eastAsia="宋体" w:cs="宋体" w:hint="eastAsia"/>
          <w:b w:val="0"/>
          <w:bCs w:val="0"/>
        </w:rPr>
        <w:alias w:val="模块:交易对于少数股东权益及归属于母公司所有者权益的影响"/>
        <w:tag w:val="_GBC_6c711c3ca3c84136960924716eba5afd"/>
        <w:id w:val="-1277402466"/>
        <w:lock w:val="sdtLocked"/>
        <w:placeholder>
          <w:docPart w:val="BDFDC1F3631947A3A535FFBA6E404A1F"/>
        </w:placeholder>
      </w:sdtPr>
      <w:sdtEndPr>
        <w:rPr>
          <w:rStyle w:val="Char10"/>
          <w:rFonts w:hint="default"/>
        </w:rPr>
      </w:sdtEndPr>
      <w:sdtContent>
        <w:p w:rsidR="004A3868" w:rsidRDefault="003F1AB5">
          <w:pPr>
            <w:pStyle w:val="Style846"/>
            <w:numPr>
              <w:ilvl w:val="0"/>
              <w:numId w:val="109"/>
            </w:numPr>
            <w:rPr>
              <w:rStyle w:val="Char10"/>
            </w:rPr>
          </w:pPr>
          <w:r>
            <w:rPr>
              <w:rStyle w:val="Char10"/>
              <w:rFonts w:hint="eastAsia"/>
            </w:rPr>
            <w:t>交易对于少数股东权益及归属于母公司所有者权益的影响</w:t>
          </w:r>
        </w:p>
        <w:sdt>
          <w:sdtPr>
            <w:rPr>
              <w:rStyle w:val="Char10"/>
              <w:rFonts w:hint="eastAsia"/>
            </w:rPr>
            <w:alias w:val="是否适用：交易对于少数股东权益及归属于母公司所有者权益的影响[双击切换]"/>
            <w:tag w:val="_GBC_e1f125d516d84f378793403854ba5c01"/>
            <w:id w:val="-523163413"/>
            <w:lock w:val="sdtLocked"/>
            <w:placeholder>
              <w:docPart w:val="BDFDC1F3631947A3A535FFBA6E404A1F"/>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r>
            <w:rPr>
              <w:rStyle w:val="Char10"/>
              <w:rFonts w:hint="eastAsia"/>
            </w:rPr>
            <w:t>:</w:t>
          </w:r>
          <w:sdt>
            <w:sdtPr>
              <w:rPr>
                <w:rStyle w:val="Char10"/>
                <w:rFonts w:hint="eastAsia"/>
              </w:rPr>
              <w:alias w:val="单位：财务附注：交易对于少数股东权益及归属于母公司所有者权益的影响"/>
              <w:tag w:val="_GBC_8bc6137285324aca89e1a906fd8e99b5"/>
              <w:id w:val="347145155"/>
              <w:lock w:val="sdtLocked"/>
              <w:placeholder>
                <w:docPart w:val="BDFDC1F3631947A3A535FFBA6E404A1F"/>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万元</w:t>
              </w:r>
            </w:sdtContent>
          </w:sdt>
          <w:r>
            <w:rPr>
              <w:rStyle w:val="Char10"/>
              <w:rFonts w:hint="eastAsia"/>
            </w:rPr>
            <w:t xml:space="preserve">  </w:t>
          </w:r>
          <w:r>
            <w:rPr>
              <w:rStyle w:val="Char10"/>
              <w:rFonts w:hint="eastAsia"/>
            </w:rPr>
            <w:t>币种</w:t>
          </w:r>
          <w:r>
            <w:rPr>
              <w:rStyle w:val="Char10"/>
              <w:rFonts w:hint="eastAsia"/>
            </w:rPr>
            <w:t>:</w:t>
          </w:r>
          <w:sdt>
            <w:sdtPr>
              <w:rPr>
                <w:rStyle w:val="Char10"/>
                <w:rFonts w:hint="eastAsia"/>
              </w:rPr>
              <w:alias w:val="币种：财务附注：交易对于少数股东权益及归属于母公司所有者权益的影响"/>
              <w:tag w:val="_GBC_228f6470ad5e43439d2bb8e05da1eddf"/>
              <w:id w:val="-1777481434"/>
              <w:lock w:val="sdtLocked"/>
              <w:placeholder>
                <w:docPart w:val="BDFDC1F3631947A3A535FFBA6E404A1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4390"/>
            <w:gridCol w:w="4433"/>
          </w:tblGrid>
          <w:tr w:rsidR="004A3868">
            <w:trPr>
              <w:trHeight w:val="397"/>
              <w:jc w:val="center"/>
            </w:trPr>
            <w:tc>
              <w:tcPr>
                <w:tcW w:w="2488" w:type="pct"/>
                <w:shd w:val="clear" w:color="auto" w:fill="auto"/>
              </w:tcPr>
              <w:p w:rsidR="004A3868" w:rsidRDefault="004A3868">
                <w:pPr>
                  <w:pStyle w:val="Style1226"/>
                  <w:rPr>
                    <w:rStyle w:val="Char10"/>
                  </w:rPr>
                </w:pPr>
              </w:p>
            </w:tc>
            <w:sdt>
              <w:sdtPr>
                <w:rPr>
                  <w:rStyle w:val="Char10"/>
                </w:rPr>
                <w:alias w:val="交易对于少数股东权益及归属于母公司所有者权益的影响明细-公司名称"/>
                <w:tag w:val="_GBC_0899d6221c8b4c0197d4cc9d76f2a617"/>
                <w:id w:val="758721209"/>
                <w:lock w:val="sdtLocked"/>
              </w:sdtPr>
              <w:sdtEndPr>
                <w:rPr>
                  <w:rStyle w:val="Char10"/>
                  <w:rFonts w:hint="eastAsia"/>
                </w:rPr>
              </w:sdtEndPr>
              <w:sdtContent>
                <w:tc>
                  <w:tcPr>
                    <w:tcW w:w="2512" w:type="pct"/>
                    <w:shd w:val="clear" w:color="auto" w:fill="auto"/>
                    <w:vAlign w:val="center"/>
                  </w:tcPr>
                  <w:p w:rsidR="004A3868" w:rsidRDefault="003F1AB5">
                    <w:pPr>
                      <w:pStyle w:val="Style1226"/>
                      <w:rPr>
                        <w:rStyle w:val="Char10"/>
                      </w:rPr>
                    </w:pPr>
                    <w:r>
                      <w:rPr>
                        <w:rStyle w:val="Char10"/>
                        <w:rFonts w:hint="eastAsia"/>
                      </w:rPr>
                      <w:t>黔南望江变压器有限公司</w:t>
                    </w:r>
                  </w:p>
                </w:tc>
              </w:sdtContent>
            </w:sdt>
          </w:tr>
          <w:tr w:rsidR="004A3868">
            <w:trPr>
              <w:trHeight w:val="397"/>
              <w:jc w:val="center"/>
            </w:trPr>
            <w:sdt>
              <w:sdtPr>
                <w:rPr>
                  <w:rStyle w:val="Char10"/>
                </w:rPr>
                <w:tag w:val="_PLD_65e676f300544834a93a8fdbee5bac37"/>
                <w:id w:val="1278982906"/>
                <w:lock w:val="sdtLocked"/>
              </w:sdtPr>
              <w:sdtEndPr>
                <w:rPr>
                  <w:rStyle w:val="Char10"/>
                </w:rPr>
              </w:sdtEndPr>
              <w:sdtContent>
                <w:tc>
                  <w:tcPr>
                    <w:tcW w:w="2488" w:type="pct"/>
                    <w:shd w:val="clear" w:color="auto" w:fill="auto"/>
                  </w:tcPr>
                  <w:p w:rsidR="004A3868" w:rsidRDefault="003F1AB5">
                    <w:pPr>
                      <w:pStyle w:val="Style1224"/>
                      <w:rPr>
                        <w:rStyle w:val="Char10"/>
                      </w:rPr>
                    </w:pPr>
                    <w:r>
                      <w:rPr>
                        <w:rStyle w:val="Char10"/>
                        <w:rFonts w:hint="eastAsia"/>
                      </w:rPr>
                      <w:t>购买成本</w:t>
                    </w:r>
                    <w:r>
                      <w:rPr>
                        <w:rStyle w:val="Char10"/>
                        <w:rFonts w:hint="eastAsia"/>
                      </w:rPr>
                      <w:t>/</w:t>
                    </w:r>
                    <w:r>
                      <w:rPr>
                        <w:rStyle w:val="Char10"/>
                        <w:rFonts w:hint="eastAsia"/>
                      </w:rPr>
                      <w:t>处置对价</w:t>
                    </w:r>
                  </w:p>
                </w:tc>
              </w:sdtContent>
            </w:sdt>
            <w:tc>
              <w:tcPr>
                <w:tcW w:w="2512" w:type="pct"/>
                <w:shd w:val="clear" w:color="auto" w:fill="auto"/>
                <w:vAlign w:val="center"/>
              </w:tcPr>
              <w:p w:rsidR="004A3868" w:rsidRDefault="004A3868">
                <w:pPr>
                  <w:pStyle w:val="Style1222"/>
                  <w:rPr>
                    <w:rStyle w:val="Char10"/>
                  </w:rPr>
                </w:pPr>
              </w:p>
            </w:tc>
          </w:tr>
          <w:tr w:rsidR="004A3868">
            <w:trPr>
              <w:trHeight w:val="397"/>
              <w:jc w:val="center"/>
            </w:trPr>
            <w:sdt>
              <w:sdtPr>
                <w:rPr>
                  <w:rStyle w:val="Char10"/>
                </w:rPr>
                <w:tag w:val="_PLD_11f07e95b89d4fc9900ee767bfa0324b"/>
                <w:id w:val="1783685980"/>
                <w:lock w:val="sdtLocked"/>
              </w:sdtPr>
              <w:sdtEndPr>
                <w:rPr>
                  <w:rStyle w:val="Char10"/>
                </w:rPr>
              </w:sdtEndPr>
              <w:sdtContent>
                <w:tc>
                  <w:tcPr>
                    <w:tcW w:w="2488" w:type="pct"/>
                    <w:shd w:val="clear" w:color="auto" w:fill="auto"/>
                    <w:vAlign w:val="center"/>
                  </w:tcPr>
                  <w:p w:rsidR="004A3868" w:rsidRDefault="003F1AB5">
                    <w:pPr>
                      <w:pStyle w:val="Style1224"/>
                      <w:rPr>
                        <w:rStyle w:val="Char10"/>
                      </w:rPr>
                    </w:pPr>
                    <w:r>
                      <w:rPr>
                        <w:rStyle w:val="Char10"/>
                      </w:rPr>
                      <w:t>--</w:t>
                    </w:r>
                    <w:r>
                      <w:rPr>
                        <w:rStyle w:val="Char10"/>
                        <w:rFonts w:hint="eastAsia"/>
                      </w:rPr>
                      <w:t>现金</w:t>
                    </w:r>
                  </w:p>
                </w:tc>
              </w:sdtContent>
            </w:sdt>
            <w:tc>
              <w:tcPr>
                <w:tcW w:w="2512" w:type="pct"/>
                <w:shd w:val="clear" w:color="auto" w:fill="auto"/>
                <w:vAlign w:val="center"/>
              </w:tcPr>
              <w:p w:rsidR="004A3868" w:rsidRDefault="004A3868">
                <w:pPr>
                  <w:pStyle w:val="Style1222"/>
                  <w:rPr>
                    <w:rStyle w:val="Char10"/>
                  </w:rPr>
                </w:pPr>
              </w:p>
            </w:tc>
          </w:tr>
          <w:tr w:rsidR="004A3868">
            <w:trPr>
              <w:trHeight w:val="397"/>
              <w:jc w:val="center"/>
            </w:trPr>
            <w:sdt>
              <w:sdtPr>
                <w:rPr>
                  <w:rStyle w:val="Char10"/>
                </w:rPr>
                <w:tag w:val="_PLD_b707a787a0d944649f1729870815d5e3"/>
                <w:id w:val="-1314561716"/>
                <w:lock w:val="sdtLocked"/>
              </w:sdtPr>
              <w:sdtEndPr>
                <w:rPr>
                  <w:rStyle w:val="Char10"/>
                </w:rPr>
              </w:sdtEndPr>
              <w:sdtContent>
                <w:tc>
                  <w:tcPr>
                    <w:tcW w:w="2488" w:type="pct"/>
                    <w:shd w:val="clear" w:color="auto" w:fill="auto"/>
                    <w:vAlign w:val="center"/>
                  </w:tcPr>
                  <w:p w:rsidR="004A3868" w:rsidRDefault="003F1AB5">
                    <w:pPr>
                      <w:pStyle w:val="Style1224"/>
                      <w:rPr>
                        <w:rStyle w:val="Char10"/>
                      </w:rPr>
                    </w:pPr>
                    <w:r>
                      <w:rPr>
                        <w:rStyle w:val="Char10"/>
                      </w:rPr>
                      <w:t>--</w:t>
                    </w:r>
                    <w:r>
                      <w:rPr>
                        <w:rStyle w:val="Char10"/>
                        <w:rFonts w:hint="eastAsia"/>
                      </w:rPr>
                      <w:t>非现金资产的公允价值</w:t>
                    </w:r>
                  </w:p>
                </w:tc>
              </w:sdtContent>
            </w:sdt>
            <w:tc>
              <w:tcPr>
                <w:tcW w:w="2512" w:type="pct"/>
                <w:shd w:val="clear" w:color="auto" w:fill="auto"/>
                <w:vAlign w:val="center"/>
              </w:tcPr>
              <w:p w:rsidR="004A3868" w:rsidRDefault="003F1AB5">
                <w:pPr>
                  <w:pStyle w:val="Style1222"/>
                  <w:rPr>
                    <w:rStyle w:val="Char10"/>
                  </w:rPr>
                </w:pPr>
                <w:r>
                  <w:rPr>
                    <w:rStyle w:val="Char10"/>
                  </w:rPr>
                  <w:t>4,804,920.00</w:t>
                </w:r>
              </w:p>
            </w:tc>
          </w:tr>
          <w:tr w:rsidR="004A3868">
            <w:trPr>
              <w:trHeight w:val="397"/>
              <w:jc w:val="center"/>
            </w:trPr>
            <w:sdt>
              <w:sdtPr>
                <w:rPr>
                  <w:rStyle w:val="Char10"/>
                </w:rPr>
                <w:tag w:val="_PLD_7ee9f21e8eaf413bafe9a8eab9d8376d"/>
                <w:id w:val="-109280946"/>
                <w:lock w:val="sdtLocked"/>
              </w:sdtPr>
              <w:sdtEndPr>
                <w:rPr>
                  <w:rStyle w:val="Char10"/>
                </w:rPr>
              </w:sdtEndPr>
              <w:sdtContent>
                <w:tc>
                  <w:tcPr>
                    <w:tcW w:w="2488" w:type="pct"/>
                    <w:shd w:val="clear" w:color="auto" w:fill="auto"/>
                    <w:vAlign w:val="center"/>
                  </w:tcPr>
                  <w:p w:rsidR="004A3868" w:rsidRDefault="003F1AB5">
                    <w:pPr>
                      <w:pStyle w:val="Style1224"/>
                      <w:rPr>
                        <w:rStyle w:val="Char10"/>
                      </w:rPr>
                    </w:pPr>
                    <w:r>
                      <w:rPr>
                        <w:rStyle w:val="Char10"/>
                        <w:rFonts w:hint="eastAsia"/>
                      </w:rPr>
                      <w:t>购买成本</w:t>
                    </w:r>
                    <w:r>
                      <w:rPr>
                        <w:rStyle w:val="Char10"/>
                        <w:rFonts w:hint="eastAsia"/>
                      </w:rPr>
                      <w:t>/</w:t>
                    </w:r>
                    <w:r>
                      <w:rPr>
                        <w:rStyle w:val="Char10"/>
                        <w:rFonts w:hint="eastAsia"/>
                      </w:rPr>
                      <w:t>处置对价合计</w:t>
                    </w:r>
                  </w:p>
                </w:tc>
              </w:sdtContent>
            </w:sdt>
            <w:tc>
              <w:tcPr>
                <w:tcW w:w="2512" w:type="pct"/>
                <w:shd w:val="clear" w:color="auto" w:fill="auto"/>
                <w:vAlign w:val="center"/>
              </w:tcPr>
              <w:p w:rsidR="004A3868" w:rsidRDefault="003F1AB5">
                <w:pPr>
                  <w:pStyle w:val="Style1222"/>
                  <w:rPr>
                    <w:rStyle w:val="Char10"/>
                  </w:rPr>
                </w:pPr>
                <w:r>
                  <w:rPr>
                    <w:rStyle w:val="Char10"/>
                  </w:rPr>
                  <w:t>4,804,920.00</w:t>
                </w:r>
              </w:p>
            </w:tc>
          </w:tr>
          <w:tr w:rsidR="004A3868">
            <w:trPr>
              <w:trHeight w:val="397"/>
              <w:jc w:val="center"/>
            </w:trPr>
            <w:sdt>
              <w:sdtPr>
                <w:rPr>
                  <w:rStyle w:val="Char10"/>
                </w:rPr>
                <w:tag w:val="_PLD_1f66c2d420e24f73bd49023e15ff8f3c"/>
                <w:id w:val="-543753508"/>
                <w:lock w:val="sdtLocked"/>
              </w:sdtPr>
              <w:sdtEndPr>
                <w:rPr>
                  <w:rStyle w:val="Char10"/>
                </w:rPr>
              </w:sdtEndPr>
              <w:sdtContent>
                <w:tc>
                  <w:tcPr>
                    <w:tcW w:w="2488" w:type="pct"/>
                    <w:shd w:val="clear" w:color="auto" w:fill="auto"/>
                    <w:vAlign w:val="center"/>
                  </w:tcPr>
                  <w:p w:rsidR="004A3868" w:rsidRDefault="003F1AB5">
                    <w:pPr>
                      <w:pStyle w:val="Style1224"/>
                      <w:rPr>
                        <w:rStyle w:val="Char10"/>
                      </w:rPr>
                    </w:pPr>
                    <w:r>
                      <w:rPr>
                        <w:rStyle w:val="Char10"/>
                        <w:rFonts w:hint="eastAsia"/>
                      </w:rPr>
                      <w:t>减：按取得</w:t>
                    </w:r>
                    <w:r>
                      <w:rPr>
                        <w:rStyle w:val="Char10"/>
                        <w:rFonts w:hint="eastAsia"/>
                      </w:rPr>
                      <w:t>/</w:t>
                    </w:r>
                    <w:r>
                      <w:rPr>
                        <w:rStyle w:val="Char10"/>
                        <w:rFonts w:hint="eastAsia"/>
                      </w:rPr>
                      <w:t>处置的股权比例计算的子公司净资产份额</w:t>
                    </w:r>
                  </w:p>
                </w:tc>
              </w:sdtContent>
            </w:sdt>
            <w:tc>
              <w:tcPr>
                <w:tcW w:w="2512" w:type="pct"/>
                <w:shd w:val="clear" w:color="auto" w:fill="auto"/>
                <w:vAlign w:val="center"/>
              </w:tcPr>
              <w:p w:rsidR="004A3868" w:rsidRDefault="003F1AB5">
                <w:pPr>
                  <w:pStyle w:val="Style1222"/>
                  <w:rPr>
                    <w:rStyle w:val="Char10"/>
                  </w:rPr>
                </w:pPr>
                <w:r>
                  <w:rPr>
                    <w:rStyle w:val="Char10"/>
                  </w:rPr>
                  <w:t>-1,880,977.85</w:t>
                </w:r>
              </w:p>
            </w:tc>
          </w:tr>
          <w:tr w:rsidR="004A3868">
            <w:trPr>
              <w:trHeight w:val="397"/>
              <w:jc w:val="center"/>
            </w:trPr>
            <w:sdt>
              <w:sdtPr>
                <w:rPr>
                  <w:rStyle w:val="Char10"/>
                </w:rPr>
                <w:tag w:val="_PLD_c306055d2e5b449c8552559530692808"/>
                <w:id w:val="642156815"/>
                <w:lock w:val="sdtLocked"/>
              </w:sdtPr>
              <w:sdtEndPr>
                <w:rPr>
                  <w:rStyle w:val="Char10"/>
                </w:rPr>
              </w:sdtEndPr>
              <w:sdtContent>
                <w:tc>
                  <w:tcPr>
                    <w:tcW w:w="2488" w:type="pct"/>
                    <w:shd w:val="clear" w:color="auto" w:fill="auto"/>
                    <w:vAlign w:val="center"/>
                  </w:tcPr>
                  <w:p w:rsidR="004A3868" w:rsidRDefault="003F1AB5">
                    <w:pPr>
                      <w:pStyle w:val="Style1224"/>
                      <w:rPr>
                        <w:rStyle w:val="Char10"/>
                      </w:rPr>
                    </w:pPr>
                    <w:r>
                      <w:rPr>
                        <w:rStyle w:val="Char10"/>
                        <w:rFonts w:hint="eastAsia"/>
                      </w:rPr>
                      <w:t>差额</w:t>
                    </w:r>
                  </w:p>
                </w:tc>
              </w:sdtContent>
            </w:sdt>
            <w:tc>
              <w:tcPr>
                <w:tcW w:w="2512" w:type="pct"/>
                <w:shd w:val="clear" w:color="auto" w:fill="auto"/>
                <w:vAlign w:val="center"/>
              </w:tcPr>
              <w:p w:rsidR="004A3868" w:rsidRDefault="003F1AB5">
                <w:pPr>
                  <w:pStyle w:val="Style1222"/>
                  <w:rPr>
                    <w:rStyle w:val="Char10"/>
                  </w:rPr>
                </w:pPr>
                <w:r>
                  <w:rPr>
                    <w:rStyle w:val="Char10"/>
                  </w:rPr>
                  <w:t>6,685,897.85</w:t>
                </w:r>
              </w:p>
            </w:tc>
          </w:tr>
          <w:tr w:rsidR="004A3868">
            <w:trPr>
              <w:trHeight w:val="397"/>
              <w:jc w:val="center"/>
            </w:trPr>
            <w:sdt>
              <w:sdtPr>
                <w:rPr>
                  <w:rStyle w:val="Char10"/>
                </w:rPr>
                <w:tag w:val="_PLD_d457fa36c2ff4c079d8da4538c9af109"/>
                <w:id w:val="1588260141"/>
                <w:lock w:val="sdtLocked"/>
              </w:sdtPr>
              <w:sdtEndPr>
                <w:rPr>
                  <w:rStyle w:val="Char10"/>
                </w:rPr>
              </w:sdtEndPr>
              <w:sdtContent>
                <w:tc>
                  <w:tcPr>
                    <w:tcW w:w="2488" w:type="pct"/>
                    <w:shd w:val="clear" w:color="auto" w:fill="auto"/>
                    <w:vAlign w:val="center"/>
                  </w:tcPr>
                  <w:p w:rsidR="004A3868" w:rsidRDefault="003F1AB5">
                    <w:pPr>
                      <w:pStyle w:val="Style1224"/>
                      <w:rPr>
                        <w:rStyle w:val="Char10"/>
                      </w:rPr>
                    </w:pPr>
                    <w:r>
                      <w:rPr>
                        <w:rStyle w:val="Char10"/>
                        <w:rFonts w:hint="eastAsia"/>
                      </w:rPr>
                      <w:t>其中：调整资本公积</w:t>
                    </w:r>
                  </w:p>
                </w:tc>
              </w:sdtContent>
            </w:sdt>
            <w:tc>
              <w:tcPr>
                <w:tcW w:w="2512" w:type="pct"/>
                <w:shd w:val="clear" w:color="auto" w:fill="auto"/>
                <w:vAlign w:val="center"/>
              </w:tcPr>
              <w:p w:rsidR="004A3868" w:rsidRDefault="003F1AB5">
                <w:pPr>
                  <w:pStyle w:val="Style1222"/>
                  <w:rPr>
                    <w:rStyle w:val="Char10"/>
                  </w:rPr>
                </w:pPr>
                <w:r>
                  <w:rPr>
                    <w:rStyle w:val="Char10"/>
                  </w:rPr>
                  <w:t>6,685,897.85</w:t>
                </w:r>
              </w:p>
            </w:tc>
          </w:tr>
          <w:tr w:rsidR="004A3868">
            <w:trPr>
              <w:trHeight w:val="397"/>
              <w:jc w:val="center"/>
            </w:trPr>
            <w:sdt>
              <w:sdtPr>
                <w:rPr>
                  <w:rStyle w:val="Char10"/>
                </w:rPr>
                <w:tag w:val="_PLD_8bdb04bdb68c47b3a5f3b47c2d4dae88"/>
                <w:id w:val="1255318403"/>
                <w:lock w:val="sdtLocked"/>
              </w:sdtPr>
              <w:sdtEndPr>
                <w:rPr>
                  <w:rStyle w:val="Char10"/>
                </w:rPr>
              </w:sdtEndPr>
              <w:sdtContent>
                <w:tc>
                  <w:tcPr>
                    <w:tcW w:w="2488" w:type="pct"/>
                    <w:shd w:val="clear" w:color="auto" w:fill="auto"/>
                    <w:vAlign w:val="center"/>
                  </w:tcPr>
                  <w:p w:rsidR="004A3868" w:rsidRDefault="003F1AB5">
                    <w:pPr>
                      <w:pStyle w:val="Style1224"/>
                      <w:rPr>
                        <w:rStyle w:val="Char10"/>
                      </w:rPr>
                    </w:pPr>
                    <w:r>
                      <w:rPr>
                        <w:rStyle w:val="Char10"/>
                        <w:rFonts w:hint="eastAsia"/>
                      </w:rPr>
                      <w:t>调整盈余公积</w:t>
                    </w:r>
                  </w:p>
                </w:tc>
              </w:sdtContent>
            </w:sdt>
            <w:tc>
              <w:tcPr>
                <w:tcW w:w="2512" w:type="pct"/>
                <w:shd w:val="clear" w:color="auto" w:fill="auto"/>
                <w:vAlign w:val="center"/>
              </w:tcPr>
              <w:p w:rsidR="004A3868" w:rsidRDefault="004A3868">
                <w:pPr>
                  <w:pStyle w:val="Style1222"/>
                  <w:rPr>
                    <w:rStyle w:val="Char10"/>
                  </w:rPr>
                </w:pPr>
              </w:p>
            </w:tc>
          </w:tr>
          <w:tr w:rsidR="004A3868">
            <w:trPr>
              <w:trHeight w:val="397"/>
              <w:jc w:val="center"/>
            </w:trPr>
            <w:sdt>
              <w:sdtPr>
                <w:rPr>
                  <w:rStyle w:val="Char10"/>
                </w:rPr>
                <w:tag w:val="_PLD_ac66671f59ed4a1084f43bfa55791ddd"/>
                <w:id w:val="892002057"/>
                <w:lock w:val="sdtLocked"/>
              </w:sdtPr>
              <w:sdtEndPr>
                <w:rPr>
                  <w:rStyle w:val="Char10"/>
                </w:rPr>
              </w:sdtEndPr>
              <w:sdtContent>
                <w:tc>
                  <w:tcPr>
                    <w:tcW w:w="2488" w:type="pct"/>
                    <w:shd w:val="clear" w:color="auto" w:fill="auto"/>
                    <w:vAlign w:val="center"/>
                  </w:tcPr>
                  <w:p w:rsidR="004A3868" w:rsidRDefault="003F1AB5">
                    <w:pPr>
                      <w:pStyle w:val="Style1224"/>
                      <w:rPr>
                        <w:rStyle w:val="Char10"/>
                      </w:rPr>
                    </w:pPr>
                    <w:r>
                      <w:rPr>
                        <w:rStyle w:val="Char10"/>
                        <w:rFonts w:hint="eastAsia"/>
                      </w:rPr>
                      <w:t>调整未分配利润</w:t>
                    </w:r>
                  </w:p>
                </w:tc>
              </w:sdtContent>
            </w:sdt>
            <w:tc>
              <w:tcPr>
                <w:tcW w:w="2512" w:type="pct"/>
                <w:shd w:val="clear" w:color="auto" w:fill="auto"/>
              </w:tcPr>
              <w:p w:rsidR="004A3868" w:rsidRDefault="004A3868">
                <w:pPr>
                  <w:pStyle w:val="Style1222"/>
                  <w:rPr>
                    <w:rStyle w:val="Char10"/>
                  </w:rPr>
                </w:pPr>
              </w:p>
            </w:tc>
          </w:tr>
        </w:tbl>
        <w:p w:rsidR="004A3868" w:rsidRDefault="003F1AB5">
          <w:pPr>
            <w:pStyle w:val="Style842"/>
            <w:rPr>
              <w:rStyle w:val="Char10"/>
            </w:rPr>
          </w:pPr>
          <w:r>
            <w:rPr>
              <w:rStyle w:val="Char10"/>
              <w:rFonts w:hint="eastAsia"/>
            </w:rPr>
            <w:t>其他说明</w:t>
          </w:r>
        </w:p>
        <w:sdt>
          <w:sdtPr>
            <w:alias w:val="是否适用：在子公司的所有者权益份额发生变化且仍控制子公司的交易的说明[双击切换]"/>
            <w:tag w:val="_GBC_f6cb777929974f7d8effe42e8ad42e7e"/>
            <w:id w:val="-643814621"/>
            <w:lock w:val="sdtLocked"/>
            <w:placeholder>
              <w:docPart w:val="BDFDC1F3631947A3A535FFBA6E404A1F"/>
            </w:placeholder>
          </w:sdtPr>
          <w:sdtEndPr>
            <w:rPr>
              <w:rStyle w:val="Char10"/>
              <w:rFonts w:ascii="Times New Roman" w:hAnsi="Times New Roman"/>
              <w:kern w:val="2"/>
              <w:sz w:val="21"/>
              <w:szCs w:val="21"/>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Style w:val="Char10"/>
            </w:rPr>
            <w:alias w:val="在子公司的所有者权益份额发生变化且仍控制子公司的交易的说明"/>
            <w:tag w:val="_GBC_94f1d878c03b476980af0f649abdb28a"/>
            <w:id w:val="583188504"/>
            <w:lock w:val="sdtLocked"/>
            <w:placeholder>
              <w:docPart w:val="9D4ABD48E6F9441A8260071315C0530F"/>
            </w:placeholder>
          </w:sdtPr>
          <w:sdtEndPr>
            <w:rPr>
              <w:rStyle w:val="Char10"/>
            </w:rPr>
          </w:sdtEndPr>
          <w:sdtContent>
            <w:p w:rsidR="004A3868" w:rsidRDefault="003F1AB5">
              <w:pPr>
                <w:spacing w:line="360" w:lineRule="auto"/>
                <w:ind w:firstLineChars="200" w:firstLine="420"/>
                <w:rPr>
                  <w:rStyle w:val="Char10"/>
                </w:rPr>
              </w:pPr>
              <w:r>
                <w:rPr>
                  <w:rStyle w:val="Char10"/>
                </w:rPr>
                <w:t>2023</w:t>
              </w:r>
              <w:r>
                <w:rPr>
                  <w:rStyle w:val="Char10"/>
                </w:rPr>
                <w:t>年</w:t>
              </w:r>
              <w:r>
                <w:rPr>
                  <w:rStyle w:val="Char10"/>
                </w:rPr>
                <w:t>8</w:t>
              </w:r>
              <w:r>
                <w:rPr>
                  <w:rStyle w:val="Char10"/>
                </w:rPr>
                <w:t>月，本公司与黔南都能开发有限公司签订股权转让协议，同时与子公司黔南望江变压器有限公司和黔南都能开发有限公司等三方签订货款、股权转让款抵销协议。同意，就本次交易的标的股权价款支付，由本公司及子公司黔南望江变压器有限公司以其拥有的对黔南都能开发有限公司及其所属分子公司已确认的债权予以直接抵扣。</w:t>
              </w:r>
            </w:p>
          </w:sdtContent>
        </w:sdt>
        <w:p w:rsidR="004A3868" w:rsidRDefault="00B34370">
          <w:pPr>
            <w:pStyle w:val="Style842"/>
            <w:rPr>
              <w:rStyle w:val="Char10"/>
            </w:rPr>
          </w:pPr>
        </w:p>
      </w:sdtContent>
    </w:sdt>
    <w:p w:rsidR="004A3868" w:rsidRDefault="003F1AB5">
      <w:pPr>
        <w:pStyle w:val="Style955"/>
        <w:numPr>
          <w:ilvl w:val="2"/>
          <w:numId w:val="107"/>
        </w:numPr>
        <w:spacing w:before="120"/>
        <w:rPr>
          <w:rStyle w:val="Char10"/>
        </w:rPr>
      </w:pPr>
      <w:r>
        <w:rPr>
          <w:rStyle w:val="Char10"/>
          <w:rFonts w:hint="eastAsia"/>
        </w:rPr>
        <w:t>在合营企业或联营企业中的权益</w:t>
      </w:r>
    </w:p>
    <w:sdt>
      <w:sdtPr>
        <w:rPr>
          <w:rStyle w:val="Char10"/>
        </w:rPr>
        <w:alias w:val="是否适用：在合营企业或联营企业中的权益[双击切换]"/>
        <w:tag w:val="_GBC_2bff91875b7a49f3929c4613048756c1"/>
        <w:id w:val="-1683048699"/>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tbl>
          <w:tblPr>
            <w:tblStyle w:val="g32"/>
            <w:tblW w:w="5000" w:type="pct"/>
            <w:jc w:val="center"/>
            <w:tblInd w:w="0" w:type="dxa"/>
            <w:tblLayout w:type="fixed"/>
            <w:tblCellMar>
              <w:right w:w="28" w:type="dxa"/>
            </w:tblCellMar>
            <w:tblLook w:val="04A0" w:firstRow="1" w:lastRow="0" w:firstColumn="1" w:lastColumn="0" w:noHBand="0" w:noVBand="1"/>
          </w:tblPr>
          <w:tblGrid>
            <w:gridCol w:w="1807"/>
            <w:gridCol w:w="1362"/>
            <w:gridCol w:w="893"/>
            <w:gridCol w:w="909"/>
            <w:gridCol w:w="1284"/>
            <w:gridCol w:w="1284"/>
            <w:gridCol w:w="1284"/>
          </w:tblGrid>
          <w:tr w:rsidR="004A3868">
            <w:trPr>
              <w:trHeight w:val="397"/>
              <w:jc w:val="center"/>
            </w:trPr>
            <w:tc>
              <w:tcPr>
                <w:tcW w:w="1838" w:type="dxa"/>
                <w:vMerge w:val="restart"/>
                <w:vAlign w:val="center"/>
              </w:tcPr>
              <w:p w:rsidR="004A3868" w:rsidRDefault="003F1AB5">
                <w:pPr>
                  <w:pStyle w:val="Style1226"/>
                  <w:rPr>
                    <w:rStyle w:val="Char10"/>
                  </w:rPr>
                </w:pPr>
                <w:r>
                  <w:rPr>
                    <w:rStyle w:val="Char10"/>
                    <w:rFonts w:hint="eastAsia"/>
                  </w:rPr>
                  <w:t>合营企业或联营企业名称</w:t>
                </w:r>
              </w:p>
            </w:tc>
            <w:tc>
              <w:tcPr>
                <w:tcW w:w="1385" w:type="dxa"/>
                <w:vMerge w:val="restart"/>
                <w:vAlign w:val="center"/>
              </w:tcPr>
              <w:p w:rsidR="004A3868" w:rsidRDefault="003F1AB5">
                <w:pPr>
                  <w:pStyle w:val="Style1226"/>
                  <w:rPr>
                    <w:rStyle w:val="Char10"/>
                  </w:rPr>
                </w:pPr>
                <w:r>
                  <w:rPr>
                    <w:rStyle w:val="Char10"/>
                    <w:rFonts w:hint="eastAsia"/>
                  </w:rPr>
                  <w:t>主要经营地</w:t>
                </w:r>
              </w:p>
            </w:tc>
            <w:tc>
              <w:tcPr>
                <w:tcW w:w="908" w:type="dxa"/>
                <w:vMerge w:val="restart"/>
                <w:vAlign w:val="center"/>
              </w:tcPr>
              <w:p w:rsidR="004A3868" w:rsidRDefault="003F1AB5">
                <w:pPr>
                  <w:pStyle w:val="Style1226"/>
                  <w:rPr>
                    <w:rStyle w:val="Char10"/>
                  </w:rPr>
                </w:pPr>
                <w:r>
                  <w:rPr>
                    <w:rStyle w:val="Char10"/>
                    <w:rFonts w:hint="eastAsia"/>
                  </w:rPr>
                  <w:t>注册地</w:t>
                </w:r>
              </w:p>
            </w:tc>
            <w:tc>
              <w:tcPr>
                <w:tcW w:w="924" w:type="dxa"/>
                <w:vMerge w:val="restart"/>
                <w:vAlign w:val="center"/>
              </w:tcPr>
              <w:p w:rsidR="004A3868" w:rsidRDefault="003F1AB5">
                <w:pPr>
                  <w:pStyle w:val="Style1226"/>
                  <w:rPr>
                    <w:rStyle w:val="Char10"/>
                  </w:rPr>
                </w:pPr>
                <w:r>
                  <w:rPr>
                    <w:rStyle w:val="Char10"/>
                    <w:rFonts w:hint="eastAsia"/>
                  </w:rPr>
                  <w:t>业务</w:t>
                </w:r>
              </w:p>
              <w:p w:rsidR="004A3868" w:rsidRDefault="003F1AB5">
                <w:pPr>
                  <w:pStyle w:val="Style1226"/>
                  <w:rPr>
                    <w:rStyle w:val="Char10"/>
                  </w:rPr>
                </w:pPr>
                <w:r>
                  <w:rPr>
                    <w:rStyle w:val="Char10"/>
                    <w:rFonts w:hint="eastAsia"/>
                  </w:rPr>
                  <w:t>性质</w:t>
                </w:r>
              </w:p>
            </w:tc>
            <w:tc>
              <w:tcPr>
                <w:tcW w:w="2610" w:type="dxa"/>
                <w:gridSpan w:val="2"/>
                <w:vAlign w:val="center"/>
              </w:tcPr>
              <w:p w:rsidR="004A3868" w:rsidRDefault="003F1AB5">
                <w:pPr>
                  <w:pStyle w:val="Style1226"/>
                  <w:rPr>
                    <w:rStyle w:val="Char10"/>
                  </w:rPr>
                </w:pPr>
                <w:r>
                  <w:rPr>
                    <w:rStyle w:val="Char10"/>
                    <w:rFonts w:hint="eastAsia"/>
                  </w:rPr>
                  <w:t>持股比例（</w:t>
                </w:r>
                <w:r>
                  <w:rPr>
                    <w:rStyle w:val="Char10"/>
                  </w:rPr>
                  <w:t>%</w:t>
                </w:r>
                <w:r>
                  <w:rPr>
                    <w:rStyle w:val="Char10"/>
                    <w:rFonts w:hint="eastAsia"/>
                  </w:rPr>
                  <w:t>）</w:t>
                </w:r>
              </w:p>
            </w:tc>
            <w:tc>
              <w:tcPr>
                <w:tcW w:w="1305" w:type="dxa"/>
                <w:vMerge w:val="restart"/>
                <w:vAlign w:val="center"/>
              </w:tcPr>
              <w:p w:rsidR="004A3868" w:rsidRDefault="003F1AB5">
                <w:pPr>
                  <w:pStyle w:val="Style1226"/>
                  <w:rPr>
                    <w:rStyle w:val="Char10"/>
                  </w:rPr>
                </w:pPr>
                <w:r>
                  <w:rPr>
                    <w:rStyle w:val="Char10"/>
                    <w:rFonts w:hint="eastAsia"/>
                  </w:rPr>
                  <w:t>会计处理方法</w:t>
                </w:r>
              </w:p>
            </w:tc>
          </w:tr>
          <w:tr w:rsidR="004A3868">
            <w:trPr>
              <w:trHeight w:val="397"/>
              <w:jc w:val="center"/>
            </w:trPr>
            <w:tc>
              <w:tcPr>
                <w:tcW w:w="1838" w:type="dxa"/>
                <w:vMerge/>
                <w:vAlign w:val="center"/>
              </w:tcPr>
              <w:p w:rsidR="004A3868" w:rsidRDefault="004A3868">
                <w:pPr>
                  <w:pStyle w:val="Style1226"/>
                  <w:rPr>
                    <w:rStyle w:val="Char10"/>
                  </w:rPr>
                </w:pPr>
              </w:p>
            </w:tc>
            <w:tc>
              <w:tcPr>
                <w:tcW w:w="1385" w:type="dxa"/>
                <w:vMerge/>
                <w:vAlign w:val="center"/>
              </w:tcPr>
              <w:p w:rsidR="004A3868" w:rsidRDefault="004A3868">
                <w:pPr>
                  <w:pStyle w:val="Style1226"/>
                  <w:rPr>
                    <w:rStyle w:val="Char10"/>
                  </w:rPr>
                </w:pPr>
              </w:p>
            </w:tc>
            <w:tc>
              <w:tcPr>
                <w:tcW w:w="908" w:type="dxa"/>
                <w:vMerge/>
                <w:vAlign w:val="center"/>
              </w:tcPr>
              <w:p w:rsidR="004A3868" w:rsidRDefault="004A3868">
                <w:pPr>
                  <w:pStyle w:val="Style1226"/>
                  <w:rPr>
                    <w:rStyle w:val="Char10"/>
                  </w:rPr>
                </w:pPr>
              </w:p>
            </w:tc>
            <w:tc>
              <w:tcPr>
                <w:tcW w:w="924" w:type="dxa"/>
                <w:vMerge/>
                <w:vAlign w:val="center"/>
              </w:tcPr>
              <w:p w:rsidR="004A3868" w:rsidRDefault="004A3868">
                <w:pPr>
                  <w:pStyle w:val="Style1226"/>
                  <w:rPr>
                    <w:rStyle w:val="Char10"/>
                  </w:rPr>
                </w:pPr>
              </w:p>
            </w:tc>
            <w:tc>
              <w:tcPr>
                <w:tcW w:w="1305" w:type="dxa"/>
                <w:vAlign w:val="center"/>
              </w:tcPr>
              <w:p w:rsidR="004A3868" w:rsidRDefault="003F1AB5">
                <w:pPr>
                  <w:pStyle w:val="Style1226"/>
                  <w:rPr>
                    <w:rStyle w:val="Char10"/>
                  </w:rPr>
                </w:pPr>
                <w:r>
                  <w:rPr>
                    <w:rStyle w:val="Char10"/>
                    <w:rFonts w:hint="eastAsia"/>
                  </w:rPr>
                  <w:t>直接</w:t>
                </w:r>
              </w:p>
            </w:tc>
            <w:tc>
              <w:tcPr>
                <w:tcW w:w="1305" w:type="dxa"/>
                <w:vAlign w:val="center"/>
              </w:tcPr>
              <w:p w:rsidR="004A3868" w:rsidRDefault="003F1AB5">
                <w:pPr>
                  <w:pStyle w:val="Style1226"/>
                  <w:rPr>
                    <w:rStyle w:val="Char10"/>
                  </w:rPr>
                </w:pPr>
                <w:r>
                  <w:rPr>
                    <w:rStyle w:val="Char10"/>
                    <w:rFonts w:hint="eastAsia"/>
                  </w:rPr>
                  <w:t>间接</w:t>
                </w:r>
              </w:p>
            </w:tc>
            <w:tc>
              <w:tcPr>
                <w:tcW w:w="1305" w:type="dxa"/>
                <w:vMerge/>
                <w:vAlign w:val="center"/>
              </w:tcPr>
              <w:p w:rsidR="004A3868" w:rsidRDefault="004A3868">
                <w:pPr>
                  <w:pStyle w:val="Style1226"/>
                  <w:rPr>
                    <w:rStyle w:val="Char10"/>
                  </w:rPr>
                </w:pPr>
              </w:p>
            </w:tc>
          </w:tr>
          <w:tr w:rsidR="004A3868">
            <w:trPr>
              <w:trHeight w:val="397"/>
              <w:jc w:val="center"/>
            </w:trPr>
            <w:tc>
              <w:tcPr>
                <w:tcW w:w="1838" w:type="dxa"/>
                <w:vAlign w:val="center"/>
              </w:tcPr>
              <w:p w:rsidR="004A3868" w:rsidRDefault="003F1AB5">
                <w:pPr>
                  <w:pStyle w:val="Style1226"/>
                  <w:rPr>
                    <w:rStyle w:val="Char10"/>
                  </w:rPr>
                </w:pPr>
                <w:r>
                  <w:rPr>
                    <w:rStyle w:val="Char10"/>
                    <w:rFonts w:hint="eastAsia"/>
                  </w:rPr>
                  <w:t>重庆能投长寿经开区售电有限公司</w:t>
                </w:r>
              </w:p>
            </w:tc>
            <w:tc>
              <w:tcPr>
                <w:tcW w:w="1385" w:type="dxa"/>
                <w:vAlign w:val="center"/>
              </w:tcPr>
              <w:p w:rsidR="004A3868" w:rsidRDefault="003F1AB5">
                <w:pPr>
                  <w:pStyle w:val="Style1226"/>
                  <w:rPr>
                    <w:rStyle w:val="Char10"/>
                  </w:rPr>
                </w:pPr>
                <w:r>
                  <w:rPr>
                    <w:rStyle w:val="Char10"/>
                  </w:rPr>
                  <w:t>重庆市</w:t>
                </w:r>
              </w:p>
            </w:tc>
            <w:tc>
              <w:tcPr>
                <w:tcW w:w="908" w:type="dxa"/>
                <w:vAlign w:val="center"/>
              </w:tcPr>
              <w:p w:rsidR="004A3868" w:rsidRDefault="003F1AB5">
                <w:pPr>
                  <w:pStyle w:val="Style1226"/>
                  <w:rPr>
                    <w:rStyle w:val="Char10"/>
                  </w:rPr>
                </w:pPr>
                <w:r>
                  <w:rPr>
                    <w:rStyle w:val="Char10"/>
                  </w:rPr>
                  <w:t>重庆市</w:t>
                </w:r>
              </w:p>
            </w:tc>
            <w:tc>
              <w:tcPr>
                <w:tcW w:w="924" w:type="dxa"/>
                <w:vAlign w:val="center"/>
              </w:tcPr>
              <w:p w:rsidR="004A3868" w:rsidRDefault="003F1AB5">
                <w:pPr>
                  <w:pStyle w:val="Style1226"/>
                  <w:rPr>
                    <w:rStyle w:val="Char10"/>
                  </w:rPr>
                </w:pPr>
                <w:r>
                  <w:rPr>
                    <w:rStyle w:val="Char10"/>
                  </w:rPr>
                  <w:t>服务业</w:t>
                </w:r>
              </w:p>
            </w:tc>
            <w:tc>
              <w:tcPr>
                <w:tcW w:w="1305" w:type="dxa"/>
                <w:vAlign w:val="center"/>
              </w:tcPr>
              <w:p w:rsidR="004A3868" w:rsidRDefault="003F1AB5">
                <w:pPr>
                  <w:pStyle w:val="Style1226"/>
                  <w:rPr>
                    <w:rStyle w:val="Char10"/>
                  </w:rPr>
                </w:pPr>
                <w:r>
                  <w:rPr>
                    <w:rStyle w:val="Char10"/>
                  </w:rPr>
                  <w:t>30.00</w:t>
                </w:r>
              </w:p>
            </w:tc>
            <w:tc>
              <w:tcPr>
                <w:tcW w:w="1305" w:type="dxa"/>
                <w:vAlign w:val="center"/>
              </w:tcPr>
              <w:p w:rsidR="004A3868" w:rsidRDefault="004A3868">
                <w:pPr>
                  <w:pStyle w:val="Style1226"/>
                  <w:rPr>
                    <w:rStyle w:val="Char10"/>
                  </w:rPr>
                </w:pPr>
              </w:p>
            </w:tc>
            <w:tc>
              <w:tcPr>
                <w:tcW w:w="1305" w:type="dxa"/>
                <w:vAlign w:val="center"/>
              </w:tcPr>
              <w:p w:rsidR="004A3868" w:rsidRDefault="003F1AB5">
                <w:pPr>
                  <w:pStyle w:val="Style1226"/>
                  <w:rPr>
                    <w:rStyle w:val="Char10"/>
                  </w:rPr>
                </w:pPr>
                <w:r>
                  <w:rPr>
                    <w:rStyle w:val="Char10"/>
                  </w:rPr>
                  <w:t>权益法</w:t>
                </w:r>
              </w:p>
            </w:tc>
          </w:tr>
        </w:tbl>
        <w:p w:rsidR="004A3868" w:rsidRDefault="00B34370">
          <w:pPr>
            <w:pStyle w:val="Style853"/>
            <w:rPr>
              <w:rStyle w:val="Char10"/>
            </w:rPr>
          </w:pPr>
        </w:p>
      </w:sdtContent>
    </w:sdt>
    <w:p w:rsidR="004A3868" w:rsidRDefault="003F1AB5">
      <w:pPr>
        <w:pStyle w:val="Style956"/>
        <w:numPr>
          <w:ilvl w:val="3"/>
          <w:numId w:val="110"/>
        </w:numPr>
        <w:rPr>
          <w:rStyle w:val="Char10"/>
        </w:rPr>
      </w:pPr>
      <w:r>
        <w:rPr>
          <w:rStyle w:val="Char10"/>
          <w:rFonts w:hint="eastAsia"/>
        </w:rPr>
        <w:t>重要的合营企业或联营企业</w:t>
      </w:r>
    </w:p>
    <w:sdt>
      <w:sdtPr>
        <w:rPr>
          <w:rStyle w:val="Char10"/>
          <w:rFonts w:hint="eastAsia"/>
        </w:rPr>
        <w:alias w:val="是否适用：重要的合营企业或联营企业[双击切换]"/>
        <w:tag w:val="_GBC_99df64ed4bb84c2da5fb54cda5ae039b"/>
        <w:id w:val="-1882859904"/>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0"/>
        </w:numPr>
        <w:rPr>
          <w:rStyle w:val="Char10"/>
        </w:rPr>
      </w:pPr>
      <w:r>
        <w:rPr>
          <w:rStyle w:val="Char10"/>
          <w:rFonts w:hint="eastAsia"/>
        </w:rPr>
        <w:lastRenderedPageBreak/>
        <w:t>重要合营企业的主要财务信息</w:t>
      </w:r>
    </w:p>
    <w:sdt>
      <w:sdtPr>
        <w:rPr>
          <w:rStyle w:val="Char10"/>
          <w:rFonts w:hint="eastAsia"/>
        </w:rPr>
        <w:alias w:val="是否适用：重要合营企业的主要财务信息[双击切换]"/>
        <w:tag w:val="_GBC_8218a872fcd045d290940ccf3b3bdfa5"/>
        <w:id w:val="1238599985"/>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0"/>
        </w:numPr>
        <w:rPr>
          <w:rStyle w:val="Char10"/>
        </w:rPr>
      </w:pPr>
      <w:r>
        <w:rPr>
          <w:rStyle w:val="Char10"/>
          <w:rFonts w:hint="eastAsia"/>
        </w:rPr>
        <w:t>重要联营企业的主要财务信息</w:t>
      </w:r>
    </w:p>
    <w:sdt>
      <w:sdtPr>
        <w:rPr>
          <w:rStyle w:val="Char10"/>
          <w:rFonts w:hint="eastAsia"/>
        </w:rPr>
        <w:alias w:val="是否适用：重要联营企业的主要财务信息[双击切换]"/>
        <w:tag w:val="_GBC_e570958be6b64b7d8be73c12ea5135f1"/>
        <w:id w:val="-2020528052"/>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w:instrText>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财务附注：重要联营企业的主要财务信息"/>
          <w:tag w:val="_GBC_0306b30be35040cd86d2b964142011d4"/>
          <w:id w:val="3200028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财务附注：重要联营企业的主要财务信息"/>
          <w:tag w:val="_GBC_a2e655bae21746219bfd958c6f5b8be9"/>
          <w:id w:val="617613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28" w:type="dxa"/>
        </w:tblCellMar>
        <w:tblLook w:val="04A0" w:firstRow="1" w:lastRow="0" w:firstColumn="1" w:lastColumn="0" w:noHBand="0" w:noVBand="1"/>
      </w:tblPr>
      <w:tblGrid>
        <w:gridCol w:w="3846"/>
        <w:gridCol w:w="2487"/>
        <w:gridCol w:w="2487"/>
      </w:tblGrid>
      <w:tr w:rsidR="004A3868">
        <w:trPr>
          <w:trHeight w:val="397"/>
          <w:jc w:val="center"/>
        </w:trPr>
        <w:tc>
          <w:tcPr>
            <w:tcW w:w="218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A3868" w:rsidRDefault="003F1AB5">
            <w:pPr>
              <w:pStyle w:val="Style1226"/>
              <w:rPr>
                <w:rStyle w:val="Char10"/>
              </w:rPr>
            </w:pPr>
            <w:r>
              <w:rPr>
                <w:rStyle w:val="Char10"/>
                <w:rFonts w:hint="eastAsia"/>
              </w:rPr>
              <w:t>项目</w:t>
            </w:r>
          </w:p>
        </w:tc>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sdt>
            <w:sdtPr>
              <w:rPr>
                <w:rStyle w:val="Char10"/>
                <w:rFonts w:hint="eastAsia"/>
              </w:rPr>
              <w:tag w:val="_PLD_3f5fa209abb242d7b7cbb1f0a249e5ed"/>
              <w:id w:val="-301924196"/>
              <w:lock w:val="sdtLocked"/>
            </w:sdtPr>
            <w:sdtEndPr>
              <w:rPr>
                <w:rStyle w:val="Char10"/>
              </w:rPr>
            </w:sdtEndPr>
            <w:sdtContent>
              <w:p w:rsidR="004A3868" w:rsidRDefault="003F1AB5">
                <w:pPr>
                  <w:pStyle w:val="Style1226"/>
                  <w:rPr>
                    <w:rStyle w:val="Char10"/>
                  </w:rPr>
                </w:pPr>
                <w:r>
                  <w:rPr>
                    <w:rStyle w:val="Char10"/>
                    <w:rFonts w:hint="eastAsia"/>
                  </w:rPr>
                  <w:t>期末余额</w:t>
                </w:r>
                <w:r>
                  <w:rPr>
                    <w:rStyle w:val="Char10"/>
                  </w:rPr>
                  <w:t xml:space="preserve">/ </w:t>
                </w:r>
                <w:r>
                  <w:rPr>
                    <w:rStyle w:val="Char10"/>
                    <w:rFonts w:hint="eastAsia"/>
                  </w:rPr>
                  <w:t>本期发生额</w:t>
                </w:r>
              </w:p>
            </w:sdtContent>
          </w:sdt>
        </w:tc>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sdt>
            <w:sdtPr>
              <w:rPr>
                <w:rStyle w:val="Char10"/>
                <w:rFonts w:hint="eastAsia"/>
              </w:rPr>
              <w:tag w:val="_PLD_84be18983356408eb53d1d34932bd41a"/>
              <w:id w:val="-1476981775"/>
              <w:lock w:val="sdtLocked"/>
            </w:sdtPr>
            <w:sdtEndPr>
              <w:rPr>
                <w:rStyle w:val="Char10"/>
              </w:rPr>
            </w:sdtEndPr>
            <w:sdtContent>
              <w:p w:rsidR="004A3868" w:rsidRDefault="003F1AB5">
                <w:pPr>
                  <w:pStyle w:val="Style1226"/>
                  <w:rPr>
                    <w:rStyle w:val="Char10"/>
                  </w:rPr>
                </w:pPr>
                <w:r>
                  <w:rPr>
                    <w:rStyle w:val="Char10"/>
                    <w:rFonts w:hint="eastAsia"/>
                  </w:rPr>
                  <w:t>期初余额</w:t>
                </w:r>
                <w:r>
                  <w:rPr>
                    <w:rStyle w:val="Char10"/>
                  </w:rPr>
                  <w:t xml:space="preserve">/ </w:t>
                </w:r>
                <w:r>
                  <w:rPr>
                    <w:rStyle w:val="Char10"/>
                    <w:rFonts w:hint="eastAsia"/>
                  </w:rPr>
                  <w:t>上期发生额</w:t>
                </w:r>
              </w:p>
            </w:sdtContent>
          </w:sdt>
        </w:tc>
      </w:tr>
      <w:tr w:rsidR="004A3868">
        <w:trPr>
          <w:trHeight w:val="397"/>
          <w:jc w:val="center"/>
        </w:trPr>
        <w:tc>
          <w:tcPr>
            <w:tcW w:w="2180" w:type="pct"/>
            <w:vMerge/>
            <w:tcBorders>
              <w:top w:val="single" w:sz="4" w:space="0" w:color="auto"/>
              <w:left w:val="single" w:sz="4" w:space="0" w:color="auto"/>
              <w:bottom w:val="single" w:sz="6" w:space="0" w:color="auto"/>
              <w:right w:val="single" w:sz="6" w:space="0" w:color="auto"/>
            </w:tcBorders>
            <w:shd w:val="clear" w:color="auto" w:fill="auto"/>
            <w:vAlign w:val="center"/>
          </w:tcPr>
          <w:p w:rsidR="004A3868" w:rsidRDefault="004A3868">
            <w:pPr>
              <w:pStyle w:val="Style1226"/>
              <w:rPr>
                <w:rStyle w:val="Char10"/>
              </w:rPr>
            </w:pPr>
          </w:p>
        </w:tc>
        <w:tc>
          <w:tcPr>
            <w:tcW w:w="1410" w:type="pct"/>
            <w:tcBorders>
              <w:top w:val="single" w:sz="6" w:space="0" w:color="auto"/>
              <w:left w:val="single" w:sz="6" w:space="0" w:color="auto"/>
              <w:right w:val="single" w:sz="6" w:space="0" w:color="auto"/>
            </w:tcBorders>
            <w:shd w:val="clear" w:color="auto" w:fill="auto"/>
            <w:vAlign w:val="center"/>
          </w:tcPr>
          <w:p w:rsidR="004A3868" w:rsidRDefault="003F1AB5">
            <w:pPr>
              <w:pStyle w:val="Style1226"/>
              <w:rPr>
                <w:rStyle w:val="Char10"/>
              </w:rPr>
            </w:pPr>
            <w:r>
              <w:rPr>
                <w:rStyle w:val="Char10"/>
                <w:rFonts w:hint="eastAsia"/>
              </w:rPr>
              <w:t>重庆能投长寿经开区售电有限公司</w:t>
            </w:r>
          </w:p>
        </w:tc>
        <w:tc>
          <w:tcPr>
            <w:tcW w:w="1410" w:type="pct"/>
            <w:tcBorders>
              <w:top w:val="single" w:sz="6" w:space="0" w:color="auto"/>
              <w:left w:val="single" w:sz="6" w:space="0" w:color="auto"/>
              <w:bottom w:val="single" w:sz="6" w:space="0" w:color="auto"/>
              <w:right w:val="single" w:sz="6" w:space="0" w:color="auto"/>
            </w:tcBorders>
            <w:shd w:val="clear" w:color="auto" w:fill="auto"/>
            <w:vAlign w:val="center"/>
          </w:tcPr>
          <w:p w:rsidR="004A3868" w:rsidRDefault="003F1AB5">
            <w:pPr>
              <w:pStyle w:val="Style1226"/>
              <w:rPr>
                <w:rStyle w:val="Char10"/>
              </w:rPr>
            </w:pPr>
            <w:r>
              <w:rPr>
                <w:rStyle w:val="Char10"/>
                <w:rFonts w:hint="eastAsia"/>
              </w:rPr>
              <w:t>重庆能投长寿经开区售电有限公司</w:t>
            </w: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流动资产</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45,242,562.40</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44,929,390.44</w:t>
            </w: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非流动资产</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12,539,317.39</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13,322,631.31</w:t>
            </w: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资产合计</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57,781,879.79</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58,252,021.75</w:t>
            </w:r>
          </w:p>
        </w:tc>
      </w:tr>
      <w:tr w:rsidR="004A3868">
        <w:trPr>
          <w:trHeight w:val="397"/>
          <w:jc w:val="center"/>
        </w:trPr>
        <w:tc>
          <w:tcPr>
            <w:tcW w:w="5000" w:type="pct"/>
            <w:gridSpan w:val="3"/>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4A3868">
            <w:pPr>
              <w:pStyle w:val="Style1224"/>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流动负债</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5,999,634.53</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4,871,245.21</w:t>
            </w: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非流动负债</w:t>
            </w:r>
          </w:p>
        </w:tc>
        <w:tc>
          <w:tcPr>
            <w:tcW w:w="1410" w:type="pct"/>
            <w:tcBorders>
              <w:left w:val="single" w:sz="6" w:space="0" w:color="auto"/>
              <w:right w:val="single" w:sz="6" w:space="0" w:color="auto"/>
            </w:tcBorders>
            <w:shd w:val="clear" w:color="auto" w:fill="auto"/>
            <w:vAlign w:val="center"/>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4A3868">
            <w:pPr>
              <w:pStyle w:val="Style1222"/>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负债合计</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5,999,634.53</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4,871,245.21</w:t>
            </w:r>
          </w:p>
        </w:tc>
      </w:tr>
      <w:tr w:rsidR="004A3868">
        <w:trPr>
          <w:trHeight w:val="397"/>
          <w:jc w:val="center"/>
        </w:trPr>
        <w:tc>
          <w:tcPr>
            <w:tcW w:w="5000" w:type="pct"/>
            <w:gridSpan w:val="3"/>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4A3868">
            <w:pPr>
              <w:pStyle w:val="Style1224"/>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少数股东权益</w:t>
            </w:r>
          </w:p>
        </w:tc>
        <w:tc>
          <w:tcPr>
            <w:tcW w:w="1410" w:type="pct"/>
            <w:tcBorders>
              <w:left w:val="single" w:sz="6" w:space="0" w:color="auto"/>
              <w:right w:val="single" w:sz="6" w:space="0" w:color="auto"/>
            </w:tcBorders>
            <w:shd w:val="clear" w:color="auto" w:fill="auto"/>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tcPr>
          <w:p w:rsidR="004A3868" w:rsidRDefault="004A3868">
            <w:pPr>
              <w:pStyle w:val="Style1222"/>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归属于母公司股东权益</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51,782,245.26</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53,380,776.54</w:t>
            </w:r>
          </w:p>
        </w:tc>
      </w:tr>
      <w:tr w:rsidR="004A3868">
        <w:trPr>
          <w:trHeight w:val="397"/>
          <w:jc w:val="center"/>
        </w:trPr>
        <w:tc>
          <w:tcPr>
            <w:tcW w:w="5000" w:type="pct"/>
            <w:gridSpan w:val="3"/>
            <w:tcBorders>
              <w:top w:val="single" w:sz="6" w:space="0" w:color="auto"/>
              <w:left w:val="single" w:sz="4" w:space="0" w:color="auto"/>
              <w:bottom w:val="single" w:sz="6" w:space="0" w:color="auto"/>
              <w:right w:val="single" w:sz="6" w:space="0" w:color="auto"/>
            </w:tcBorders>
            <w:shd w:val="clear" w:color="auto" w:fill="auto"/>
            <w:vAlign w:val="center"/>
          </w:tcPr>
          <w:p w:rsidR="004A3868" w:rsidRDefault="004A3868">
            <w:pPr>
              <w:pStyle w:val="Style1224"/>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按持股比例计算的净资产份额</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15,534,673.57</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16,014,232.96</w:t>
            </w: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调整事项</w:t>
            </w:r>
          </w:p>
        </w:tc>
        <w:tc>
          <w:tcPr>
            <w:tcW w:w="1410" w:type="pct"/>
            <w:tcBorders>
              <w:left w:val="single" w:sz="6" w:space="0" w:color="auto"/>
              <w:right w:val="single" w:sz="6" w:space="0" w:color="auto"/>
            </w:tcBorders>
            <w:shd w:val="clear" w:color="auto" w:fill="auto"/>
            <w:vAlign w:val="center"/>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4A3868">
            <w:pPr>
              <w:pStyle w:val="Style1222"/>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Pr>
              <w:t>--</w:t>
            </w:r>
            <w:r>
              <w:rPr>
                <w:rStyle w:val="Char10"/>
                <w:rFonts w:hint="eastAsia"/>
              </w:rPr>
              <w:t>商誉</w:t>
            </w:r>
          </w:p>
        </w:tc>
        <w:tc>
          <w:tcPr>
            <w:tcW w:w="1410" w:type="pct"/>
            <w:tcBorders>
              <w:left w:val="single" w:sz="6" w:space="0" w:color="auto"/>
              <w:right w:val="single" w:sz="6" w:space="0" w:color="auto"/>
            </w:tcBorders>
            <w:shd w:val="clear" w:color="auto" w:fill="auto"/>
            <w:vAlign w:val="center"/>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4A3868">
            <w:pPr>
              <w:pStyle w:val="Style1222"/>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Pr>
              <w:t>--</w:t>
            </w:r>
            <w:r>
              <w:rPr>
                <w:rStyle w:val="Char10"/>
                <w:rFonts w:hint="eastAsia"/>
              </w:rPr>
              <w:t>内部交易未实现利润</w:t>
            </w:r>
          </w:p>
        </w:tc>
        <w:tc>
          <w:tcPr>
            <w:tcW w:w="1410" w:type="pct"/>
            <w:tcBorders>
              <w:left w:val="single" w:sz="6" w:space="0" w:color="auto"/>
              <w:right w:val="single" w:sz="6" w:space="0" w:color="auto"/>
            </w:tcBorders>
            <w:shd w:val="clear" w:color="auto" w:fill="auto"/>
            <w:vAlign w:val="center"/>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4A3868">
            <w:pPr>
              <w:pStyle w:val="Style1222"/>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Pr>
              <w:t>--</w:t>
            </w:r>
            <w:r>
              <w:rPr>
                <w:rStyle w:val="Char10"/>
                <w:rFonts w:hint="eastAsia"/>
              </w:rPr>
              <w:t>其他</w:t>
            </w:r>
          </w:p>
        </w:tc>
        <w:tc>
          <w:tcPr>
            <w:tcW w:w="1410" w:type="pct"/>
            <w:tcBorders>
              <w:left w:val="single" w:sz="6" w:space="0" w:color="auto"/>
              <w:right w:val="single" w:sz="6" w:space="0" w:color="auto"/>
            </w:tcBorders>
            <w:shd w:val="clear" w:color="auto" w:fill="auto"/>
            <w:vAlign w:val="center"/>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4A3868">
            <w:pPr>
              <w:pStyle w:val="Style1222"/>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对联营企业权益投资的账面价值</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15,534,673.57</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16,014,232.96</w:t>
            </w: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存在公开报价的联营企业权益投资的公允价值</w:t>
            </w:r>
          </w:p>
        </w:tc>
        <w:tc>
          <w:tcPr>
            <w:tcW w:w="1410" w:type="pct"/>
            <w:tcBorders>
              <w:left w:val="single" w:sz="6" w:space="0" w:color="auto"/>
              <w:right w:val="single" w:sz="6" w:space="0" w:color="auto"/>
            </w:tcBorders>
            <w:shd w:val="clear" w:color="auto" w:fill="auto"/>
            <w:vAlign w:val="center"/>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4A3868">
            <w:pPr>
              <w:pStyle w:val="Style1222"/>
              <w:rPr>
                <w:rStyle w:val="Char10"/>
              </w:rPr>
            </w:pPr>
          </w:p>
        </w:tc>
      </w:tr>
      <w:tr w:rsidR="004A3868">
        <w:trPr>
          <w:trHeight w:val="397"/>
          <w:jc w:val="center"/>
        </w:trPr>
        <w:tc>
          <w:tcPr>
            <w:tcW w:w="5000" w:type="pct"/>
            <w:gridSpan w:val="3"/>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4A3868">
            <w:pPr>
              <w:pStyle w:val="Style1224"/>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营业收入</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27,804,390.29</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24,258,581.83</w:t>
            </w: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净利润</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1,078,966.51</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2,974,997.55</w:t>
            </w: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终止经营的净利润</w:t>
            </w:r>
          </w:p>
        </w:tc>
        <w:tc>
          <w:tcPr>
            <w:tcW w:w="1410" w:type="pct"/>
            <w:tcBorders>
              <w:left w:val="single" w:sz="6" w:space="0" w:color="auto"/>
              <w:right w:val="single" w:sz="6" w:space="0" w:color="auto"/>
            </w:tcBorders>
            <w:shd w:val="clear" w:color="auto" w:fill="auto"/>
            <w:vAlign w:val="center"/>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4A3868">
            <w:pPr>
              <w:pStyle w:val="Style1222"/>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其他综合收益</w:t>
            </w:r>
          </w:p>
        </w:tc>
        <w:tc>
          <w:tcPr>
            <w:tcW w:w="1410" w:type="pct"/>
            <w:tcBorders>
              <w:left w:val="single" w:sz="6" w:space="0" w:color="auto"/>
              <w:right w:val="single" w:sz="6" w:space="0" w:color="auto"/>
            </w:tcBorders>
            <w:shd w:val="clear" w:color="auto" w:fill="auto"/>
            <w:vAlign w:val="center"/>
          </w:tcPr>
          <w:p w:rsidR="004A3868" w:rsidRDefault="004A3868">
            <w:pPr>
              <w:pStyle w:val="Style1222"/>
              <w:rPr>
                <w:rStyle w:val="Char10"/>
              </w:rPr>
            </w:pP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4A3868">
            <w:pPr>
              <w:pStyle w:val="Style1222"/>
              <w:rPr>
                <w:rStyle w:val="Char10"/>
              </w:rPr>
            </w:pPr>
          </w:p>
        </w:tc>
      </w:tr>
      <w:tr w:rsidR="004A3868">
        <w:trPr>
          <w:trHeight w:val="397"/>
          <w:jc w:val="center"/>
        </w:trPr>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综合收益总额</w:t>
            </w:r>
          </w:p>
        </w:tc>
        <w:tc>
          <w:tcPr>
            <w:tcW w:w="1410" w:type="pct"/>
            <w:tcBorders>
              <w:left w:val="single" w:sz="6" w:space="0" w:color="auto"/>
              <w:right w:val="single" w:sz="6" w:space="0" w:color="auto"/>
            </w:tcBorders>
            <w:shd w:val="clear" w:color="auto" w:fill="auto"/>
            <w:vAlign w:val="center"/>
          </w:tcPr>
          <w:p w:rsidR="004A3868" w:rsidRDefault="003F1AB5">
            <w:pPr>
              <w:pStyle w:val="Style1222"/>
              <w:rPr>
                <w:rStyle w:val="Char10"/>
              </w:rPr>
            </w:pPr>
            <w:r>
              <w:rPr>
                <w:rStyle w:val="Char10"/>
              </w:rPr>
              <w:t>1,078,966.51</w:t>
            </w:r>
          </w:p>
        </w:tc>
        <w:tc>
          <w:tcPr>
            <w:tcW w:w="1410" w:type="pct"/>
            <w:tcBorders>
              <w:top w:val="single" w:sz="6" w:space="0" w:color="auto"/>
              <w:left w:val="single" w:sz="6" w:space="0" w:color="auto"/>
              <w:bottom w:val="single" w:sz="6" w:space="0" w:color="auto"/>
              <w:right w:val="single" w:sz="6" w:space="0" w:color="auto"/>
            </w:tcBorders>
            <w:vAlign w:val="center"/>
          </w:tcPr>
          <w:p w:rsidR="004A3868" w:rsidRDefault="003F1AB5">
            <w:pPr>
              <w:pStyle w:val="Style1222"/>
              <w:rPr>
                <w:rStyle w:val="Char10"/>
              </w:rPr>
            </w:pPr>
            <w:r>
              <w:rPr>
                <w:rStyle w:val="Char10"/>
              </w:rPr>
              <w:t>2,974,997.55</w:t>
            </w:r>
          </w:p>
        </w:tc>
      </w:tr>
      <w:tr w:rsidR="004A3868">
        <w:trPr>
          <w:trHeight w:val="397"/>
          <w:jc w:val="center"/>
        </w:trPr>
        <w:tc>
          <w:tcPr>
            <w:tcW w:w="5000" w:type="pct"/>
            <w:gridSpan w:val="3"/>
            <w:tcBorders>
              <w:top w:val="single" w:sz="6" w:space="0" w:color="auto"/>
              <w:left w:val="single" w:sz="4" w:space="0" w:color="auto"/>
              <w:bottom w:val="single" w:sz="4" w:space="0" w:color="auto"/>
              <w:right w:val="single" w:sz="6" w:space="0" w:color="auto"/>
            </w:tcBorders>
            <w:shd w:val="clear" w:color="auto" w:fill="auto"/>
            <w:vAlign w:val="bottom"/>
          </w:tcPr>
          <w:p w:rsidR="004A3868" w:rsidRDefault="004A3868">
            <w:pPr>
              <w:pStyle w:val="Style1224"/>
              <w:rPr>
                <w:rStyle w:val="Char10"/>
              </w:rPr>
            </w:pPr>
          </w:p>
        </w:tc>
      </w:tr>
      <w:tr w:rsidR="004A3868">
        <w:trPr>
          <w:trHeight w:val="397"/>
          <w:jc w:val="center"/>
        </w:trPr>
        <w:tc>
          <w:tcPr>
            <w:tcW w:w="2180" w:type="pct"/>
            <w:tcBorders>
              <w:top w:val="single" w:sz="6" w:space="0" w:color="auto"/>
              <w:left w:val="single" w:sz="4" w:space="0" w:color="auto"/>
              <w:bottom w:val="single" w:sz="4" w:space="0" w:color="auto"/>
              <w:right w:val="single" w:sz="6" w:space="0" w:color="auto"/>
            </w:tcBorders>
            <w:shd w:val="clear" w:color="auto" w:fill="auto"/>
            <w:vAlign w:val="bottom"/>
          </w:tcPr>
          <w:p w:rsidR="004A3868" w:rsidRDefault="003F1AB5">
            <w:pPr>
              <w:pStyle w:val="Style1224"/>
              <w:rPr>
                <w:rStyle w:val="Char10"/>
              </w:rPr>
            </w:pPr>
            <w:r>
              <w:rPr>
                <w:rStyle w:val="Char10"/>
                <w:rFonts w:hint="eastAsia"/>
              </w:rPr>
              <w:t>本年度收到的来自联营企业的股利</w:t>
            </w:r>
          </w:p>
        </w:tc>
        <w:tc>
          <w:tcPr>
            <w:tcW w:w="1410" w:type="pct"/>
            <w:tcBorders>
              <w:left w:val="single" w:sz="6" w:space="0" w:color="auto"/>
              <w:bottom w:val="single" w:sz="4" w:space="0" w:color="auto"/>
              <w:right w:val="single" w:sz="6" w:space="0" w:color="auto"/>
            </w:tcBorders>
            <w:shd w:val="clear" w:color="auto" w:fill="auto"/>
            <w:vAlign w:val="center"/>
          </w:tcPr>
          <w:p w:rsidR="004A3868" w:rsidRDefault="003F1AB5">
            <w:pPr>
              <w:pStyle w:val="Style1222"/>
              <w:rPr>
                <w:rStyle w:val="Char10"/>
              </w:rPr>
            </w:pPr>
            <w:r>
              <w:rPr>
                <w:rStyle w:val="Char10"/>
              </w:rPr>
              <w:t>803,249.34</w:t>
            </w:r>
          </w:p>
        </w:tc>
        <w:tc>
          <w:tcPr>
            <w:tcW w:w="1410" w:type="pct"/>
            <w:tcBorders>
              <w:top w:val="single" w:sz="6" w:space="0" w:color="auto"/>
              <w:left w:val="single" w:sz="6" w:space="0" w:color="auto"/>
              <w:bottom w:val="single" w:sz="4" w:space="0" w:color="auto"/>
              <w:right w:val="single" w:sz="6" w:space="0" w:color="auto"/>
            </w:tcBorders>
            <w:vAlign w:val="center"/>
          </w:tcPr>
          <w:p w:rsidR="004A3868" w:rsidRDefault="003F1AB5">
            <w:pPr>
              <w:pStyle w:val="Style1222"/>
              <w:rPr>
                <w:rStyle w:val="Char10"/>
              </w:rPr>
            </w:pPr>
            <w:r>
              <w:rPr>
                <w:rStyle w:val="Char10"/>
              </w:rPr>
              <w:t>1,091,417.43</w:t>
            </w:r>
          </w:p>
        </w:tc>
      </w:tr>
    </w:tbl>
    <w:p w:rsidR="004A3868" w:rsidRDefault="003F1AB5">
      <w:pPr>
        <w:pStyle w:val="Style842"/>
        <w:rPr>
          <w:rStyle w:val="Char10"/>
        </w:rPr>
      </w:pPr>
      <w:r>
        <w:rPr>
          <w:rStyle w:val="Char10"/>
          <w:rFonts w:hint="eastAsia"/>
        </w:rPr>
        <w:t>其他说明</w:t>
      </w:r>
    </w:p>
    <w:sdt>
      <w:sdtPr>
        <w:rPr>
          <w:rStyle w:val="Char10"/>
          <w:rFonts w:hint="eastAsia"/>
        </w:rPr>
        <w:alias w:val="重要联营企业的主要财务信息其他说明的方法"/>
        <w:tag w:val="_GBC_49602fee37fb4c848eee594868d16caa"/>
        <w:id w:val="161880560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p w:rsidR="004A3868" w:rsidRDefault="003F1AB5">
      <w:pPr>
        <w:pStyle w:val="Style956"/>
        <w:numPr>
          <w:ilvl w:val="3"/>
          <w:numId w:val="110"/>
        </w:numPr>
        <w:rPr>
          <w:rStyle w:val="Char10"/>
        </w:rPr>
      </w:pPr>
      <w:r>
        <w:rPr>
          <w:rStyle w:val="Char10"/>
          <w:rFonts w:hint="eastAsia"/>
        </w:rPr>
        <w:t>不重要的合营企业和联营企业的汇总财务信息</w:t>
      </w:r>
    </w:p>
    <w:sdt>
      <w:sdtPr>
        <w:rPr>
          <w:rStyle w:val="Char10"/>
          <w:rFonts w:hint="eastAsia"/>
        </w:rPr>
        <w:alias w:val="是否适用：不重要的合营企业和联营企业的汇总财务信息[双击切换]"/>
        <w:tag w:val="_GBC_0aba65ffa2fc4a9db5812b38264da59a"/>
        <w:id w:val="-1771999637"/>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0"/>
        </w:numPr>
        <w:rPr>
          <w:rStyle w:val="Char10"/>
        </w:rPr>
      </w:pPr>
      <w:r>
        <w:rPr>
          <w:rStyle w:val="Char10"/>
          <w:rFonts w:hint="eastAsia"/>
        </w:rPr>
        <w:t>合营企业或联营企业向本公司转移资金的能力存在重大限制的说明</w:t>
      </w:r>
    </w:p>
    <w:sdt>
      <w:sdtPr>
        <w:rPr>
          <w:rStyle w:val="Char10"/>
          <w:rFonts w:hint="eastAsia"/>
        </w:rPr>
        <w:alias w:val="是否适用：合营企业或联营企业向本公司转移资金的能力存在重大限制的说明[双击切换]"/>
        <w:tag w:val="_GBC_6adf336cbf6141a59d29de2be4c5a55b"/>
        <w:id w:val="1297959708"/>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0"/>
        </w:numPr>
        <w:rPr>
          <w:rStyle w:val="Char10"/>
        </w:rPr>
      </w:pPr>
      <w:r>
        <w:rPr>
          <w:rStyle w:val="Char10"/>
          <w:rFonts w:hint="eastAsia"/>
        </w:rPr>
        <w:t>合营企业或联营企业发生的超额亏损</w:t>
      </w:r>
    </w:p>
    <w:sdt>
      <w:sdtPr>
        <w:rPr>
          <w:rStyle w:val="Char10"/>
          <w:rFonts w:hint="eastAsia"/>
        </w:rPr>
        <w:alias w:val="是否适用：合营企业或联营企业发生的超额亏损[双击切换]"/>
        <w:tag w:val="_GBC_06d01e334df443999a288d3ef1be1420"/>
        <w:id w:val="-927881542"/>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0"/>
        </w:numPr>
        <w:rPr>
          <w:rStyle w:val="Char10"/>
        </w:rPr>
      </w:pPr>
      <w:r>
        <w:rPr>
          <w:rStyle w:val="Char10"/>
          <w:rFonts w:hint="eastAsia"/>
        </w:rPr>
        <w:t>与合营企业投资相关的未确认承诺</w:t>
      </w:r>
    </w:p>
    <w:sdt>
      <w:sdtPr>
        <w:rPr>
          <w:rStyle w:val="Char10"/>
          <w:rFonts w:hint="eastAsia"/>
        </w:rPr>
        <w:alias w:val="是否适用：与合营企业投资相关的未确认承诺[双击切换]"/>
        <w:tag w:val="_GBC_31e45f9d52434cea9a9a27d328e562ec"/>
        <w:id w:val="-159199471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0"/>
        </w:numPr>
        <w:rPr>
          <w:rStyle w:val="Char10"/>
        </w:rPr>
      </w:pPr>
      <w:r>
        <w:rPr>
          <w:rStyle w:val="Char10"/>
          <w:rFonts w:hint="eastAsia"/>
        </w:rPr>
        <w:t>与合营企业或联营企业投资相关的或有负债</w:t>
      </w:r>
    </w:p>
    <w:sdt>
      <w:sdtPr>
        <w:rPr>
          <w:rStyle w:val="Char10"/>
          <w:rFonts w:hint="eastAsia"/>
        </w:rPr>
        <w:alias w:val="是否适用：与合营企业或联营企业投资相关的或有负债[双击切换]"/>
        <w:tag w:val="_GBC_d3c6dfcab3ab42afb854d4ea2e7c9b9f"/>
        <w:id w:val="-108194968"/>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2"/>
          <w:numId w:val="107"/>
        </w:numPr>
        <w:spacing w:before="120"/>
        <w:rPr>
          <w:rStyle w:val="Char10"/>
        </w:rPr>
      </w:pPr>
      <w:r>
        <w:rPr>
          <w:rStyle w:val="Char10"/>
          <w:rFonts w:hint="eastAsia"/>
        </w:rPr>
        <w:t>重要的共同经营</w:t>
      </w:r>
    </w:p>
    <w:sdt>
      <w:sdtPr>
        <w:rPr>
          <w:rStyle w:val="Char10"/>
        </w:rPr>
        <w:alias w:val="是否适用：重要的共同经营[双击切换]"/>
        <w:tag w:val="_GBC_8a0341a844454c89848e95b9c64a8efb"/>
        <w:id w:val="-974917783"/>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2"/>
          <w:numId w:val="107"/>
        </w:numPr>
        <w:spacing w:before="120"/>
        <w:rPr>
          <w:rStyle w:val="Char10"/>
        </w:rPr>
      </w:pPr>
      <w:r>
        <w:rPr>
          <w:rStyle w:val="Char10"/>
          <w:rFonts w:hint="eastAsia"/>
        </w:rPr>
        <w:t>在未纳入合并财务报表范围的结构化主体中的权益</w:t>
      </w:r>
    </w:p>
    <w:p w:rsidR="004A3868" w:rsidRDefault="003F1AB5">
      <w:pPr>
        <w:pStyle w:val="Style842"/>
        <w:rPr>
          <w:rStyle w:val="Char10"/>
        </w:rPr>
      </w:pPr>
      <w:r>
        <w:rPr>
          <w:rStyle w:val="Char10"/>
          <w:rFonts w:hint="eastAsia"/>
        </w:rPr>
        <w:t>未纳入合并财务报表范围的结构化主体的相关说明：</w:t>
      </w:r>
    </w:p>
    <w:sdt>
      <w:sdtPr>
        <w:rPr>
          <w:rStyle w:val="Char10"/>
        </w:rPr>
        <w:alias w:val="是否适用：未纳入合并财务报表范围的结构化主体的相关说明[双击切换]"/>
        <w:tag w:val="_GBC_fec7f9a28e8b48edbad9948b50cb3cae"/>
        <w:id w:val="-248352307"/>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2"/>
          <w:numId w:val="107"/>
        </w:numPr>
        <w:spacing w:before="120"/>
        <w:rPr>
          <w:rStyle w:val="Char10"/>
        </w:rPr>
      </w:pPr>
      <w:r>
        <w:rPr>
          <w:rStyle w:val="Char10"/>
          <w:rFonts w:hint="eastAsia"/>
        </w:rPr>
        <w:t>其他</w:t>
      </w:r>
    </w:p>
    <w:sdt>
      <w:sdtPr>
        <w:rPr>
          <w:rStyle w:val="Char10"/>
          <w:rFonts w:hint="eastAsia"/>
        </w:rPr>
        <w:alias w:val="是否适用：在其他主体中的权益其他需要说明的事项[双击切换]"/>
        <w:tag w:val="_GBC_f97a284e61d54ed588c46ec336af6ef8"/>
        <w:id w:val="485279953"/>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4"/>
        <w:rPr>
          <w:rStyle w:val="Char10"/>
        </w:rPr>
      </w:pPr>
      <w:r>
        <w:rPr>
          <w:rStyle w:val="Char10"/>
          <w:rFonts w:hint="eastAsia"/>
        </w:rPr>
        <w:t>政府补助</w:t>
      </w:r>
    </w:p>
    <w:p w:rsidR="004A3868" w:rsidRDefault="003F1AB5">
      <w:pPr>
        <w:pStyle w:val="Style955"/>
        <w:numPr>
          <w:ilvl w:val="0"/>
          <w:numId w:val="111"/>
        </w:numPr>
        <w:spacing w:before="120"/>
        <w:rPr>
          <w:rStyle w:val="Char10"/>
        </w:rPr>
      </w:pPr>
      <w:r>
        <w:rPr>
          <w:rStyle w:val="Char10"/>
        </w:rPr>
        <w:t>报告期末按应收金额确认的政府补助</w:t>
      </w:r>
    </w:p>
    <w:sdt>
      <w:sdtPr>
        <w:rPr>
          <w:rStyle w:val="Char10"/>
        </w:rPr>
        <w:alias w:val="是否适用：按应收金额确认的政府补助[双击切换]"/>
        <w:tag w:val="_GBC_e1e20d7c43844cb8b0392ce8a915912f"/>
        <w:id w:val="1449118458"/>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Pr>
        <w:t>未能在预计时点收到预计金额的政府补助</w:t>
      </w:r>
      <w:r>
        <w:rPr>
          <w:rStyle w:val="Char10"/>
          <w:rFonts w:hint="eastAsia"/>
        </w:rPr>
        <w:t>的</w:t>
      </w:r>
      <w:r>
        <w:rPr>
          <w:rStyle w:val="Char10"/>
        </w:rPr>
        <w:t>原因</w:t>
      </w:r>
    </w:p>
    <w:sdt>
      <w:sdtPr>
        <w:rPr>
          <w:rStyle w:val="Char10"/>
        </w:rPr>
        <w:alias w:val="是否适用：未能在预计时点收到预计金额的政府补助的原因[双击切换]"/>
        <w:tag w:val="_GBC_c472b4b5f35848de9076579016736dc0"/>
        <w:id w:val="1003015261"/>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1"/>
        </w:numPr>
        <w:spacing w:before="120"/>
        <w:rPr>
          <w:rStyle w:val="Char10"/>
        </w:rPr>
      </w:pPr>
      <w:r>
        <w:rPr>
          <w:rStyle w:val="Char10"/>
        </w:rPr>
        <w:t>涉及政府补助的负债项目</w:t>
      </w:r>
    </w:p>
    <w:sdt>
      <w:sdtPr>
        <w:rPr>
          <w:rStyle w:val="Char10"/>
        </w:rPr>
        <w:alias w:val="是否适用：涉及政府补助的负债项目[双击切换]"/>
        <w:tag w:val="_GBC_ed9e8fabcc8e4318b2ec33d01e83aec4"/>
        <w:id w:val="1619342404"/>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涉及政府补助的负债项目"/>
          <w:tag w:val="_GBC_7f1d795aca2d46699971ecb934072fbd"/>
          <w:id w:val="1459527587"/>
          <w:lock w:val="sdtLocked"/>
          <w:placeholder>
            <w:docPart w:val="0A4AD8793C0B4923BF2AC4D7472703BF"/>
          </w:placeholder>
          <w:comboBox>
            <w:listItem w:displayText="元" w:value="元"/>
            <w:listItem w:displayText="千元" w:value="千元"/>
            <w:listItem w:displayText="万元" w:value="万元"/>
            <w:listItem w:displayText="百万元" w:value="百万元"/>
            <w:listItem w:displayText="亿元" w:value="亿元"/>
          </w:comboBox>
        </w:sdtPr>
        <w:sdtEndPr>
          <w:rPr>
            <w:rStyle w:val="Char10"/>
          </w:rPr>
        </w:sdtEndPr>
        <w:sdtContent>
          <w:r>
            <w:rPr>
              <w:rStyle w:val="Char10"/>
              <w:rFonts w:hint="eastAsia"/>
            </w:rPr>
            <w:t>万元</w:t>
          </w:r>
        </w:sdtContent>
      </w:sdt>
      <w:r>
        <w:rPr>
          <w:rStyle w:val="Char10"/>
          <w:rFonts w:hint="eastAsia"/>
        </w:rPr>
        <w:t xml:space="preserve">  </w:t>
      </w:r>
      <w:r>
        <w:rPr>
          <w:rStyle w:val="Char10"/>
          <w:rFonts w:hint="eastAsia"/>
        </w:rPr>
        <w:t>币种：</w:t>
      </w:r>
      <w:sdt>
        <w:sdtPr>
          <w:rPr>
            <w:rStyle w:val="Char10"/>
            <w:rFonts w:hint="eastAsia"/>
          </w:rPr>
          <w:alias w:val="币种：涉及政府补助的负债项目"/>
          <w:tag w:val="_GBC_ba4177cbae6044fa854e8e3dea407bcc"/>
          <w:id w:val="-2003191252"/>
          <w:lock w:val="sdtLocked"/>
          <w:placeholder>
            <w:docPart w:val="0A4AD8793C0B4923BF2AC4D7472703B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556"/>
        <w:gridCol w:w="1415"/>
        <w:gridCol w:w="1135"/>
        <w:gridCol w:w="851"/>
        <w:gridCol w:w="1207"/>
        <w:gridCol w:w="635"/>
        <w:gridCol w:w="1276"/>
        <w:gridCol w:w="748"/>
      </w:tblGrid>
      <w:tr w:rsidR="004A3868">
        <w:trPr>
          <w:trHeight w:val="397"/>
          <w:jc w:val="center"/>
        </w:trPr>
        <w:sdt>
          <w:sdtPr>
            <w:rPr>
              <w:rStyle w:val="Char10"/>
              <w:rFonts w:hint="eastAsia"/>
            </w:rPr>
            <w:tag w:val="_PLD_51e96a8ef830445cb15689886ccd8ab5"/>
            <w:id w:val="-1846781369"/>
            <w:lock w:val="sdtLocked"/>
          </w:sdtPr>
          <w:sdtEndPr>
            <w:rPr>
              <w:rStyle w:val="Char10"/>
            </w:rPr>
          </w:sdtEndPr>
          <w:sdtContent>
            <w:tc>
              <w:tcPr>
                <w:tcW w:w="882" w:type="pct"/>
                <w:shd w:val="clear" w:color="auto" w:fill="auto"/>
                <w:vAlign w:val="center"/>
              </w:tcPr>
              <w:p w:rsidR="004A3868" w:rsidRDefault="003F1AB5">
                <w:pPr>
                  <w:pStyle w:val="afffb"/>
                  <w:rPr>
                    <w:rStyle w:val="Char10"/>
                  </w:rPr>
                </w:pPr>
                <w:r>
                  <w:rPr>
                    <w:rStyle w:val="Char10"/>
                    <w:rFonts w:hint="eastAsia"/>
                  </w:rPr>
                  <w:t>财务报表项目</w:t>
                </w:r>
              </w:p>
            </w:tc>
          </w:sdtContent>
        </w:sdt>
        <w:sdt>
          <w:sdtPr>
            <w:rPr>
              <w:rStyle w:val="Char10"/>
              <w:rFonts w:hint="eastAsia"/>
            </w:rPr>
            <w:tag w:val="_PLD_13c2708d76d140e9a2c8b42ee30372fa"/>
            <w:id w:val="-1411996312"/>
            <w:lock w:val="sdtLocked"/>
          </w:sdtPr>
          <w:sdtEndPr>
            <w:rPr>
              <w:rStyle w:val="Char10"/>
            </w:rPr>
          </w:sdtEndPr>
          <w:sdtContent>
            <w:tc>
              <w:tcPr>
                <w:tcW w:w="802" w:type="pct"/>
                <w:shd w:val="clear" w:color="auto" w:fill="auto"/>
                <w:vAlign w:val="center"/>
              </w:tcPr>
              <w:p w:rsidR="004A3868" w:rsidRDefault="003F1AB5">
                <w:pPr>
                  <w:pStyle w:val="afffb"/>
                  <w:rPr>
                    <w:rStyle w:val="Char10"/>
                  </w:rPr>
                </w:pPr>
                <w:r>
                  <w:rPr>
                    <w:rStyle w:val="Char10"/>
                    <w:rFonts w:hint="eastAsia"/>
                  </w:rPr>
                  <w:t>期初余额</w:t>
                </w:r>
              </w:p>
            </w:tc>
          </w:sdtContent>
        </w:sdt>
        <w:sdt>
          <w:sdtPr>
            <w:rPr>
              <w:rStyle w:val="Char10"/>
            </w:rPr>
            <w:tag w:val="_PLD_baee6e4484a048eca37a455836f6d23a"/>
            <w:id w:val="-194764610"/>
            <w:lock w:val="sdtLocked"/>
          </w:sdtPr>
          <w:sdtEndPr>
            <w:rPr>
              <w:rStyle w:val="Char10"/>
            </w:rPr>
          </w:sdtEndPr>
          <w:sdtContent>
            <w:tc>
              <w:tcPr>
                <w:tcW w:w="643" w:type="pct"/>
                <w:shd w:val="clear" w:color="auto" w:fill="auto"/>
                <w:vAlign w:val="center"/>
              </w:tcPr>
              <w:p w:rsidR="004A3868" w:rsidRDefault="003F1AB5">
                <w:pPr>
                  <w:pStyle w:val="afffb"/>
                  <w:rPr>
                    <w:rStyle w:val="Char10"/>
                  </w:rPr>
                </w:pPr>
                <w:r>
                  <w:rPr>
                    <w:rStyle w:val="Char10"/>
                  </w:rPr>
                  <w:t>本期新增补助金额</w:t>
                </w:r>
              </w:p>
            </w:tc>
          </w:sdtContent>
        </w:sdt>
        <w:sdt>
          <w:sdtPr>
            <w:rPr>
              <w:rStyle w:val="Char10"/>
            </w:rPr>
            <w:tag w:val="_PLD_d4b5cb214b114ec4bb3ec943b3f45a12"/>
            <w:id w:val="1642083911"/>
            <w:lock w:val="sdtLocked"/>
          </w:sdtPr>
          <w:sdtEndPr>
            <w:rPr>
              <w:rStyle w:val="Char10"/>
            </w:rPr>
          </w:sdtEndPr>
          <w:sdtContent>
            <w:tc>
              <w:tcPr>
                <w:tcW w:w="482" w:type="pct"/>
                <w:shd w:val="clear" w:color="auto" w:fill="auto"/>
                <w:vAlign w:val="center"/>
              </w:tcPr>
              <w:p w:rsidR="004A3868" w:rsidRDefault="003F1AB5">
                <w:pPr>
                  <w:pStyle w:val="afffb"/>
                  <w:rPr>
                    <w:rStyle w:val="Char10"/>
                  </w:rPr>
                </w:pPr>
                <w:r>
                  <w:rPr>
                    <w:rStyle w:val="Char10"/>
                  </w:rPr>
                  <w:t>本期计入营业外收入金额</w:t>
                </w:r>
              </w:p>
            </w:tc>
          </w:sdtContent>
        </w:sdt>
        <w:sdt>
          <w:sdtPr>
            <w:rPr>
              <w:rStyle w:val="Char10"/>
            </w:rPr>
            <w:tag w:val="_PLD_fe390be730354706a1af1589fdc9ce78"/>
            <w:id w:val="-1506288624"/>
            <w:lock w:val="sdtLocked"/>
          </w:sdtPr>
          <w:sdtEndPr>
            <w:rPr>
              <w:rStyle w:val="Char10"/>
            </w:rPr>
          </w:sdtEndPr>
          <w:sdtContent>
            <w:tc>
              <w:tcPr>
                <w:tcW w:w="684" w:type="pct"/>
                <w:vAlign w:val="center"/>
              </w:tcPr>
              <w:p w:rsidR="004A3868" w:rsidRDefault="003F1AB5">
                <w:pPr>
                  <w:pStyle w:val="afffb"/>
                  <w:rPr>
                    <w:rStyle w:val="Char10"/>
                  </w:rPr>
                </w:pPr>
                <w:r>
                  <w:rPr>
                    <w:rStyle w:val="Char10"/>
                  </w:rPr>
                  <w:t>本期转入其他收益</w:t>
                </w:r>
              </w:p>
            </w:tc>
          </w:sdtContent>
        </w:sdt>
        <w:sdt>
          <w:sdtPr>
            <w:rPr>
              <w:rStyle w:val="Char10"/>
              <w:rFonts w:hint="eastAsia"/>
            </w:rPr>
            <w:tag w:val="_PLD_0574cd35fdf24bda85fc60dbc5d663ad"/>
            <w:id w:val="-917937448"/>
            <w:lock w:val="sdtLocked"/>
          </w:sdtPr>
          <w:sdtEndPr>
            <w:rPr>
              <w:rStyle w:val="Char10"/>
            </w:rPr>
          </w:sdtEndPr>
          <w:sdtContent>
            <w:tc>
              <w:tcPr>
                <w:tcW w:w="360" w:type="pct"/>
                <w:vAlign w:val="center"/>
              </w:tcPr>
              <w:p w:rsidR="004A3868" w:rsidRDefault="003F1AB5">
                <w:pPr>
                  <w:pStyle w:val="afffb"/>
                  <w:rPr>
                    <w:rStyle w:val="Char10"/>
                  </w:rPr>
                </w:pPr>
                <w:r>
                  <w:rPr>
                    <w:rStyle w:val="Char10"/>
                    <w:rFonts w:hint="eastAsia"/>
                  </w:rPr>
                  <w:t>本期其他变动</w:t>
                </w:r>
              </w:p>
            </w:tc>
          </w:sdtContent>
        </w:sdt>
        <w:sdt>
          <w:sdtPr>
            <w:rPr>
              <w:rStyle w:val="Char10"/>
              <w:rFonts w:hint="eastAsia"/>
            </w:rPr>
            <w:tag w:val="_PLD_b4cd227caa134d8da03257df3775b63f"/>
            <w:id w:val="1560127604"/>
            <w:lock w:val="sdtLocked"/>
          </w:sdtPr>
          <w:sdtEndPr>
            <w:rPr>
              <w:rStyle w:val="Char10"/>
            </w:rPr>
          </w:sdtEndPr>
          <w:sdtContent>
            <w:tc>
              <w:tcPr>
                <w:tcW w:w="723" w:type="pct"/>
                <w:vAlign w:val="center"/>
              </w:tcPr>
              <w:p w:rsidR="004A3868" w:rsidRDefault="003F1AB5">
                <w:pPr>
                  <w:pStyle w:val="afffb"/>
                  <w:rPr>
                    <w:rStyle w:val="Char10"/>
                  </w:rPr>
                </w:pPr>
                <w:r>
                  <w:rPr>
                    <w:rStyle w:val="Char10"/>
                    <w:rFonts w:hint="eastAsia"/>
                  </w:rPr>
                  <w:t>期末余额</w:t>
                </w:r>
              </w:p>
            </w:tc>
          </w:sdtContent>
        </w:sdt>
        <w:sdt>
          <w:sdtPr>
            <w:rPr>
              <w:rStyle w:val="Char10"/>
              <w:rFonts w:hint="eastAsia"/>
            </w:rPr>
            <w:tag w:val="_PLD_9149efa168c746cfa58bdc4f4b4275bd"/>
            <w:id w:val="-838379106"/>
            <w:lock w:val="sdtLocked"/>
          </w:sdtPr>
          <w:sdtEndPr>
            <w:rPr>
              <w:rStyle w:val="Char10"/>
              <w:rFonts w:hint="default"/>
            </w:rPr>
          </w:sdtEndPr>
          <w:sdtContent>
            <w:tc>
              <w:tcPr>
                <w:tcW w:w="424" w:type="pct"/>
                <w:vAlign w:val="center"/>
              </w:tcPr>
              <w:p w:rsidR="004A3868" w:rsidRDefault="003F1AB5">
                <w:pPr>
                  <w:pStyle w:val="afffb"/>
                  <w:rPr>
                    <w:rStyle w:val="Char10"/>
                  </w:rPr>
                </w:pPr>
                <w:r>
                  <w:rPr>
                    <w:rStyle w:val="Char10"/>
                    <w:rFonts w:hint="eastAsia"/>
                  </w:rPr>
                  <w:t>与资产</w:t>
                </w:r>
                <w:r>
                  <w:rPr>
                    <w:rStyle w:val="Char10"/>
                  </w:rPr>
                  <w:t>/</w:t>
                </w:r>
                <w:r>
                  <w:rPr>
                    <w:rStyle w:val="Char10"/>
                  </w:rPr>
                  <w:t>收益相关</w:t>
                </w:r>
              </w:p>
            </w:tc>
          </w:sdtContent>
        </w:sdt>
      </w:tr>
      <w:tr w:rsidR="004A3868">
        <w:trPr>
          <w:trHeight w:val="397"/>
          <w:jc w:val="center"/>
        </w:trPr>
        <w:tc>
          <w:tcPr>
            <w:tcW w:w="882" w:type="pct"/>
            <w:shd w:val="clear" w:color="auto" w:fill="auto"/>
            <w:vAlign w:val="center"/>
          </w:tcPr>
          <w:p w:rsidR="004A3868" w:rsidRDefault="003F1AB5">
            <w:pPr>
              <w:pStyle w:val="afff9"/>
              <w:rPr>
                <w:rStyle w:val="Char10"/>
              </w:rPr>
            </w:pPr>
            <w:r>
              <w:rPr>
                <w:rStyle w:val="Char10"/>
              </w:rPr>
              <w:t>重庆市民营经济产业发展专项资金</w:t>
            </w:r>
          </w:p>
        </w:tc>
        <w:tc>
          <w:tcPr>
            <w:tcW w:w="802" w:type="pct"/>
            <w:shd w:val="clear" w:color="auto" w:fill="auto"/>
            <w:vAlign w:val="center"/>
          </w:tcPr>
          <w:p w:rsidR="004A3868" w:rsidRDefault="003F1AB5">
            <w:pPr>
              <w:pStyle w:val="afff7"/>
              <w:rPr>
                <w:rStyle w:val="Char10"/>
              </w:rPr>
            </w:pPr>
            <w:r>
              <w:rPr>
                <w:rStyle w:val="Char10"/>
              </w:rPr>
              <w:t xml:space="preserve"> 18.00 </w:t>
            </w:r>
          </w:p>
        </w:tc>
        <w:tc>
          <w:tcPr>
            <w:tcW w:w="643" w:type="pct"/>
            <w:shd w:val="clear" w:color="auto" w:fill="auto"/>
            <w:vAlign w:val="center"/>
          </w:tcPr>
          <w:p w:rsidR="004A3868" w:rsidRDefault="004A3868">
            <w:pPr>
              <w:pStyle w:val="afff7"/>
              <w:rPr>
                <w:rStyle w:val="Char10"/>
              </w:rPr>
            </w:pPr>
          </w:p>
        </w:tc>
        <w:tc>
          <w:tcPr>
            <w:tcW w:w="482" w:type="pct"/>
            <w:shd w:val="clear" w:color="auto" w:fill="auto"/>
            <w:vAlign w:val="center"/>
          </w:tcPr>
          <w:p w:rsidR="004A3868" w:rsidRDefault="004A3868">
            <w:pPr>
              <w:pStyle w:val="afff7"/>
              <w:rPr>
                <w:rStyle w:val="Char10"/>
              </w:rPr>
            </w:pPr>
          </w:p>
        </w:tc>
        <w:tc>
          <w:tcPr>
            <w:tcW w:w="684" w:type="pct"/>
            <w:vAlign w:val="center"/>
          </w:tcPr>
          <w:p w:rsidR="004A3868" w:rsidRDefault="003F1AB5">
            <w:pPr>
              <w:pStyle w:val="afff7"/>
              <w:rPr>
                <w:rStyle w:val="Char10"/>
              </w:rPr>
            </w:pPr>
            <w:r>
              <w:rPr>
                <w:rStyle w:val="Char10"/>
              </w:rPr>
              <w:t xml:space="preserve"> 4.00 </w:t>
            </w:r>
          </w:p>
        </w:tc>
        <w:tc>
          <w:tcPr>
            <w:tcW w:w="360" w:type="pct"/>
            <w:vAlign w:val="center"/>
          </w:tcPr>
          <w:p w:rsidR="004A3868" w:rsidRDefault="004A3868">
            <w:pPr>
              <w:pStyle w:val="afff7"/>
              <w:rPr>
                <w:rStyle w:val="Char10"/>
              </w:rPr>
            </w:pPr>
          </w:p>
        </w:tc>
        <w:tc>
          <w:tcPr>
            <w:tcW w:w="723" w:type="pct"/>
            <w:vAlign w:val="center"/>
          </w:tcPr>
          <w:p w:rsidR="004A3868" w:rsidRDefault="003F1AB5">
            <w:pPr>
              <w:pStyle w:val="afff7"/>
              <w:rPr>
                <w:rStyle w:val="Char10"/>
              </w:rPr>
            </w:pPr>
            <w:r>
              <w:rPr>
                <w:rStyle w:val="Char10"/>
              </w:rPr>
              <w:t xml:space="preserve"> 14.00 </w:t>
            </w:r>
          </w:p>
        </w:tc>
        <w:tc>
          <w:tcPr>
            <w:tcW w:w="424" w:type="pct"/>
            <w:vAlign w:val="center"/>
          </w:tcPr>
          <w:p w:rsidR="004A3868" w:rsidRDefault="003F1AB5">
            <w:pPr>
              <w:pStyle w:val="afff9"/>
              <w:rPr>
                <w:rStyle w:val="Char10"/>
              </w:rPr>
            </w:pPr>
            <w:r>
              <w:rPr>
                <w:rStyle w:val="Char10"/>
              </w:rPr>
              <w:t>与资产相关政府补助</w:t>
            </w:r>
          </w:p>
        </w:tc>
      </w:tr>
      <w:tr w:rsidR="004A3868">
        <w:trPr>
          <w:trHeight w:val="397"/>
          <w:jc w:val="center"/>
        </w:trPr>
        <w:tc>
          <w:tcPr>
            <w:tcW w:w="882" w:type="pct"/>
            <w:shd w:val="clear" w:color="auto" w:fill="auto"/>
            <w:vAlign w:val="center"/>
          </w:tcPr>
          <w:p w:rsidR="004A3868" w:rsidRDefault="003F1AB5">
            <w:pPr>
              <w:pStyle w:val="afff9"/>
              <w:rPr>
                <w:rStyle w:val="Char10"/>
              </w:rPr>
            </w:pPr>
            <w:r>
              <w:rPr>
                <w:rStyle w:val="Char10"/>
              </w:rPr>
              <w:t>非晶带材及高磁感铁芯材料项目</w:t>
            </w:r>
          </w:p>
        </w:tc>
        <w:tc>
          <w:tcPr>
            <w:tcW w:w="802" w:type="pct"/>
            <w:shd w:val="clear" w:color="auto" w:fill="auto"/>
            <w:vAlign w:val="center"/>
          </w:tcPr>
          <w:p w:rsidR="004A3868" w:rsidRDefault="003F1AB5">
            <w:pPr>
              <w:pStyle w:val="afff7"/>
              <w:rPr>
                <w:rStyle w:val="Char10"/>
              </w:rPr>
            </w:pPr>
            <w:r>
              <w:rPr>
                <w:rStyle w:val="Char10"/>
              </w:rPr>
              <w:t xml:space="preserve"> 2,922.27 </w:t>
            </w:r>
          </w:p>
        </w:tc>
        <w:tc>
          <w:tcPr>
            <w:tcW w:w="643" w:type="pct"/>
            <w:shd w:val="clear" w:color="auto" w:fill="auto"/>
            <w:vAlign w:val="center"/>
          </w:tcPr>
          <w:p w:rsidR="004A3868" w:rsidRDefault="004A3868">
            <w:pPr>
              <w:pStyle w:val="afff7"/>
              <w:rPr>
                <w:rStyle w:val="Char10"/>
              </w:rPr>
            </w:pPr>
          </w:p>
        </w:tc>
        <w:tc>
          <w:tcPr>
            <w:tcW w:w="482" w:type="pct"/>
            <w:shd w:val="clear" w:color="auto" w:fill="auto"/>
            <w:vAlign w:val="center"/>
          </w:tcPr>
          <w:p w:rsidR="004A3868" w:rsidRDefault="004A3868">
            <w:pPr>
              <w:pStyle w:val="afff7"/>
              <w:rPr>
                <w:rStyle w:val="Char10"/>
              </w:rPr>
            </w:pPr>
          </w:p>
        </w:tc>
        <w:tc>
          <w:tcPr>
            <w:tcW w:w="684" w:type="pct"/>
            <w:vAlign w:val="center"/>
          </w:tcPr>
          <w:p w:rsidR="004A3868" w:rsidRDefault="003F1AB5">
            <w:pPr>
              <w:pStyle w:val="afff7"/>
              <w:rPr>
                <w:rStyle w:val="Char10"/>
              </w:rPr>
            </w:pPr>
            <w:r>
              <w:rPr>
                <w:rStyle w:val="Char10"/>
              </w:rPr>
              <w:t xml:space="preserve"> 200.44 </w:t>
            </w:r>
          </w:p>
        </w:tc>
        <w:tc>
          <w:tcPr>
            <w:tcW w:w="360" w:type="pct"/>
            <w:vAlign w:val="center"/>
          </w:tcPr>
          <w:p w:rsidR="004A3868" w:rsidRDefault="004A3868">
            <w:pPr>
              <w:pStyle w:val="afff7"/>
              <w:rPr>
                <w:rStyle w:val="Char10"/>
              </w:rPr>
            </w:pPr>
          </w:p>
        </w:tc>
        <w:tc>
          <w:tcPr>
            <w:tcW w:w="723" w:type="pct"/>
            <w:vAlign w:val="center"/>
          </w:tcPr>
          <w:p w:rsidR="004A3868" w:rsidRDefault="003F1AB5">
            <w:pPr>
              <w:pStyle w:val="afff7"/>
              <w:rPr>
                <w:rStyle w:val="Char10"/>
              </w:rPr>
            </w:pPr>
            <w:r>
              <w:rPr>
                <w:rStyle w:val="Char10"/>
              </w:rPr>
              <w:t xml:space="preserve"> 2,721.84 </w:t>
            </w:r>
          </w:p>
        </w:tc>
        <w:tc>
          <w:tcPr>
            <w:tcW w:w="424" w:type="pct"/>
            <w:vAlign w:val="center"/>
          </w:tcPr>
          <w:p w:rsidR="004A3868" w:rsidRDefault="003F1AB5">
            <w:pPr>
              <w:pStyle w:val="afff9"/>
              <w:rPr>
                <w:rStyle w:val="Char10"/>
              </w:rPr>
            </w:pPr>
            <w:r>
              <w:rPr>
                <w:rStyle w:val="Char10"/>
              </w:rPr>
              <w:t>与资产相关政府补助</w:t>
            </w:r>
          </w:p>
        </w:tc>
      </w:tr>
      <w:tr w:rsidR="004A3868">
        <w:trPr>
          <w:trHeight w:val="397"/>
          <w:jc w:val="center"/>
        </w:trPr>
        <w:tc>
          <w:tcPr>
            <w:tcW w:w="882" w:type="pct"/>
            <w:shd w:val="clear" w:color="auto" w:fill="auto"/>
            <w:vAlign w:val="center"/>
          </w:tcPr>
          <w:p w:rsidR="004A3868" w:rsidRDefault="003F1AB5">
            <w:pPr>
              <w:pStyle w:val="afff9"/>
              <w:rPr>
                <w:rStyle w:val="Char10"/>
              </w:rPr>
            </w:pPr>
            <w:r>
              <w:rPr>
                <w:rStyle w:val="Char10"/>
              </w:rPr>
              <w:t>重庆市工业和信息化专项资金项目</w:t>
            </w:r>
          </w:p>
        </w:tc>
        <w:tc>
          <w:tcPr>
            <w:tcW w:w="802" w:type="pct"/>
            <w:shd w:val="clear" w:color="auto" w:fill="auto"/>
            <w:vAlign w:val="center"/>
          </w:tcPr>
          <w:p w:rsidR="004A3868" w:rsidRDefault="003F1AB5">
            <w:pPr>
              <w:pStyle w:val="afff7"/>
              <w:rPr>
                <w:rStyle w:val="Char10"/>
              </w:rPr>
            </w:pPr>
            <w:r>
              <w:rPr>
                <w:rStyle w:val="Char10"/>
              </w:rPr>
              <w:t xml:space="preserve"> 275.00 </w:t>
            </w:r>
          </w:p>
        </w:tc>
        <w:tc>
          <w:tcPr>
            <w:tcW w:w="643" w:type="pct"/>
            <w:shd w:val="clear" w:color="auto" w:fill="auto"/>
            <w:vAlign w:val="center"/>
          </w:tcPr>
          <w:p w:rsidR="004A3868" w:rsidRDefault="004A3868">
            <w:pPr>
              <w:pStyle w:val="afff7"/>
              <w:rPr>
                <w:rStyle w:val="Char10"/>
              </w:rPr>
            </w:pPr>
          </w:p>
        </w:tc>
        <w:tc>
          <w:tcPr>
            <w:tcW w:w="482" w:type="pct"/>
            <w:shd w:val="clear" w:color="auto" w:fill="auto"/>
            <w:vAlign w:val="center"/>
          </w:tcPr>
          <w:p w:rsidR="004A3868" w:rsidRDefault="004A3868">
            <w:pPr>
              <w:pStyle w:val="afff7"/>
              <w:rPr>
                <w:rStyle w:val="Char10"/>
              </w:rPr>
            </w:pPr>
          </w:p>
        </w:tc>
        <w:tc>
          <w:tcPr>
            <w:tcW w:w="684" w:type="pct"/>
            <w:vAlign w:val="center"/>
          </w:tcPr>
          <w:p w:rsidR="004A3868" w:rsidRDefault="003F1AB5">
            <w:pPr>
              <w:pStyle w:val="afff7"/>
              <w:rPr>
                <w:rStyle w:val="Char10"/>
              </w:rPr>
            </w:pPr>
            <w:r>
              <w:rPr>
                <w:rStyle w:val="Char10"/>
              </w:rPr>
              <w:t xml:space="preserve"> 50.00 </w:t>
            </w:r>
          </w:p>
        </w:tc>
        <w:tc>
          <w:tcPr>
            <w:tcW w:w="360" w:type="pct"/>
            <w:vAlign w:val="center"/>
          </w:tcPr>
          <w:p w:rsidR="004A3868" w:rsidRDefault="004A3868">
            <w:pPr>
              <w:pStyle w:val="afff7"/>
              <w:rPr>
                <w:rStyle w:val="Char10"/>
              </w:rPr>
            </w:pPr>
          </w:p>
        </w:tc>
        <w:tc>
          <w:tcPr>
            <w:tcW w:w="723" w:type="pct"/>
            <w:vAlign w:val="center"/>
          </w:tcPr>
          <w:p w:rsidR="004A3868" w:rsidRDefault="003F1AB5">
            <w:pPr>
              <w:pStyle w:val="afff7"/>
              <w:rPr>
                <w:rStyle w:val="Char10"/>
              </w:rPr>
            </w:pPr>
            <w:r>
              <w:rPr>
                <w:rStyle w:val="Char10"/>
              </w:rPr>
              <w:t xml:space="preserve"> 225.00 </w:t>
            </w:r>
          </w:p>
        </w:tc>
        <w:tc>
          <w:tcPr>
            <w:tcW w:w="424" w:type="pct"/>
            <w:vAlign w:val="center"/>
          </w:tcPr>
          <w:p w:rsidR="004A3868" w:rsidRDefault="003F1AB5">
            <w:pPr>
              <w:pStyle w:val="afff9"/>
              <w:rPr>
                <w:rStyle w:val="Char10"/>
              </w:rPr>
            </w:pPr>
            <w:r>
              <w:rPr>
                <w:rStyle w:val="Char10"/>
              </w:rPr>
              <w:t>与资产相关政府补助</w:t>
            </w:r>
          </w:p>
        </w:tc>
      </w:tr>
      <w:tr w:rsidR="004A3868">
        <w:trPr>
          <w:trHeight w:val="397"/>
          <w:jc w:val="center"/>
        </w:trPr>
        <w:tc>
          <w:tcPr>
            <w:tcW w:w="882" w:type="pct"/>
            <w:shd w:val="clear" w:color="auto" w:fill="auto"/>
            <w:vAlign w:val="center"/>
          </w:tcPr>
          <w:p w:rsidR="004A3868" w:rsidRDefault="003F1AB5">
            <w:pPr>
              <w:pStyle w:val="afff9"/>
              <w:rPr>
                <w:rStyle w:val="Char10"/>
              </w:rPr>
            </w:pPr>
            <w:r>
              <w:rPr>
                <w:rStyle w:val="Char10"/>
              </w:rPr>
              <w:lastRenderedPageBreak/>
              <w:t>产业发展专项资金</w:t>
            </w:r>
          </w:p>
        </w:tc>
        <w:tc>
          <w:tcPr>
            <w:tcW w:w="802" w:type="pct"/>
            <w:shd w:val="clear" w:color="auto" w:fill="auto"/>
            <w:vAlign w:val="center"/>
          </w:tcPr>
          <w:p w:rsidR="004A3868" w:rsidRDefault="003F1AB5">
            <w:pPr>
              <w:pStyle w:val="afff7"/>
              <w:rPr>
                <w:rStyle w:val="Char10"/>
              </w:rPr>
            </w:pPr>
            <w:r>
              <w:rPr>
                <w:rStyle w:val="Char10"/>
              </w:rPr>
              <w:t xml:space="preserve"> 840.17 </w:t>
            </w:r>
          </w:p>
        </w:tc>
        <w:tc>
          <w:tcPr>
            <w:tcW w:w="643" w:type="pct"/>
            <w:shd w:val="clear" w:color="auto" w:fill="auto"/>
            <w:vAlign w:val="center"/>
          </w:tcPr>
          <w:p w:rsidR="004A3868" w:rsidRDefault="004A3868">
            <w:pPr>
              <w:pStyle w:val="afff7"/>
              <w:rPr>
                <w:rStyle w:val="Char10"/>
              </w:rPr>
            </w:pPr>
          </w:p>
        </w:tc>
        <w:tc>
          <w:tcPr>
            <w:tcW w:w="482" w:type="pct"/>
            <w:shd w:val="clear" w:color="auto" w:fill="auto"/>
            <w:vAlign w:val="center"/>
          </w:tcPr>
          <w:p w:rsidR="004A3868" w:rsidRDefault="004A3868">
            <w:pPr>
              <w:pStyle w:val="afff7"/>
              <w:rPr>
                <w:rStyle w:val="Char10"/>
              </w:rPr>
            </w:pPr>
          </w:p>
        </w:tc>
        <w:tc>
          <w:tcPr>
            <w:tcW w:w="684" w:type="pct"/>
            <w:vAlign w:val="center"/>
          </w:tcPr>
          <w:p w:rsidR="004A3868" w:rsidRDefault="003F1AB5">
            <w:pPr>
              <w:pStyle w:val="afff7"/>
              <w:rPr>
                <w:rStyle w:val="Char10"/>
              </w:rPr>
            </w:pPr>
            <w:r>
              <w:rPr>
                <w:rStyle w:val="Char10"/>
              </w:rPr>
              <w:t xml:space="preserve"> 51.39 </w:t>
            </w:r>
          </w:p>
        </w:tc>
        <w:tc>
          <w:tcPr>
            <w:tcW w:w="360" w:type="pct"/>
            <w:vAlign w:val="center"/>
          </w:tcPr>
          <w:p w:rsidR="004A3868" w:rsidRDefault="004A3868">
            <w:pPr>
              <w:pStyle w:val="afff7"/>
              <w:rPr>
                <w:rStyle w:val="Char10"/>
              </w:rPr>
            </w:pPr>
          </w:p>
        </w:tc>
        <w:tc>
          <w:tcPr>
            <w:tcW w:w="723" w:type="pct"/>
            <w:vAlign w:val="center"/>
          </w:tcPr>
          <w:p w:rsidR="004A3868" w:rsidRDefault="003F1AB5">
            <w:pPr>
              <w:pStyle w:val="afff7"/>
              <w:rPr>
                <w:rStyle w:val="Char10"/>
              </w:rPr>
            </w:pPr>
            <w:r>
              <w:rPr>
                <w:rStyle w:val="Char10"/>
              </w:rPr>
              <w:t xml:space="preserve"> 788.78 </w:t>
            </w:r>
          </w:p>
        </w:tc>
        <w:tc>
          <w:tcPr>
            <w:tcW w:w="424" w:type="pct"/>
            <w:vAlign w:val="center"/>
          </w:tcPr>
          <w:p w:rsidR="004A3868" w:rsidRDefault="003F1AB5">
            <w:pPr>
              <w:pStyle w:val="afff9"/>
              <w:rPr>
                <w:rStyle w:val="Char10"/>
              </w:rPr>
            </w:pPr>
            <w:r>
              <w:rPr>
                <w:rStyle w:val="Char10"/>
              </w:rPr>
              <w:t>与资产相关政府补助</w:t>
            </w:r>
          </w:p>
        </w:tc>
      </w:tr>
      <w:tr w:rsidR="004A3868">
        <w:trPr>
          <w:trHeight w:val="397"/>
          <w:jc w:val="center"/>
        </w:trPr>
        <w:tc>
          <w:tcPr>
            <w:tcW w:w="882" w:type="pct"/>
            <w:shd w:val="clear" w:color="auto" w:fill="auto"/>
            <w:vAlign w:val="center"/>
          </w:tcPr>
          <w:p w:rsidR="004A3868" w:rsidRDefault="003F1AB5">
            <w:pPr>
              <w:pStyle w:val="afff9"/>
              <w:rPr>
                <w:rStyle w:val="Char10"/>
              </w:rPr>
            </w:pPr>
            <w:r>
              <w:rPr>
                <w:rStyle w:val="Char10"/>
              </w:rPr>
              <w:t>10</w:t>
            </w:r>
            <w:r>
              <w:rPr>
                <w:rStyle w:val="Char10"/>
              </w:rPr>
              <w:t>万吨高磁感取向硅钢（二期）工程项目</w:t>
            </w:r>
          </w:p>
        </w:tc>
        <w:tc>
          <w:tcPr>
            <w:tcW w:w="802" w:type="pct"/>
            <w:shd w:val="clear" w:color="auto" w:fill="auto"/>
            <w:vAlign w:val="center"/>
          </w:tcPr>
          <w:p w:rsidR="004A3868" w:rsidRDefault="003F1AB5">
            <w:pPr>
              <w:pStyle w:val="afff7"/>
              <w:rPr>
                <w:rStyle w:val="Char10"/>
              </w:rPr>
            </w:pPr>
            <w:r>
              <w:rPr>
                <w:rStyle w:val="Char10"/>
              </w:rPr>
              <w:t xml:space="preserve"> 2,103.94 </w:t>
            </w:r>
          </w:p>
        </w:tc>
        <w:tc>
          <w:tcPr>
            <w:tcW w:w="643" w:type="pct"/>
            <w:shd w:val="clear" w:color="auto" w:fill="auto"/>
            <w:vAlign w:val="center"/>
          </w:tcPr>
          <w:p w:rsidR="004A3868" w:rsidRDefault="004A3868">
            <w:pPr>
              <w:pStyle w:val="afff7"/>
              <w:rPr>
                <w:rStyle w:val="Char10"/>
              </w:rPr>
            </w:pPr>
          </w:p>
        </w:tc>
        <w:tc>
          <w:tcPr>
            <w:tcW w:w="482" w:type="pct"/>
            <w:shd w:val="clear" w:color="auto" w:fill="auto"/>
            <w:vAlign w:val="center"/>
          </w:tcPr>
          <w:p w:rsidR="004A3868" w:rsidRDefault="004A3868">
            <w:pPr>
              <w:pStyle w:val="afff7"/>
              <w:rPr>
                <w:rStyle w:val="Char10"/>
              </w:rPr>
            </w:pPr>
          </w:p>
        </w:tc>
        <w:tc>
          <w:tcPr>
            <w:tcW w:w="684" w:type="pct"/>
            <w:vAlign w:val="center"/>
          </w:tcPr>
          <w:p w:rsidR="004A3868" w:rsidRDefault="003F1AB5">
            <w:pPr>
              <w:pStyle w:val="afff7"/>
              <w:rPr>
                <w:rStyle w:val="Char10"/>
              </w:rPr>
            </w:pPr>
            <w:r>
              <w:rPr>
                <w:rStyle w:val="Char10"/>
              </w:rPr>
              <w:t xml:space="preserve"> 27.48 </w:t>
            </w:r>
          </w:p>
        </w:tc>
        <w:tc>
          <w:tcPr>
            <w:tcW w:w="360" w:type="pct"/>
            <w:vAlign w:val="center"/>
          </w:tcPr>
          <w:p w:rsidR="004A3868" w:rsidRDefault="004A3868">
            <w:pPr>
              <w:pStyle w:val="afff7"/>
              <w:rPr>
                <w:rStyle w:val="Char10"/>
              </w:rPr>
            </w:pPr>
          </w:p>
        </w:tc>
        <w:tc>
          <w:tcPr>
            <w:tcW w:w="723" w:type="pct"/>
            <w:vAlign w:val="center"/>
          </w:tcPr>
          <w:p w:rsidR="004A3868" w:rsidRDefault="003F1AB5">
            <w:pPr>
              <w:pStyle w:val="afff7"/>
              <w:rPr>
                <w:rStyle w:val="Char10"/>
              </w:rPr>
            </w:pPr>
            <w:r>
              <w:rPr>
                <w:rStyle w:val="Char10"/>
              </w:rPr>
              <w:t xml:space="preserve"> 2,076.46 </w:t>
            </w:r>
          </w:p>
        </w:tc>
        <w:tc>
          <w:tcPr>
            <w:tcW w:w="424" w:type="pct"/>
            <w:vAlign w:val="center"/>
          </w:tcPr>
          <w:p w:rsidR="004A3868" w:rsidRDefault="003F1AB5">
            <w:pPr>
              <w:pStyle w:val="afff9"/>
              <w:rPr>
                <w:rStyle w:val="Char10"/>
              </w:rPr>
            </w:pPr>
            <w:r>
              <w:rPr>
                <w:rStyle w:val="Char10"/>
              </w:rPr>
              <w:t>与资产相关政府补助</w:t>
            </w:r>
          </w:p>
        </w:tc>
      </w:tr>
      <w:tr w:rsidR="004A3868">
        <w:trPr>
          <w:trHeight w:val="397"/>
          <w:jc w:val="center"/>
        </w:trPr>
        <w:tc>
          <w:tcPr>
            <w:tcW w:w="882" w:type="pct"/>
            <w:shd w:val="clear" w:color="auto" w:fill="auto"/>
            <w:vAlign w:val="center"/>
          </w:tcPr>
          <w:p w:rsidR="004A3868" w:rsidRDefault="003F1AB5">
            <w:pPr>
              <w:pStyle w:val="afff9"/>
              <w:rPr>
                <w:rStyle w:val="Char10"/>
              </w:rPr>
            </w:pPr>
            <w:r>
              <w:rPr>
                <w:rStyle w:val="Char10"/>
              </w:rPr>
              <w:t>高磁感取向硅钢激光刻痕生产线技改项目</w:t>
            </w:r>
          </w:p>
        </w:tc>
        <w:tc>
          <w:tcPr>
            <w:tcW w:w="802" w:type="pct"/>
            <w:shd w:val="clear" w:color="auto" w:fill="auto"/>
            <w:vAlign w:val="center"/>
          </w:tcPr>
          <w:p w:rsidR="004A3868" w:rsidRDefault="003F1AB5">
            <w:pPr>
              <w:pStyle w:val="afff7"/>
              <w:rPr>
                <w:rStyle w:val="Char10"/>
              </w:rPr>
            </w:pPr>
            <w:r>
              <w:rPr>
                <w:rStyle w:val="Char10"/>
              </w:rPr>
              <w:t xml:space="preserve"> 134.58 </w:t>
            </w:r>
          </w:p>
        </w:tc>
        <w:tc>
          <w:tcPr>
            <w:tcW w:w="643" w:type="pct"/>
            <w:shd w:val="clear" w:color="auto" w:fill="auto"/>
            <w:vAlign w:val="center"/>
          </w:tcPr>
          <w:p w:rsidR="004A3868" w:rsidRDefault="004A3868">
            <w:pPr>
              <w:pStyle w:val="afff7"/>
              <w:rPr>
                <w:rStyle w:val="Char10"/>
              </w:rPr>
            </w:pPr>
          </w:p>
        </w:tc>
        <w:tc>
          <w:tcPr>
            <w:tcW w:w="482" w:type="pct"/>
            <w:shd w:val="clear" w:color="auto" w:fill="auto"/>
            <w:vAlign w:val="center"/>
          </w:tcPr>
          <w:p w:rsidR="004A3868" w:rsidRDefault="004A3868">
            <w:pPr>
              <w:pStyle w:val="afff7"/>
              <w:rPr>
                <w:rStyle w:val="Char10"/>
              </w:rPr>
            </w:pPr>
          </w:p>
        </w:tc>
        <w:tc>
          <w:tcPr>
            <w:tcW w:w="684" w:type="pct"/>
            <w:vAlign w:val="center"/>
          </w:tcPr>
          <w:p w:rsidR="004A3868" w:rsidRDefault="003F1AB5">
            <w:pPr>
              <w:pStyle w:val="afff7"/>
              <w:rPr>
                <w:rStyle w:val="Char10"/>
              </w:rPr>
            </w:pPr>
            <w:r>
              <w:rPr>
                <w:rStyle w:val="Char10"/>
              </w:rPr>
              <w:t xml:space="preserve"> 17.00 </w:t>
            </w:r>
          </w:p>
        </w:tc>
        <w:tc>
          <w:tcPr>
            <w:tcW w:w="360" w:type="pct"/>
            <w:vAlign w:val="center"/>
          </w:tcPr>
          <w:p w:rsidR="004A3868" w:rsidRDefault="004A3868">
            <w:pPr>
              <w:pStyle w:val="afff7"/>
              <w:rPr>
                <w:rStyle w:val="Char10"/>
              </w:rPr>
            </w:pPr>
          </w:p>
        </w:tc>
        <w:tc>
          <w:tcPr>
            <w:tcW w:w="723" w:type="pct"/>
            <w:vAlign w:val="center"/>
          </w:tcPr>
          <w:p w:rsidR="004A3868" w:rsidRDefault="003F1AB5">
            <w:pPr>
              <w:pStyle w:val="afff7"/>
              <w:rPr>
                <w:rStyle w:val="Char10"/>
              </w:rPr>
            </w:pPr>
            <w:r>
              <w:rPr>
                <w:rStyle w:val="Char10"/>
              </w:rPr>
              <w:t xml:space="preserve"> 117.58 </w:t>
            </w:r>
          </w:p>
        </w:tc>
        <w:tc>
          <w:tcPr>
            <w:tcW w:w="424" w:type="pct"/>
            <w:vAlign w:val="center"/>
          </w:tcPr>
          <w:p w:rsidR="004A3868" w:rsidRDefault="003F1AB5">
            <w:pPr>
              <w:pStyle w:val="afff9"/>
              <w:rPr>
                <w:rStyle w:val="Char10"/>
              </w:rPr>
            </w:pPr>
            <w:r>
              <w:rPr>
                <w:rStyle w:val="Char10"/>
              </w:rPr>
              <w:t>与资产相关政府补助</w:t>
            </w:r>
          </w:p>
        </w:tc>
      </w:tr>
      <w:tr w:rsidR="004A3868">
        <w:trPr>
          <w:trHeight w:val="397"/>
          <w:jc w:val="center"/>
        </w:trPr>
        <w:tc>
          <w:tcPr>
            <w:tcW w:w="882" w:type="pct"/>
            <w:shd w:val="clear" w:color="auto" w:fill="auto"/>
            <w:vAlign w:val="center"/>
          </w:tcPr>
          <w:p w:rsidR="004A3868" w:rsidRDefault="003F1AB5">
            <w:pPr>
              <w:pStyle w:val="afff9"/>
              <w:rPr>
                <w:rStyle w:val="Char10"/>
              </w:rPr>
            </w:pPr>
            <w:r>
              <w:rPr>
                <w:rStyle w:val="Char10"/>
              </w:rPr>
              <w:t>2021</w:t>
            </w:r>
            <w:r>
              <w:rPr>
                <w:rStyle w:val="Char10"/>
              </w:rPr>
              <w:t>年锅炉低氮改造项目</w:t>
            </w:r>
          </w:p>
        </w:tc>
        <w:tc>
          <w:tcPr>
            <w:tcW w:w="802" w:type="pct"/>
            <w:shd w:val="clear" w:color="auto" w:fill="auto"/>
            <w:vAlign w:val="center"/>
          </w:tcPr>
          <w:p w:rsidR="004A3868" w:rsidRDefault="003F1AB5">
            <w:pPr>
              <w:pStyle w:val="afff7"/>
              <w:rPr>
                <w:rStyle w:val="Char10"/>
              </w:rPr>
            </w:pPr>
            <w:r>
              <w:rPr>
                <w:rStyle w:val="Char10"/>
              </w:rPr>
              <w:t xml:space="preserve"> 6.96 </w:t>
            </w:r>
          </w:p>
        </w:tc>
        <w:tc>
          <w:tcPr>
            <w:tcW w:w="643" w:type="pct"/>
            <w:shd w:val="clear" w:color="auto" w:fill="auto"/>
            <w:vAlign w:val="center"/>
          </w:tcPr>
          <w:p w:rsidR="004A3868" w:rsidRDefault="004A3868">
            <w:pPr>
              <w:pStyle w:val="afff7"/>
              <w:rPr>
                <w:rStyle w:val="Char10"/>
              </w:rPr>
            </w:pPr>
          </w:p>
        </w:tc>
        <w:tc>
          <w:tcPr>
            <w:tcW w:w="482" w:type="pct"/>
            <w:shd w:val="clear" w:color="auto" w:fill="auto"/>
            <w:vAlign w:val="center"/>
          </w:tcPr>
          <w:p w:rsidR="004A3868" w:rsidRDefault="004A3868">
            <w:pPr>
              <w:pStyle w:val="afff7"/>
              <w:rPr>
                <w:rStyle w:val="Char10"/>
              </w:rPr>
            </w:pPr>
          </w:p>
        </w:tc>
        <w:tc>
          <w:tcPr>
            <w:tcW w:w="684" w:type="pct"/>
            <w:vAlign w:val="center"/>
          </w:tcPr>
          <w:p w:rsidR="004A3868" w:rsidRDefault="003F1AB5">
            <w:pPr>
              <w:pStyle w:val="afff7"/>
              <w:rPr>
                <w:rStyle w:val="Char10"/>
              </w:rPr>
            </w:pPr>
            <w:r>
              <w:rPr>
                <w:rStyle w:val="Char10"/>
              </w:rPr>
              <w:t xml:space="preserve"> 6.96 </w:t>
            </w:r>
          </w:p>
        </w:tc>
        <w:tc>
          <w:tcPr>
            <w:tcW w:w="360" w:type="pct"/>
            <w:vAlign w:val="center"/>
          </w:tcPr>
          <w:p w:rsidR="004A3868" w:rsidRDefault="004A3868">
            <w:pPr>
              <w:pStyle w:val="afff7"/>
              <w:rPr>
                <w:rStyle w:val="Char10"/>
              </w:rPr>
            </w:pPr>
          </w:p>
        </w:tc>
        <w:tc>
          <w:tcPr>
            <w:tcW w:w="723" w:type="pct"/>
            <w:vAlign w:val="center"/>
          </w:tcPr>
          <w:p w:rsidR="004A3868" w:rsidRDefault="004A3868">
            <w:pPr>
              <w:pStyle w:val="afff7"/>
              <w:rPr>
                <w:rStyle w:val="Char10"/>
              </w:rPr>
            </w:pPr>
          </w:p>
        </w:tc>
        <w:tc>
          <w:tcPr>
            <w:tcW w:w="424" w:type="pct"/>
            <w:vAlign w:val="center"/>
          </w:tcPr>
          <w:p w:rsidR="004A3868" w:rsidRDefault="003F1AB5">
            <w:pPr>
              <w:pStyle w:val="afff9"/>
              <w:rPr>
                <w:rStyle w:val="Char10"/>
              </w:rPr>
            </w:pPr>
            <w:r>
              <w:rPr>
                <w:rStyle w:val="Char10"/>
              </w:rPr>
              <w:t>与资产相关政府补助</w:t>
            </w:r>
          </w:p>
        </w:tc>
      </w:tr>
      <w:tr w:rsidR="004A3868">
        <w:trPr>
          <w:trHeight w:val="397"/>
          <w:jc w:val="center"/>
        </w:trPr>
        <w:tc>
          <w:tcPr>
            <w:tcW w:w="882" w:type="pct"/>
            <w:shd w:val="clear" w:color="auto" w:fill="auto"/>
            <w:vAlign w:val="center"/>
          </w:tcPr>
          <w:p w:rsidR="004A3868" w:rsidRDefault="003F1AB5">
            <w:pPr>
              <w:pStyle w:val="afff9"/>
              <w:rPr>
                <w:rStyle w:val="Char10"/>
              </w:rPr>
            </w:pPr>
            <w:r>
              <w:rPr>
                <w:rStyle w:val="Char10"/>
              </w:rPr>
              <w:t>黔南电气设备生成基地建设项目</w:t>
            </w:r>
          </w:p>
        </w:tc>
        <w:tc>
          <w:tcPr>
            <w:tcW w:w="802" w:type="pct"/>
            <w:shd w:val="clear" w:color="auto" w:fill="auto"/>
            <w:vAlign w:val="center"/>
          </w:tcPr>
          <w:p w:rsidR="004A3868" w:rsidRDefault="003F1AB5">
            <w:pPr>
              <w:pStyle w:val="afff7"/>
              <w:rPr>
                <w:rStyle w:val="Char10"/>
              </w:rPr>
            </w:pPr>
            <w:r>
              <w:rPr>
                <w:rStyle w:val="Char10"/>
              </w:rPr>
              <w:t xml:space="preserve"> 161.88 </w:t>
            </w:r>
          </w:p>
        </w:tc>
        <w:tc>
          <w:tcPr>
            <w:tcW w:w="643" w:type="pct"/>
            <w:shd w:val="clear" w:color="auto" w:fill="auto"/>
            <w:vAlign w:val="center"/>
          </w:tcPr>
          <w:p w:rsidR="004A3868" w:rsidRDefault="003F1AB5">
            <w:pPr>
              <w:pStyle w:val="afff7"/>
              <w:rPr>
                <w:rStyle w:val="Char10"/>
              </w:rPr>
            </w:pPr>
            <w:r>
              <w:rPr>
                <w:rStyle w:val="Char10"/>
              </w:rPr>
              <w:t xml:space="preserve"> 380.00 </w:t>
            </w:r>
          </w:p>
        </w:tc>
        <w:tc>
          <w:tcPr>
            <w:tcW w:w="482" w:type="pct"/>
            <w:shd w:val="clear" w:color="auto" w:fill="auto"/>
            <w:vAlign w:val="center"/>
          </w:tcPr>
          <w:p w:rsidR="004A3868" w:rsidRDefault="004A3868">
            <w:pPr>
              <w:pStyle w:val="afff7"/>
              <w:rPr>
                <w:rStyle w:val="Char10"/>
              </w:rPr>
            </w:pPr>
          </w:p>
        </w:tc>
        <w:tc>
          <w:tcPr>
            <w:tcW w:w="684" w:type="pct"/>
            <w:vAlign w:val="center"/>
          </w:tcPr>
          <w:p w:rsidR="004A3868" w:rsidRDefault="003F1AB5">
            <w:pPr>
              <w:pStyle w:val="afff7"/>
              <w:rPr>
                <w:rStyle w:val="Char10"/>
              </w:rPr>
            </w:pPr>
            <w:r>
              <w:rPr>
                <w:rStyle w:val="Char10"/>
              </w:rPr>
              <w:t xml:space="preserve"> 68.91 </w:t>
            </w:r>
          </w:p>
        </w:tc>
        <w:tc>
          <w:tcPr>
            <w:tcW w:w="360" w:type="pct"/>
            <w:vAlign w:val="center"/>
          </w:tcPr>
          <w:p w:rsidR="004A3868" w:rsidRDefault="004A3868">
            <w:pPr>
              <w:pStyle w:val="afff7"/>
              <w:rPr>
                <w:rStyle w:val="Char10"/>
              </w:rPr>
            </w:pPr>
          </w:p>
        </w:tc>
        <w:tc>
          <w:tcPr>
            <w:tcW w:w="723" w:type="pct"/>
            <w:vAlign w:val="center"/>
          </w:tcPr>
          <w:p w:rsidR="004A3868" w:rsidRDefault="003F1AB5">
            <w:pPr>
              <w:pStyle w:val="afff7"/>
              <w:rPr>
                <w:rStyle w:val="Char10"/>
              </w:rPr>
            </w:pPr>
            <w:r>
              <w:rPr>
                <w:rStyle w:val="Char10"/>
              </w:rPr>
              <w:t xml:space="preserve"> 472.96 </w:t>
            </w:r>
          </w:p>
        </w:tc>
        <w:tc>
          <w:tcPr>
            <w:tcW w:w="424" w:type="pct"/>
            <w:vAlign w:val="center"/>
          </w:tcPr>
          <w:p w:rsidR="004A3868" w:rsidRDefault="003F1AB5">
            <w:pPr>
              <w:pStyle w:val="afff9"/>
              <w:rPr>
                <w:rStyle w:val="Char10"/>
              </w:rPr>
            </w:pPr>
            <w:r>
              <w:rPr>
                <w:rStyle w:val="Char10"/>
              </w:rPr>
              <w:t>与资产相关政府补助</w:t>
            </w:r>
          </w:p>
        </w:tc>
      </w:tr>
      <w:tr w:rsidR="004A3868">
        <w:trPr>
          <w:trHeight w:val="397"/>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rPr>
                <w:rStyle w:val="Char10"/>
              </w:rPr>
            </w:pPr>
            <w:r>
              <w:rPr>
                <w:rStyle w:val="Char10"/>
              </w:rPr>
              <w:t>合计</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rPr>
                <w:rStyle w:val="Char10"/>
              </w:rPr>
            </w:pPr>
            <w:r>
              <w:rPr>
                <w:rStyle w:val="Char10"/>
              </w:rPr>
              <w:t xml:space="preserve"> 6,462.80 </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rPr>
                <w:rStyle w:val="Char10"/>
              </w:rPr>
            </w:pPr>
            <w:r>
              <w:rPr>
                <w:rStyle w:val="Char10"/>
              </w:rPr>
              <w:t xml:space="preserve"> 380.00 </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rPr>
                <w:rStyle w:val="Char10"/>
              </w:rPr>
            </w:pPr>
          </w:p>
        </w:tc>
        <w:tc>
          <w:tcPr>
            <w:tcW w:w="6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426.18 </w:t>
            </w:r>
          </w:p>
        </w:tc>
        <w:tc>
          <w:tcPr>
            <w:tcW w:w="36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7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6,416.62 </w:t>
            </w:r>
          </w:p>
        </w:tc>
        <w:tc>
          <w:tcPr>
            <w:tcW w:w="42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w:t>
            </w:r>
          </w:p>
        </w:tc>
      </w:tr>
    </w:tbl>
    <w:p w:rsidR="004A3868" w:rsidRDefault="004A3868">
      <w:pPr>
        <w:pStyle w:val="Style842"/>
        <w:rPr>
          <w:rStyle w:val="Char10"/>
        </w:rPr>
      </w:pPr>
    </w:p>
    <w:p w:rsidR="004A3868" w:rsidRDefault="003F1AB5">
      <w:pPr>
        <w:pStyle w:val="Style955"/>
        <w:numPr>
          <w:ilvl w:val="0"/>
          <w:numId w:val="111"/>
        </w:numPr>
        <w:spacing w:before="120"/>
        <w:rPr>
          <w:rStyle w:val="Char10"/>
        </w:rPr>
      </w:pPr>
      <w:r>
        <w:rPr>
          <w:rStyle w:val="Char10"/>
          <w:rFonts w:hint="eastAsia"/>
        </w:rPr>
        <w:t>计入当期损益的政府补助</w:t>
      </w:r>
    </w:p>
    <w:bookmarkStart w:id="247" w:name="_Hlk153267407" w:displacedByCustomXml="next"/>
    <w:sdt>
      <w:sdtPr>
        <w:rPr>
          <w:rStyle w:val="Char10"/>
        </w:rPr>
        <w:alias w:val="是否适用：计入当期损益的政府补助[双击切换]"/>
        <w:tag w:val="_GBC_8ddf92f66bfa4f87b73074ebf5a7bd32"/>
        <w:id w:val="1373578569"/>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 xml:space="preserve"> </w:t>
      </w:r>
      <w:r>
        <w:rPr>
          <w:rStyle w:val="Char10"/>
          <w:rFonts w:hint="eastAsia"/>
        </w:rPr>
        <w:t>单位：</w:t>
      </w:r>
      <w:sdt>
        <w:sdtPr>
          <w:rPr>
            <w:rStyle w:val="Char10"/>
            <w:rFonts w:hint="eastAsia"/>
          </w:rPr>
          <w:alias w:val="单位：财务附注：计入当期损益的政府补助"/>
          <w:tag w:val="_GBC_e18208ff61f24ff591a3dc1a23c8a26c"/>
          <w:id w:val="-10474462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财务附注：计入当期损益的政府补助"/>
          <w:tag w:val="_GBC_46d58cfd963545aba949fdc131aee974"/>
          <w:id w:val="7862405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799"/>
        <w:gridCol w:w="3012"/>
        <w:gridCol w:w="3012"/>
      </w:tblGrid>
      <w:tr w:rsidR="004A3868">
        <w:trPr>
          <w:trHeight w:val="397"/>
          <w:jc w:val="center"/>
        </w:trPr>
        <w:sdt>
          <w:sdtPr>
            <w:rPr>
              <w:rStyle w:val="Char10"/>
            </w:rPr>
            <w:tag w:val="_PLD_5b4079791e994686811417a70944bd9d"/>
            <w:id w:val="90821388"/>
            <w:lock w:val="sdtLocked"/>
          </w:sdtPr>
          <w:sdtEndPr>
            <w:rPr>
              <w:rStyle w:val="Char10"/>
            </w:r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4A3868" w:rsidRDefault="003F1AB5">
                <w:pPr>
                  <w:rPr>
                    <w:rStyle w:val="Char10"/>
                  </w:rPr>
                </w:pPr>
                <w:r>
                  <w:rPr>
                    <w:rStyle w:val="Char10"/>
                    <w:rFonts w:hint="eastAsia"/>
                  </w:rPr>
                  <w:t>类型</w:t>
                </w:r>
              </w:p>
            </w:tc>
          </w:sdtContent>
        </w:sdt>
        <w:sdt>
          <w:sdtPr>
            <w:rPr>
              <w:rStyle w:val="Char10"/>
            </w:rPr>
            <w:tag w:val="_PLD_ae1ceb2d189344a5ad7763348cb654c3"/>
            <w:id w:val="-571657786"/>
            <w:lock w:val="sdtLocked"/>
          </w:sdtPr>
          <w:sdtEndPr>
            <w:rPr>
              <w:rStyle w:val="Char10"/>
            </w:r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rPr>
                    <w:rStyle w:val="Char10"/>
                  </w:rPr>
                </w:pPr>
                <w:r>
                  <w:rPr>
                    <w:rStyle w:val="Char10"/>
                  </w:rPr>
                  <w:t>本期发生额</w:t>
                </w:r>
              </w:p>
            </w:tc>
          </w:sdtContent>
        </w:sdt>
        <w:sdt>
          <w:sdtPr>
            <w:rPr>
              <w:rStyle w:val="Char10"/>
            </w:rPr>
            <w:tag w:val="_PLD_e615d326bd42416e8f3721fad0ff2852"/>
            <w:id w:val="-897117129"/>
            <w:lock w:val="sdtLocked"/>
          </w:sdtPr>
          <w:sdtEndPr>
            <w:rPr>
              <w:rStyle w:val="Char10"/>
            </w:r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rPr>
                    <w:rStyle w:val="Char10"/>
                  </w:rPr>
                </w:pPr>
                <w:r>
                  <w:rPr>
                    <w:rStyle w:val="Char10"/>
                  </w:rPr>
                  <w:t>上期发生额</w:t>
                </w:r>
              </w:p>
            </w:tc>
          </w:sdtContent>
        </w:sdt>
      </w:tr>
      <w:tr w:rsidR="004A3868">
        <w:trPr>
          <w:trHeight w:val="397"/>
          <w:jc w:val="center"/>
        </w:trPr>
        <w:sdt>
          <w:sdtPr>
            <w:rPr>
              <w:rStyle w:val="Char10"/>
            </w:rPr>
            <w:alias w:val="计入当期损益的政府补助项目名称"/>
            <w:tag w:val="_GBC_30e0d7873e3b41d781ec9deee5fe8de4"/>
            <w:id w:val="-552010842"/>
            <w:lock w:val="sdtLocked"/>
            <w:comboBox>
              <w:listItem w:displayText="与资产相关" w:value="与资产相关"/>
              <w:listItem w:displayText="与收益相关" w:value="与收益相关"/>
              <w:listItem w:displayText="其他" w:value="其他"/>
            </w:comboBox>
          </w:sdtPr>
          <w:sdtEndPr>
            <w:rPr>
              <w:rStyle w:val="Char10"/>
            </w:r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4A3868" w:rsidRDefault="003F1AB5">
                <w:pPr>
                  <w:rPr>
                    <w:rStyle w:val="Char10"/>
                  </w:rPr>
                </w:pPr>
                <w:r>
                  <w:rPr>
                    <w:rStyle w:val="Char10"/>
                  </w:rPr>
                  <w:t>与资产相关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rPr>
                <w:rStyle w:val="Char10"/>
              </w:rPr>
            </w:pPr>
            <w:r>
              <w:rPr>
                <w:rStyle w:val="Char10"/>
              </w:rPr>
              <w:t>4,261,859.07</w:t>
            </w:r>
          </w:p>
        </w:tc>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rPr>
                <w:rStyle w:val="Char10"/>
              </w:rPr>
            </w:pPr>
            <w:r>
              <w:rPr>
                <w:rStyle w:val="Char10"/>
              </w:rPr>
              <w:t>3,721,325.08</w:t>
            </w:r>
          </w:p>
        </w:tc>
      </w:tr>
      <w:tr w:rsidR="004A3868">
        <w:trPr>
          <w:trHeight w:val="397"/>
          <w:jc w:val="center"/>
        </w:trPr>
        <w:sdt>
          <w:sdtPr>
            <w:rPr>
              <w:rStyle w:val="Char10"/>
            </w:rPr>
            <w:alias w:val="计入当期损益的政府补助项目名称"/>
            <w:tag w:val="_GBC_30e0d7873e3b41d781ec9deee5fe8de4"/>
            <w:id w:val="2019426320"/>
            <w:lock w:val="sdtLocked"/>
            <w:comboBox>
              <w:listItem w:displayText="与资产相关" w:value="与资产相关"/>
              <w:listItem w:displayText="与收益相关" w:value="与收益相关"/>
              <w:listItem w:displayText="其他" w:value="其他"/>
            </w:comboBox>
          </w:sdtPr>
          <w:sdtEndPr>
            <w:rPr>
              <w:rStyle w:val="Char10"/>
            </w:r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4A3868" w:rsidRDefault="003F1AB5">
                <w:pPr>
                  <w:rPr>
                    <w:rStyle w:val="Char10"/>
                  </w:rPr>
                </w:pPr>
                <w:r>
                  <w:rPr>
                    <w:rStyle w:val="Char10"/>
                  </w:rPr>
                  <w:t>与收益相关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rPr>
                <w:rStyle w:val="Char10"/>
              </w:rPr>
            </w:pPr>
            <w:r>
              <w:rPr>
                <w:rStyle w:val="Char10"/>
              </w:rPr>
              <w:t>7,429,325.61</w:t>
            </w:r>
          </w:p>
        </w:tc>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rPr>
                <w:rStyle w:val="Char10"/>
              </w:rPr>
            </w:pPr>
            <w:r>
              <w:rPr>
                <w:rStyle w:val="Char10"/>
              </w:rPr>
              <w:t>7,704,001.27</w:t>
            </w:r>
          </w:p>
        </w:tc>
      </w:tr>
      <w:tr w:rsidR="004A3868">
        <w:trPr>
          <w:trHeight w:val="397"/>
          <w:jc w:val="center"/>
        </w:trPr>
        <w:sdt>
          <w:sdtPr>
            <w:rPr>
              <w:rStyle w:val="Char10"/>
            </w:rPr>
            <w:alias w:val="计入当期损益的政府补助项目名称"/>
            <w:tag w:val="_GBC_30e0d7873e3b41d781ec9deee5fe8de4"/>
            <w:id w:val="-1761369278"/>
            <w:lock w:val="sdtLocked"/>
            <w:comboBox>
              <w:listItem w:displayText="与资产相关" w:value="与资产相关"/>
              <w:listItem w:displayText="与收益相关" w:value="与收益相关"/>
              <w:listItem w:displayText="其他" w:value="其他"/>
            </w:comboBox>
          </w:sdtPr>
          <w:sdtEndPr>
            <w:rPr>
              <w:rStyle w:val="Char10"/>
            </w:r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4A3868" w:rsidRDefault="003F1AB5">
                <w:pPr>
                  <w:rPr>
                    <w:rStyle w:val="Char10"/>
                  </w:rPr>
                </w:pPr>
                <w:r>
                  <w:rPr>
                    <w:rStyle w:val="Char10"/>
                  </w:rPr>
                  <w:t>其他</w:t>
                </w:r>
              </w:p>
            </w:tc>
          </w:sdtContent>
        </w:sdt>
        <w:tc>
          <w:tcPr>
            <w:tcW w:w="1707" w:type="pct"/>
            <w:tcBorders>
              <w:top w:val="single" w:sz="4" w:space="0" w:color="auto"/>
              <w:left w:val="single" w:sz="4" w:space="0" w:color="auto"/>
              <w:bottom w:val="single" w:sz="4" w:space="0" w:color="auto"/>
              <w:right w:val="single" w:sz="4" w:space="0" w:color="auto"/>
            </w:tcBorders>
            <w:vAlign w:val="center"/>
          </w:tcPr>
          <w:p w:rsidR="004A3868" w:rsidRDefault="004A3868">
            <w:pPr>
              <w:jc w:val="right"/>
              <w:rPr>
                <w:rStyle w:val="Char10"/>
              </w:rPr>
            </w:pPr>
          </w:p>
        </w:tc>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rPr>
                <w:rStyle w:val="Char10"/>
              </w:rPr>
            </w:pPr>
            <w:r>
              <w:rPr>
                <w:rStyle w:val="Char10"/>
              </w:rPr>
              <w:t>3,500,000.00</w:t>
            </w:r>
          </w:p>
        </w:tc>
      </w:tr>
      <w:tr w:rsidR="004A3868">
        <w:trPr>
          <w:trHeight w:val="397"/>
          <w:jc w:val="center"/>
        </w:trPr>
        <w:tc>
          <w:tcPr>
            <w:tcW w:w="1586" w:type="pct"/>
            <w:tcBorders>
              <w:top w:val="single" w:sz="4" w:space="0" w:color="auto"/>
              <w:left w:val="single" w:sz="4" w:space="0" w:color="auto"/>
              <w:bottom w:val="single" w:sz="4" w:space="0" w:color="auto"/>
              <w:right w:val="single" w:sz="4" w:space="0" w:color="auto"/>
            </w:tcBorders>
            <w:vAlign w:val="center"/>
          </w:tcPr>
          <w:p w:rsidR="004A3868" w:rsidRDefault="003F1AB5">
            <w:pPr>
              <w:rPr>
                <w:rStyle w:val="Char10"/>
              </w:rPr>
            </w:pPr>
            <w:r>
              <w:rPr>
                <w:rStyle w:val="Char10"/>
                <w:rFonts w:hint="eastAsia"/>
              </w:rPr>
              <w:t>合计</w:t>
            </w:r>
          </w:p>
        </w:tc>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rPr>
                <w:rStyle w:val="Char10"/>
              </w:rPr>
            </w:pPr>
            <w:r>
              <w:rPr>
                <w:rStyle w:val="Char10"/>
              </w:rPr>
              <w:t>11,691,184.68</w:t>
            </w:r>
          </w:p>
        </w:tc>
        <w:tc>
          <w:tcPr>
            <w:tcW w:w="1707"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rPr>
                <w:rStyle w:val="Char10"/>
              </w:rPr>
            </w:pPr>
            <w:r>
              <w:rPr>
                <w:rStyle w:val="Char10"/>
              </w:rPr>
              <w:t>14,925,326.35</w:t>
            </w:r>
          </w:p>
        </w:tc>
      </w:tr>
    </w:tbl>
    <w:p w:rsidR="004A3868" w:rsidRDefault="004A3868">
      <w:pPr>
        <w:rPr>
          <w:rStyle w:val="Char10"/>
        </w:rPr>
      </w:pPr>
    </w:p>
    <w:p w:rsidR="004A3868" w:rsidRDefault="003F1AB5">
      <w:pPr>
        <w:pStyle w:val="Style853"/>
        <w:rPr>
          <w:rStyle w:val="Char10"/>
        </w:rPr>
      </w:pPr>
      <w:r>
        <w:rPr>
          <w:rStyle w:val="Char10"/>
          <w:rFonts w:hint="eastAsia"/>
        </w:rPr>
        <w:t>其他说明：本期计入当期损益的政府补助详见第十节</w:t>
      </w:r>
      <w:r>
        <w:rPr>
          <w:rStyle w:val="Char10"/>
          <w:rFonts w:hint="eastAsia"/>
        </w:rPr>
        <w:t>.</w:t>
      </w:r>
      <w:r>
        <w:rPr>
          <w:rStyle w:val="Char10"/>
          <w:rFonts w:hint="eastAsia"/>
        </w:rPr>
        <w:t>七</w:t>
      </w:r>
      <w:r>
        <w:rPr>
          <w:rStyle w:val="Char10"/>
          <w:rFonts w:hint="eastAsia"/>
        </w:rPr>
        <w:t>.</w:t>
      </w:r>
      <w:r>
        <w:rPr>
          <w:rStyle w:val="Char10"/>
        </w:rPr>
        <w:t>67</w:t>
      </w:r>
      <w:r>
        <w:rPr>
          <w:rStyle w:val="Char10"/>
          <w:rFonts w:hint="eastAsia"/>
        </w:rPr>
        <w:t>“其他收益”和第十节</w:t>
      </w:r>
      <w:r>
        <w:rPr>
          <w:rStyle w:val="Char10"/>
          <w:rFonts w:hint="eastAsia"/>
        </w:rPr>
        <w:t>.</w:t>
      </w:r>
      <w:r>
        <w:rPr>
          <w:rStyle w:val="Char10"/>
          <w:rFonts w:hint="eastAsia"/>
        </w:rPr>
        <w:t>七</w:t>
      </w:r>
      <w:r>
        <w:rPr>
          <w:rStyle w:val="Char10"/>
          <w:rFonts w:hint="eastAsia"/>
        </w:rPr>
        <w:t>.7</w:t>
      </w:r>
      <w:r>
        <w:rPr>
          <w:rStyle w:val="Char10"/>
        </w:rPr>
        <w:t>4</w:t>
      </w:r>
      <w:r>
        <w:rPr>
          <w:rStyle w:val="Char10"/>
          <w:rFonts w:hint="eastAsia"/>
        </w:rPr>
        <w:t>“营业外收入”。</w:t>
      </w:r>
    </w:p>
    <w:p w:rsidR="004A3868" w:rsidRDefault="003F1AB5">
      <w:pPr>
        <w:pStyle w:val="Style853"/>
        <w:rPr>
          <w:rStyle w:val="Char10"/>
        </w:rPr>
      </w:pPr>
      <w:r>
        <w:rPr>
          <w:rStyle w:val="Char10"/>
          <w:rFonts w:hint="eastAsia"/>
        </w:rPr>
        <w:t>退回政府补助：</w:t>
      </w:r>
    </w:p>
    <w:tbl>
      <w:tblPr>
        <w:tblStyle w:val="g32"/>
        <w:tblW w:w="4981" w:type="pct"/>
        <w:jc w:val="center"/>
        <w:tblInd w:w="0" w:type="dxa"/>
        <w:tblLayout w:type="fixed"/>
        <w:tblCellMar>
          <w:right w:w="28" w:type="dxa"/>
        </w:tblCellMar>
        <w:tblLook w:val="04A0" w:firstRow="1" w:lastRow="0" w:firstColumn="1" w:lastColumn="0" w:noHBand="0" w:noVBand="1"/>
      </w:tblPr>
      <w:tblGrid>
        <w:gridCol w:w="2122"/>
        <w:gridCol w:w="1558"/>
        <w:gridCol w:w="2099"/>
        <w:gridCol w:w="1866"/>
        <w:gridCol w:w="1144"/>
      </w:tblGrid>
      <w:tr w:rsidR="004A3868">
        <w:trPr>
          <w:trHeight w:val="397"/>
          <w:jc w:val="center"/>
        </w:trPr>
        <w:tc>
          <w:tcPr>
            <w:tcW w:w="2123" w:type="dxa"/>
            <w:vAlign w:val="center"/>
          </w:tcPr>
          <w:p w:rsidR="004A3868" w:rsidRDefault="003F1AB5">
            <w:pPr>
              <w:pStyle w:val="afffb"/>
              <w:rPr>
                <w:rStyle w:val="Char10"/>
              </w:rPr>
            </w:pPr>
            <w:r>
              <w:rPr>
                <w:rStyle w:val="Char10"/>
                <w:rFonts w:hint="eastAsia"/>
              </w:rPr>
              <w:t>补助项目</w:t>
            </w:r>
          </w:p>
        </w:tc>
        <w:tc>
          <w:tcPr>
            <w:tcW w:w="1558" w:type="dxa"/>
            <w:vAlign w:val="center"/>
          </w:tcPr>
          <w:p w:rsidR="004A3868" w:rsidRDefault="003F1AB5">
            <w:pPr>
              <w:pStyle w:val="afffb"/>
              <w:rPr>
                <w:rStyle w:val="Char10"/>
              </w:rPr>
            </w:pPr>
            <w:r>
              <w:rPr>
                <w:rStyle w:val="Char10"/>
              </w:rPr>
              <w:t>种类</w:t>
            </w:r>
          </w:p>
        </w:tc>
        <w:tc>
          <w:tcPr>
            <w:tcW w:w="2099" w:type="dxa"/>
            <w:vAlign w:val="center"/>
          </w:tcPr>
          <w:p w:rsidR="004A3868" w:rsidRDefault="003F1AB5">
            <w:pPr>
              <w:pStyle w:val="afffb"/>
              <w:rPr>
                <w:rStyle w:val="Char10"/>
              </w:rPr>
            </w:pPr>
            <w:r>
              <w:rPr>
                <w:rStyle w:val="Char10"/>
              </w:rPr>
              <w:t>本期发生额</w:t>
            </w:r>
          </w:p>
        </w:tc>
        <w:tc>
          <w:tcPr>
            <w:tcW w:w="1866" w:type="dxa"/>
            <w:vAlign w:val="center"/>
          </w:tcPr>
          <w:p w:rsidR="004A3868" w:rsidRDefault="003F1AB5">
            <w:pPr>
              <w:pStyle w:val="afffb"/>
              <w:rPr>
                <w:rStyle w:val="Char10"/>
              </w:rPr>
            </w:pPr>
            <w:r>
              <w:rPr>
                <w:rStyle w:val="Char10"/>
              </w:rPr>
              <w:t>上期发生额</w:t>
            </w:r>
          </w:p>
        </w:tc>
        <w:tc>
          <w:tcPr>
            <w:tcW w:w="1144" w:type="dxa"/>
            <w:vAlign w:val="center"/>
          </w:tcPr>
          <w:p w:rsidR="004A3868" w:rsidRDefault="003F1AB5">
            <w:pPr>
              <w:pStyle w:val="afffb"/>
              <w:rPr>
                <w:rStyle w:val="Char10"/>
              </w:rPr>
            </w:pPr>
            <w:r>
              <w:rPr>
                <w:rStyle w:val="Char10"/>
              </w:rPr>
              <w:t>退回原因</w:t>
            </w:r>
          </w:p>
        </w:tc>
      </w:tr>
      <w:tr w:rsidR="004A3868">
        <w:trPr>
          <w:trHeight w:val="397"/>
          <w:jc w:val="center"/>
        </w:trPr>
        <w:tc>
          <w:tcPr>
            <w:tcW w:w="2123" w:type="dxa"/>
            <w:vAlign w:val="center"/>
          </w:tcPr>
          <w:p w:rsidR="004A3868" w:rsidRDefault="003F1AB5">
            <w:pPr>
              <w:pStyle w:val="afffb"/>
              <w:rPr>
                <w:rStyle w:val="Char10"/>
              </w:rPr>
            </w:pPr>
            <w:r>
              <w:rPr>
                <w:rStyle w:val="Char10"/>
                <w:rFonts w:hint="eastAsia"/>
              </w:rPr>
              <w:t>重庆市第一批重点“小巨人”企业</w:t>
            </w:r>
          </w:p>
        </w:tc>
        <w:tc>
          <w:tcPr>
            <w:tcW w:w="1558" w:type="dxa"/>
            <w:vAlign w:val="center"/>
          </w:tcPr>
          <w:p w:rsidR="004A3868" w:rsidRDefault="003F1AB5">
            <w:pPr>
              <w:pStyle w:val="afffb"/>
              <w:rPr>
                <w:rStyle w:val="Char10"/>
              </w:rPr>
            </w:pPr>
            <w:r>
              <w:rPr>
                <w:rStyle w:val="Char10"/>
              </w:rPr>
              <w:t>与收益相关</w:t>
            </w:r>
          </w:p>
        </w:tc>
        <w:tc>
          <w:tcPr>
            <w:tcW w:w="2099" w:type="dxa"/>
            <w:vAlign w:val="center"/>
          </w:tcPr>
          <w:p w:rsidR="004A3868" w:rsidRDefault="003F1AB5">
            <w:pPr>
              <w:pStyle w:val="afffb"/>
              <w:rPr>
                <w:rStyle w:val="Char10"/>
              </w:rPr>
            </w:pPr>
            <w:r>
              <w:rPr>
                <w:rStyle w:val="Char10"/>
              </w:rPr>
              <w:t>-1,320,000.00</w:t>
            </w:r>
          </w:p>
        </w:tc>
        <w:tc>
          <w:tcPr>
            <w:tcW w:w="1866" w:type="dxa"/>
            <w:vAlign w:val="center"/>
          </w:tcPr>
          <w:p w:rsidR="004A3868" w:rsidRDefault="003F1AB5">
            <w:pPr>
              <w:pStyle w:val="afffb"/>
              <w:rPr>
                <w:rStyle w:val="Char10"/>
              </w:rPr>
            </w:pPr>
            <w:r>
              <w:rPr>
                <w:rStyle w:val="Char10"/>
              </w:rPr>
              <w:t>1,320,000.00</w:t>
            </w:r>
          </w:p>
        </w:tc>
        <w:tc>
          <w:tcPr>
            <w:tcW w:w="1144" w:type="dxa"/>
            <w:vAlign w:val="center"/>
          </w:tcPr>
          <w:p w:rsidR="004A3868" w:rsidRDefault="003F1AB5">
            <w:pPr>
              <w:pStyle w:val="afffb"/>
              <w:rPr>
                <w:rStyle w:val="Char10"/>
              </w:rPr>
            </w:pPr>
            <w:r>
              <w:rPr>
                <w:rStyle w:val="Char10"/>
                <w:rFonts w:hint="eastAsia"/>
              </w:rPr>
              <w:t>注</w:t>
            </w:r>
          </w:p>
        </w:tc>
      </w:tr>
      <w:tr w:rsidR="004A3868">
        <w:trPr>
          <w:trHeight w:val="397"/>
          <w:jc w:val="center"/>
        </w:trPr>
        <w:tc>
          <w:tcPr>
            <w:tcW w:w="2123" w:type="dxa"/>
            <w:vAlign w:val="center"/>
          </w:tcPr>
          <w:p w:rsidR="004A3868" w:rsidRDefault="003F1AB5">
            <w:pPr>
              <w:pStyle w:val="afffb"/>
              <w:rPr>
                <w:rStyle w:val="Char10"/>
              </w:rPr>
            </w:pPr>
            <w:r>
              <w:rPr>
                <w:rStyle w:val="Char10"/>
                <w:rFonts w:hint="eastAsia"/>
              </w:rPr>
              <w:t>合计</w:t>
            </w:r>
          </w:p>
        </w:tc>
        <w:tc>
          <w:tcPr>
            <w:tcW w:w="1558" w:type="dxa"/>
            <w:vAlign w:val="center"/>
          </w:tcPr>
          <w:p w:rsidR="004A3868" w:rsidRDefault="004A3868">
            <w:pPr>
              <w:pStyle w:val="afffb"/>
              <w:rPr>
                <w:rStyle w:val="Char10"/>
              </w:rPr>
            </w:pPr>
          </w:p>
        </w:tc>
        <w:tc>
          <w:tcPr>
            <w:tcW w:w="2099" w:type="dxa"/>
            <w:vAlign w:val="center"/>
          </w:tcPr>
          <w:p w:rsidR="004A3868" w:rsidRDefault="003F1AB5">
            <w:pPr>
              <w:pStyle w:val="afffb"/>
              <w:rPr>
                <w:rStyle w:val="Char10"/>
              </w:rPr>
            </w:pPr>
            <w:r>
              <w:rPr>
                <w:rStyle w:val="Char10"/>
              </w:rPr>
              <w:t>-1,320,000.00</w:t>
            </w:r>
          </w:p>
        </w:tc>
        <w:tc>
          <w:tcPr>
            <w:tcW w:w="1866" w:type="dxa"/>
            <w:vAlign w:val="center"/>
          </w:tcPr>
          <w:p w:rsidR="004A3868" w:rsidRDefault="003F1AB5">
            <w:pPr>
              <w:pStyle w:val="afffb"/>
              <w:rPr>
                <w:rStyle w:val="Char10"/>
              </w:rPr>
            </w:pPr>
            <w:r>
              <w:rPr>
                <w:rStyle w:val="Char10"/>
              </w:rPr>
              <w:t>1,320,000.00</w:t>
            </w:r>
          </w:p>
        </w:tc>
        <w:tc>
          <w:tcPr>
            <w:tcW w:w="1144" w:type="dxa"/>
          </w:tcPr>
          <w:p w:rsidR="004A3868" w:rsidRDefault="004A3868">
            <w:pPr>
              <w:pStyle w:val="afffb"/>
              <w:rPr>
                <w:rStyle w:val="Char10"/>
              </w:rPr>
            </w:pPr>
          </w:p>
        </w:tc>
      </w:tr>
    </w:tbl>
    <w:p w:rsidR="004A3868" w:rsidRDefault="004A3868">
      <w:pPr>
        <w:pStyle w:val="Style853"/>
        <w:rPr>
          <w:rStyle w:val="Char10"/>
        </w:rPr>
      </w:pPr>
    </w:p>
    <w:bookmarkStart w:id="248" w:name="_Hlk153267868"/>
    <w:bookmarkEnd w:id="247"/>
    <w:p w:rsidR="004A3868" w:rsidRDefault="00B34370">
      <w:pPr>
        <w:pStyle w:val="Style853"/>
        <w:ind w:firstLineChars="200" w:firstLine="420"/>
        <w:rPr>
          <w:rStyle w:val="Char10"/>
        </w:rPr>
      </w:pPr>
      <w:sdt>
        <w:sdtPr>
          <w:rPr>
            <w:rStyle w:val="Char10"/>
          </w:rPr>
          <w:alias w:val="政府补助说明"/>
          <w:tag w:val="_GBC_8011e9ada7d741aeb9f59a958e812614"/>
          <w:id w:val="-1458713923"/>
          <w:placeholder>
            <w:docPart w:val="GBC22222222222222222222222222222"/>
          </w:placeholder>
        </w:sdtPr>
        <w:sdtEndPr>
          <w:rPr>
            <w:rStyle w:val="Char10"/>
          </w:rPr>
        </w:sdtEndPr>
        <w:sdtContent>
          <w:r w:rsidR="003F1AB5">
            <w:rPr>
              <w:rStyle w:val="Char10"/>
              <w:rFonts w:hint="eastAsia"/>
            </w:rPr>
            <w:t>注：根据</w:t>
          </w:r>
          <w:r w:rsidR="003F1AB5">
            <w:rPr>
              <w:rStyle w:val="Char10"/>
            </w:rPr>
            <w:t>2023</w:t>
          </w:r>
          <w:r w:rsidR="003F1AB5">
            <w:rPr>
              <w:rStyle w:val="Char10"/>
            </w:rPr>
            <w:t>年</w:t>
          </w:r>
          <w:r w:rsidR="003F1AB5">
            <w:rPr>
              <w:rStyle w:val="Char10"/>
            </w:rPr>
            <w:t>7</w:t>
          </w:r>
          <w:r w:rsidR="003F1AB5">
            <w:rPr>
              <w:rStyle w:val="Char10"/>
            </w:rPr>
            <w:t>月</w:t>
          </w:r>
          <w:r w:rsidR="003F1AB5">
            <w:rPr>
              <w:rStyle w:val="Char10"/>
            </w:rPr>
            <w:t>18</w:t>
          </w:r>
          <w:r w:rsidR="003F1AB5">
            <w:rPr>
              <w:rStyle w:val="Char10"/>
            </w:rPr>
            <w:t>日重庆市经济和信息化委员会</w:t>
          </w:r>
          <w:r w:rsidR="003F1AB5">
            <w:rPr>
              <w:rStyle w:val="Char10"/>
            </w:rPr>
            <w:t>“</w:t>
          </w:r>
          <w:r w:rsidR="003F1AB5">
            <w:rPr>
              <w:rStyle w:val="Char10"/>
            </w:rPr>
            <w:t>渝经信函</w:t>
          </w:r>
          <w:r w:rsidR="003F1AB5">
            <w:rPr>
              <w:rStyle w:val="Char10"/>
            </w:rPr>
            <w:t>[2023]279</w:t>
          </w:r>
          <w:r w:rsidR="003F1AB5">
            <w:rPr>
              <w:rStyle w:val="Char10"/>
            </w:rPr>
            <w:t>号</w:t>
          </w:r>
          <w:r w:rsidR="003F1AB5">
            <w:rPr>
              <w:rStyle w:val="Char10"/>
            </w:rPr>
            <w:t>”</w:t>
          </w:r>
          <w:r w:rsidR="003F1AB5">
            <w:rPr>
              <w:rStyle w:val="Char10"/>
            </w:rPr>
            <w:t>公司</w:t>
          </w:r>
          <w:r w:rsidR="003F1AB5">
            <w:rPr>
              <w:rStyle w:val="Char10"/>
            </w:rPr>
            <w:t>2022</w:t>
          </w:r>
          <w:r w:rsidR="003F1AB5">
            <w:rPr>
              <w:rStyle w:val="Char10"/>
            </w:rPr>
            <w:t>年上市后不符合专精特新小企业标准，退回按专精特新小企业标准享受的政府补助，需退还补助款</w:t>
          </w:r>
          <w:r w:rsidR="003F1AB5">
            <w:rPr>
              <w:rStyle w:val="Char10"/>
            </w:rPr>
            <w:t>132</w:t>
          </w:r>
          <w:r w:rsidR="003F1AB5">
            <w:rPr>
              <w:rStyle w:val="Char10"/>
            </w:rPr>
            <w:t>万元</w:t>
          </w:r>
        </w:sdtContent>
      </w:sdt>
      <w:bookmarkEnd w:id="248"/>
    </w:p>
    <w:p w:rsidR="004A3868" w:rsidRDefault="003F1AB5">
      <w:pPr>
        <w:pStyle w:val="Style954"/>
        <w:rPr>
          <w:rStyle w:val="Char10"/>
        </w:rPr>
      </w:pPr>
      <w:r>
        <w:rPr>
          <w:rStyle w:val="Char10"/>
          <w:rFonts w:hint="eastAsia"/>
        </w:rPr>
        <w:t>与金融工具相关的风险</w:t>
      </w:r>
    </w:p>
    <w:p w:rsidR="004A3868" w:rsidRDefault="003F1AB5">
      <w:pPr>
        <w:pStyle w:val="Style955"/>
        <w:numPr>
          <w:ilvl w:val="0"/>
          <w:numId w:val="112"/>
        </w:numPr>
        <w:spacing w:before="120"/>
        <w:rPr>
          <w:rStyle w:val="Char10"/>
        </w:rPr>
      </w:pPr>
      <w:r>
        <w:rPr>
          <w:rStyle w:val="Char10"/>
          <w:rFonts w:hint="eastAsia"/>
        </w:rPr>
        <w:t>金融工具的风险</w:t>
      </w:r>
    </w:p>
    <w:sdt>
      <w:sdtPr>
        <w:rPr>
          <w:rStyle w:val="Char10"/>
        </w:rPr>
        <w:alias w:val="是否适用：与金融工具相关的风险[双击切换]"/>
        <w:tag w:val="_GBC_2be38aac6aaa4945a48be2cdc11eaaf6"/>
        <w:id w:val="419306029"/>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Style w:val="Char10"/>
        </w:rPr>
        <w:alias w:val="与金融工具相关的风险"/>
        <w:tag w:val="_GBC_f6714dfdbb554edeb7e7fde71c65346d"/>
        <w:id w:val="-2048211898"/>
        <w:lock w:val="sdtLocked"/>
        <w:placeholder>
          <w:docPart w:val="GBC22222222222222222222222222222"/>
        </w:placeholder>
      </w:sdtPr>
      <w:sdtEndPr>
        <w:rPr>
          <w:rStyle w:val="Char10"/>
        </w:rPr>
      </w:sdtEndPr>
      <w:sdtContent>
        <w:p w:rsidR="004A3868" w:rsidRDefault="003F1AB5">
          <w:pPr>
            <w:pStyle w:val="Style1213"/>
            <w:ind w:firstLine="420"/>
            <w:rPr>
              <w:rStyle w:val="Char10"/>
            </w:rPr>
          </w:pPr>
          <w:r>
            <w:rPr>
              <w:rStyle w:val="Char10"/>
              <w:rFonts w:hint="eastAsia"/>
            </w:rPr>
            <w:t>本公司的主要金融工具包括货币资金、股权投资、借款、应收款项、应付款项等。在日常活动中面临各种金融工具的风险，主要包括信用风险、流动性风险、市场风险。与这些金融工具相</w:t>
          </w:r>
          <w:r>
            <w:rPr>
              <w:rStyle w:val="Char10"/>
              <w:rFonts w:hint="eastAsia"/>
            </w:rPr>
            <w:lastRenderedPageBreak/>
            <w:t>关的风险，以及本公司为降低这些风险所采取的风险管理政策如下所述：</w:t>
          </w:r>
        </w:p>
        <w:p w:rsidR="004A3868" w:rsidRDefault="003F1AB5">
          <w:pPr>
            <w:pStyle w:val="Style1213"/>
            <w:ind w:firstLine="420"/>
            <w:rPr>
              <w:rStyle w:val="Char10"/>
            </w:rPr>
          </w:pPr>
          <w:r>
            <w:rPr>
              <w:rStyle w:val="Char10"/>
              <w:rFonts w:hint="eastAsia"/>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w:t>
          </w:r>
        </w:p>
        <w:p w:rsidR="004A3868" w:rsidRDefault="003F1AB5">
          <w:pPr>
            <w:pStyle w:val="Style1213"/>
            <w:ind w:firstLine="420"/>
            <w:rPr>
              <w:rStyle w:val="Char10"/>
            </w:rPr>
          </w:pPr>
          <w:r>
            <w:rPr>
              <w:rStyle w:val="Char10"/>
              <w:rFonts w:hint="eastAsia"/>
            </w:rPr>
            <w:t>（</w:t>
          </w:r>
          <w:r>
            <w:rPr>
              <w:rStyle w:val="Char10"/>
              <w:rFonts w:hint="eastAsia"/>
            </w:rPr>
            <w:t>1</w:t>
          </w:r>
          <w:r>
            <w:rPr>
              <w:rStyle w:val="Char10"/>
              <w:rFonts w:hint="eastAsia"/>
            </w:rPr>
            <w:t>）</w:t>
          </w:r>
          <w:r>
            <w:rPr>
              <w:rStyle w:val="Char10"/>
            </w:rPr>
            <w:t>信用风险</w:t>
          </w:r>
        </w:p>
        <w:p w:rsidR="004A3868" w:rsidRDefault="003F1AB5">
          <w:pPr>
            <w:pStyle w:val="Style1213"/>
            <w:ind w:firstLine="420"/>
            <w:rPr>
              <w:rStyle w:val="Char10"/>
            </w:rPr>
          </w:pPr>
          <w:r>
            <w:rPr>
              <w:rStyle w:val="Char10"/>
              <w:rFonts w:hint="eastAsia"/>
            </w:rPr>
            <w:t>信用风险是指交易对手未能履行合同义务而导致本公司产生财务损失的风险，管理层已制定适当的信用政策，并且不断监察信用风险的敞口。</w:t>
          </w:r>
        </w:p>
        <w:p w:rsidR="004A3868" w:rsidRDefault="003F1AB5">
          <w:pPr>
            <w:pStyle w:val="Style1213"/>
            <w:ind w:firstLine="420"/>
            <w:rPr>
              <w:rStyle w:val="Char10"/>
            </w:rPr>
          </w:pPr>
          <w:r>
            <w:rPr>
              <w:rStyle w:val="Char10"/>
              <w:rFonts w:hint="eastAsia"/>
            </w:rPr>
            <w:t>本公司已采取政策只与信用良好的交易对手进行交易。另外，本公司基于对客户的财务状况、从第三方获取担保的可能性、信用记录及其它因素诸如目前市场状况等评估客户的信用资质并设置相应信用期。本公司对应收票据、应收账款余额及收回情况进行持续监控，对于信用记录不良的客户，本公司会采用书面催款、缩短信用期或取消信用期等方式，以确保本公司不致面临重大信用损失。此外，本公司于每个资产负债表日审核金融资产的回收情况，以确保相关金融资产计提了充分的预期信用损失准备。</w:t>
          </w:r>
        </w:p>
        <w:p w:rsidR="004A3868" w:rsidRDefault="003F1AB5">
          <w:pPr>
            <w:pStyle w:val="Style1213"/>
            <w:ind w:firstLine="420"/>
            <w:rPr>
              <w:rStyle w:val="Char10"/>
            </w:rPr>
          </w:pPr>
          <w:r>
            <w:rPr>
              <w:rStyle w:val="Char10"/>
              <w:rFonts w:hint="eastAsia"/>
            </w:rPr>
            <w:t>本公司其他金融资产包括货币资金、其他应收款等，这些金融资产的信用风险源自于交易对手违约，最大信用风险敞口为资产负债表中每项金融资产的账面金额。本公司没有提供任何其他可能令本公司承受信用风险的担保。</w:t>
          </w:r>
        </w:p>
        <w:p w:rsidR="004A3868" w:rsidRDefault="003F1AB5">
          <w:pPr>
            <w:pStyle w:val="Style1213"/>
            <w:ind w:firstLine="420"/>
            <w:rPr>
              <w:rStyle w:val="Char10"/>
            </w:rPr>
          </w:pPr>
          <w:r>
            <w:rPr>
              <w:rStyle w:val="Char10"/>
              <w:rFonts w:hint="eastAsia"/>
            </w:rPr>
            <w:t>本公司持有的货币资金主要存放于国有控股银行和其他大中型商业银行等金融机构，管理层认为这些商业银行具备较高信誉和资产状况，不存在重大的信用风险，不会产生因对方单位违约而导致的任何重大损失。本公司的政策是根据各知名金融机构的市场信誉、经营规模及财务背景来控制存放当中的存款金额，以限制对任何单个金融机构的信用风险金额。</w:t>
          </w:r>
        </w:p>
        <w:p w:rsidR="004A3868" w:rsidRDefault="003F1AB5">
          <w:pPr>
            <w:pStyle w:val="Style1213"/>
            <w:ind w:firstLine="420"/>
            <w:rPr>
              <w:rStyle w:val="Char10"/>
            </w:rPr>
          </w:pPr>
          <w:r>
            <w:rPr>
              <w:rStyle w:val="Char10"/>
              <w:rFonts w:hint="eastAsia"/>
            </w:rPr>
            <w:t>作为本公司信用风险资产管理的一部分，本公司利用账龄来评估应收账款、应收票据和其他应收款的减值损失。本公司的应收账款、应收票据和其他应收款涉及大量客户，账龄信息可以反映这些客户对于应收账款和其他应收款的偿付能力和坏账风险。本公司根据历史数据计算不同账龄期间的历史实际坏账率，并考虑了当前及未来经济状况的预测，如国家</w:t>
          </w:r>
          <w:r>
            <w:rPr>
              <w:rStyle w:val="Char10"/>
            </w:rPr>
            <w:t>GDP</w:t>
          </w:r>
          <w:r>
            <w:rPr>
              <w:rStyle w:val="Char10"/>
            </w:rPr>
            <w:t>增速、基建投资总额、国家货币政策等前瞻性信息进行调整得出预期损失率。对于长期应收款，本公司综合考虑结算期、合同约定付款期、债务人的财务状况和债务人所处行业的经济形势，并考虑上述前瞻性信息进行调整</w:t>
          </w:r>
          <w:r>
            <w:rPr>
              <w:rStyle w:val="Char10"/>
              <w:rFonts w:hint="eastAsia"/>
            </w:rPr>
            <w:t>后对于预期信用损失进行合理评估。</w:t>
          </w:r>
        </w:p>
        <w:p w:rsidR="004A3868" w:rsidRDefault="003F1AB5">
          <w:pPr>
            <w:pStyle w:val="Style1213"/>
            <w:ind w:firstLine="420"/>
            <w:rPr>
              <w:rStyle w:val="Char10"/>
            </w:rPr>
          </w:pPr>
          <w:r>
            <w:rPr>
              <w:rStyle w:val="Char10"/>
              <w:rFonts w:hint="eastAsia"/>
            </w:rPr>
            <w:t>截止</w:t>
          </w:r>
          <w:r>
            <w:rPr>
              <w:rStyle w:val="Char10"/>
            </w:rPr>
            <w:t>2023</w:t>
          </w:r>
          <w:r>
            <w:rPr>
              <w:rStyle w:val="Char10"/>
            </w:rPr>
            <w:t>年</w:t>
          </w:r>
          <w:r>
            <w:rPr>
              <w:rStyle w:val="Char10"/>
            </w:rPr>
            <w:t>12</w:t>
          </w:r>
          <w:r>
            <w:rPr>
              <w:rStyle w:val="Char10"/>
            </w:rPr>
            <w:t>月</w:t>
          </w:r>
          <w:r>
            <w:rPr>
              <w:rStyle w:val="Char10"/>
            </w:rPr>
            <w:t>31</w:t>
          </w:r>
          <w:r>
            <w:rPr>
              <w:rStyle w:val="Char10"/>
            </w:rPr>
            <w:t>日，相关资产的账面余额与预期信用减值损失情况如下：</w:t>
          </w:r>
        </w:p>
        <w:tbl>
          <w:tblPr>
            <w:tblStyle w:val="g33"/>
            <w:tblW w:w="5000" w:type="pct"/>
            <w:jc w:val="center"/>
            <w:tblInd w:w="0" w:type="dxa"/>
            <w:tblLayout w:type="fixed"/>
            <w:tblCellMar>
              <w:right w:w="28" w:type="dxa"/>
            </w:tblCellMar>
            <w:tblLook w:val="04A0" w:firstRow="1" w:lastRow="0" w:firstColumn="1" w:lastColumn="0" w:noHBand="0" w:noVBand="1"/>
          </w:tblPr>
          <w:tblGrid>
            <w:gridCol w:w="2941"/>
            <w:gridCol w:w="2941"/>
            <w:gridCol w:w="2941"/>
          </w:tblGrid>
          <w:tr w:rsidR="004A3868">
            <w:trPr>
              <w:trHeight w:val="397"/>
              <w:jc w:val="center"/>
            </w:trPr>
            <w:tc>
              <w:tcPr>
                <w:tcW w:w="2941" w:type="dxa"/>
                <w:vAlign w:val="center"/>
              </w:tcPr>
              <w:p w:rsidR="004A3868" w:rsidRDefault="003F1AB5">
                <w:pPr>
                  <w:pStyle w:val="Style1226"/>
                  <w:rPr>
                    <w:rStyle w:val="Char10"/>
                  </w:rPr>
                </w:pPr>
                <w:r>
                  <w:rPr>
                    <w:rStyle w:val="Char10"/>
                  </w:rPr>
                  <w:t>项目</w:t>
                </w:r>
              </w:p>
            </w:tc>
            <w:tc>
              <w:tcPr>
                <w:tcW w:w="2941" w:type="dxa"/>
                <w:vAlign w:val="center"/>
              </w:tcPr>
              <w:p w:rsidR="004A3868" w:rsidRDefault="003F1AB5">
                <w:pPr>
                  <w:pStyle w:val="Style1226"/>
                  <w:rPr>
                    <w:rStyle w:val="Char10"/>
                  </w:rPr>
                </w:pPr>
                <w:r>
                  <w:rPr>
                    <w:rStyle w:val="Char10"/>
                  </w:rPr>
                  <w:t>账面余额</w:t>
                </w:r>
              </w:p>
            </w:tc>
            <w:tc>
              <w:tcPr>
                <w:tcW w:w="2941" w:type="dxa"/>
                <w:vAlign w:val="center"/>
              </w:tcPr>
              <w:p w:rsidR="004A3868" w:rsidRDefault="003F1AB5">
                <w:pPr>
                  <w:pStyle w:val="Style1226"/>
                  <w:rPr>
                    <w:rStyle w:val="Char10"/>
                  </w:rPr>
                </w:pPr>
                <w:r>
                  <w:rPr>
                    <w:rStyle w:val="Char10"/>
                  </w:rPr>
                  <w:t>减值准备</w:t>
                </w:r>
              </w:p>
            </w:tc>
          </w:tr>
          <w:tr w:rsidR="004A3868">
            <w:trPr>
              <w:trHeight w:val="397"/>
              <w:jc w:val="center"/>
            </w:trPr>
            <w:tc>
              <w:tcPr>
                <w:tcW w:w="2941" w:type="dxa"/>
              </w:tcPr>
              <w:p w:rsidR="004A3868" w:rsidRDefault="003F1AB5">
                <w:pPr>
                  <w:pStyle w:val="Style1224"/>
                  <w:rPr>
                    <w:rStyle w:val="Char10"/>
                  </w:rPr>
                </w:pPr>
                <w:r>
                  <w:rPr>
                    <w:rStyle w:val="Char10"/>
                  </w:rPr>
                  <w:lastRenderedPageBreak/>
                  <w:t>应收票据</w:t>
                </w:r>
              </w:p>
            </w:tc>
            <w:tc>
              <w:tcPr>
                <w:tcW w:w="2941" w:type="dxa"/>
                <w:vAlign w:val="center"/>
              </w:tcPr>
              <w:p w:rsidR="004A3868" w:rsidRDefault="003F1AB5">
                <w:pPr>
                  <w:pStyle w:val="Style1222"/>
                  <w:rPr>
                    <w:rStyle w:val="Char10"/>
                  </w:rPr>
                </w:pPr>
                <w:r>
                  <w:rPr>
                    <w:rStyle w:val="Char10"/>
                  </w:rPr>
                  <w:t>129,555,059.34</w:t>
                </w:r>
              </w:p>
            </w:tc>
            <w:tc>
              <w:tcPr>
                <w:tcW w:w="2941" w:type="dxa"/>
                <w:vAlign w:val="center"/>
              </w:tcPr>
              <w:p w:rsidR="004A3868" w:rsidRDefault="003F1AB5">
                <w:pPr>
                  <w:pStyle w:val="Style1222"/>
                  <w:rPr>
                    <w:rStyle w:val="Char10"/>
                  </w:rPr>
                </w:pPr>
                <w:r>
                  <w:rPr>
                    <w:rStyle w:val="Char10"/>
                  </w:rPr>
                  <w:t>7,057,623.47</w:t>
                </w:r>
              </w:p>
            </w:tc>
          </w:tr>
          <w:tr w:rsidR="004A3868">
            <w:trPr>
              <w:trHeight w:val="397"/>
              <w:jc w:val="center"/>
            </w:trPr>
            <w:tc>
              <w:tcPr>
                <w:tcW w:w="2941" w:type="dxa"/>
              </w:tcPr>
              <w:p w:rsidR="004A3868" w:rsidRDefault="003F1AB5">
                <w:pPr>
                  <w:pStyle w:val="Style1224"/>
                  <w:rPr>
                    <w:rStyle w:val="Char10"/>
                  </w:rPr>
                </w:pPr>
                <w:r>
                  <w:rPr>
                    <w:rStyle w:val="Char10"/>
                  </w:rPr>
                  <w:t>应收款项融资</w:t>
                </w:r>
              </w:p>
            </w:tc>
            <w:tc>
              <w:tcPr>
                <w:tcW w:w="2941" w:type="dxa"/>
                <w:vAlign w:val="center"/>
              </w:tcPr>
              <w:p w:rsidR="004A3868" w:rsidRDefault="003F1AB5">
                <w:pPr>
                  <w:pStyle w:val="Style1222"/>
                  <w:rPr>
                    <w:rStyle w:val="Char10"/>
                  </w:rPr>
                </w:pPr>
                <w:r>
                  <w:rPr>
                    <w:rStyle w:val="Char10"/>
                  </w:rPr>
                  <w:t>12,524,975.32</w:t>
                </w:r>
              </w:p>
            </w:tc>
            <w:tc>
              <w:tcPr>
                <w:tcW w:w="2941" w:type="dxa"/>
                <w:vAlign w:val="center"/>
              </w:tcPr>
              <w:p w:rsidR="004A3868" w:rsidRDefault="003F1AB5">
                <w:pPr>
                  <w:pStyle w:val="Style1222"/>
                  <w:rPr>
                    <w:rStyle w:val="Char10"/>
                  </w:rPr>
                </w:pPr>
                <w:r>
                  <w:rPr>
                    <w:rStyle w:val="Char10"/>
                  </w:rPr>
                  <w:t>280,321.35</w:t>
                </w:r>
              </w:p>
            </w:tc>
          </w:tr>
          <w:tr w:rsidR="004A3868">
            <w:trPr>
              <w:trHeight w:val="397"/>
              <w:jc w:val="center"/>
            </w:trPr>
            <w:tc>
              <w:tcPr>
                <w:tcW w:w="2941" w:type="dxa"/>
              </w:tcPr>
              <w:p w:rsidR="004A3868" w:rsidRDefault="003F1AB5">
                <w:pPr>
                  <w:pStyle w:val="Style1224"/>
                  <w:rPr>
                    <w:rStyle w:val="Char10"/>
                  </w:rPr>
                </w:pPr>
                <w:r>
                  <w:rPr>
                    <w:rStyle w:val="Char10"/>
                  </w:rPr>
                  <w:t>应收账款</w:t>
                </w:r>
              </w:p>
            </w:tc>
            <w:tc>
              <w:tcPr>
                <w:tcW w:w="2941" w:type="dxa"/>
                <w:vAlign w:val="center"/>
              </w:tcPr>
              <w:p w:rsidR="004A3868" w:rsidRDefault="003F1AB5">
                <w:pPr>
                  <w:pStyle w:val="Style1222"/>
                  <w:rPr>
                    <w:rStyle w:val="Char10"/>
                  </w:rPr>
                </w:pPr>
                <w:r>
                  <w:rPr>
                    <w:rStyle w:val="Char10"/>
                  </w:rPr>
                  <w:t>1,078,999,366.61</w:t>
                </w:r>
              </w:p>
            </w:tc>
            <w:tc>
              <w:tcPr>
                <w:tcW w:w="2941" w:type="dxa"/>
                <w:vAlign w:val="center"/>
              </w:tcPr>
              <w:p w:rsidR="004A3868" w:rsidRDefault="003F1AB5">
                <w:pPr>
                  <w:pStyle w:val="Style1222"/>
                  <w:rPr>
                    <w:rStyle w:val="Char10"/>
                  </w:rPr>
                </w:pPr>
                <w:r>
                  <w:rPr>
                    <w:rStyle w:val="Char10"/>
                  </w:rPr>
                  <w:t>112,217,206.16</w:t>
                </w:r>
              </w:p>
            </w:tc>
          </w:tr>
          <w:tr w:rsidR="004A3868">
            <w:trPr>
              <w:trHeight w:val="397"/>
              <w:jc w:val="center"/>
            </w:trPr>
            <w:tc>
              <w:tcPr>
                <w:tcW w:w="2941" w:type="dxa"/>
              </w:tcPr>
              <w:p w:rsidR="004A3868" w:rsidRDefault="003F1AB5">
                <w:pPr>
                  <w:pStyle w:val="Style1224"/>
                  <w:rPr>
                    <w:rStyle w:val="Char10"/>
                  </w:rPr>
                </w:pPr>
                <w:r>
                  <w:rPr>
                    <w:rStyle w:val="Char10"/>
                  </w:rPr>
                  <w:t>其他应收款</w:t>
                </w:r>
              </w:p>
            </w:tc>
            <w:tc>
              <w:tcPr>
                <w:tcW w:w="2941" w:type="dxa"/>
                <w:vAlign w:val="center"/>
              </w:tcPr>
              <w:p w:rsidR="004A3868" w:rsidRDefault="003F1AB5">
                <w:pPr>
                  <w:pStyle w:val="Style1222"/>
                  <w:rPr>
                    <w:rStyle w:val="Char10"/>
                  </w:rPr>
                </w:pPr>
                <w:r>
                  <w:rPr>
                    <w:rStyle w:val="Char10"/>
                  </w:rPr>
                  <w:t>14,301,085.09</w:t>
                </w:r>
              </w:p>
            </w:tc>
            <w:tc>
              <w:tcPr>
                <w:tcW w:w="2941" w:type="dxa"/>
                <w:vAlign w:val="center"/>
              </w:tcPr>
              <w:p w:rsidR="004A3868" w:rsidRDefault="003F1AB5">
                <w:pPr>
                  <w:pStyle w:val="Style1222"/>
                  <w:rPr>
                    <w:rStyle w:val="Char10"/>
                  </w:rPr>
                </w:pPr>
                <w:r>
                  <w:rPr>
                    <w:rStyle w:val="Char10"/>
                  </w:rPr>
                  <w:t>1,888,111.49</w:t>
                </w:r>
              </w:p>
            </w:tc>
          </w:tr>
          <w:tr w:rsidR="004A3868">
            <w:trPr>
              <w:trHeight w:val="397"/>
              <w:jc w:val="center"/>
            </w:trPr>
            <w:tc>
              <w:tcPr>
                <w:tcW w:w="2941" w:type="dxa"/>
              </w:tcPr>
              <w:p w:rsidR="004A3868" w:rsidRDefault="003F1AB5">
                <w:pPr>
                  <w:pStyle w:val="Style1224"/>
                  <w:rPr>
                    <w:rStyle w:val="Char10"/>
                  </w:rPr>
                </w:pPr>
                <w:r>
                  <w:rPr>
                    <w:rStyle w:val="Char10"/>
                  </w:rPr>
                  <w:t>合计</w:t>
                </w:r>
              </w:p>
            </w:tc>
            <w:tc>
              <w:tcPr>
                <w:tcW w:w="2941" w:type="dxa"/>
                <w:vAlign w:val="center"/>
              </w:tcPr>
              <w:p w:rsidR="004A3868" w:rsidRDefault="003F1AB5">
                <w:pPr>
                  <w:pStyle w:val="Style1222"/>
                  <w:rPr>
                    <w:rStyle w:val="Char10"/>
                  </w:rPr>
                </w:pPr>
                <w:r>
                  <w:rPr>
                    <w:rStyle w:val="Char10"/>
                  </w:rPr>
                  <w:t>1,235,370,486.36</w:t>
                </w:r>
              </w:p>
            </w:tc>
            <w:tc>
              <w:tcPr>
                <w:tcW w:w="2941" w:type="dxa"/>
                <w:vAlign w:val="center"/>
              </w:tcPr>
              <w:p w:rsidR="004A3868" w:rsidRDefault="003F1AB5">
                <w:pPr>
                  <w:pStyle w:val="Style1222"/>
                  <w:rPr>
                    <w:rStyle w:val="Char10"/>
                  </w:rPr>
                </w:pPr>
                <w:r>
                  <w:rPr>
                    <w:rStyle w:val="Char10"/>
                  </w:rPr>
                  <w:t>121,433,262.47</w:t>
                </w:r>
              </w:p>
            </w:tc>
          </w:tr>
        </w:tbl>
        <w:p w:rsidR="004A3868" w:rsidRDefault="003F1AB5">
          <w:pPr>
            <w:pStyle w:val="Style1213"/>
            <w:ind w:firstLine="420"/>
            <w:rPr>
              <w:rStyle w:val="Char10"/>
            </w:rPr>
          </w:pPr>
          <w:r>
            <w:rPr>
              <w:rStyle w:val="Char10"/>
              <w:rFonts w:hint="eastAsia"/>
            </w:rPr>
            <w:t>本公司的主要客户为国家电网、南方电网等，该等客户具有可靠及良好的信誉，因此，本公司认为该等客户并无重大信用风险。由于本公司的客户广泛，因此没有重大的信用集中风险。截止</w:t>
          </w:r>
          <w:r>
            <w:rPr>
              <w:rStyle w:val="Char10"/>
            </w:rPr>
            <w:t>2023</w:t>
          </w:r>
          <w:r>
            <w:rPr>
              <w:rStyle w:val="Char10"/>
            </w:rPr>
            <w:t>年</w:t>
          </w:r>
          <w:r>
            <w:rPr>
              <w:rStyle w:val="Char10"/>
            </w:rPr>
            <w:t>12</w:t>
          </w:r>
          <w:r>
            <w:rPr>
              <w:rStyle w:val="Char10"/>
            </w:rPr>
            <w:t>月</w:t>
          </w:r>
          <w:r>
            <w:rPr>
              <w:rStyle w:val="Char10"/>
            </w:rPr>
            <w:t>31</w:t>
          </w:r>
          <w:r>
            <w:rPr>
              <w:rStyle w:val="Char10"/>
            </w:rPr>
            <w:t>日，本公司的前五大客户的应收账款占本公司应收账款总额</w:t>
          </w:r>
          <w:r>
            <w:rPr>
              <w:rStyle w:val="Char10"/>
            </w:rPr>
            <w:t>10.06%</w:t>
          </w:r>
          <w:r>
            <w:rPr>
              <w:rStyle w:val="Char10"/>
            </w:rPr>
            <w:t>。</w:t>
          </w:r>
        </w:p>
        <w:p w:rsidR="004A3868" w:rsidRDefault="003F1AB5">
          <w:pPr>
            <w:pStyle w:val="Style1213"/>
            <w:ind w:firstLine="420"/>
            <w:rPr>
              <w:rStyle w:val="Char10"/>
            </w:rPr>
          </w:pPr>
          <w:r>
            <w:rPr>
              <w:rStyle w:val="Char10"/>
              <w:rFonts w:hint="eastAsia"/>
            </w:rPr>
            <w:t>（</w:t>
          </w:r>
          <w:r>
            <w:rPr>
              <w:rStyle w:val="Char10"/>
              <w:rFonts w:hint="eastAsia"/>
            </w:rPr>
            <w:t>2</w:t>
          </w:r>
          <w:r>
            <w:rPr>
              <w:rStyle w:val="Char10"/>
              <w:rFonts w:hint="eastAsia"/>
            </w:rPr>
            <w:t>）流动性风险</w:t>
          </w:r>
        </w:p>
        <w:p w:rsidR="004A3868" w:rsidRDefault="003F1AB5">
          <w:pPr>
            <w:pStyle w:val="Style1213"/>
            <w:ind w:firstLine="420"/>
            <w:rPr>
              <w:rStyle w:val="Char10"/>
            </w:rPr>
          </w:pPr>
          <w:r>
            <w:rPr>
              <w:rStyle w:val="Char10"/>
              <w:rFonts w:hint="eastAsia"/>
            </w:rPr>
            <w:t>流动性风险是指本公司在履行以交付现金或其他金融资产的方式结算的义务时发生资金短缺的风险。本公司下属成员企业各自负责其现金流量预测。公司财务部门基于各成员企业的现金流量预测结果，在公司层面持续监控公司短期和长期的资金需求，以确保维持充裕的现金储备；同时持续监控是否符合借款协议的规定，从主要金融机构获得提供足够备用资金的承诺，以满足短期和长期的资金需求。此外，本公司与主要业务往来银行订立融资额度授信协议，为本公司履行与商业票据相关的义务提供支持。截止</w:t>
          </w:r>
          <w:r>
            <w:rPr>
              <w:rStyle w:val="Char10"/>
            </w:rPr>
            <w:t>2023</w:t>
          </w:r>
          <w:r>
            <w:rPr>
              <w:rStyle w:val="Char10"/>
            </w:rPr>
            <w:t>年</w:t>
          </w:r>
          <w:r>
            <w:rPr>
              <w:rStyle w:val="Char10"/>
            </w:rPr>
            <w:t>12</w:t>
          </w:r>
          <w:r>
            <w:rPr>
              <w:rStyle w:val="Char10"/>
            </w:rPr>
            <w:t>月</w:t>
          </w:r>
          <w:r>
            <w:rPr>
              <w:rStyle w:val="Char10"/>
            </w:rPr>
            <w:t>31</w:t>
          </w:r>
          <w:r>
            <w:rPr>
              <w:rStyle w:val="Char10"/>
            </w:rPr>
            <w:t>日，本公司已拥有国内多家银行提供的银行授信额度，金额</w:t>
          </w:r>
          <w:r>
            <w:rPr>
              <w:rStyle w:val="Char10"/>
            </w:rPr>
            <w:t>378</w:t>
          </w:r>
          <w:r>
            <w:rPr>
              <w:rStyle w:val="Char10"/>
              <w:rFonts w:hint="eastAsia"/>
            </w:rPr>
            <w:t>,</w:t>
          </w:r>
          <w:r>
            <w:rPr>
              <w:rStyle w:val="Char10"/>
            </w:rPr>
            <w:t>693.00</w:t>
          </w:r>
          <w:r>
            <w:rPr>
              <w:rStyle w:val="Char10"/>
            </w:rPr>
            <w:t>万元，其中：已使用授信金额为</w:t>
          </w:r>
          <w:r>
            <w:rPr>
              <w:rStyle w:val="Char10"/>
            </w:rPr>
            <w:t>162,910.14</w:t>
          </w:r>
          <w:r>
            <w:rPr>
              <w:rStyle w:val="Char10"/>
            </w:rPr>
            <w:t>万元。</w:t>
          </w:r>
        </w:p>
        <w:p w:rsidR="004A3868" w:rsidRDefault="003F1AB5">
          <w:pPr>
            <w:pStyle w:val="Style1213"/>
            <w:ind w:firstLine="420"/>
            <w:rPr>
              <w:rStyle w:val="Char10"/>
            </w:rPr>
          </w:pPr>
          <w:r>
            <w:rPr>
              <w:rStyle w:val="Char10"/>
              <w:rFonts w:hint="eastAsia"/>
            </w:rPr>
            <w:t>截止</w:t>
          </w:r>
          <w:r>
            <w:rPr>
              <w:rStyle w:val="Char10"/>
            </w:rPr>
            <w:t>2023</w:t>
          </w:r>
          <w:r>
            <w:rPr>
              <w:rStyle w:val="Char10"/>
            </w:rPr>
            <w:t>年</w:t>
          </w:r>
          <w:r>
            <w:rPr>
              <w:rStyle w:val="Char10"/>
            </w:rPr>
            <w:t>12</w:t>
          </w:r>
          <w:r>
            <w:rPr>
              <w:rStyle w:val="Char10"/>
            </w:rPr>
            <w:t>月</w:t>
          </w:r>
          <w:r>
            <w:rPr>
              <w:rStyle w:val="Char10"/>
            </w:rPr>
            <w:t>31</w:t>
          </w:r>
          <w:r>
            <w:rPr>
              <w:rStyle w:val="Char10"/>
            </w:rPr>
            <w:t>日，本公司金融负债和表外担保项目以未折现的合同现金流量按合同剩余期限列示如下：</w:t>
          </w:r>
        </w:p>
        <w:tbl>
          <w:tblPr>
            <w:tblStyle w:val="g33"/>
            <w:tblW w:w="5000" w:type="pct"/>
            <w:jc w:val="center"/>
            <w:tblInd w:w="0" w:type="dxa"/>
            <w:tblLayout w:type="fixed"/>
            <w:tblCellMar>
              <w:right w:w="28" w:type="dxa"/>
            </w:tblCellMar>
            <w:tblLook w:val="04A0" w:firstRow="1" w:lastRow="0" w:firstColumn="1" w:lastColumn="0" w:noHBand="0" w:noVBand="1"/>
          </w:tblPr>
          <w:tblGrid>
            <w:gridCol w:w="2205"/>
            <w:gridCol w:w="2206"/>
            <w:gridCol w:w="2206"/>
            <w:gridCol w:w="2206"/>
          </w:tblGrid>
          <w:tr w:rsidR="004A3868">
            <w:trPr>
              <w:trHeight w:val="397"/>
              <w:jc w:val="center"/>
            </w:trPr>
            <w:tc>
              <w:tcPr>
                <w:tcW w:w="2205" w:type="dxa"/>
                <w:vMerge w:val="restart"/>
                <w:vAlign w:val="center"/>
              </w:tcPr>
              <w:p w:rsidR="004A3868" w:rsidRDefault="003F1AB5">
                <w:pPr>
                  <w:pStyle w:val="Style1226"/>
                  <w:rPr>
                    <w:rStyle w:val="Char10"/>
                  </w:rPr>
                </w:pPr>
                <w:r>
                  <w:rPr>
                    <w:rStyle w:val="Char10"/>
                    <w:rFonts w:hint="eastAsia"/>
                  </w:rPr>
                  <w:t>项目</w:t>
                </w:r>
              </w:p>
            </w:tc>
            <w:tc>
              <w:tcPr>
                <w:tcW w:w="6618" w:type="dxa"/>
                <w:gridSpan w:val="3"/>
                <w:vAlign w:val="center"/>
              </w:tcPr>
              <w:p w:rsidR="004A3868" w:rsidRDefault="003F1AB5">
                <w:pPr>
                  <w:pStyle w:val="Style1226"/>
                  <w:rPr>
                    <w:rStyle w:val="Char10"/>
                  </w:rPr>
                </w:pPr>
                <w:r>
                  <w:rPr>
                    <w:rStyle w:val="Char10"/>
                    <w:rFonts w:hint="eastAsia"/>
                  </w:rPr>
                  <w:t>期末余额</w:t>
                </w:r>
              </w:p>
            </w:tc>
          </w:tr>
          <w:tr w:rsidR="004A3868">
            <w:trPr>
              <w:trHeight w:val="397"/>
              <w:jc w:val="center"/>
            </w:trPr>
            <w:tc>
              <w:tcPr>
                <w:tcW w:w="2205" w:type="dxa"/>
                <w:vMerge/>
                <w:vAlign w:val="center"/>
              </w:tcPr>
              <w:p w:rsidR="004A3868" w:rsidRDefault="004A3868">
                <w:pPr>
                  <w:pStyle w:val="Style1226"/>
                  <w:rPr>
                    <w:rStyle w:val="Char10"/>
                  </w:rPr>
                </w:pPr>
              </w:p>
            </w:tc>
            <w:tc>
              <w:tcPr>
                <w:tcW w:w="2206" w:type="dxa"/>
                <w:vAlign w:val="center"/>
              </w:tcPr>
              <w:p w:rsidR="004A3868" w:rsidRDefault="003F1AB5">
                <w:pPr>
                  <w:pStyle w:val="Style1226"/>
                  <w:rPr>
                    <w:rStyle w:val="Char10"/>
                  </w:rPr>
                </w:pPr>
                <w:r>
                  <w:rPr>
                    <w:rStyle w:val="Char10"/>
                  </w:rPr>
                  <w:t>1</w:t>
                </w:r>
                <w:r>
                  <w:rPr>
                    <w:rStyle w:val="Char10"/>
                  </w:rPr>
                  <w:t>年以内付款</w:t>
                </w:r>
              </w:p>
            </w:tc>
            <w:tc>
              <w:tcPr>
                <w:tcW w:w="2206" w:type="dxa"/>
                <w:vAlign w:val="center"/>
              </w:tcPr>
              <w:p w:rsidR="004A3868" w:rsidRDefault="003F1AB5">
                <w:pPr>
                  <w:pStyle w:val="Style1226"/>
                  <w:rPr>
                    <w:rStyle w:val="Char10"/>
                  </w:rPr>
                </w:pPr>
                <w:r>
                  <w:rPr>
                    <w:rStyle w:val="Char10"/>
                  </w:rPr>
                  <w:t>1</w:t>
                </w:r>
                <w:r>
                  <w:rPr>
                    <w:rStyle w:val="Char10"/>
                  </w:rPr>
                  <w:t>年以上</w:t>
                </w:r>
              </w:p>
            </w:tc>
            <w:tc>
              <w:tcPr>
                <w:tcW w:w="2206" w:type="dxa"/>
                <w:vAlign w:val="center"/>
              </w:tcPr>
              <w:p w:rsidR="004A3868" w:rsidRDefault="003F1AB5">
                <w:pPr>
                  <w:pStyle w:val="Style1226"/>
                  <w:rPr>
                    <w:rStyle w:val="Char10"/>
                  </w:rPr>
                </w:pPr>
                <w:r>
                  <w:rPr>
                    <w:rStyle w:val="Char10"/>
                  </w:rPr>
                  <w:t>合计</w:t>
                </w:r>
              </w:p>
            </w:tc>
          </w:tr>
          <w:tr w:rsidR="004A3868">
            <w:trPr>
              <w:trHeight w:val="397"/>
              <w:jc w:val="center"/>
            </w:trPr>
            <w:tc>
              <w:tcPr>
                <w:tcW w:w="2205" w:type="dxa"/>
                <w:vAlign w:val="center"/>
              </w:tcPr>
              <w:p w:rsidR="004A3868" w:rsidRDefault="003F1AB5">
                <w:pPr>
                  <w:pStyle w:val="Style1224"/>
                  <w:rPr>
                    <w:rStyle w:val="Char10"/>
                  </w:rPr>
                </w:pPr>
                <w:r>
                  <w:rPr>
                    <w:rStyle w:val="Char10"/>
                  </w:rPr>
                  <w:t>短期借款</w:t>
                </w:r>
              </w:p>
            </w:tc>
            <w:tc>
              <w:tcPr>
                <w:tcW w:w="2206" w:type="dxa"/>
                <w:vAlign w:val="center"/>
              </w:tcPr>
              <w:p w:rsidR="004A3868" w:rsidRDefault="003F1AB5">
                <w:pPr>
                  <w:pStyle w:val="Style1222"/>
                  <w:rPr>
                    <w:rStyle w:val="Char10"/>
                  </w:rPr>
                </w:pPr>
                <w:r>
                  <w:rPr>
                    <w:rStyle w:val="Char10"/>
                  </w:rPr>
                  <w:t>265,065,318.17</w:t>
                </w:r>
              </w:p>
            </w:tc>
            <w:tc>
              <w:tcPr>
                <w:tcW w:w="2206" w:type="dxa"/>
                <w:vAlign w:val="center"/>
              </w:tcPr>
              <w:p w:rsidR="004A3868" w:rsidRDefault="004A3868">
                <w:pPr>
                  <w:pStyle w:val="Style1222"/>
                  <w:rPr>
                    <w:rStyle w:val="Char10"/>
                  </w:rPr>
                </w:pPr>
              </w:p>
            </w:tc>
            <w:tc>
              <w:tcPr>
                <w:tcW w:w="2206" w:type="dxa"/>
                <w:vAlign w:val="center"/>
              </w:tcPr>
              <w:p w:rsidR="004A3868" w:rsidRDefault="003F1AB5">
                <w:pPr>
                  <w:pStyle w:val="Style1222"/>
                  <w:rPr>
                    <w:rStyle w:val="Char10"/>
                  </w:rPr>
                </w:pPr>
                <w:r>
                  <w:rPr>
                    <w:rStyle w:val="Char10"/>
                  </w:rPr>
                  <w:t>265,065,318.17</w:t>
                </w:r>
              </w:p>
            </w:tc>
          </w:tr>
          <w:tr w:rsidR="004A3868">
            <w:trPr>
              <w:trHeight w:val="397"/>
              <w:jc w:val="center"/>
            </w:trPr>
            <w:tc>
              <w:tcPr>
                <w:tcW w:w="2205" w:type="dxa"/>
                <w:vAlign w:val="center"/>
              </w:tcPr>
              <w:p w:rsidR="004A3868" w:rsidRDefault="003F1AB5">
                <w:pPr>
                  <w:pStyle w:val="Style1224"/>
                  <w:rPr>
                    <w:rStyle w:val="Char10"/>
                  </w:rPr>
                </w:pPr>
                <w:r>
                  <w:rPr>
                    <w:rStyle w:val="Char10"/>
                  </w:rPr>
                  <w:t>长期借款</w:t>
                </w:r>
              </w:p>
            </w:tc>
            <w:tc>
              <w:tcPr>
                <w:tcW w:w="2206" w:type="dxa"/>
                <w:vAlign w:val="center"/>
              </w:tcPr>
              <w:p w:rsidR="004A3868" w:rsidRDefault="003F1AB5">
                <w:pPr>
                  <w:pStyle w:val="Style1222"/>
                  <w:rPr>
                    <w:rStyle w:val="Char10"/>
                  </w:rPr>
                </w:pPr>
                <w:r>
                  <w:rPr>
                    <w:rStyle w:val="Char10"/>
                  </w:rPr>
                  <w:t>64,386,967.51</w:t>
                </w:r>
              </w:p>
            </w:tc>
            <w:tc>
              <w:tcPr>
                <w:tcW w:w="2206" w:type="dxa"/>
                <w:vAlign w:val="center"/>
              </w:tcPr>
              <w:p w:rsidR="004A3868" w:rsidRDefault="003F1AB5">
                <w:pPr>
                  <w:pStyle w:val="Style1222"/>
                  <w:rPr>
                    <w:rStyle w:val="Char10"/>
                  </w:rPr>
                </w:pPr>
                <w:r>
                  <w:rPr>
                    <w:rStyle w:val="Char10"/>
                  </w:rPr>
                  <w:t>682,890,574.36</w:t>
                </w:r>
              </w:p>
            </w:tc>
            <w:tc>
              <w:tcPr>
                <w:tcW w:w="2206" w:type="dxa"/>
                <w:vAlign w:val="center"/>
              </w:tcPr>
              <w:p w:rsidR="004A3868" w:rsidRDefault="003F1AB5">
                <w:pPr>
                  <w:pStyle w:val="Style1222"/>
                  <w:rPr>
                    <w:rStyle w:val="Char10"/>
                  </w:rPr>
                </w:pPr>
                <w:r>
                  <w:rPr>
                    <w:rStyle w:val="Char10"/>
                  </w:rPr>
                  <w:t>747,277,541.87</w:t>
                </w:r>
              </w:p>
            </w:tc>
          </w:tr>
          <w:tr w:rsidR="004A3868">
            <w:trPr>
              <w:trHeight w:val="397"/>
              <w:jc w:val="center"/>
            </w:trPr>
            <w:tc>
              <w:tcPr>
                <w:tcW w:w="2205" w:type="dxa"/>
                <w:vAlign w:val="center"/>
              </w:tcPr>
              <w:p w:rsidR="004A3868" w:rsidRDefault="003F1AB5">
                <w:pPr>
                  <w:pStyle w:val="Style1224"/>
                  <w:rPr>
                    <w:rStyle w:val="Char10"/>
                  </w:rPr>
                </w:pPr>
                <w:r>
                  <w:rPr>
                    <w:rStyle w:val="Char10"/>
                    <w:rFonts w:hint="eastAsia"/>
                  </w:rPr>
                  <w:t>应付票据</w:t>
                </w:r>
              </w:p>
            </w:tc>
            <w:tc>
              <w:tcPr>
                <w:tcW w:w="2206" w:type="dxa"/>
                <w:vAlign w:val="center"/>
              </w:tcPr>
              <w:p w:rsidR="004A3868" w:rsidRDefault="003F1AB5">
                <w:pPr>
                  <w:pStyle w:val="Style1222"/>
                  <w:rPr>
                    <w:rStyle w:val="Char10"/>
                  </w:rPr>
                </w:pPr>
                <w:r>
                  <w:rPr>
                    <w:rStyle w:val="Char10"/>
                  </w:rPr>
                  <w:t>539,910,353.67</w:t>
                </w:r>
              </w:p>
            </w:tc>
            <w:tc>
              <w:tcPr>
                <w:tcW w:w="2206" w:type="dxa"/>
                <w:vAlign w:val="center"/>
              </w:tcPr>
              <w:p w:rsidR="004A3868" w:rsidRDefault="004A3868">
                <w:pPr>
                  <w:pStyle w:val="Style1222"/>
                  <w:rPr>
                    <w:rStyle w:val="Char10"/>
                  </w:rPr>
                </w:pPr>
              </w:p>
            </w:tc>
            <w:tc>
              <w:tcPr>
                <w:tcW w:w="2206" w:type="dxa"/>
                <w:vAlign w:val="center"/>
              </w:tcPr>
              <w:p w:rsidR="004A3868" w:rsidRDefault="003F1AB5">
                <w:pPr>
                  <w:pStyle w:val="Style1222"/>
                  <w:rPr>
                    <w:rStyle w:val="Char10"/>
                  </w:rPr>
                </w:pPr>
                <w:r>
                  <w:rPr>
                    <w:rStyle w:val="Char10"/>
                  </w:rPr>
                  <w:t>539,910,353.67</w:t>
                </w:r>
              </w:p>
            </w:tc>
          </w:tr>
          <w:tr w:rsidR="004A3868">
            <w:trPr>
              <w:trHeight w:val="397"/>
              <w:jc w:val="center"/>
            </w:trPr>
            <w:tc>
              <w:tcPr>
                <w:tcW w:w="2205" w:type="dxa"/>
                <w:vAlign w:val="center"/>
              </w:tcPr>
              <w:p w:rsidR="004A3868" w:rsidRDefault="003F1AB5">
                <w:pPr>
                  <w:pStyle w:val="Style1224"/>
                  <w:rPr>
                    <w:rStyle w:val="Char10"/>
                  </w:rPr>
                </w:pPr>
                <w:r>
                  <w:rPr>
                    <w:rStyle w:val="Char10"/>
                    <w:rFonts w:hint="eastAsia"/>
                  </w:rPr>
                  <w:t>应付账款</w:t>
                </w:r>
              </w:p>
            </w:tc>
            <w:tc>
              <w:tcPr>
                <w:tcW w:w="2206" w:type="dxa"/>
                <w:vAlign w:val="center"/>
              </w:tcPr>
              <w:p w:rsidR="004A3868" w:rsidRDefault="003F1AB5">
                <w:pPr>
                  <w:pStyle w:val="Style1222"/>
                  <w:rPr>
                    <w:rStyle w:val="Char10"/>
                  </w:rPr>
                </w:pPr>
                <w:r>
                  <w:rPr>
                    <w:rStyle w:val="Char10"/>
                  </w:rPr>
                  <w:t>553,013,553.52</w:t>
                </w:r>
              </w:p>
            </w:tc>
            <w:tc>
              <w:tcPr>
                <w:tcW w:w="2206" w:type="dxa"/>
                <w:vAlign w:val="center"/>
              </w:tcPr>
              <w:p w:rsidR="004A3868" w:rsidRDefault="004A3868">
                <w:pPr>
                  <w:pStyle w:val="Style1222"/>
                  <w:rPr>
                    <w:rStyle w:val="Char10"/>
                  </w:rPr>
                </w:pPr>
              </w:p>
            </w:tc>
            <w:tc>
              <w:tcPr>
                <w:tcW w:w="2206" w:type="dxa"/>
                <w:vAlign w:val="center"/>
              </w:tcPr>
              <w:p w:rsidR="004A3868" w:rsidRDefault="003F1AB5">
                <w:pPr>
                  <w:pStyle w:val="Style1222"/>
                  <w:rPr>
                    <w:rStyle w:val="Char10"/>
                  </w:rPr>
                </w:pPr>
                <w:r>
                  <w:rPr>
                    <w:rStyle w:val="Char10"/>
                  </w:rPr>
                  <w:t>553,013,553.52</w:t>
                </w:r>
              </w:p>
            </w:tc>
          </w:tr>
          <w:tr w:rsidR="004A3868">
            <w:trPr>
              <w:trHeight w:val="397"/>
              <w:jc w:val="center"/>
            </w:trPr>
            <w:tc>
              <w:tcPr>
                <w:tcW w:w="2205" w:type="dxa"/>
                <w:vAlign w:val="center"/>
              </w:tcPr>
              <w:p w:rsidR="004A3868" w:rsidRDefault="003F1AB5">
                <w:pPr>
                  <w:pStyle w:val="Style1224"/>
                  <w:rPr>
                    <w:rStyle w:val="Char10"/>
                  </w:rPr>
                </w:pPr>
                <w:r>
                  <w:rPr>
                    <w:rStyle w:val="Char10"/>
                    <w:rFonts w:hint="eastAsia"/>
                  </w:rPr>
                  <w:t>其他应付款</w:t>
                </w:r>
              </w:p>
            </w:tc>
            <w:tc>
              <w:tcPr>
                <w:tcW w:w="2206" w:type="dxa"/>
                <w:vAlign w:val="center"/>
              </w:tcPr>
              <w:p w:rsidR="004A3868" w:rsidRDefault="003F1AB5">
                <w:pPr>
                  <w:pStyle w:val="Style1222"/>
                  <w:rPr>
                    <w:rStyle w:val="Char10"/>
                  </w:rPr>
                </w:pPr>
                <w:r>
                  <w:rPr>
                    <w:rStyle w:val="Char10"/>
                  </w:rPr>
                  <w:t>17,557,617.05</w:t>
                </w:r>
              </w:p>
            </w:tc>
            <w:tc>
              <w:tcPr>
                <w:tcW w:w="2206" w:type="dxa"/>
                <w:vAlign w:val="center"/>
              </w:tcPr>
              <w:p w:rsidR="004A3868" w:rsidRDefault="004A3868">
                <w:pPr>
                  <w:pStyle w:val="Style1222"/>
                  <w:rPr>
                    <w:rStyle w:val="Char10"/>
                  </w:rPr>
                </w:pPr>
              </w:p>
            </w:tc>
            <w:tc>
              <w:tcPr>
                <w:tcW w:w="2206" w:type="dxa"/>
                <w:vAlign w:val="center"/>
              </w:tcPr>
              <w:p w:rsidR="004A3868" w:rsidRDefault="003F1AB5">
                <w:pPr>
                  <w:pStyle w:val="Style1222"/>
                  <w:rPr>
                    <w:rStyle w:val="Char10"/>
                  </w:rPr>
                </w:pPr>
                <w:r>
                  <w:rPr>
                    <w:rStyle w:val="Char10"/>
                  </w:rPr>
                  <w:t>17,557,617.05</w:t>
                </w:r>
              </w:p>
            </w:tc>
          </w:tr>
          <w:tr w:rsidR="004A3868">
            <w:trPr>
              <w:trHeight w:val="397"/>
              <w:jc w:val="center"/>
            </w:trPr>
            <w:tc>
              <w:tcPr>
                <w:tcW w:w="2205" w:type="dxa"/>
                <w:vAlign w:val="center"/>
              </w:tcPr>
              <w:p w:rsidR="004A3868" w:rsidRDefault="003F1AB5">
                <w:pPr>
                  <w:pStyle w:val="Style1224"/>
                  <w:rPr>
                    <w:rStyle w:val="Char10"/>
                  </w:rPr>
                </w:pPr>
                <w:r>
                  <w:rPr>
                    <w:rStyle w:val="Char10"/>
                    <w:rFonts w:hint="eastAsia"/>
                  </w:rPr>
                  <w:t>其他流动负债</w:t>
                </w:r>
              </w:p>
            </w:tc>
            <w:tc>
              <w:tcPr>
                <w:tcW w:w="2206" w:type="dxa"/>
                <w:vAlign w:val="center"/>
              </w:tcPr>
              <w:p w:rsidR="004A3868" w:rsidRDefault="003F1AB5">
                <w:pPr>
                  <w:pStyle w:val="Style1222"/>
                  <w:rPr>
                    <w:rStyle w:val="Char10"/>
                  </w:rPr>
                </w:pPr>
                <w:r>
                  <w:rPr>
                    <w:rStyle w:val="Char10"/>
                  </w:rPr>
                  <w:t>137,846,607.49</w:t>
                </w:r>
              </w:p>
            </w:tc>
            <w:tc>
              <w:tcPr>
                <w:tcW w:w="2206" w:type="dxa"/>
                <w:vAlign w:val="center"/>
              </w:tcPr>
              <w:p w:rsidR="004A3868" w:rsidRDefault="004A3868">
                <w:pPr>
                  <w:pStyle w:val="Style1222"/>
                  <w:rPr>
                    <w:rStyle w:val="Char10"/>
                  </w:rPr>
                </w:pPr>
              </w:p>
            </w:tc>
            <w:tc>
              <w:tcPr>
                <w:tcW w:w="2206" w:type="dxa"/>
                <w:vAlign w:val="center"/>
              </w:tcPr>
              <w:p w:rsidR="004A3868" w:rsidRDefault="003F1AB5">
                <w:pPr>
                  <w:pStyle w:val="Style1222"/>
                  <w:rPr>
                    <w:rStyle w:val="Char10"/>
                  </w:rPr>
                </w:pPr>
                <w:r>
                  <w:rPr>
                    <w:rStyle w:val="Char10"/>
                  </w:rPr>
                  <w:t>137,846,607.49</w:t>
                </w:r>
              </w:p>
            </w:tc>
          </w:tr>
          <w:tr w:rsidR="004A3868">
            <w:trPr>
              <w:trHeight w:val="397"/>
              <w:jc w:val="center"/>
            </w:trPr>
            <w:tc>
              <w:tcPr>
                <w:tcW w:w="2205" w:type="dxa"/>
                <w:vAlign w:val="center"/>
              </w:tcPr>
              <w:p w:rsidR="004A3868" w:rsidRDefault="003F1AB5">
                <w:pPr>
                  <w:pStyle w:val="Style1224"/>
                  <w:rPr>
                    <w:rStyle w:val="Char10"/>
                  </w:rPr>
                </w:pPr>
                <w:r>
                  <w:rPr>
                    <w:rStyle w:val="Char10"/>
                  </w:rPr>
                  <w:t>合计</w:t>
                </w:r>
              </w:p>
            </w:tc>
            <w:tc>
              <w:tcPr>
                <w:tcW w:w="2206" w:type="dxa"/>
                <w:vAlign w:val="center"/>
              </w:tcPr>
              <w:p w:rsidR="004A3868" w:rsidRDefault="003F1AB5">
                <w:pPr>
                  <w:pStyle w:val="Style1222"/>
                  <w:rPr>
                    <w:rStyle w:val="Char10"/>
                  </w:rPr>
                </w:pPr>
                <w:r>
                  <w:rPr>
                    <w:rStyle w:val="Char10"/>
                  </w:rPr>
                  <w:t>1,577,780,417.41</w:t>
                </w:r>
              </w:p>
            </w:tc>
            <w:tc>
              <w:tcPr>
                <w:tcW w:w="2206" w:type="dxa"/>
                <w:vAlign w:val="center"/>
              </w:tcPr>
              <w:p w:rsidR="004A3868" w:rsidRDefault="003F1AB5">
                <w:pPr>
                  <w:pStyle w:val="Style1222"/>
                  <w:rPr>
                    <w:rStyle w:val="Char10"/>
                  </w:rPr>
                </w:pPr>
                <w:r>
                  <w:rPr>
                    <w:rStyle w:val="Char10"/>
                  </w:rPr>
                  <w:t>682,890,574.36</w:t>
                </w:r>
              </w:p>
            </w:tc>
            <w:tc>
              <w:tcPr>
                <w:tcW w:w="2206" w:type="dxa"/>
                <w:vAlign w:val="center"/>
              </w:tcPr>
              <w:p w:rsidR="004A3868" w:rsidRDefault="003F1AB5">
                <w:pPr>
                  <w:pStyle w:val="Style1222"/>
                  <w:rPr>
                    <w:rStyle w:val="Char10"/>
                  </w:rPr>
                </w:pPr>
                <w:r>
                  <w:rPr>
                    <w:rStyle w:val="Char10"/>
                  </w:rPr>
                  <w:t>2,260,670,991.77</w:t>
                </w:r>
              </w:p>
            </w:tc>
          </w:tr>
        </w:tbl>
        <w:p w:rsidR="004A3868" w:rsidRDefault="003F1AB5">
          <w:pPr>
            <w:pStyle w:val="Style1213"/>
            <w:ind w:firstLine="420"/>
            <w:rPr>
              <w:rStyle w:val="Char10"/>
            </w:rPr>
          </w:pPr>
          <w:r>
            <w:rPr>
              <w:rStyle w:val="Char10"/>
              <w:rFonts w:hint="eastAsia"/>
            </w:rPr>
            <w:t>（</w:t>
          </w:r>
          <w:r>
            <w:rPr>
              <w:rStyle w:val="Char10"/>
              <w:rFonts w:hint="eastAsia"/>
            </w:rPr>
            <w:t>3</w:t>
          </w:r>
          <w:r>
            <w:rPr>
              <w:rStyle w:val="Char10"/>
              <w:rFonts w:hint="eastAsia"/>
            </w:rPr>
            <w:t>）市场风险</w:t>
          </w:r>
        </w:p>
        <w:p w:rsidR="004A3868" w:rsidRDefault="003F1AB5">
          <w:pPr>
            <w:pStyle w:val="Style1213"/>
            <w:ind w:firstLine="420"/>
            <w:rPr>
              <w:rStyle w:val="Char10"/>
            </w:rPr>
          </w:pPr>
          <w:r>
            <w:rPr>
              <w:rStyle w:val="Char10"/>
              <w:rFonts w:hint="eastAsia"/>
            </w:rPr>
            <w:t>1</w:t>
          </w:r>
          <w:r>
            <w:rPr>
              <w:rStyle w:val="Char10"/>
              <w:rFonts w:hint="eastAsia"/>
            </w:rPr>
            <w:t>）</w:t>
          </w:r>
          <w:r>
            <w:rPr>
              <w:rStyle w:val="Char10"/>
            </w:rPr>
            <w:t>汇率风险</w:t>
          </w:r>
        </w:p>
        <w:p w:rsidR="004A3868" w:rsidRDefault="003F1AB5">
          <w:pPr>
            <w:pStyle w:val="Style1213"/>
            <w:ind w:firstLine="420"/>
            <w:rPr>
              <w:rStyle w:val="Char10"/>
            </w:rPr>
          </w:pPr>
          <w:r>
            <w:rPr>
              <w:rStyle w:val="Char10"/>
              <w:rFonts w:hint="eastAsia"/>
            </w:rPr>
            <w:t>本公司的主要经营位于中国境内，主要业务以人民币结算。但本公司已确认的外币资产和负债及未来的外币交易（外币资产和负债及外币交易的计价货币主要为美元和欧元）依然存在汇率</w:t>
          </w:r>
          <w:r>
            <w:rPr>
              <w:rStyle w:val="Char10"/>
              <w:rFonts w:hint="eastAsia"/>
            </w:rPr>
            <w:lastRenderedPageBreak/>
            <w:t>风险。本公司财务部门负责监控公司外币交易和外币资产及负债的规模，以最大程度降低面临的汇率风险。</w:t>
          </w:r>
        </w:p>
        <w:p w:rsidR="004A3868" w:rsidRDefault="003F1AB5">
          <w:pPr>
            <w:pStyle w:val="Style1213"/>
            <w:ind w:firstLine="420"/>
            <w:rPr>
              <w:rStyle w:val="Char10"/>
            </w:rPr>
          </w:pPr>
          <w:r>
            <w:rPr>
              <w:rStyle w:val="Char10"/>
              <w:rFonts w:hint="eastAsia"/>
            </w:rPr>
            <w:t>①</w:t>
          </w:r>
          <w:r>
            <w:rPr>
              <w:rStyle w:val="Char10"/>
            </w:rPr>
            <w:t>本年度公司未签署任何远期外汇合约或货币互换合约。</w:t>
          </w:r>
        </w:p>
        <w:p w:rsidR="004A3868" w:rsidRDefault="003F1AB5">
          <w:pPr>
            <w:pStyle w:val="Style1213"/>
            <w:ind w:firstLine="420"/>
            <w:rPr>
              <w:rStyle w:val="Char10"/>
            </w:rPr>
          </w:pPr>
          <w:r>
            <w:rPr>
              <w:rStyle w:val="Char10"/>
              <w:rFonts w:hint="eastAsia"/>
            </w:rPr>
            <w:t>②</w:t>
          </w:r>
          <w:r>
            <w:rPr>
              <w:rStyle w:val="Char10"/>
            </w:rPr>
            <w:t>截止</w:t>
          </w:r>
          <w:r>
            <w:rPr>
              <w:rStyle w:val="Char10"/>
            </w:rPr>
            <w:t>2023</w:t>
          </w:r>
          <w:r>
            <w:rPr>
              <w:rStyle w:val="Char10"/>
            </w:rPr>
            <w:t>年</w:t>
          </w:r>
          <w:r>
            <w:rPr>
              <w:rStyle w:val="Char10"/>
            </w:rPr>
            <w:t>12</w:t>
          </w:r>
          <w:r>
            <w:rPr>
              <w:rStyle w:val="Char10"/>
            </w:rPr>
            <w:t>月</w:t>
          </w:r>
          <w:r>
            <w:rPr>
              <w:rStyle w:val="Char10"/>
            </w:rPr>
            <w:t>31</w:t>
          </w:r>
          <w:r>
            <w:rPr>
              <w:rStyle w:val="Char10"/>
            </w:rPr>
            <w:t>日，本公司持有的外币金融资产和外币金融负债折算成人民币的金额列示如下：</w:t>
          </w:r>
        </w:p>
        <w:tbl>
          <w:tblPr>
            <w:tblStyle w:val="g33"/>
            <w:tblW w:w="5000" w:type="pct"/>
            <w:jc w:val="center"/>
            <w:tblInd w:w="0" w:type="dxa"/>
            <w:tblLayout w:type="fixed"/>
            <w:tblCellMar>
              <w:right w:w="28" w:type="dxa"/>
            </w:tblCellMar>
            <w:tblLook w:val="04A0" w:firstRow="1" w:lastRow="0" w:firstColumn="1" w:lastColumn="0" w:noHBand="0" w:noVBand="1"/>
          </w:tblPr>
          <w:tblGrid>
            <w:gridCol w:w="2206"/>
            <w:gridCol w:w="2205"/>
            <w:gridCol w:w="2206"/>
            <w:gridCol w:w="2206"/>
          </w:tblGrid>
          <w:tr w:rsidR="004A3868">
            <w:trPr>
              <w:trHeight w:val="397"/>
              <w:jc w:val="center"/>
            </w:trPr>
            <w:tc>
              <w:tcPr>
                <w:tcW w:w="2205" w:type="dxa"/>
                <w:vMerge w:val="restart"/>
                <w:vAlign w:val="center"/>
              </w:tcPr>
              <w:p w:rsidR="004A3868" w:rsidRDefault="003F1AB5">
                <w:pPr>
                  <w:pStyle w:val="Style1226"/>
                  <w:rPr>
                    <w:rStyle w:val="Char10"/>
                  </w:rPr>
                </w:pPr>
                <w:r>
                  <w:rPr>
                    <w:rStyle w:val="Char10"/>
                    <w:rFonts w:hint="eastAsia"/>
                  </w:rPr>
                  <w:t>项目</w:t>
                </w:r>
              </w:p>
            </w:tc>
            <w:tc>
              <w:tcPr>
                <w:tcW w:w="6617" w:type="dxa"/>
                <w:gridSpan w:val="3"/>
                <w:vAlign w:val="center"/>
              </w:tcPr>
              <w:p w:rsidR="004A3868" w:rsidRDefault="003F1AB5">
                <w:pPr>
                  <w:pStyle w:val="Style1226"/>
                  <w:rPr>
                    <w:rStyle w:val="Char10"/>
                  </w:rPr>
                </w:pPr>
                <w:r>
                  <w:rPr>
                    <w:rStyle w:val="Char10"/>
                    <w:rFonts w:hint="eastAsia"/>
                  </w:rPr>
                  <w:t>期末项目</w:t>
                </w:r>
              </w:p>
            </w:tc>
          </w:tr>
          <w:tr w:rsidR="004A3868">
            <w:trPr>
              <w:trHeight w:val="397"/>
              <w:jc w:val="center"/>
            </w:trPr>
            <w:tc>
              <w:tcPr>
                <w:tcW w:w="2205" w:type="dxa"/>
                <w:vMerge/>
                <w:vAlign w:val="center"/>
              </w:tcPr>
              <w:p w:rsidR="004A3868" w:rsidRDefault="004A3868">
                <w:pPr>
                  <w:pStyle w:val="Style1226"/>
                  <w:rPr>
                    <w:rStyle w:val="Char10"/>
                  </w:rPr>
                </w:pPr>
              </w:p>
            </w:tc>
            <w:tc>
              <w:tcPr>
                <w:tcW w:w="2205" w:type="dxa"/>
                <w:vAlign w:val="center"/>
              </w:tcPr>
              <w:p w:rsidR="004A3868" w:rsidRDefault="003F1AB5">
                <w:pPr>
                  <w:pStyle w:val="Style1226"/>
                  <w:rPr>
                    <w:rStyle w:val="Char10"/>
                  </w:rPr>
                </w:pPr>
                <w:r>
                  <w:rPr>
                    <w:rStyle w:val="Char10"/>
                  </w:rPr>
                  <w:t>美元项目</w:t>
                </w:r>
              </w:p>
            </w:tc>
            <w:tc>
              <w:tcPr>
                <w:tcW w:w="2206" w:type="dxa"/>
                <w:vAlign w:val="center"/>
              </w:tcPr>
              <w:p w:rsidR="004A3868" w:rsidRDefault="003F1AB5">
                <w:pPr>
                  <w:pStyle w:val="Style1226"/>
                  <w:rPr>
                    <w:rStyle w:val="Char10"/>
                  </w:rPr>
                </w:pPr>
                <w:r>
                  <w:rPr>
                    <w:rStyle w:val="Char10"/>
                  </w:rPr>
                  <w:t>欧元项目</w:t>
                </w:r>
              </w:p>
            </w:tc>
            <w:tc>
              <w:tcPr>
                <w:tcW w:w="2206" w:type="dxa"/>
                <w:vAlign w:val="center"/>
              </w:tcPr>
              <w:p w:rsidR="004A3868" w:rsidRDefault="003F1AB5">
                <w:pPr>
                  <w:pStyle w:val="Style1226"/>
                  <w:rPr>
                    <w:rStyle w:val="Char10"/>
                  </w:rPr>
                </w:pPr>
                <w:r>
                  <w:rPr>
                    <w:rStyle w:val="Char10"/>
                  </w:rPr>
                  <w:t>合计</w:t>
                </w:r>
              </w:p>
            </w:tc>
          </w:tr>
          <w:tr w:rsidR="004A3868">
            <w:trPr>
              <w:trHeight w:val="397"/>
              <w:jc w:val="center"/>
            </w:trPr>
            <w:tc>
              <w:tcPr>
                <w:tcW w:w="2205" w:type="dxa"/>
              </w:tcPr>
              <w:p w:rsidR="004A3868" w:rsidRDefault="003F1AB5">
                <w:pPr>
                  <w:pStyle w:val="Style1224"/>
                  <w:rPr>
                    <w:rStyle w:val="Char10"/>
                  </w:rPr>
                </w:pPr>
                <w:r>
                  <w:rPr>
                    <w:rStyle w:val="Char10"/>
                  </w:rPr>
                  <w:t>外币金融资产：</w:t>
                </w:r>
              </w:p>
            </w:tc>
            <w:tc>
              <w:tcPr>
                <w:tcW w:w="2205" w:type="dxa"/>
              </w:tcPr>
              <w:p w:rsidR="004A3868" w:rsidRDefault="003F1AB5">
                <w:pPr>
                  <w:pStyle w:val="Style853"/>
                  <w:rPr>
                    <w:rStyle w:val="Char10"/>
                  </w:rPr>
                </w:pPr>
                <w:r>
                  <w:rPr>
                    <w:rStyle w:val="Char10"/>
                  </w:rPr>
                  <w:t> </w:t>
                </w:r>
              </w:p>
            </w:tc>
            <w:tc>
              <w:tcPr>
                <w:tcW w:w="2206" w:type="dxa"/>
              </w:tcPr>
              <w:p w:rsidR="004A3868" w:rsidRDefault="003F1AB5">
                <w:pPr>
                  <w:pStyle w:val="Style853"/>
                  <w:rPr>
                    <w:rStyle w:val="Char10"/>
                  </w:rPr>
                </w:pPr>
                <w:r>
                  <w:rPr>
                    <w:rStyle w:val="Char10"/>
                  </w:rPr>
                  <w:t> </w:t>
                </w:r>
              </w:p>
            </w:tc>
            <w:tc>
              <w:tcPr>
                <w:tcW w:w="2206" w:type="dxa"/>
              </w:tcPr>
              <w:p w:rsidR="004A3868" w:rsidRDefault="003F1AB5">
                <w:pPr>
                  <w:pStyle w:val="Style853"/>
                  <w:rPr>
                    <w:rStyle w:val="Char10"/>
                  </w:rPr>
                </w:pPr>
                <w:r>
                  <w:rPr>
                    <w:rStyle w:val="Char10"/>
                  </w:rPr>
                  <w:t> </w:t>
                </w:r>
              </w:p>
            </w:tc>
          </w:tr>
          <w:tr w:rsidR="004A3868">
            <w:trPr>
              <w:trHeight w:val="397"/>
              <w:jc w:val="center"/>
            </w:trPr>
            <w:tc>
              <w:tcPr>
                <w:tcW w:w="2205" w:type="dxa"/>
              </w:tcPr>
              <w:p w:rsidR="004A3868" w:rsidRDefault="003F1AB5">
                <w:pPr>
                  <w:pStyle w:val="Style1224"/>
                  <w:rPr>
                    <w:rStyle w:val="Char10"/>
                  </w:rPr>
                </w:pPr>
                <w:r>
                  <w:rPr>
                    <w:rStyle w:val="Char10"/>
                  </w:rPr>
                  <w:t>货币资金</w:t>
                </w:r>
              </w:p>
            </w:tc>
            <w:tc>
              <w:tcPr>
                <w:tcW w:w="2205" w:type="dxa"/>
                <w:vAlign w:val="center"/>
              </w:tcPr>
              <w:p w:rsidR="004A3868" w:rsidRDefault="003F1AB5">
                <w:pPr>
                  <w:pStyle w:val="Style1222"/>
                  <w:rPr>
                    <w:rStyle w:val="Char10"/>
                  </w:rPr>
                </w:pPr>
                <w:r>
                  <w:rPr>
                    <w:rStyle w:val="Char10"/>
                  </w:rPr>
                  <w:t>18,462,350.64</w:t>
                </w:r>
              </w:p>
            </w:tc>
            <w:tc>
              <w:tcPr>
                <w:tcW w:w="2206" w:type="dxa"/>
                <w:vAlign w:val="center"/>
              </w:tcPr>
              <w:p w:rsidR="004A3868" w:rsidRDefault="004A3868">
                <w:pPr>
                  <w:pStyle w:val="Style1222"/>
                  <w:rPr>
                    <w:rStyle w:val="Char10"/>
                  </w:rPr>
                </w:pPr>
              </w:p>
            </w:tc>
            <w:tc>
              <w:tcPr>
                <w:tcW w:w="2206" w:type="dxa"/>
              </w:tcPr>
              <w:p w:rsidR="004A3868" w:rsidRDefault="003F1AB5">
                <w:pPr>
                  <w:pStyle w:val="Style1222"/>
                  <w:rPr>
                    <w:rStyle w:val="Char10"/>
                  </w:rPr>
                </w:pPr>
                <w:r>
                  <w:rPr>
                    <w:rStyle w:val="Char10"/>
                  </w:rPr>
                  <w:t>18,462,350.64</w:t>
                </w:r>
              </w:p>
            </w:tc>
          </w:tr>
          <w:tr w:rsidR="004A3868">
            <w:trPr>
              <w:trHeight w:val="397"/>
              <w:jc w:val="center"/>
            </w:trPr>
            <w:tc>
              <w:tcPr>
                <w:tcW w:w="2205" w:type="dxa"/>
              </w:tcPr>
              <w:p w:rsidR="004A3868" w:rsidRDefault="003F1AB5">
                <w:pPr>
                  <w:pStyle w:val="Style1224"/>
                  <w:rPr>
                    <w:rStyle w:val="Char10"/>
                  </w:rPr>
                </w:pPr>
                <w:r>
                  <w:rPr>
                    <w:rStyle w:val="Char10"/>
                  </w:rPr>
                  <w:t>应收账款</w:t>
                </w:r>
              </w:p>
            </w:tc>
            <w:tc>
              <w:tcPr>
                <w:tcW w:w="2205" w:type="dxa"/>
                <w:vAlign w:val="center"/>
              </w:tcPr>
              <w:p w:rsidR="004A3868" w:rsidRDefault="003F1AB5">
                <w:pPr>
                  <w:pStyle w:val="Style1222"/>
                  <w:rPr>
                    <w:rStyle w:val="Char10"/>
                  </w:rPr>
                </w:pPr>
                <w:r>
                  <w:rPr>
                    <w:rStyle w:val="Char10"/>
                  </w:rPr>
                  <w:t>36,332,872.27</w:t>
                </w:r>
              </w:p>
            </w:tc>
            <w:tc>
              <w:tcPr>
                <w:tcW w:w="2206" w:type="dxa"/>
                <w:vAlign w:val="center"/>
              </w:tcPr>
              <w:p w:rsidR="004A3868" w:rsidRDefault="004A3868">
                <w:pPr>
                  <w:pStyle w:val="Style1222"/>
                  <w:rPr>
                    <w:rStyle w:val="Char10"/>
                  </w:rPr>
                </w:pPr>
              </w:p>
            </w:tc>
            <w:tc>
              <w:tcPr>
                <w:tcW w:w="2206" w:type="dxa"/>
              </w:tcPr>
              <w:p w:rsidR="004A3868" w:rsidRDefault="003F1AB5">
                <w:pPr>
                  <w:pStyle w:val="Style1222"/>
                  <w:rPr>
                    <w:rStyle w:val="Char10"/>
                  </w:rPr>
                </w:pPr>
                <w:r>
                  <w:rPr>
                    <w:rStyle w:val="Char10"/>
                  </w:rPr>
                  <w:t>36,332,872.27</w:t>
                </w:r>
              </w:p>
            </w:tc>
          </w:tr>
          <w:tr w:rsidR="004A3868">
            <w:trPr>
              <w:trHeight w:val="397"/>
              <w:jc w:val="center"/>
            </w:trPr>
            <w:tc>
              <w:tcPr>
                <w:tcW w:w="2205" w:type="dxa"/>
              </w:tcPr>
              <w:p w:rsidR="004A3868" w:rsidRDefault="003F1AB5">
                <w:pPr>
                  <w:pStyle w:val="Style1224"/>
                  <w:rPr>
                    <w:rStyle w:val="Char10"/>
                  </w:rPr>
                </w:pPr>
                <w:r>
                  <w:rPr>
                    <w:rStyle w:val="Char10"/>
                  </w:rPr>
                  <w:t>小计</w:t>
                </w:r>
              </w:p>
            </w:tc>
            <w:tc>
              <w:tcPr>
                <w:tcW w:w="2205" w:type="dxa"/>
                <w:vAlign w:val="center"/>
              </w:tcPr>
              <w:p w:rsidR="004A3868" w:rsidRDefault="003F1AB5">
                <w:pPr>
                  <w:pStyle w:val="Style1222"/>
                  <w:rPr>
                    <w:rStyle w:val="Char10"/>
                  </w:rPr>
                </w:pPr>
                <w:r>
                  <w:rPr>
                    <w:rStyle w:val="Char10"/>
                  </w:rPr>
                  <w:t>54,795,222.91</w:t>
                </w:r>
              </w:p>
            </w:tc>
            <w:tc>
              <w:tcPr>
                <w:tcW w:w="2206" w:type="dxa"/>
                <w:vAlign w:val="center"/>
              </w:tcPr>
              <w:p w:rsidR="004A3868" w:rsidRDefault="004A3868">
                <w:pPr>
                  <w:pStyle w:val="Style1222"/>
                  <w:rPr>
                    <w:rStyle w:val="Char10"/>
                  </w:rPr>
                </w:pPr>
              </w:p>
            </w:tc>
            <w:tc>
              <w:tcPr>
                <w:tcW w:w="2206" w:type="dxa"/>
              </w:tcPr>
              <w:p w:rsidR="004A3868" w:rsidRDefault="003F1AB5">
                <w:pPr>
                  <w:pStyle w:val="Style1222"/>
                  <w:rPr>
                    <w:rStyle w:val="Char10"/>
                  </w:rPr>
                </w:pPr>
                <w:r>
                  <w:rPr>
                    <w:rStyle w:val="Char10"/>
                  </w:rPr>
                  <w:t>54,795,222.91</w:t>
                </w:r>
              </w:p>
            </w:tc>
          </w:tr>
          <w:tr w:rsidR="004A3868">
            <w:trPr>
              <w:trHeight w:val="397"/>
              <w:jc w:val="center"/>
            </w:trPr>
            <w:tc>
              <w:tcPr>
                <w:tcW w:w="2205" w:type="dxa"/>
              </w:tcPr>
              <w:p w:rsidR="004A3868" w:rsidRDefault="003F1AB5">
                <w:pPr>
                  <w:pStyle w:val="Style1224"/>
                  <w:rPr>
                    <w:rStyle w:val="Char10"/>
                  </w:rPr>
                </w:pPr>
                <w:r>
                  <w:rPr>
                    <w:rStyle w:val="Char10"/>
                  </w:rPr>
                  <w:t>外币金融负债：</w:t>
                </w:r>
              </w:p>
            </w:tc>
            <w:tc>
              <w:tcPr>
                <w:tcW w:w="2205" w:type="dxa"/>
                <w:vAlign w:val="center"/>
              </w:tcPr>
              <w:p w:rsidR="004A3868" w:rsidRDefault="003F1AB5">
                <w:pPr>
                  <w:pStyle w:val="Style1222"/>
                  <w:rPr>
                    <w:rStyle w:val="Char10"/>
                  </w:rPr>
                </w:pPr>
                <w:r>
                  <w:rPr>
                    <w:rStyle w:val="Char10"/>
                  </w:rPr>
                  <w:t> </w:t>
                </w:r>
              </w:p>
            </w:tc>
            <w:tc>
              <w:tcPr>
                <w:tcW w:w="2206" w:type="dxa"/>
                <w:vAlign w:val="center"/>
              </w:tcPr>
              <w:p w:rsidR="004A3868" w:rsidRDefault="003F1AB5">
                <w:pPr>
                  <w:pStyle w:val="Style1222"/>
                  <w:rPr>
                    <w:rStyle w:val="Char10"/>
                  </w:rPr>
                </w:pPr>
                <w:r>
                  <w:rPr>
                    <w:rStyle w:val="Char10"/>
                  </w:rPr>
                  <w:t> </w:t>
                </w:r>
              </w:p>
            </w:tc>
            <w:tc>
              <w:tcPr>
                <w:tcW w:w="2206" w:type="dxa"/>
                <w:vAlign w:val="center"/>
              </w:tcPr>
              <w:p w:rsidR="004A3868" w:rsidRDefault="003F1AB5">
                <w:pPr>
                  <w:pStyle w:val="Style1222"/>
                  <w:rPr>
                    <w:rStyle w:val="Char10"/>
                  </w:rPr>
                </w:pPr>
                <w:r>
                  <w:rPr>
                    <w:rStyle w:val="Char10"/>
                  </w:rPr>
                  <w:t> </w:t>
                </w:r>
              </w:p>
            </w:tc>
          </w:tr>
          <w:tr w:rsidR="004A3868">
            <w:trPr>
              <w:trHeight w:val="397"/>
              <w:jc w:val="center"/>
            </w:trPr>
            <w:tc>
              <w:tcPr>
                <w:tcW w:w="2205" w:type="dxa"/>
              </w:tcPr>
              <w:p w:rsidR="004A3868" w:rsidRDefault="003F1AB5">
                <w:pPr>
                  <w:pStyle w:val="Style1224"/>
                  <w:rPr>
                    <w:rStyle w:val="Char10"/>
                  </w:rPr>
                </w:pPr>
                <w:r>
                  <w:rPr>
                    <w:rStyle w:val="Char10"/>
                  </w:rPr>
                  <w:t>应付账款</w:t>
                </w:r>
              </w:p>
            </w:tc>
            <w:tc>
              <w:tcPr>
                <w:tcW w:w="2205" w:type="dxa"/>
                <w:vAlign w:val="center"/>
              </w:tcPr>
              <w:p w:rsidR="004A3868" w:rsidRDefault="003F1AB5">
                <w:pPr>
                  <w:pStyle w:val="Style1222"/>
                  <w:rPr>
                    <w:rStyle w:val="Char10"/>
                  </w:rPr>
                </w:pPr>
                <w:r>
                  <w:rPr>
                    <w:rStyle w:val="Char10"/>
                  </w:rPr>
                  <w:t>745,447.09</w:t>
                </w:r>
              </w:p>
            </w:tc>
            <w:tc>
              <w:tcPr>
                <w:tcW w:w="2206" w:type="dxa"/>
                <w:vAlign w:val="center"/>
              </w:tcPr>
              <w:p w:rsidR="004A3868" w:rsidRDefault="003F1AB5">
                <w:pPr>
                  <w:pStyle w:val="Style1222"/>
                  <w:rPr>
                    <w:rStyle w:val="Char10"/>
                  </w:rPr>
                </w:pPr>
                <w:r>
                  <w:rPr>
                    <w:rStyle w:val="Char10"/>
                  </w:rPr>
                  <w:t>4,344,565.76</w:t>
                </w:r>
              </w:p>
            </w:tc>
            <w:tc>
              <w:tcPr>
                <w:tcW w:w="2206" w:type="dxa"/>
                <w:vAlign w:val="center"/>
              </w:tcPr>
              <w:p w:rsidR="004A3868" w:rsidRDefault="003F1AB5">
                <w:pPr>
                  <w:pStyle w:val="Style1222"/>
                  <w:rPr>
                    <w:rStyle w:val="Char10"/>
                  </w:rPr>
                </w:pPr>
                <w:r>
                  <w:rPr>
                    <w:rStyle w:val="Char10"/>
                  </w:rPr>
                  <w:t>5,090,012.85</w:t>
                </w:r>
              </w:p>
            </w:tc>
          </w:tr>
          <w:tr w:rsidR="004A3868">
            <w:trPr>
              <w:trHeight w:val="397"/>
              <w:jc w:val="center"/>
            </w:trPr>
            <w:tc>
              <w:tcPr>
                <w:tcW w:w="2205" w:type="dxa"/>
              </w:tcPr>
              <w:p w:rsidR="004A3868" w:rsidRDefault="003F1AB5">
                <w:pPr>
                  <w:pStyle w:val="Style1224"/>
                  <w:rPr>
                    <w:rStyle w:val="Char10"/>
                  </w:rPr>
                </w:pPr>
                <w:r>
                  <w:rPr>
                    <w:rStyle w:val="Char10"/>
                  </w:rPr>
                  <w:t>小计</w:t>
                </w:r>
              </w:p>
            </w:tc>
            <w:tc>
              <w:tcPr>
                <w:tcW w:w="2205" w:type="dxa"/>
                <w:vAlign w:val="center"/>
              </w:tcPr>
              <w:p w:rsidR="004A3868" w:rsidRDefault="003F1AB5">
                <w:pPr>
                  <w:pStyle w:val="Style1222"/>
                  <w:rPr>
                    <w:rStyle w:val="Char10"/>
                  </w:rPr>
                </w:pPr>
                <w:r>
                  <w:rPr>
                    <w:rStyle w:val="Char10"/>
                  </w:rPr>
                  <w:t>745,447.09</w:t>
                </w:r>
              </w:p>
            </w:tc>
            <w:tc>
              <w:tcPr>
                <w:tcW w:w="2206" w:type="dxa"/>
                <w:vAlign w:val="center"/>
              </w:tcPr>
              <w:p w:rsidR="004A3868" w:rsidRDefault="003F1AB5">
                <w:pPr>
                  <w:pStyle w:val="Style1222"/>
                  <w:rPr>
                    <w:rStyle w:val="Char10"/>
                  </w:rPr>
                </w:pPr>
                <w:r>
                  <w:rPr>
                    <w:rStyle w:val="Char10"/>
                  </w:rPr>
                  <w:t>4,344,565.76</w:t>
                </w:r>
              </w:p>
            </w:tc>
            <w:tc>
              <w:tcPr>
                <w:tcW w:w="2206" w:type="dxa"/>
                <w:vAlign w:val="center"/>
              </w:tcPr>
              <w:p w:rsidR="004A3868" w:rsidRDefault="003F1AB5">
                <w:pPr>
                  <w:pStyle w:val="Style1222"/>
                  <w:rPr>
                    <w:rStyle w:val="Char10"/>
                  </w:rPr>
                </w:pPr>
                <w:r>
                  <w:rPr>
                    <w:rStyle w:val="Char10"/>
                  </w:rPr>
                  <w:t>5,090,012.85</w:t>
                </w:r>
              </w:p>
            </w:tc>
          </w:tr>
        </w:tbl>
        <w:p w:rsidR="004A3868" w:rsidRDefault="003F1AB5">
          <w:pPr>
            <w:pStyle w:val="Style1213"/>
            <w:ind w:firstLine="420"/>
            <w:rPr>
              <w:rStyle w:val="Char10"/>
            </w:rPr>
          </w:pPr>
          <w:r>
            <w:rPr>
              <w:rStyle w:val="Char10"/>
              <w:rFonts w:hint="eastAsia"/>
            </w:rPr>
            <w:t>③敏感性分析：</w:t>
          </w:r>
        </w:p>
        <w:p w:rsidR="004A3868" w:rsidRDefault="003F1AB5">
          <w:pPr>
            <w:pStyle w:val="Style1213"/>
            <w:ind w:firstLine="420"/>
            <w:rPr>
              <w:rStyle w:val="Char10"/>
            </w:rPr>
          </w:pPr>
          <w:r>
            <w:rPr>
              <w:rStyle w:val="Char10"/>
              <w:rFonts w:hint="eastAsia"/>
            </w:rPr>
            <w:t>截止</w:t>
          </w:r>
          <w:r>
            <w:rPr>
              <w:rStyle w:val="Char10"/>
            </w:rPr>
            <w:t>2023</w:t>
          </w:r>
          <w:r>
            <w:rPr>
              <w:rStyle w:val="Char10"/>
            </w:rPr>
            <w:t>年</w:t>
          </w:r>
          <w:r>
            <w:rPr>
              <w:rStyle w:val="Char10"/>
            </w:rPr>
            <w:t>12</w:t>
          </w:r>
          <w:r>
            <w:rPr>
              <w:rStyle w:val="Char10"/>
            </w:rPr>
            <w:t>月</w:t>
          </w:r>
          <w:r>
            <w:rPr>
              <w:rStyle w:val="Char10"/>
            </w:rPr>
            <w:t>31</w:t>
          </w:r>
          <w:r>
            <w:rPr>
              <w:rStyle w:val="Char10"/>
            </w:rPr>
            <w:t>日，对于本公司各类美元及欧元金融资产和美元及欧元金融负债，如果人民币对美元及欧元升值或贬值</w:t>
          </w:r>
          <w:r>
            <w:rPr>
              <w:rStyle w:val="Char10"/>
            </w:rPr>
            <w:t>10%</w:t>
          </w:r>
          <w:r>
            <w:rPr>
              <w:rStyle w:val="Char10"/>
            </w:rPr>
            <w:t>，其他因素保持不变，则本公司将减少或增加净利润约</w:t>
          </w:r>
          <w:r>
            <w:rPr>
              <w:rStyle w:val="Char10"/>
            </w:rPr>
            <w:t>497.05</w:t>
          </w:r>
          <w:r>
            <w:rPr>
              <w:rStyle w:val="Char10"/>
              <w:rFonts w:hint="eastAsia"/>
            </w:rPr>
            <w:t>万</w:t>
          </w:r>
          <w:r>
            <w:rPr>
              <w:rStyle w:val="Char10"/>
            </w:rPr>
            <w:t>元（</w:t>
          </w:r>
          <w:r>
            <w:rPr>
              <w:rStyle w:val="Char10"/>
            </w:rPr>
            <w:t>2022</w:t>
          </w:r>
          <w:r>
            <w:rPr>
              <w:rStyle w:val="Char10"/>
            </w:rPr>
            <w:t>年度约</w:t>
          </w:r>
          <w:r>
            <w:rPr>
              <w:rStyle w:val="Char10"/>
            </w:rPr>
            <w:t>18.43</w:t>
          </w:r>
          <w:r>
            <w:rPr>
              <w:rStyle w:val="Char10"/>
              <w:rFonts w:hint="eastAsia"/>
            </w:rPr>
            <w:t>万</w:t>
          </w:r>
          <w:r>
            <w:rPr>
              <w:rStyle w:val="Char10"/>
            </w:rPr>
            <w:t>元</w:t>
          </w:r>
          <w:r>
            <w:rPr>
              <w:rStyle w:val="Char10"/>
            </w:rPr>
            <w:t>)</w:t>
          </w:r>
          <w:r>
            <w:rPr>
              <w:rStyle w:val="Char10"/>
            </w:rPr>
            <w:t>。</w:t>
          </w:r>
        </w:p>
        <w:p w:rsidR="004A3868" w:rsidRDefault="003F1AB5">
          <w:pPr>
            <w:pStyle w:val="Style1213"/>
            <w:ind w:firstLine="420"/>
            <w:rPr>
              <w:rStyle w:val="Char10"/>
            </w:rPr>
          </w:pPr>
          <w:r>
            <w:rPr>
              <w:rStyle w:val="Char10"/>
              <w:rFonts w:hint="eastAsia"/>
            </w:rPr>
            <w:t>2</w:t>
          </w:r>
          <w:r>
            <w:rPr>
              <w:rStyle w:val="Char10"/>
              <w:rFonts w:hint="eastAsia"/>
            </w:rPr>
            <w:t>）利率风险</w:t>
          </w:r>
        </w:p>
        <w:p w:rsidR="004A3868" w:rsidRDefault="003F1AB5">
          <w:pPr>
            <w:pStyle w:val="Style1213"/>
            <w:ind w:firstLine="420"/>
            <w:rPr>
              <w:rStyle w:val="Char10"/>
            </w:rPr>
          </w:pPr>
          <w:r>
            <w:rPr>
              <w:rStyle w:val="Char10"/>
              <w:rFonts w:hint="eastAsia"/>
            </w:rPr>
            <w:t>本公司的利率风险主要产生于银行借款等。浮动利率的金融负债使本公司面临现金流量利率风险，固定利率的金融负债使本公司面临公允价值利率风险。本公司根据当时的市场环境来决定固定利率及浮动利率合同的相对比例。</w:t>
          </w:r>
        </w:p>
        <w:p w:rsidR="004A3868" w:rsidRDefault="003F1AB5">
          <w:pPr>
            <w:pStyle w:val="Style1213"/>
            <w:ind w:firstLine="420"/>
            <w:rPr>
              <w:rStyle w:val="Char10"/>
            </w:rPr>
          </w:pPr>
          <w:r>
            <w:rPr>
              <w:rStyle w:val="Char10"/>
              <w:rFonts w:hint="eastAsia"/>
            </w:rPr>
            <w:t>本公司财务部门持续监控公司利率水平。利率上升会增加新增带息债务的成本以及本公司尚未付清的以浮动利率计息的带息债务的利息支出，并对本公司的财务业绩产生重大的不利影响，管理层会依据最新的市场状况及时做出调整。</w:t>
          </w:r>
        </w:p>
        <w:p w:rsidR="004A3868" w:rsidRDefault="003F1AB5">
          <w:pPr>
            <w:pStyle w:val="Style1213"/>
            <w:ind w:firstLine="420"/>
            <w:rPr>
              <w:rStyle w:val="Char10"/>
            </w:rPr>
          </w:pPr>
          <w:r>
            <w:rPr>
              <w:rStyle w:val="Char10"/>
            </w:rPr>
            <w:t>本年度公司无利率互换安排。</w:t>
          </w:r>
        </w:p>
        <w:p w:rsidR="004A3868" w:rsidRDefault="003F1AB5">
          <w:pPr>
            <w:pStyle w:val="Style1213"/>
            <w:ind w:firstLine="420"/>
            <w:rPr>
              <w:rStyle w:val="Char10"/>
            </w:rPr>
          </w:pPr>
          <w:r>
            <w:rPr>
              <w:rStyle w:val="Char10"/>
              <w:rFonts w:hint="eastAsia"/>
            </w:rPr>
            <w:t>②</w:t>
          </w:r>
          <w:r>
            <w:rPr>
              <w:rStyle w:val="Char10"/>
            </w:rPr>
            <w:t>截至</w:t>
          </w:r>
          <w:r>
            <w:rPr>
              <w:rStyle w:val="Char10"/>
            </w:rPr>
            <w:t>2023</w:t>
          </w:r>
          <w:r>
            <w:rPr>
              <w:rStyle w:val="Char10"/>
            </w:rPr>
            <w:t>年</w:t>
          </w:r>
          <w:r>
            <w:rPr>
              <w:rStyle w:val="Char10"/>
            </w:rPr>
            <w:t>12</w:t>
          </w:r>
          <w:r>
            <w:rPr>
              <w:rStyle w:val="Char10"/>
            </w:rPr>
            <w:t>月</w:t>
          </w:r>
          <w:r>
            <w:rPr>
              <w:rStyle w:val="Char10"/>
            </w:rPr>
            <w:t>31</w:t>
          </w:r>
          <w:r>
            <w:rPr>
              <w:rStyle w:val="Char10"/>
            </w:rPr>
            <w:t>日，公司长期借款</w:t>
          </w:r>
          <w:r>
            <w:rPr>
              <w:rStyle w:val="Char10"/>
            </w:rPr>
            <w:t>72,880.44</w:t>
          </w:r>
          <w:r>
            <w:rPr>
              <w:rStyle w:val="Char10"/>
            </w:rPr>
            <w:t>万元，其中：</w:t>
          </w:r>
          <w:r>
            <w:rPr>
              <w:rStyle w:val="Char10"/>
            </w:rPr>
            <w:t>31,668.54</w:t>
          </w:r>
          <w:r>
            <w:rPr>
              <w:rStyle w:val="Char10"/>
            </w:rPr>
            <w:t>万元执行固定利率，不存在利率风险；</w:t>
          </w:r>
          <w:r>
            <w:rPr>
              <w:rStyle w:val="Char10"/>
            </w:rPr>
            <w:t>33,900.90</w:t>
          </w:r>
          <w:r>
            <w:rPr>
              <w:rStyle w:val="Char10"/>
            </w:rPr>
            <w:t>万元执行浮动利率，以实际提款日</w:t>
          </w:r>
          <w:r>
            <w:rPr>
              <w:rStyle w:val="Char10"/>
            </w:rPr>
            <w:t>(</w:t>
          </w:r>
          <w:r>
            <w:rPr>
              <w:rStyle w:val="Char10"/>
            </w:rPr>
            <w:t>若为分笔提款，则每笔提款利率分别计算</w:t>
          </w:r>
          <w:r>
            <w:rPr>
              <w:rStyle w:val="Char10"/>
            </w:rPr>
            <w:t>)</w:t>
          </w:r>
          <w:r>
            <w:rPr>
              <w:rStyle w:val="Char10"/>
            </w:rPr>
            <w:t>为起算日，每</w:t>
          </w:r>
          <w:r>
            <w:rPr>
              <w:rStyle w:val="Char10"/>
            </w:rPr>
            <w:t>12</w:t>
          </w:r>
          <w:r>
            <w:rPr>
              <w:rStyle w:val="Char10"/>
            </w:rPr>
            <w:t>个月为一个浮动周期，重新定价一次。重新定价日为下一个浮动周期的首日，即起算日在重新定价当月的对应日，当月没有对应日的则为当月最后一日</w:t>
          </w:r>
          <w:r>
            <w:rPr>
              <w:rStyle w:val="Char10"/>
            </w:rPr>
            <w:t>,</w:t>
          </w:r>
          <w:r>
            <w:rPr>
              <w:rStyle w:val="Char10"/>
            </w:rPr>
            <w:t>如浮动周期为每日，则重新定价日为下一个浮动周期当日；</w:t>
          </w:r>
          <w:r>
            <w:rPr>
              <w:rStyle w:val="Char10"/>
            </w:rPr>
            <w:t>6,000.00</w:t>
          </w:r>
          <w:r>
            <w:rPr>
              <w:rStyle w:val="Char10"/>
            </w:rPr>
            <w:t>万元贷款执行浮动利率，按贷款发放日</w:t>
          </w:r>
          <w:r>
            <w:rPr>
              <w:rStyle w:val="Char10"/>
            </w:rPr>
            <w:lastRenderedPageBreak/>
            <w:t>前全国银行间同业拆借中心公布的最近一个月一年期以上</w:t>
          </w:r>
          <w:r>
            <w:rPr>
              <w:rStyle w:val="Char10"/>
            </w:rPr>
            <w:t>LPR</w:t>
          </w:r>
          <w:r>
            <w:rPr>
              <w:rStyle w:val="Char10"/>
            </w:rPr>
            <w:t>加</w:t>
          </w:r>
          <w:r>
            <w:rPr>
              <w:rStyle w:val="Char10"/>
            </w:rPr>
            <w:t>40</w:t>
          </w:r>
          <w:r>
            <w:rPr>
              <w:rStyle w:val="Char10"/>
            </w:rPr>
            <w:t>基点（</w:t>
          </w:r>
          <w:r>
            <w:rPr>
              <w:rStyle w:val="Char10"/>
            </w:rPr>
            <w:t>1</w:t>
          </w:r>
          <w:r>
            <w:rPr>
              <w:rStyle w:val="Char10"/>
            </w:rPr>
            <w:t>基点</w:t>
          </w:r>
          <w:r>
            <w:rPr>
              <w:rStyle w:val="Char10"/>
            </w:rPr>
            <w:t>=0.01%</w:t>
          </w:r>
          <w:r>
            <w:rPr>
              <w:rStyle w:val="Char10"/>
            </w:rPr>
            <w:t>，精确至</w:t>
          </w:r>
          <w:r>
            <w:rPr>
              <w:rStyle w:val="Char10"/>
            </w:rPr>
            <w:t>0.01</w:t>
          </w:r>
          <w:r>
            <w:rPr>
              <w:rStyle w:val="Char10"/>
            </w:rPr>
            <w:t>基点）执行，执行利率为年利率。</w:t>
          </w:r>
          <w:r>
            <w:rPr>
              <w:rStyle w:val="Char10"/>
            </w:rPr>
            <w:t>1,311.00</w:t>
          </w:r>
          <w:r>
            <w:rPr>
              <w:rStyle w:val="Char10"/>
            </w:rPr>
            <w:t>万元贷款执行浮动利率，自实际提款日为起，每一年调整一次利率，利率调整日为实际提款日在调整当月的对应日，调整当月没有实际提款日对应日的，则调整当月最后一日为利率调整日。</w:t>
          </w:r>
        </w:p>
        <w:p w:rsidR="004A3868" w:rsidRDefault="003F1AB5">
          <w:pPr>
            <w:pStyle w:val="Style1213"/>
            <w:ind w:firstLine="420"/>
            <w:rPr>
              <w:rStyle w:val="Char10"/>
            </w:rPr>
          </w:pPr>
          <w:r>
            <w:rPr>
              <w:rStyle w:val="Char10"/>
            </w:rPr>
            <w:t>敏感性分析：</w:t>
          </w:r>
        </w:p>
        <w:p w:rsidR="004A3868" w:rsidRDefault="003F1AB5">
          <w:pPr>
            <w:pStyle w:val="Style1213"/>
            <w:ind w:firstLine="420"/>
            <w:rPr>
              <w:rStyle w:val="Char10"/>
            </w:rPr>
          </w:pPr>
          <w:r>
            <w:rPr>
              <w:rStyle w:val="Char10"/>
              <w:rFonts w:hint="eastAsia"/>
            </w:rPr>
            <w:t>借款存续期内</w:t>
          </w:r>
          <w:r>
            <w:rPr>
              <w:rStyle w:val="Char10"/>
            </w:rPr>
            <w:t>，如果以浮动利率计算的借款利率上升或下降</w:t>
          </w:r>
          <w:r>
            <w:rPr>
              <w:rStyle w:val="Char10"/>
            </w:rPr>
            <w:t>50</w:t>
          </w:r>
          <w:r>
            <w:rPr>
              <w:rStyle w:val="Char10"/>
            </w:rPr>
            <w:t>个基点，而其他因素保持不变，本公司的净利润会减少或增加约</w:t>
          </w:r>
          <w:r>
            <w:rPr>
              <w:rStyle w:val="Char10"/>
            </w:rPr>
            <w:t>909.43</w:t>
          </w:r>
          <w:r>
            <w:rPr>
              <w:rStyle w:val="Char10"/>
              <w:rFonts w:hint="eastAsia"/>
            </w:rPr>
            <w:t>万</w:t>
          </w:r>
          <w:r>
            <w:rPr>
              <w:rStyle w:val="Char10"/>
            </w:rPr>
            <w:t>元。</w:t>
          </w:r>
        </w:p>
        <w:p w:rsidR="004A3868" w:rsidRDefault="003F1AB5">
          <w:pPr>
            <w:pStyle w:val="Style1213"/>
            <w:ind w:firstLine="420"/>
            <w:rPr>
              <w:rStyle w:val="Char10"/>
            </w:rPr>
          </w:pPr>
          <w:r>
            <w:rPr>
              <w:rStyle w:val="Char10"/>
            </w:rPr>
            <w:t>3</w:t>
          </w:r>
          <w:r>
            <w:rPr>
              <w:rStyle w:val="Char10"/>
              <w:rFonts w:hint="eastAsia"/>
            </w:rPr>
            <w:t>）价格风险</w:t>
          </w:r>
        </w:p>
        <w:p w:rsidR="004A3868" w:rsidRDefault="003F1AB5">
          <w:pPr>
            <w:pStyle w:val="Style1213"/>
            <w:ind w:firstLine="420"/>
            <w:rPr>
              <w:rStyle w:val="Char10"/>
            </w:rPr>
          </w:pPr>
          <w:r>
            <w:rPr>
              <w:rStyle w:val="Char10"/>
              <w:rFonts w:hint="eastAsia"/>
            </w:rPr>
            <w:t>价格风险指汇率风险和利率风险以外的市场价格变动而发生波动的风险，主要源于商品价格、股票市场指数、权益工具价格以及其他风险变量的变化。</w:t>
          </w:r>
        </w:p>
      </w:sdtContent>
    </w:sdt>
    <w:p w:rsidR="004A3868" w:rsidRDefault="003F1AB5">
      <w:pPr>
        <w:pStyle w:val="Style955"/>
        <w:numPr>
          <w:ilvl w:val="0"/>
          <w:numId w:val="112"/>
        </w:numPr>
        <w:spacing w:before="120"/>
        <w:rPr>
          <w:rStyle w:val="Char10"/>
        </w:rPr>
      </w:pPr>
      <w:r>
        <w:rPr>
          <w:rStyle w:val="Char10"/>
          <w:rFonts w:hint="eastAsia"/>
        </w:rPr>
        <w:t>套期</w:t>
      </w:r>
    </w:p>
    <w:p w:rsidR="004A3868" w:rsidRDefault="003F1AB5">
      <w:pPr>
        <w:pStyle w:val="Style956"/>
        <w:numPr>
          <w:ilvl w:val="0"/>
          <w:numId w:val="113"/>
        </w:numPr>
        <w:rPr>
          <w:rStyle w:val="Char10"/>
        </w:rPr>
      </w:pPr>
      <w:r>
        <w:rPr>
          <w:rStyle w:val="Char10"/>
          <w:rFonts w:hint="eastAsia"/>
        </w:rPr>
        <w:t>公司开展套期业务进行风险管理</w:t>
      </w:r>
    </w:p>
    <w:sdt>
      <w:sdtPr>
        <w:rPr>
          <w:rStyle w:val="Char10"/>
        </w:rPr>
        <w:alias w:val="是否适用：公司开展套期业务进行风险管理情况[双击切换]"/>
        <w:tag w:val="_GBC_71d11701ff3e412981460bc27e88a1b5"/>
        <w:id w:val="134229478"/>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其他说明</w:t>
      </w:r>
    </w:p>
    <w:sdt>
      <w:sdtPr>
        <w:rPr>
          <w:rStyle w:val="Char10"/>
        </w:rPr>
        <w:alias w:val="是否适用：公司开展套期业务进行风险管理的其他说明[双击切换]"/>
        <w:tag w:val="_GBC_bc39ee99cbfc4e469ac321509f461420"/>
        <w:id w:val="782228666"/>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13"/>
        </w:numPr>
        <w:rPr>
          <w:rStyle w:val="Char10"/>
        </w:rPr>
      </w:pPr>
      <w:r>
        <w:rPr>
          <w:rStyle w:val="Char10"/>
          <w:rFonts w:hint="eastAsia"/>
        </w:rPr>
        <w:t>公司开展符合条件套期业务并应用套期会计</w:t>
      </w:r>
    </w:p>
    <w:sdt>
      <w:sdtPr>
        <w:rPr>
          <w:rStyle w:val="Char10"/>
        </w:rPr>
        <w:alias w:val="是否适用：公司开展符合条件套期业务并应用套期会计情况[双击切换]"/>
        <w:tag w:val="_GBC_346f997d46464bdda5750bdd43495d02"/>
        <w:id w:val="1166513917"/>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其他说明</w:t>
      </w:r>
    </w:p>
    <w:sdt>
      <w:sdtPr>
        <w:rPr>
          <w:rStyle w:val="Char10"/>
        </w:rPr>
        <w:alias w:val="是否适用：公司开展符合条件套期业务并应用套期会计情况的其他说明[双击切换]"/>
        <w:tag w:val="_GBC_7f3675a931be4fe0b3ba0ed19f75108a"/>
        <w:id w:val="-985084767"/>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13"/>
        </w:numPr>
        <w:rPr>
          <w:rStyle w:val="Char10"/>
        </w:rPr>
      </w:pPr>
      <w:r>
        <w:rPr>
          <w:rStyle w:val="Char10"/>
          <w:rFonts w:hint="eastAsia"/>
        </w:rPr>
        <w:t>公司开展套期业务进行风险管理、预期能实现风险管理目标但未应用套期会计</w:t>
      </w:r>
    </w:p>
    <w:sdt>
      <w:sdtPr>
        <w:rPr>
          <w:rStyle w:val="Char10"/>
        </w:rPr>
        <w:alias w:val="是否适用：公司开展套期业务进行风险管理、预期能实现风险管理目标但未应用套期会计[双击切换]"/>
        <w:tag w:val="_GBC_a8e3b34e51d64b48bca9359ee5d1c683"/>
        <w:id w:val="-1488475795"/>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其他说明</w:t>
      </w:r>
    </w:p>
    <w:sdt>
      <w:sdtPr>
        <w:rPr>
          <w:rStyle w:val="Char10"/>
        </w:rPr>
        <w:alias w:val="是否适用：公司开展套期业务进行风险管理、预期能实现风险管理目标但未应用套期会计的其他说明[双击切换]"/>
        <w:tag w:val="_GBC_7e60464ee1bf40b8b1d2fa0c0e7df1e4"/>
        <w:id w:val="455916550"/>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2"/>
        </w:numPr>
        <w:spacing w:before="120"/>
        <w:rPr>
          <w:rStyle w:val="Char10"/>
        </w:rPr>
      </w:pPr>
      <w:r>
        <w:rPr>
          <w:rStyle w:val="Char10"/>
          <w:rFonts w:hint="eastAsia"/>
        </w:rPr>
        <w:t>金融资产转移</w:t>
      </w:r>
    </w:p>
    <w:p w:rsidR="004A3868" w:rsidRDefault="003F1AB5">
      <w:pPr>
        <w:pStyle w:val="Style956"/>
        <w:numPr>
          <w:ilvl w:val="0"/>
          <w:numId w:val="114"/>
        </w:numPr>
        <w:rPr>
          <w:rStyle w:val="Char10"/>
        </w:rPr>
      </w:pPr>
      <w:r>
        <w:rPr>
          <w:rStyle w:val="Char10"/>
          <w:rFonts w:hint="eastAsia"/>
        </w:rPr>
        <w:t>转移方式分类</w:t>
      </w:r>
    </w:p>
    <w:bookmarkStart w:id="249" w:name="_Hlk153550670" w:displacedByCustomXml="next"/>
    <w:sdt>
      <w:sdtPr>
        <w:rPr>
          <w:rStyle w:val="Char10"/>
        </w:rPr>
        <w:alias w:val="是否适用：转移方式分类[双击切换]"/>
        <w:tag w:val="_GBC_ff6f967e629c4a6b934da2a3f33a107d"/>
        <w:id w:val="-1685200578"/>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49"/>
    <w:p w:rsidR="004A3868" w:rsidRDefault="003F1AB5">
      <w:pPr>
        <w:pStyle w:val="Style956"/>
        <w:numPr>
          <w:ilvl w:val="0"/>
          <w:numId w:val="114"/>
        </w:numPr>
        <w:rPr>
          <w:rStyle w:val="Char10"/>
        </w:rPr>
      </w:pPr>
      <w:r>
        <w:rPr>
          <w:rStyle w:val="Char10"/>
          <w:rFonts w:hint="eastAsia"/>
        </w:rPr>
        <w:t>因转移而终止确认的金融资产</w:t>
      </w:r>
    </w:p>
    <w:sdt>
      <w:sdtPr>
        <w:rPr>
          <w:rStyle w:val="Char10"/>
          <w:rFonts w:hint="eastAsia"/>
        </w:rPr>
        <w:alias w:val="是否适用：因转移而终止确认的金融资产[双击切换]"/>
        <w:tag w:val="_GBC_9fb1347e32aa4376959cf58d1383255a"/>
        <w:id w:val="2086956291"/>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14"/>
        </w:numPr>
        <w:rPr>
          <w:rStyle w:val="Char10"/>
        </w:rPr>
      </w:pPr>
      <w:r>
        <w:rPr>
          <w:rStyle w:val="Char10"/>
          <w:rFonts w:hint="eastAsia"/>
        </w:rPr>
        <w:t>继续涉入的转移金融资产</w:t>
      </w:r>
    </w:p>
    <w:sdt>
      <w:sdtPr>
        <w:rPr>
          <w:rStyle w:val="Char10"/>
        </w:rPr>
        <w:alias w:val="是否适用：继续涉入的转移金融资产[双击切换]"/>
        <w:tag w:val="_GBC_b604f7fddde64fe6935f4995b9a88a21"/>
        <w:id w:val="1810902278"/>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其他说明</w:t>
      </w:r>
    </w:p>
    <w:sdt>
      <w:sdtPr>
        <w:rPr>
          <w:rStyle w:val="Char10"/>
        </w:rPr>
        <w:alias w:val="是否适用：金融资产转移其他说明[双击切换]"/>
        <w:tag w:val="_GBC_205480d73c8a413b9678dd4798b26763"/>
        <w:id w:val="-2140022223"/>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4"/>
        <w:rPr>
          <w:rStyle w:val="Char10"/>
        </w:rPr>
      </w:pPr>
      <w:r>
        <w:rPr>
          <w:rStyle w:val="Char10"/>
          <w:rFonts w:hint="eastAsia"/>
        </w:rPr>
        <w:t>公允价值的披露</w:t>
      </w:r>
      <w:bookmarkStart w:id="250" w:name="_Hlk10539195"/>
    </w:p>
    <w:p w:rsidR="004A3868" w:rsidRDefault="003F1AB5">
      <w:pPr>
        <w:pStyle w:val="Style955"/>
        <w:numPr>
          <w:ilvl w:val="0"/>
          <w:numId w:val="115"/>
        </w:numPr>
        <w:spacing w:before="120"/>
        <w:rPr>
          <w:rStyle w:val="Char10"/>
        </w:rPr>
      </w:pPr>
      <w:r>
        <w:rPr>
          <w:rStyle w:val="Char10"/>
          <w:rFonts w:hint="eastAsia"/>
        </w:rPr>
        <w:t>以公允价值计量的资产和负债的期末公允价值</w:t>
      </w:r>
    </w:p>
    <w:bookmarkStart w:id="251" w:name="_Hlk24030209" w:displacedByCustomXml="next"/>
    <w:sdt>
      <w:sdtPr>
        <w:rPr>
          <w:rStyle w:val="Char10"/>
        </w:rPr>
        <w:alias w:val="是否适用：以公允价值计量的资产和负债的期末公允价值[双击切换]"/>
        <w:tag w:val="_GBC_6fbb4bafbfc548fdbb4a25b91f07bd6a"/>
        <w:id w:val="-161084532"/>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51"/>
    <w:p w:rsidR="004A3868" w:rsidRDefault="003F1AB5">
      <w:pPr>
        <w:jc w:val="right"/>
        <w:rPr>
          <w:rStyle w:val="Char10"/>
        </w:rPr>
      </w:pPr>
      <w:r>
        <w:rPr>
          <w:rStyle w:val="Char10"/>
          <w:rFonts w:hint="eastAsia"/>
        </w:rPr>
        <w:t>单位</w:t>
      </w:r>
      <w:r>
        <w:rPr>
          <w:rStyle w:val="Char10"/>
          <w:rFonts w:hint="eastAsia"/>
        </w:rPr>
        <w:t>:</w:t>
      </w:r>
      <w:sdt>
        <w:sdtPr>
          <w:rPr>
            <w:rStyle w:val="Char10"/>
            <w:rFonts w:hint="eastAsia"/>
          </w:rPr>
          <w:alias w:val="单位：财务附注：以公允价值计量的资产和负债的期末公允价值"/>
          <w:tag w:val="_GBC_2c45ed0b719e4292b6389023b9ce1031"/>
          <w:id w:val="1466927041"/>
          <w:lock w:val="sdtLocked"/>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r>
        <w:rPr>
          <w:rStyle w:val="Char10"/>
          <w:rFonts w:hint="eastAsia"/>
        </w:rPr>
        <w:t>:</w:t>
      </w:r>
      <w:sdt>
        <w:sdtPr>
          <w:rPr>
            <w:rStyle w:val="Char10"/>
            <w:rFonts w:hint="eastAsia"/>
          </w:rPr>
          <w:alias w:val="币种：财务附注：以公允价值计量的资产和负债的期末公允价值"/>
          <w:tag w:val="_GBC_4c0658ced5d64a5f80dc11bb84ac9dbd"/>
          <w:id w:val="14848117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Style85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539"/>
        <w:gridCol w:w="1498"/>
        <w:gridCol w:w="1775"/>
        <w:gridCol w:w="1780"/>
      </w:tblGrid>
      <w:tr w:rsidR="004A3868">
        <w:trPr>
          <w:trHeight w:val="145"/>
        </w:trPr>
        <w:sdt>
          <w:sdtPr>
            <w:rPr>
              <w:rStyle w:val="Char10"/>
            </w:rPr>
            <w:tag w:val="_PLD_163e93b7c897498dae37bc5c38a11afe"/>
            <w:id w:val="37480973"/>
            <w:lock w:val="sdtLocked"/>
          </w:sdtPr>
          <w:sdtEndPr>
            <w:rPr>
              <w:rStyle w:val="Char10"/>
            </w:rPr>
          </w:sdtEndPr>
          <w:sdtContent>
            <w:tc>
              <w:tcPr>
                <w:tcW w:w="1264"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jc w:val="center"/>
                  <w:outlineLvl w:val="2"/>
                  <w:rPr>
                    <w:rStyle w:val="Char10"/>
                  </w:rPr>
                </w:pPr>
                <w:r>
                  <w:rPr>
                    <w:rStyle w:val="Char10"/>
                    <w:rFonts w:hint="eastAsia"/>
                  </w:rPr>
                  <w:t>项目</w:t>
                </w:r>
              </w:p>
            </w:tc>
          </w:sdtContent>
        </w:sdt>
        <w:sdt>
          <w:sdtPr>
            <w:rPr>
              <w:rStyle w:val="Char10"/>
            </w:rPr>
            <w:tag w:val="_PLD_b8bd62f651414617bea8612c55db30ce"/>
            <w:id w:val="1632210687"/>
            <w:lock w:val="sdtLocked"/>
          </w:sdtPr>
          <w:sdtEndPr>
            <w:rPr>
              <w:rStyle w:val="Char10"/>
            </w:rPr>
          </w:sdtEndPr>
          <w:sdtContent>
            <w:tc>
              <w:tcPr>
                <w:tcW w:w="373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center"/>
                  <w:outlineLvl w:val="2"/>
                  <w:rPr>
                    <w:rStyle w:val="Char10"/>
                  </w:rPr>
                </w:pPr>
                <w:r>
                  <w:rPr>
                    <w:rStyle w:val="Char10"/>
                    <w:rFonts w:hint="eastAsia"/>
                  </w:rPr>
                  <w:t>期末公允价值</w:t>
                </w:r>
              </w:p>
            </w:tc>
          </w:sdtContent>
        </w:sdt>
      </w:tr>
      <w:tr w:rsidR="004A3868">
        <w:trPr>
          <w:trHeight w:val="145"/>
        </w:trPr>
        <w:tc>
          <w:tcPr>
            <w:tcW w:w="1264" w:type="pct"/>
            <w:vMerge/>
            <w:tcBorders>
              <w:left w:val="single" w:sz="4" w:space="0" w:color="auto"/>
              <w:bottom w:val="single" w:sz="4" w:space="0" w:color="auto"/>
              <w:right w:val="single" w:sz="4" w:space="0" w:color="auto"/>
            </w:tcBorders>
            <w:shd w:val="clear" w:color="auto" w:fill="auto"/>
            <w:vAlign w:val="center"/>
          </w:tcPr>
          <w:p w:rsidR="004A3868" w:rsidRDefault="004A3868">
            <w:pPr>
              <w:jc w:val="center"/>
              <w:outlineLvl w:val="2"/>
              <w:rPr>
                <w:rStyle w:val="Char10"/>
              </w:rPr>
            </w:pPr>
          </w:p>
        </w:tc>
        <w:sdt>
          <w:sdtPr>
            <w:rPr>
              <w:rStyle w:val="Char10"/>
            </w:rPr>
            <w:tag w:val="_PLD_8b204b4b1832494b8312fec08990548b"/>
            <w:id w:val="714093077"/>
            <w:lock w:val="sdtLocked"/>
          </w:sdtPr>
          <w:sdtEndPr>
            <w:rPr>
              <w:rStyle w:val="Char10"/>
            </w:rPr>
          </w:sdtEndPr>
          <w:sdtContent>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center"/>
                  <w:outlineLvl w:val="2"/>
                  <w:rPr>
                    <w:rStyle w:val="Char10"/>
                  </w:rPr>
                </w:pPr>
                <w:r>
                  <w:rPr>
                    <w:rStyle w:val="Char10"/>
                    <w:rFonts w:hint="eastAsia"/>
                  </w:rPr>
                  <w:t>第一层次公允价值计量</w:t>
                </w:r>
              </w:p>
            </w:tc>
          </w:sdtContent>
        </w:sdt>
        <w:sdt>
          <w:sdtPr>
            <w:rPr>
              <w:rStyle w:val="Char10"/>
            </w:rPr>
            <w:tag w:val="_PLD_de23a118a4e8435d9b0e1e2e2e494f30"/>
            <w:id w:val="-1884853875"/>
            <w:lock w:val="sdtLocked"/>
          </w:sdtPr>
          <w:sdtEndPr>
            <w:rPr>
              <w:rStyle w:val="Char10"/>
            </w:rPr>
          </w:sdtEndPr>
          <w:sdtContent>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center"/>
                  <w:outlineLvl w:val="2"/>
                  <w:rPr>
                    <w:rStyle w:val="Char10"/>
                  </w:rPr>
                </w:pPr>
                <w:r>
                  <w:rPr>
                    <w:rStyle w:val="Char10"/>
                    <w:rFonts w:hint="eastAsia"/>
                  </w:rPr>
                  <w:t>第二层次公允价值计量</w:t>
                </w:r>
              </w:p>
            </w:tc>
          </w:sdtContent>
        </w:sdt>
        <w:sdt>
          <w:sdtPr>
            <w:rPr>
              <w:rStyle w:val="Char10"/>
            </w:rPr>
            <w:tag w:val="_PLD_4cb787262d4b4096b0d321ac48721dd2"/>
            <w:id w:val="-1341695971"/>
            <w:lock w:val="sdtLocked"/>
          </w:sdtPr>
          <w:sdtEndPr>
            <w:rPr>
              <w:rStyle w:val="Char10"/>
            </w:rPr>
          </w:sdtEndPr>
          <w:sdtContent>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center"/>
                  <w:outlineLvl w:val="2"/>
                  <w:rPr>
                    <w:rStyle w:val="Char10"/>
                  </w:rPr>
                </w:pPr>
                <w:r>
                  <w:rPr>
                    <w:rStyle w:val="Char10"/>
                    <w:rFonts w:hint="eastAsia"/>
                  </w:rPr>
                  <w:t>第三层次公允价值计量</w:t>
                </w:r>
              </w:p>
            </w:tc>
          </w:sdtContent>
        </w:sdt>
        <w:sdt>
          <w:sdtPr>
            <w:rPr>
              <w:rStyle w:val="Char10"/>
            </w:rPr>
            <w:tag w:val="_PLD_fb89c54d0c8e4fe2990587a96b78b5ca"/>
            <w:id w:val="-1704089743"/>
            <w:lock w:val="sdtLocked"/>
          </w:sdtPr>
          <w:sdtEndPr>
            <w:rPr>
              <w:rStyle w:val="Char10"/>
            </w:rPr>
          </w:sdtEndPr>
          <w:sdtContent>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jc w:val="center"/>
                  <w:outlineLvl w:val="2"/>
                  <w:rPr>
                    <w:rStyle w:val="Char10"/>
                  </w:rPr>
                </w:pPr>
                <w:r>
                  <w:rPr>
                    <w:rStyle w:val="Char10"/>
                    <w:rFonts w:hint="eastAsia"/>
                  </w:rPr>
                  <w:t>合计</w:t>
                </w:r>
              </w:p>
            </w:tc>
          </w:sdtContent>
        </w:sdt>
      </w:tr>
      <w:tr w:rsidR="004A3868">
        <w:trPr>
          <w:trHeight w:val="227"/>
        </w:trPr>
        <w:sdt>
          <w:sdtPr>
            <w:rPr>
              <w:rStyle w:val="Char10"/>
            </w:rPr>
            <w:tag w:val="_PLD_e49fdea230ef4b0da0cf964b389819eb"/>
            <w:id w:val="-27033972"/>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一、持续的公允价值计量</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Fonts w:hint="eastAsia"/>
              </w:rPr>
              <w:tag w:val="_PLD_f82db915b16a4b2899a6b3bfdd4f9c38"/>
              <w:id w:val="230590087"/>
              <w:lock w:val="sdtLocked"/>
            </w:sdtPr>
            <w:sdtEndPr>
              <w:rPr>
                <w:rStyle w:val="Char10"/>
              </w:rPr>
            </w:sdtEndPr>
            <w:sdtContent>
              <w:p w:rsidR="004A3868" w:rsidRDefault="003F1AB5">
                <w:pPr>
                  <w:outlineLvl w:val="2"/>
                  <w:rPr>
                    <w:rStyle w:val="Char10"/>
                  </w:rPr>
                </w:pPr>
                <w:r>
                  <w:rPr>
                    <w:rStyle w:val="Char10"/>
                    <w:rFonts w:hint="eastAsia"/>
                  </w:rPr>
                  <w:t>（一）交易性金融资产</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Pr>
              <w:tag w:val="_PLD_8cc0c5e5643d48d2bba6cb5b17fb8d94"/>
              <w:id w:val="1393317944"/>
              <w:lock w:val="sdtLocked"/>
            </w:sdtPr>
            <w:sdtEndPr>
              <w:rPr>
                <w:rStyle w:val="Char10"/>
              </w:rPr>
            </w:sdtEndPr>
            <w:sdtContent>
              <w:p w:rsidR="004A3868" w:rsidRDefault="003F1AB5">
                <w:pPr>
                  <w:outlineLvl w:val="2"/>
                  <w:rPr>
                    <w:rStyle w:val="Char10"/>
                  </w:rPr>
                </w:pPr>
                <w:r>
                  <w:rPr>
                    <w:rStyle w:val="Char10"/>
                  </w:rPr>
                  <w:t>1.</w:t>
                </w:r>
                <w:r>
                  <w:rPr>
                    <w:rStyle w:val="Char10"/>
                  </w:rPr>
                  <w:t>以公允价值计量且变动计入当期损益的金融资产</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4d7769188dcd4c7c8df05e497b03295d"/>
            <w:id w:val="-1308858139"/>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w:t>
                </w:r>
                <w:r>
                  <w:rPr>
                    <w:rStyle w:val="Char10"/>
                  </w:rPr>
                  <w:t>1</w:t>
                </w:r>
                <w:r>
                  <w:rPr>
                    <w:rStyle w:val="Char10"/>
                    <w:rFonts w:hint="eastAsia"/>
                  </w:rPr>
                  <w:t>）债务工具投资</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6d020123248541b497fe0c0712f8e722"/>
            <w:id w:val="1651257790"/>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w:t>
                </w:r>
                <w:r>
                  <w:rPr>
                    <w:rStyle w:val="Char10"/>
                  </w:rPr>
                  <w:t>2</w:t>
                </w:r>
                <w:r>
                  <w:rPr>
                    <w:rStyle w:val="Char10"/>
                    <w:rFonts w:hint="eastAsia"/>
                  </w:rPr>
                  <w:t>）权益工具投资</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5c6de5dc139e4fa8b27c123299927fa0"/>
            <w:id w:val="-1724135956"/>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w:t>
                </w:r>
                <w:r>
                  <w:rPr>
                    <w:rStyle w:val="Char10"/>
                  </w:rPr>
                  <w:t>3</w:t>
                </w:r>
                <w:r>
                  <w:rPr>
                    <w:rStyle w:val="Char10"/>
                    <w:rFonts w:hint="eastAsia"/>
                  </w:rPr>
                  <w:t>）衍生金融资产</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799"/>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Pr>
              <w:tag w:val="_PLD_972e03bea0e746bba61543d32de4d4d9"/>
              <w:id w:val="1739363516"/>
              <w:lock w:val="sdtLocked"/>
            </w:sdtPr>
            <w:sdtEndPr>
              <w:rPr>
                <w:rStyle w:val="Char10"/>
                <w:rFonts w:hint="eastAsia"/>
              </w:rPr>
            </w:sdtEndPr>
            <w:sdtContent>
              <w:p w:rsidR="004A3868" w:rsidRDefault="003F1AB5">
                <w:pPr>
                  <w:outlineLvl w:val="2"/>
                  <w:rPr>
                    <w:rStyle w:val="Char10"/>
                  </w:rPr>
                </w:pPr>
                <w:r>
                  <w:rPr>
                    <w:rStyle w:val="Char10"/>
                  </w:rPr>
                  <w:t xml:space="preserve">2. </w:t>
                </w:r>
                <w:r>
                  <w:rPr>
                    <w:rStyle w:val="Char10"/>
                    <w:rFonts w:hint="eastAsia"/>
                  </w:rPr>
                  <w:t>指定以公允价值计量且其变动计入当期损益的金融资产</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ae29c63764c44046a189418dfeab18ec"/>
            <w:id w:val="1554576576"/>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w:t>
                </w:r>
                <w:r>
                  <w:rPr>
                    <w:rStyle w:val="Char10"/>
                  </w:rPr>
                  <w:t>1</w:t>
                </w:r>
                <w:r>
                  <w:rPr>
                    <w:rStyle w:val="Char10"/>
                    <w:rFonts w:hint="eastAsia"/>
                  </w:rPr>
                  <w:t>）债务工具投资</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f3278e5971c94432b7eded39bbc3b41c"/>
            <w:id w:val="-996347743"/>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w:t>
                </w:r>
                <w:r>
                  <w:rPr>
                    <w:rStyle w:val="Char10"/>
                  </w:rPr>
                  <w:t>2</w:t>
                </w:r>
                <w:r>
                  <w:rPr>
                    <w:rStyle w:val="Char10"/>
                    <w:rFonts w:hint="eastAsia"/>
                  </w:rPr>
                  <w:t>）权益工具投资</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Fonts w:hint="eastAsia"/>
              </w:rPr>
              <w:tag w:val="_PLD_266c2ca89c8741648af2e0617434a8f6"/>
              <w:id w:val="-809626490"/>
              <w:lock w:val="sdtLocked"/>
            </w:sdtPr>
            <w:sdtEndPr>
              <w:rPr>
                <w:rStyle w:val="Char10"/>
              </w:rPr>
            </w:sdtEndPr>
            <w:sdtContent>
              <w:p w:rsidR="004A3868" w:rsidRDefault="003F1AB5">
                <w:pPr>
                  <w:outlineLvl w:val="2"/>
                  <w:rPr>
                    <w:rStyle w:val="Char10"/>
                  </w:rPr>
                </w:pPr>
                <w:r>
                  <w:rPr>
                    <w:rStyle w:val="Char10"/>
                    <w:rFonts w:hint="eastAsia"/>
                  </w:rPr>
                  <w:t>（二）其他债权投资</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Fonts w:hint="eastAsia"/>
              </w:rPr>
              <w:tag w:val="_PLD_48dae83294284453b5b29803ac364c49"/>
              <w:id w:val="-1580894908"/>
              <w:lock w:val="sdtLocked"/>
            </w:sdtPr>
            <w:sdtEndPr>
              <w:rPr>
                <w:rStyle w:val="Char10"/>
              </w:rPr>
            </w:sdtEndPr>
            <w:sdtContent>
              <w:p w:rsidR="004A3868" w:rsidRDefault="003F1AB5">
                <w:pPr>
                  <w:outlineLvl w:val="2"/>
                  <w:rPr>
                    <w:rStyle w:val="Char10"/>
                  </w:rPr>
                </w:pPr>
                <w:r>
                  <w:rPr>
                    <w:rStyle w:val="Char10"/>
                    <w:rFonts w:hint="eastAsia"/>
                  </w:rPr>
                  <w:t>（三）其他权益工具投资</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Fonts w:hint="eastAsia"/>
              </w:rPr>
              <w:tag w:val="_PLD_acb73a1ad42944619fe34047b4d651e8"/>
              <w:id w:val="35701372"/>
              <w:lock w:val="sdtLocked"/>
            </w:sdtPr>
            <w:sdtEndPr>
              <w:rPr>
                <w:rStyle w:val="Char10"/>
              </w:rPr>
            </w:sdtEndPr>
            <w:sdtContent>
              <w:p w:rsidR="004A3868" w:rsidRDefault="003F1AB5">
                <w:pPr>
                  <w:outlineLvl w:val="2"/>
                  <w:rPr>
                    <w:rStyle w:val="Char10"/>
                  </w:rPr>
                </w:pPr>
                <w:r>
                  <w:rPr>
                    <w:rStyle w:val="Char10"/>
                    <w:rFonts w:hint="eastAsia"/>
                  </w:rPr>
                  <w:t>（四）投资性房地产</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b66f736c06194bd98411f07092155516"/>
            <w:id w:val="1749144981"/>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Pr>
                  <w:t>1.</w:t>
                </w:r>
                <w:r>
                  <w:rPr>
                    <w:rStyle w:val="Char10"/>
                    <w:rFonts w:hint="eastAsia"/>
                  </w:rPr>
                  <w:t>出租用的土地使用权</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bfcce1b42b274af2b3b32ebc29ea315b"/>
            <w:id w:val="218942288"/>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Pr>
                  <w:t>2.</w:t>
                </w:r>
                <w:r>
                  <w:rPr>
                    <w:rStyle w:val="Char10"/>
                    <w:rFonts w:hint="eastAsia"/>
                  </w:rPr>
                  <w:t>出租的建筑物</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468"/>
        </w:trPr>
        <w:sdt>
          <w:sdtPr>
            <w:rPr>
              <w:rStyle w:val="Char10"/>
            </w:rPr>
            <w:tag w:val="_PLD_a8730f331c814080932f692c9a71fecb"/>
            <w:id w:val="457538142"/>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Pr>
                  <w:t>3.</w:t>
                </w:r>
                <w:r>
                  <w:rPr>
                    <w:rStyle w:val="Char10"/>
                    <w:rFonts w:hint="eastAsia"/>
                  </w:rPr>
                  <w:t>持有并准备增值后转让的土地使用权</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Fonts w:hint="eastAsia"/>
              </w:rPr>
              <w:tag w:val="_PLD_e9c4c9fa7647482182a0267ec9cc21bf"/>
              <w:id w:val="-1016845472"/>
              <w:lock w:val="sdtLocked"/>
            </w:sdtPr>
            <w:sdtEndPr>
              <w:rPr>
                <w:rStyle w:val="Char10"/>
              </w:rPr>
            </w:sdtEndPr>
            <w:sdtContent>
              <w:p w:rsidR="004A3868" w:rsidRDefault="003F1AB5">
                <w:pPr>
                  <w:outlineLvl w:val="2"/>
                  <w:rPr>
                    <w:rStyle w:val="Char10"/>
                  </w:rPr>
                </w:pPr>
                <w:r>
                  <w:rPr>
                    <w:rStyle w:val="Char10"/>
                    <w:rFonts w:hint="eastAsia"/>
                  </w:rPr>
                  <w:t>（五）生物资产</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5e685393939a40609058af0b583b7e1d"/>
            <w:id w:val="1058211188"/>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Pr>
                  <w:t>1.</w:t>
                </w:r>
                <w:r>
                  <w:rPr>
                    <w:rStyle w:val="Char10"/>
                    <w:rFonts w:hint="eastAsia"/>
                  </w:rPr>
                  <w:t>消耗性生物资产</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2834b6ebaefb4889beb6a38ba25ca38f"/>
            <w:id w:val="-1906838173"/>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Pr>
                  <w:t>2.</w:t>
                </w:r>
                <w:r>
                  <w:rPr>
                    <w:rStyle w:val="Char10"/>
                    <w:rFonts w:hint="eastAsia"/>
                  </w:rPr>
                  <w:t>生产性生物资产</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sdt>
        <w:sdtPr>
          <w:rPr>
            <w:rStyle w:val="Char10"/>
          </w:rPr>
          <w:alias w:val="持续以公允价值计量的资产总额明细"/>
          <w:tag w:val="_TUP_4e6c46d6136147f2b16d042dc98083e9"/>
          <w:id w:val="1038396401"/>
          <w:lock w:val="sdtLocked"/>
        </w:sdtPr>
        <w:sdtEndPr>
          <w:rPr>
            <w:rStyle w:val="Char10"/>
          </w:rPr>
        </w:sdtEndPr>
        <w:sdtContent>
          <w:tr w:rsidR="004A3868">
            <w:trPr>
              <w:trHeight w:val="215"/>
            </w:trPr>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（六）应收款项融资</w:t>
                </w:r>
              </w:p>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outlineLvl w:val="2"/>
                  <w:rPr>
                    <w:rStyle w:val="Char10"/>
                  </w:rPr>
                </w:pPr>
                <w:r>
                  <w:rPr>
                    <w:rStyle w:val="Char10"/>
                  </w:rPr>
                  <w:t>12,244,653.97</w:t>
                </w:r>
              </w:p>
            </w:tc>
            <w:tc>
              <w:tcPr>
                <w:tcW w:w="1009"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outlineLvl w:val="2"/>
                  <w:rPr>
                    <w:rStyle w:val="Char10"/>
                  </w:rPr>
                </w:pPr>
                <w:r>
                  <w:rPr>
                    <w:rStyle w:val="Char10"/>
                  </w:rPr>
                  <w:t>12,244,653.97</w:t>
                </w:r>
              </w:p>
            </w:tc>
          </w:tr>
        </w:sdtContent>
      </w:sdt>
      <w:tr w:rsidR="004A3868">
        <w:trPr>
          <w:trHeight w:val="468"/>
        </w:trPr>
        <w:sdt>
          <w:sdtPr>
            <w:rPr>
              <w:rStyle w:val="Char10"/>
            </w:rPr>
            <w:tag w:val="_PLD_4c7c69ac72c0449cb781fcf42a2b9e63"/>
            <w:id w:val="-1418626308"/>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持续以公允价值计量的资产总额</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outlineLvl w:val="2"/>
              <w:rPr>
                <w:rStyle w:val="Char10"/>
              </w:rPr>
            </w:pPr>
            <w:r>
              <w:rPr>
                <w:rStyle w:val="Char10"/>
              </w:rPr>
              <w:t>12,244,653.97</w:t>
            </w:r>
          </w:p>
        </w:tc>
        <w:tc>
          <w:tcPr>
            <w:tcW w:w="1009" w:type="pct"/>
            <w:tcBorders>
              <w:top w:val="single" w:sz="4" w:space="0" w:color="auto"/>
              <w:left w:val="single" w:sz="4" w:space="0" w:color="auto"/>
              <w:bottom w:val="single" w:sz="4" w:space="0" w:color="auto"/>
              <w:right w:val="single" w:sz="4" w:space="0" w:color="auto"/>
            </w:tcBorders>
            <w:vAlign w:val="center"/>
          </w:tcPr>
          <w:p w:rsidR="004A3868" w:rsidRDefault="003F1AB5">
            <w:pPr>
              <w:jc w:val="right"/>
              <w:outlineLvl w:val="2"/>
              <w:rPr>
                <w:rStyle w:val="Char10"/>
              </w:rPr>
            </w:pPr>
            <w:r>
              <w:rPr>
                <w:rStyle w:val="Char10"/>
              </w:rPr>
              <w:t>12,244,653.97</w:t>
            </w:r>
          </w:p>
        </w:tc>
      </w:tr>
      <w:tr w:rsidR="004A3868">
        <w:trPr>
          <w:trHeight w:val="296"/>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Fonts w:hint="eastAsia"/>
              </w:rPr>
              <w:tag w:val="_PLD_f3a68c183c2048ee9d182e3250db3dc1"/>
              <w:id w:val="1583795918"/>
              <w:lock w:val="sdtLocked"/>
            </w:sdtPr>
            <w:sdtEndPr>
              <w:rPr>
                <w:rStyle w:val="Char10"/>
              </w:rPr>
            </w:sdtEndPr>
            <w:sdtContent>
              <w:p w:rsidR="004A3868" w:rsidRDefault="003F1AB5">
                <w:pPr>
                  <w:outlineLvl w:val="2"/>
                  <w:rPr>
                    <w:rStyle w:val="Char10"/>
                  </w:rPr>
                </w:pPr>
                <w:r>
                  <w:rPr>
                    <w:rStyle w:val="Char10"/>
                    <w:rFonts w:hint="eastAsia"/>
                  </w:rPr>
                  <w:t>（七）交易性金融负债</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96"/>
        </w:trPr>
        <w:tc>
          <w:tcPr>
            <w:tcW w:w="1264" w:type="pct"/>
            <w:tcBorders>
              <w:top w:val="single" w:sz="4" w:space="0" w:color="auto"/>
              <w:left w:val="single" w:sz="4" w:space="0" w:color="auto"/>
              <w:bottom w:val="single" w:sz="4" w:space="0" w:color="auto"/>
              <w:right w:val="single" w:sz="4" w:space="0" w:color="auto"/>
            </w:tcBorders>
            <w:shd w:val="clear" w:color="auto" w:fill="auto"/>
          </w:tcPr>
          <w:sdt>
            <w:sdtPr>
              <w:rPr>
                <w:rStyle w:val="Char10"/>
              </w:rPr>
              <w:tag w:val="_PLD_69b42d614c9c40bfb60714b8e1e9b78b"/>
              <w:id w:val="498933828"/>
              <w:lock w:val="sdtLocked"/>
            </w:sdtPr>
            <w:sdtEndPr>
              <w:rPr>
                <w:rStyle w:val="Char10"/>
              </w:rPr>
            </w:sdtEndPr>
            <w:sdtContent>
              <w:p w:rsidR="004A3868" w:rsidRDefault="003F1AB5">
                <w:pPr>
                  <w:outlineLvl w:val="2"/>
                  <w:rPr>
                    <w:rStyle w:val="Char10"/>
                  </w:rPr>
                </w:pPr>
                <w:r>
                  <w:rPr>
                    <w:rStyle w:val="Char10"/>
                  </w:rPr>
                  <w:t>1.</w:t>
                </w:r>
                <w:r>
                  <w:rPr>
                    <w:rStyle w:val="Char10"/>
                  </w:rPr>
                  <w:t>以公允价值计量且变动计入当期损益的金融负债</w:t>
                </w:r>
              </w:p>
            </w:sdtContent>
          </w:sdt>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437a55be492044b6bbc13cc4f7a3e1c8"/>
            <w:id w:val="277692645"/>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其中：发行的交易性债券</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rPr>
                <w:rStyle w:val="Char10"/>
              </w:rPr>
            </w:pPr>
          </w:p>
        </w:tc>
      </w:tr>
      <w:tr w:rsidR="004A3868">
        <w:trPr>
          <w:trHeight w:val="286"/>
        </w:trPr>
        <w:sdt>
          <w:sdtPr>
            <w:rPr>
              <w:rStyle w:val="Char10"/>
            </w:rPr>
            <w:tag w:val="_PLD_fb7a31e6724f445da1ca76cad7164c6b"/>
            <w:id w:val="-650838416"/>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tabs>
                    <w:tab w:val="left" w:pos="432"/>
                    <w:tab w:val="center" w:pos="5630"/>
                    <w:tab w:val="center" w:pos="7430"/>
                  </w:tabs>
                  <w:ind w:firstLineChars="300" w:firstLine="630"/>
                  <w:rPr>
                    <w:rStyle w:val="Char10"/>
                  </w:rPr>
                </w:pPr>
                <w:r>
                  <w:rPr>
                    <w:rStyle w:val="Char10"/>
                    <w:rFonts w:hint="eastAsia"/>
                  </w:rPr>
                  <w:t>衍生金融负债</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84"/>
        </w:trPr>
        <w:sdt>
          <w:sdtPr>
            <w:rPr>
              <w:rStyle w:val="Char10"/>
            </w:rPr>
            <w:tag w:val="_PLD_5cdaea850a7f43b4825235eb81a29e58"/>
            <w:id w:val="-1874757510"/>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tabs>
                    <w:tab w:val="left" w:pos="432"/>
                    <w:tab w:val="center" w:pos="5630"/>
                    <w:tab w:val="center" w:pos="7430"/>
                  </w:tabs>
                  <w:ind w:firstLineChars="300" w:firstLine="630"/>
                  <w:rPr>
                    <w:rStyle w:val="Char10"/>
                  </w:rPr>
                </w:pPr>
                <w:r>
                  <w:rPr>
                    <w:rStyle w:val="Char10"/>
                    <w:rFonts w:hint="eastAsia"/>
                  </w:rPr>
                  <w:t>其他</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468"/>
        </w:trPr>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B34370">
            <w:pPr>
              <w:outlineLvl w:val="2"/>
              <w:rPr>
                <w:rStyle w:val="Char10"/>
              </w:rPr>
            </w:pPr>
            <w:sdt>
              <w:sdtPr>
                <w:rPr>
                  <w:rStyle w:val="Char10"/>
                  <w:rFonts w:hint="eastAsia"/>
                </w:rPr>
                <w:tag w:val="_PLD_71d29e00429842e89dcaae5044b2777e"/>
                <w:id w:val="922601289"/>
                <w:lock w:val="sdtLocked"/>
              </w:sdtPr>
              <w:sdtEndPr>
                <w:rPr>
                  <w:rStyle w:val="Char10"/>
                </w:rPr>
              </w:sdtEndPr>
              <w:sdtContent>
                <w:r w:rsidR="003F1AB5">
                  <w:rPr>
                    <w:rStyle w:val="Char10"/>
                    <w:rFonts w:hint="eastAsia"/>
                  </w:rPr>
                  <w:t>2.</w:t>
                </w:r>
                <w:r w:rsidR="003F1AB5">
                  <w:rPr>
                    <w:rStyle w:val="Char10"/>
                    <w:rFonts w:hint="eastAsia"/>
                  </w:rPr>
                  <w:t>指定为以公允价值计量且变动计入当期损益的金融负债</w:t>
                </w:r>
              </w:sdtContent>
            </w:sdt>
          </w:p>
        </w:tc>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468"/>
        </w:trPr>
        <w:sdt>
          <w:sdtPr>
            <w:rPr>
              <w:rStyle w:val="Char10"/>
            </w:rPr>
            <w:tag w:val="_PLD_dee064280d7f4ce987d1217b5a2d835e"/>
            <w:id w:val="-1786653160"/>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持续以公允价值计量的负债总额</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tabs>
                <w:tab w:val="center" w:pos="824"/>
                <w:tab w:val="right" w:pos="1649"/>
              </w:tabs>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3677c8ec547a41a18a813df278be4892"/>
            <w:id w:val="-910925895"/>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二、非持续的公允价值计量</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240"/>
        </w:trPr>
        <w:sdt>
          <w:sdtPr>
            <w:rPr>
              <w:rStyle w:val="Char10"/>
            </w:rPr>
            <w:tag w:val="_PLD_962ee473798b4c4f90e0116bb1c13e3a"/>
            <w:id w:val="-1947523745"/>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（一）持有待售资产</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468"/>
        </w:trPr>
        <w:sdt>
          <w:sdtPr>
            <w:rPr>
              <w:rStyle w:val="Char10"/>
            </w:rPr>
            <w:tag w:val="_PLD_773dc57c83904359ba2f38528b8617fc"/>
            <w:id w:val="-289288955"/>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非持续以公允价值计量的资产总额</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p w:rsidR="004A3868" w:rsidRDefault="004A3868">
            <w:pPr>
              <w:jc w:val="center"/>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r w:rsidR="004A3868">
        <w:trPr>
          <w:trHeight w:val="481"/>
        </w:trPr>
        <w:sdt>
          <w:sdtPr>
            <w:rPr>
              <w:rStyle w:val="Char10"/>
            </w:rPr>
            <w:tag w:val="_PLD_6184d0fd90c54a57b4462d57cdb614ce"/>
            <w:id w:val="-1751105396"/>
            <w:lock w:val="sdtLocked"/>
          </w:sdtPr>
          <w:sdtEndPr>
            <w:rPr>
              <w:rStyle w:val="Char10"/>
            </w:rPr>
          </w:sdtEndPr>
          <w:sdtContent>
            <w:tc>
              <w:tcPr>
                <w:tcW w:w="1264"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outlineLvl w:val="2"/>
                  <w:rPr>
                    <w:rStyle w:val="Char10"/>
                  </w:rPr>
                </w:pPr>
                <w:r>
                  <w:rPr>
                    <w:rStyle w:val="Char10"/>
                    <w:rFonts w:hint="eastAsia"/>
                  </w:rPr>
                  <w:t>非持续以公允价值计量的负债总额</w:t>
                </w:r>
              </w:p>
            </w:tc>
          </w:sdtContent>
        </w:sdt>
        <w:tc>
          <w:tcPr>
            <w:tcW w:w="872"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84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6"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c>
          <w:tcPr>
            <w:tcW w:w="1009" w:type="pct"/>
            <w:tcBorders>
              <w:top w:val="single" w:sz="4" w:space="0" w:color="auto"/>
              <w:left w:val="single" w:sz="4" w:space="0" w:color="auto"/>
              <w:bottom w:val="single" w:sz="4" w:space="0" w:color="auto"/>
              <w:right w:val="single" w:sz="4" w:space="0" w:color="auto"/>
            </w:tcBorders>
          </w:tcPr>
          <w:p w:rsidR="004A3868" w:rsidRDefault="004A3868">
            <w:pPr>
              <w:jc w:val="right"/>
              <w:outlineLvl w:val="2"/>
              <w:rPr>
                <w:rStyle w:val="Char10"/>
              </w:rPr>
            </w:pPr>
          </w:p>
        </w:tc>
      </w:tr>
    </w:tbl>
    <w:p w:rsidR="004A3868" w:rsidRDefault="004A3868">
      <w:pPr>
        <w:pStyle w:val="Style842"/>
        <w:rPr>
          <w:rStyle w:val="Char10"/>
        </w:rPr>
      </w:pPr>
    </w:p>
    <w:p w:rsidR="004A3868" w:rsidRDefault="003F1AB5">
      <w:pPr>
        <w:pStyle w:val="Style955"/>
        <w:numPr>
          <w:ilvl w:val="0"/>
          <w:numId w:val="115"/>
        </w:numPr>
        <w:spacing w:before="120"/>
        <w:rPr>
          <w:rStyle w:val="Char10"/>
        </w:rPr>
      </w:pPr>
      <w:r>
        <w:rPr>
          <w:rStyle w:val="Char10"/>
          <w:rFonts w:hint="eastAsia"/>
        </w:rPr>
        <w:t>持续和非持续第一层次公允价值计量项目市价的确定依据</w:t>
      </w:r>
    </w:p>
    <w:bookmarkEnd w:id="250" w:displacedByCustomXml="next"/>
    <w:sdt>
      <w:sdtPr>
        <w:rPr>
          <w:rStyle w:val="Char10"/>
          <w:rFonts w:hint="eastAsia"/>
        </w:rPr>
        <w:alias w:val="是否适用：持续和非持续第一层次公允价值计量项目市价的确定依据[双击切换]"/>
        <w:tag w:val="_GBC_fc42dd94906341819da0f825b0c88571"/>
        <w:id w:val="-1608567403"/>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5"/>
        </w:numPr>
        <w:spacing w:before="120"/>
        <w:rPr>
          <w:rStyle w:val="Char10"/>
        </w:rPr>
      </w:pPr>
      <w:r>
        <w:rPr>
          <w:rStyle w:val="Char10"/>
          <w:rFonts w:hint="eastAsia"/>
        </w:rPr>
        <w:t>持续和非持续第二层次公允价值计量项目，采用的估值技术和重要参数的定性及定量信息</w:t>
      </w:r>
    </w:p>
    <w:sdt>
      <w:sdtPr>
        <w:rPr>
          <w:rStyle w:val="Char10"/>
          <w:rFonts w:hint="eastAsia"/>
        </w:rPr>
        <w:alias w:val="是否适用：持续和非持续第二层次公允价值计量项目，采用的估值技术和重要参数的定性及定量信息[双击切换]"/>
        <w:tag w:val="_GBC_524db4de656b4bccac2fc473643fe7a6"/>
        <w:id w:val="-135717336"/>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5"/>
        </w:numPr>
        <w:spacing w:before="120"/>
        <w:rPr>
          <w:rStyle w:val="Char10"/>
        </w:rPr>
      </w:pPr>
      <w:r>
        <w:rPr>
          <w:rStyle w:val="Char10"/>
          <w:rFonts w:hint="eastAsia"/>
        </w:rPr>
        <w:t>持续和非持续第三层次公允价值计量项目，采用的估值技术和重要参数的定性及定量信息</w:t>
      </w:r>
    </w:p>
    <w:sdt>
      <w:sdtPr>
        <w:rPr>
          <w:rStyle w:val="Char10"/>
          <w:rFonts w:hint="eastAsia"/>
        </w:rPr>
        <w:alias w:val="是否适用：持续和非持续第三层次公允价值计量项目，采用的估值技术和重要参数的定性及定量信息[双击切换]"/>
        <w:tag w:val="_GBC_2fc8e5a18cee4309a229e736040a7cfd"/>
        <w:id w:val="642157900"/>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w:instrText>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Style w:val="Char10"/>
          <w:rFonts w:hint="eastAsia"/>
        </w:rPr>
        <w:alias w:val="持续和非持续第三层次公允价值计量项目，采用的估值技术和重要参数的定性及定量信息"/>
        <w:tag w:val="_GBC_db2fdcfb26ce4ca9ac1e8da23b16aaaa"/>
        <w:id w:val="31935009"/>
        <w:placeholder>
          <w:docPart w:val="GBC22222222222222222222222222222"/>
        </w:placeholder>
      </w:sdtPr>
      <w:sdtEndPr>
        <w:rPr>
          <w:rStyle w:val="Char10"/>
        </w:rPr>
      </w:sdtEndPr>
      <w:sdtContent>
        <w:p w:rsidR="004A3868" w:rsidRDefault="003F1AB5">
          <w:pPr>
            <w:spacing w:line="360" w:lineRule="auto"/>
            <w:ind w:firstLineChars="200" w:firstLine="420"/>
            <w:rPr>
              <w:rStyle w:val="Char10"/>
            </w:rPr>
          </w:pPr>
          <w:r>
            <w:rPr>
              <w:rStyle w:val="Char10"/>
              <w:rFonts w:hint="eastAsia"/>
            </w:rPr>
            <w:t>本公司经评估后认为报告期内所持有的应收款项融资不存在重大的信用风险且期限较短，其公允价值根据本金确定。</w:t>
          </w:r>
        </w:p>
      </w:sdtContent>
    </w:sdt>
    <w:p w:rsidR="004A3868" w:rsidRDefault="003F1AB5">
      <w:pPr>
        <w:pStyle w:val="Style955"/>
        <w:numPr>
          <w:ilvl w:val="0"/>
          <w:numId w:val="115"/>
        </w:numPr>
        <w:spacing w:before="120"/>
        <w:rPr>
          <w:rStyle w:val="Char10"/>
        </w:rPr>
      </w:pPr>
      <w:r>
        <w:rPr>
          <w:rStyle w:val="Char10"/>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714091455"/>
        <w:lock w:val="sdtLocked"/>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5"/>
        </w:numPr>
        <w:spacing w:before="120"/>
        <w:rPr>
          <w:rStyle w:val="Char10"/>
        </w:rPr>
      </w:pPr>
      <w:r>
        <w:rPr>
          <w:rStyle w:val="Char10"/>
          <w:rFonts w:hint="eastAsia"/>
        </w:rPr>
        <w:t>持续的公允价值计量项目，本期内发生各层级之间转换的，转换的原因及确定转换时点的政策</w:t>
      </w:r>
    </w:p>
    <w:sdt>
      <w:sdtPr>
        <w:rPr>
          <w:rStyle w:val="Char10"/>
          <w:rFonts w:hint="eastAsia"/>
        </w:rPr>
        <w:alias w:val="是否适用：持续的公允价值计量项目，本期内发生各层级之间转换的，转换的原因及确定转换时点的政策[双击切换]"/>
        <w:tag w:val="_GBC_eebf98ea60f047d9917b79bbe8e1b6a3"/>
        <w:id w:val="-1885710633"/>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5"/>
        </w:numPr>
        <w:spacing w:before="120"/>
        <w:rPr>
          <w:rStyle w:val="Char10"/>
        </w:rPr>
      </w:pPr>
      <w:r>
        <w:rPr>
          <w:rStyle w:val="Char10"/>
          <w:rFonts w:hint="eastAsia"/>
        </w:rPr>
        <w:t>本期内发生的估值技术变更及变更原因</w:t>
      </w:r>
    </w:p>
    <w:sdt>
      <w:sdtPr>
        <w:rPr>
          <w:rStyle w:val="Char10"/>
          <w:rFonts w:hint="eastAsia"/>
        </w:rPr>
        <w:alias w:val="是否适用：本期内发生的估值技术变更及变更原因[双击切换]"/>
        <w:tag w:val="_GBC_c8355b64faff425ebd05215313c85419"/>
        <w:id w:val="-1047524954"/>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5"/>
        </w:numPr>
        <w:spacing w:before="120"/>
        <w:rPr>
          <w:rStyle w:val="Char10"/>
        </w:rPr>
      </w:pPr>
      <w:r>
        <w:rPr>
          <w:rStyle w:val="Char10"/>
          <w:rFonts w:hint="eastAsia"/>
        </w:rPr>
        <w:t>不以公允价值计量的金融资产和金融负债的公允价值情况</w:t>
      </w:r>
    </w:p>
    <w:sdt>
      <w:sdtPr>
        <w:rPr>
          <w:rStyle w:val="Char10"/>
          <w:rFonts w:hint="eastAsia"/>
        </w:rPr>
        <w:alias w:val="是否适用：不以公允价值计量的金融资产和金融负债的公允价值情况[双击切换]"/>
        <w:tag w:val="_GBC_734377ec924449c3ae79732fec24b52d"/>
        <w:id w:val="2125030224"/>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5"/>
        </w:numPr>
        <w:spacing w:before="120"/>
        <w:rPr>
          <w:rStyle w:val="Char10"/>
        </w:rPr>
      </w:pPr>
      <w:r>
        <w:rPr>
          <w:rStyle w:val="Char10"/>
          <w:rFonts w:hint="eastAsia"/>
        </w:rPr>
        <w:lastRenderedPageBreak/>
        <w:t>其他</w:t>
      </w:r>
    </w:p>
    <w:sdt>
      <w:sdtPr>
        <w:rPr>
          <w:rStyle w:val="Char10"/>
          <w:rFonts w:hint="eastAsia"/>
        </w:rPr>
        <w:alias w:val="是否适用：公允价值其他需要披露的事项[双击切换]"/>
        <w:tag w:val="_GBC_face0919374341aba02b14f2247ac908"/>
        <w:id w:val="1335798841"/>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4"/>
      </w:pPr>
      <w:r>
        <w:rPr>
          <w:rFonts w:hint="eastAsia"/>
        </w:rPr>
        <w:t>关联方及关联交易</w:t>
      </w:r>
    </w:p>
    <w:p w:rsidR="004A3868" w:rsidRDefault="003F1AB5">
      <w:pPr>
        <w:pStyle w:val="Style955"/>
        <w:numPr>
          <w:ilvl w:val="0"/>
          <w:numId w:val="116"/>
        </w:numPr>
        <w:spacing w:before="120"/>
        <w:rPr>
          <w:rStyle w:val="Char10"/>
        </w:rPr>
      </w:pPr>
      <w:r>
        <w:rPr>
          <w:rStyle w:val="Char10"/>
          <w:rFonts w:hint="eastAsia"/>
        </w:rPr>
        <w:t>本企业的母公司情况</w:t>
      </w:r>
    </w:p>
    <w:sdt>
      <w:sdtPr>
        <w:rPr>
          <w:rStyle w:val="Char10"/>
          <w:rFonts w:hint="eastAsia"/>
        </w:rPr>
        <w:alias w:val="是否适用：本企业的母公司情况[双击切换]"/>
        <w:tag w:val="_GBC_fe5dd4a2c9ad405db72189e05b735e0c"/>
        <w:id w:val="2085479280"/>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6"/>
        </w:numPr>
        <w:spacing w:before="120"/>
        <w:rPr>
          <w:rStyle w:val="Char10"/>
        </w:rPr>
      </w:pPr>
      <w:r>
        <w:rPr>
          <w:rStyle w:val="Char10"/>
          <w:rFonts w:hint="eastAsia"/>
        </w:rPr>
        <w:t>本企业的子公司情况</w:t>
      </w:r>
    </w:p>
    <w:p w:rsidR="004A3868" w:rsidRDefault="003F1AB5">
      <w:pPr>
        <w:pStyle w:val="Style842"/>
        <w:rPr>
          <w:rStyle w:val="Char10"/>
        </w:rPr>
      </w:pPr>
      <w:r>
        <w:rPr>
          <w:rStyle w:val="Char10"/>
          <w:rFonts w:hint="eastAsia"/>
        </w:rPr>
        <w:t>本企业子公司的情况详见附注</w:t>
      </w:r>
    </w:p>
    <w:sdt>
      <w:sdtPr>
        <w:rPr>
          <w:rStyle w:val="Char10"/>
          <w:rFonts w:hint="eastAsia"/>
        </w:rPr>
        <w:alias w:val="是否适用：本公司的子公司情况详见附注[双击切换]"/>
        <w:tag w:val="_GBC_b3fd954877e04ee589f6c4ce95e1384a"/>
        <w:id w:val="-1291279980"/>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6"/>
        </w:numPr>
        <w:spacing w:before="120"/>
        <w:rPr>
          <w:rStyle w:val="Char10"/>
        </w:rPr>
      </w:pPr>
      <w:r>
        <w:rPr>
          <w:rStyle w:val="Char10"/>
          <w:rFonts w:hint="eastAsia"/>
        </w:rPr>
        <w:t>本企业合营和联营企业情况</w:t>
      </w:r>
    </w:p>
    <w:sdt>
      <w:sdtPr>
        <w:rPr>
          <w:rStyle w:val="Char10"/>
        </w:rPr>
        <w:alias w:val="是否适用：本企业重要的合营或联营企业详见附注[双击切换]"/>
        <w:tag w:val="_GBC_a44d5ddc347344bcaadf8652bc7a927c"/>
        <w:id w:val="180550717"/>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Style w:val="Char10"/>
          <w:rFonts w:hint="eastAsia"/>
        </w:rPr>
        <w:alias w:val="本企业重要的合营或联营企业详见附注"/>
        <w:tag w:val="_GBC_3c58c586b3d3412d9989e9dff0b9f4cf"/>
        <w:id w:val="280850275"/>
        <w:placeholder>
          <w:docPart w:val="GBC22222222222222222222222222222"/>
        </w:placeholder>
      </w:sdtPr>
      <w:sdtEndPr>
        <w:rPr>
          <w:rStyle w:val="Char10"/>
        </w:rPr>
      </w:sdtEndPr>
      <w:sdtContent>
        <w:p w:rsidR="004A3868" w:rsidRDefault="003F1AB5">
          <w:pPr>
            <w:spacing w:line="360" w:lineRule="auto"/>
            <w:ind w:firstLineChars="200" w:firstLine="420"/>
            <w:rPr>
              <w:rStyle w:val="Char10"/>
            </w:rPr>
          </w:pPr>
          <w:r>
            <w:rPr>
              <w:rStyle w:val="Char10"/>
              <w:rFonts w:hint="eastAsia"/>
            </w:rPr>
            <w:t>本公司的子公司情况详见本报告“第十节</w:t>
          </w:r>
          <w:r>
            <w:rPr>
              <w:rStyle w:val="Char10"/>
              <w:rFonts w:hint="eastAsia"/>
            </w:rPr>
            <w:t>.</w:t>
          </w:r>
          <w:r>
            <w:rPr>
              <w:rStyle w:val="Char10"/>
              <w:rFonts w:hint="eastAsia"/>
            </w:rPr>
            <w:t>十</w:t>
          </w:r>
          <w:r>
            <w:rPr>
              <w:rStyle w:val="Char10"/>
              <w:rFonts w:hint="eastAsia"/>
            </w:rPr>
            <w:t>.</w:t>
          </w:r>
          <w:r>
            <w:rPr>
              <w:rStyle w:val="Char10"/>
            </w:rPr>
            <w:t>在其他主体中的权益</w:t>
          </w:r>
          <w:r>
            <w:rPr>
              <w:rStyle w:val="Char10"/>
            </w:rPr>
            <w:t>”</w:t>
          </w:r>
        </w:p>
      </w:sdtContent>
    </w:sdt>
    <w:p w:rsidR="004A3868" w:rsidRDefault="003F1AB5">
      <w:pPr>
        <w:pStyle w:val="Style842"/>
        <w:rPr>
          <w:rStyle w:val="Char10"/>
        </w:rPr>
      </w:pPr>
      <w:r>
        <w:rPr>
          <w:rStyle w:val="Char10"/>
          <w:rFonts w:hint="eastAsia"/>
        </w:rPr>
        <w:t>本期与本公司发生关联方交易，或前期与本公司发生关联方交易形成余额的其他合营或联营企业情况如下</w:t>
      </w:r>
    </w:p>
    <w:sdt>
      <w:sdtPr>
        <w:rPr>
          <w:rStyle w:val="Char10"/>
        </w:rPr>
        <w:alias w:val="是否适用：本期与本公司发生关联方交易，或前期与本公司发生关联方交易形成余额的其他合营或联营企业情况如下[双击切换]"/>
        <w:tag w:val="_GBC_3340148c9e9e4091aa65b3b3355a3a37"/>
        <w:id w:val="1906878149"/>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tbl>
      <w:tblPr>
        <w:tblStyle w:val="g31"/>
        <w:tblW w:w="488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681"/>
        <w:gridCol w:w="4936"/>
      </w:tblGrid>
      <w:tr w:rsidR="004A3868">
        <w:trPr>
          <w:trHeight w:val="397"/>
          <w:jc w:val="center"/>
        </w:trPr>
        <w:sdt>
          <w:sdtPr>
            <w:rPr>
              <w:rStyle w:val="Char10"/>
            </w:rPr>
            <w:tag w:val="_PLD_0e6d2a60380d424fbe39edbe16e876ad"/>
            <w:id w:val="809521223"/>
            <w:lock w:val="sdtLocked"/>
          </w:sdtPr>
          <w:sdtEndPr>
            <w:rPr>
              <w:rStyle w:val="Char10"/>
            </w:rPr>
          </w:sdtEndPr>
          <w:sdtContent>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合营或联营企业名称</w:t>
                </w:r>
              </w:p>
            </w:tc>
          </w:sdtContent>
        </w:sdt>
        <w:sdt>
          <w:sdtPr>
            <w:rPr>
              <w:rStyle w:val="Char10"/>
            </w:rPr>
            <w:tag w:val="_PLD_7a4c0374bc514021b6a270655cb81e9e"/>
            <w:id w:val="-69425001"/>
            <w:lock w:val="sdtLocked"/>
          </w:sdtPr>
          <w:sdtEndPr>
            <w:rPr>
              <w:rStyle w:val="Char10"/>
            </w:rPr>
          </w:sdtEndPr>
          <w:sdtContent>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与本企业关系</w:t>
                </w:r>
              </w:p>
            </w:tc>
          </w:sdtContent>
        </w:sdt>
      </w:tr>
      <w:tr w:rsidR="004A3868">
        <w:trPr>
          <w:trHeight w:val="397"/>
          <w:jc w:val="center"/>
        </w:trPr>
        <w:tc>
          <w:tcPr>
            <w:tcW w:w="213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重庆能投长寿经开区售电有限公司</w:t>
            </w:r>
          </w:p>
        </w:tc>
        <w:tc>
          <w:tcPr>
            <w:tcW w:w="286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发行人持股</w:t>
            </w:r>
            <w:r>
              <w:rPr>
                <w:rStyle w:val="Char10"/>
              </w:rPr>
              <w:t>30%</w:t>
            </w:r>
            <w:r>
              <w:rPr>
                <w:rStyle w:val="Char10"/>
              </w:rPr>
              <w:t>，实际控制人之一杨泽民担任董事</w:t>
            </w:r>
          </w:p>
        </w:tc>
      </w:tr>
    </w:tbl>
    <w:p w:rsidR="004A3868" w:rsidRDefault="003F1AB5">
      <w:pPr>
        <w:pStyle w:val="Style842"/>
        <w:rPr>
          <w:rStyle w:val="Char10"/>
        </w:rPr>
      </w:pPr>
      <w:r>
        <w:rPr>
          <w:rStyle w:val="Char10"/>
          <w:rFonts w:hint="eastAsia"/>
        </w:rPr>
        <w:t>其他说明</w:t>
      </w:r>
    </w:p>
    <w:sdt>
      <w:sdtPr>
        <w:rPr>
          <w:rStyle w:val="Char10"/>
        </w:rPr>
        <w:alias w:val="是否适用：存在关联方交易或余额的合营和联营企业情况说明[双击切换]"/>
        <w:tag w:val="_GBC_491f62bb76ba49c482a64272865cc4a1"/>
        <w:id w:val="23304514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6"/>
        </w:numPr>
        <w:spacing w:before="120"/>
        <w:rPr>
          <w:rStyle w:val="Char10"/>
        </w:rPr>
      </w:pPr>
      <w:r>
        <w:rPr>
          <w:rStyle w:val="Char10"/>
          <w:rFonts w:hint="eastAsia"/>
        </w:rPr>
        <w:t>其他关联方情况</w:t>
      </w:r>
    </w:p>
    <w:sdt>
      <w:sdtPr>
        <w:rPr>
          <w:rStyle w:val="Char10"/>
        </w:rPr>
        <w:alias w:val="是否适用：其他关联方情况[双击切换]"/>
        <w:tag w:val="_GBC_42246b4c04fc4462b5fb05a5db67f4d0"/>
        <w:id w:val="-567799883"/>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879"/>
        <w:gridCol w:w="4944"/>
      </w:tblGrid>
      <w:tr w:rsidR="004A3868">
        <w:trPr>
          <w:trHeight w:val="397"/>
          <w:jc w:val="center"/>
        </w:trPr>
        <w:sdt>
          <w:sdtPr>
            <w:rPr>
              <w:rStyle w:val="Char10"/>
            </w:rPr>
            <w:tag w:val="_PLD_36db3e8c12e04d279b0c2956ad69d8a6"/>
            <w:id w:val="-492576142"/>
            <w:lock w:val="sdtLocked"/>
          </w:sdtPr>
          <w:sdtEndPr>
            <w:rPr>
              <w:rStyle w:val="Char10"/>
            </w:r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1226"/>
                  <w:rPr>
                    <w:rStyle w:val="Char10"/>
                  </w:rPr>
                </w:pPr>
                <w:r>
                  <w:rPr>
                    <w:rStyle w:val="Char10"/>
                    <w:rFonts w:hint="eastAsia"/>
                  </w:rPr>
                  <w:t>其他关联方名称</w:t>
                </w:r>
              </w:p>
            </w:tc>
          </w:sdtContent>
        </w:sdt>
        <w:sdt>
          <w:sdtPr>
            <w:rPr>
              <w:rStyle w:val="Char10"/>
            </w:rPr>
            <w:tag w:val="_PLD_b851a2cc9280416290b9ebf815c49236"/>
            <w:id w:val="-1957172138"/>
            <w:lock w:val="sdtLocked"/>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其他关联方与本企业关系</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Pr>
              <w:t>四川明珠电工材料有限责任公司</w:t>
            </w:r>
          </w:p>
        </w:tc>
        <w:sdt>
          <w:sdtPr>
            <w:rPr>
              <w:rStyle w:val="Char10"/>
            </w:rPr>
            <w:alias w:val="本企业的其他关联方情况明细－其他关联方与本公司关系"/>
            <w:tag w:val="_GBC_58cfdd73098648d8af76645c4007a3fa"/>
            <w:id w:val="1600546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黔南都能开发有限公司</w:t>
            </w:r>
          </w:p>
        </w:tc>
        <w:sdt>
          <w:sdtPr>
            <w:rPr>
              <w:rStyle w:val="Char10"/>
            </w:rPr>
            <w:alias w:val="本企业的其他关联方情况明细－其他关联方与本公司关系"/>
            <w:tag w:val="_GBC_58cfdd73098648d8af76645c4007a3fa"/>
            <w:id w:val="1628130231"/>
            <w:lock w:val="sdtLocked"/>
            <w:placeholder>
              <w:docPart w:val="68BDBE61EC634310993D1FC837DE0779"/>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Pr>
              <w:t>独山鑫源实业开发有限公司</w:t>
            </w:r>
          </w:p>
        </w:tc>
        <w:sdt>
          <w:sdtPr>
            <w:rPr>
              <w:rStyle w:val="Char10"/>
            </w:rPr>
            <w:alias w:val="本企业的其他关联方情况明细－其他关联方与本公司关系"/>
            <w:tag w:val="_GBC_58cfdd73098648d8af76645c4007a3fa"/>
            <w:id w:val="2066849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Pr>
              <w:t>福泉市金山电力开发有限责任公司</w:t>
            </w:r>
          </w:p>
        </w:tc>
        <w:sdt>
          <w:sdtPr>
            <w:rPr>
              <w:rStyle w:val="Char10"/>
            </w:rPr>
            <w:alias w:val="本企业的其他关联方情况明细－其他关联方与本公司关系"/>
            <w:tag w:val="_GBC_58cfdd73098648d8af76645c4007a3fa"/>
            <w:id w:val="-8991260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Pr>
              <w:t>瓮安县明辉水电开发有限公司</w:t>
            </w:r>
          </w:p>
        </w:tc>
        <w:sdt>
          <w:sdtPr>
            <w:rPr>
              <w:rStyle w:val="Char10"/>
            </w:rPr>
            <w:alias w:val="本企业的其他关联方情况明细－其他关联方与本公司关系"/>
            <w:tag w:val="_GBC_58cfdd73098648d8af76645c4007a3fa"/>
            <w:id w:val="5638430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Pr>
              <w:t>黔南州都能售电有限公司</w:t>
            </w:r>
          </w:p>
        </w:tc>
        <w:sdt>
          <w:sdtPr>
            <w:rPr>
              <w:rStyle w:val="Char10"/>
            </w:rPr>
            <w:alias w:val="本企业的其他关联方情况明细－其他关联方与本公司关系"/>
            <w:tag w:val="_GBC_58cfdd73098648d8af76645c4007a3fa"/>
            <w:id w:val="-12740047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Pr>
              <w:t>黔南都能汽车服务有限公司</w:t>
            </w:r>
          </w:p>
        </w:tc>
        <w:sdt>
          <w:sdtPr>
            <w:rPr>
              <w:rStyle w:val="Char10"/>
            </w:rPr>
            <w:alias w:val="本企业的其他关联方情况明细－其他关联方与本公司关系"/>
            <w:tag w:val="_GBC_58cfdd73098648d8af76645c4007a3fa"/>
            <w:id w:val="2426893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贵州省罗甸县明达水电开发有限责任公司</w:t>
            </w:r>
          </w:p>
        </w:tc>
        <w:sdt>
          <w:sdtPr>
            <w:rPr>
              <w:rStyle w:val="Char10"/>
            </w:rPr>
            <w:alias w:val="本企业的其他关联方情况明细－其他关联方与本公司关系"/>
            <w:tag w:val="_GBC_58cfdd73098648d8af76645c4007a3fa"/>
            <w:id w:val="17832970"/>
            <w:lock w:val="sdtLocked"/>
            <w:placeholder>
              <w:docPart w:val="7BE0BD64A9914654B94782C976C72DB2"/>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惠水惠明电气实业有限责任公司</w:t>
            </w:r>
          </w:p>
        </w:tc>
        <w:sdt>
          <w:sdtPr>
            <w:rPr>
              <w:rStyle w:val="Char10"/>
            </w:rPr>
            <w:alias w:val="本企业的其他关联方情况明细－其他关联方与本公司关系"/>
            <w:tag w:val="_GBC_58cfdd73098648d8af76645c4007a3fa"/>
            <w:id w:val="-34047163"/>
            <w:lock w:val="sdtLocked"/>
            <w:placeholder>
              <w:docPart w:val="EE11A164F13B40C08E9C10EDDC505FF9"/>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黔南海滨供电设备有限公司</w:t>
            </w:r>
          </w:p>
        </w:tc>
        <w:sdt>
          <w:sdtPr>
            <w:rPr>
              <w:rStyle w:val="Char10"/>
            </w:rPr>
            <w:alias w:val="本企业的其他关联方情况明细－其他关联方与本公司关系"/>
            <w:tag w:val="_GBC_58cfdd73098648d8af76645c4007a3fa"/>
            <w:id w:val="1857998106"/>
            <w:lock w:val="sdtLocked"/>
            <w:placeholder>
              <w:docPart w:val="EE11A164F13B40C08E9C10EDDC505FF9"/>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r w:rsidR="004A3868">
        <w:trPr>
          <w:trHeight w:val="397"/>
          <w:jc w:val="center"/>
        </w:trPr>
        <w:tc>
          <w:tcPr>
            <w:tcW w:w="219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重庆圣耀电力工程有限责任公司</w:t>
            </w:r>
          </w:p>
        </w:tc>
        <w:sdt>
          <w:sdtPr>
            <w:rPr>
              <w:rStyle w:val="Char10"/>
            </w:rPr>
            <w:alias w:val="本企业的其他关联方情况明细－其他关联方与本公司关系"/>
            <w:tag w:val="_GBC_58cfdd73098648d8af76645c4007a3fa"/>
            <w:id w:val="-1181273784"/>
            <w:lock w:val="sdtLocked"/>
            <w:placeholder>
              <w:docPart w:val="EE11A164F13B40C08E9C10EDDC505FF9"/>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Style w:val="Char10"/>
            </w:rPr>
          </w:sdtEndPr>
          <w:sdtContent>
            <w:tc>
              <w:tcPr>
                <w:tcW w:w="2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其他</w:t>
                </w:r>
              </w:p>
            </w:tc>
          </w:sdtContent>
        </w:sdt>
      </w:tr>
    </w:tbl>
    <w:p w:rsidR="004A3868" w:rsidRDefault="003F1AB5">
      <w:pPr>
        <w:pStyle w:val="Style842"/>
        <w:rPr>
          <w:rStyle w:val="Char10"/>
        </w:rPr>
      </w:pPr>
      <w:r>
        <w:rPr>
          <w:rStyle w:val="Char10"/>
          <w:rFonts w:hint="eastAsia"/>
        </w:rPr>
        <w:t>其他说明</w:t>
      </w:r>
    </w:p>
    <w:sdt>
      <w:sdtPr>
        <w:rPr>
          <w:rStyle w:val="Char10"/>
        </w:rPr>
        <w:alias w:val="本企业的其他关联方情况的说明"/>
        <w:tag w:val="_GBC_117952daaba845fa964eb3e2e22e8fc5"/>
        <w:id w:val="-572740978"/>
        <w:placeholder>
          <w:docPart w:val="GBC22222222222222222222222222222"/>
        </w:placeholder>
      </w:sdtPr>
      <w:sdtEndPr>
        <w:rPr>
          <w:rStyle w:val="Char10"/>
        </w:rPr>
      </w:sdtEndPr>
      <w:sdtContent>
        <w:p w:rsidR="004A3868" w:rsidRDefault="003F1AB5">
          <w:pPr>
            <w:spacing w:line="360" w:lineRule="auto"/>
            <w:ind w:firstLineChars="200" w:firstLine="420"/>
            <w:rPr>
              <w:rStyle w:val="Char10"/>
            </w:rPr>
          </w:pPr>
          <w:r>
            <w:rPr>
              <w:rStyle w:val="Char10"/>
              <w:rFonts w:hint="eastAsia"/>
            </w:rPr>
            <w:t>四川明珠电工材料有限责任公司与本企业的关系为：该公司控股股东夏强，截止</w:t>
          </w:r>
          <w:r>
            <w:rPr>
              <w:rStyle w:val="Char10"/>
              <w:rFonts w:hint="eastAsia"/>
            </w:rPr>
            <w:t>2</w:t>
          </w:r>
          <w:r>
            <w:rPr>
              <w:rStyle w:val="Char10"/>
            </w:rPr>
            <w:t>023</w:t>
          </w:r>
          <w:r>
            <w:rPr>
              <w:rStyle w:val="Char10"/>
              <w:rFonts w:hint="eastAsia"/>
            </w:rPr>
            <w:t>年</w:t>
          </w:r>
          <w:r>
            <w:rPr>
              <w:rStyle w:val="Char10"/>
              <w:rFonts w:hint="eastAsia"/>
            </w:rPr>
            <w:t>1</w:t>
          </w:r>
          <w:r>
            <w:rPr>
              <w:rStyle w:val="Char10"/>
            </w:rPr>
            <w:t>2</w:t>
          </w:r>
          <w:r>
            <w:rPr>
              <w:rStyle w:val="Char10"/>
              <w:rFonts w:hint="eastAsia"/>
            </w:rPr>
            <w:lastRenderedPageBreak/>
            <w:t>月</w:t>
          </w:r>
          <w:r>
            <w:rPr>
              <w:rStyle w:val="Char10"/>
              <w:rFonts w:hint="eastAsia"/>
            </w:rPr>
            <w:t>3</w:t>
          </w:r>
          <w:r>
            <w:rPr>
              <w:rStyle w:val="Char10"/>
            </w:rPr>
            <w:t>1</w:t>
          </w:r>
          <w:r>
            <w:rPr>
              <w:rStyle w:val="Char10"/>
              <w:rFonts w:hint="eastAsia"/>
            </w:rPr>
            <w:t>日持有望变电气</w:t>
          </w:r>
          <w:r>
            <w:rPr>
              <w:rStyle w:val="Char10"/>
            </w:rPr>
            <w:t>265.6</w:t>
          </w:r>
          <w:r>
            <w:rPr>
              <w:rStyle w:val="Char10"/>
            </w:rPr>
            <w:t>万股股票</w:t>
          </w:r>
          <w:r>
            <w:rPr>
              <w:rStyle w:val="Char10"/>
              <w:rFonts w:hint="eastAsia"/>
            </w:rPr>
            <w:t>，占公司本次发行后股份总数的</w:t>
          </w:r>
          <w:r>
            <w:rPr>
              <w:rStyle w:val="Char10"/>
            </w:rPr>
            <w:t>0.8%</w:t>
          </w:r>
          <w:r>
            <w:rPr>
              <w:rStyle w:val="Char10"/>
              <w:rFonts w:hint="eastAsia"/>
            </w:rPr>
            <w:t>，</w:t>
          </w:r>
          <w:r>
            <w:rPr>
              <w:rStyle w:val="Char10"/>
            </w:rPr>
            <w:t>持股</w:t>
          </w:r>
          <w:r>
            <w:rPr>
              <w:rStyle w:val="Char10"/>
            </w:rPr>
            <w:t>51%</w:t>
          </w:r>
          <w:r>
            <w:rPr>
              <w:rStyle w:val="Char10"/>
            </w:rPr>
            <w:t>并担任执行董事兼经理；黔南都能开发有限公司为持有本公司子公司黔南望江</w:t>
          </w:r>
          <w:r>
            <w:rPr>
              <w:rStyle w:val="Char10"/>
            </w:rPr>
            <w:t>40%</w:t>
          </w:r>
          <w:r>
            <w:rPr>
              <w:rStyle w:val="Char10"/>
            </w:rPr>
            <w:t>股权的股东；独山鑫源实业开发有限公司、福泉市金山电力开发有限责任公司、瓮安县明辉水电开发有限公司、黔南州都能售电有限公司</w:t>
          </w:r>
          <w:r>
            <w:rPr>
              <w:rStyle w:val="Char10"/>
              <w:rFonts w:hint="eastAsia"/>
            </w:rPr>
            <w:t>、</w:t>
          </w:r>
          <w:r>
            <w:rPr>
              <w:rStyle w:val="Char10"/>
            </w:rPr>
            <w:t>黔南都能汽车服务有限公司、贵州省罗甸县明达水电开发有限责任公司</w:t>
          </w:r>
          <w:r>
            <w:rPr>
              <w:rStyle w:val="Char10"/>
              <w:rFonts w:hint="eastAsia"/>
            </w:rPr>
            <w:t>、</w:t>
          </w:r>
          <w:r>
            <w:rPr>
              <w:rStyle w:val="Char10"/>
            </w:rPr>
            <w:t>惠水惠明电气实业有限责任公司</w:t>
          </w:r>
          <w:r>
            <w:rPr>
              <w:rStyle w:val="Char10"/>
              <w:rFonts w:hint="eastAsia"/>
            </w:rPr>
            <w:t>、黔南海滨供电设备有限公司</w:t>
          </w:r>
          <w:r>
            <w:rPr>
              <w:rStyle w:val="Char10"/>
            </w:rPr>
            <w:t>均为黔南都能开发有限公司的子公司</w:t>
          </w:r>
          <w:r>
            <w:rPr>
              <w:rStyle w:val="Char10"/>
              <w:rFonts w:hint="eastAsia"/>
            </w:rPr>
            <w:t>，重庆圣耀电力工程有限责任公司为本公司销售员工控股的企业。</w:t>
          </w:r>
          <w:r>
            <w:rPr>
              <w:rStyle w:val="Char10"/>
            </w:rPr>
            <w:t xml:space="preserve"> </w:t>
          </w:r>
        </w:p>
      </w:sdtContent>
    </w:sdt>
    <w:p w:rsidR="004A3868" w:rsidRDefault="004A3868">
      <w:pPr>
        <w:pStyle w:val="Style842"/>
        <w:rPr>
          <w:rStyle w:val="Char10"/>
        </w:rPr>
      </w:pPr>
    </w:p>
    <w:p w:rsidR="004A3868" w:rsidRDefault="003F1AB5">
      <w:pPr>
        <w:pStyle w:val="Style955"/>
        <w:numPr>
          <w:ilvl w:val="0"/>
          <w:numId w:val="116"/>
        </w:numPr>
        <w:spacing w:before="120"/>
        <w:rPr>
          <w:rStyle w:val="Char10"/>
        </w:rPr>
      </w:pPr>
      <w:r>
        <w:rPr>
          <w:rStyle w:val="Char10"/>
          <w:rFonts w:hint="eastAsia"/>
        </w:rPr>
        <w:t>关联交易情况</w:t>
      </w:r>
    </w:p>
    <w:p w:rsidR="004A3868" w:rsidRDefault="003F1AB5">
      <w:pPr>
        <w:pStyle w:val="Style956"/>
        <w:numPr>
          <w:ilvl w:val="3"/>
          <w:numId w:val="117"/>
        </w:numPr>
        <w:rPr>
          <w:rStyle w:val="Char10"/>
        </w:rPr>
      </w:pPr>
      <w:r>
        <w:rPr>
          <w:rStyle w:val="Char10"/>
          <w:rFonts w:hint="eastAsia"/>
        </w:rPr>
        <w:t>购销商品、提供和接受劳务的关联交易</w:t>
      </w:r>
    </w:p>
    <w:p w:rsidR="004A3868" w:rsidRDefault="003F1AB5">
      <w:pPr>
        <w:pStyle w:val="Style853"/>
        <w:rPr>
          <w:rStyle w:val="Char10"/>
        </w:rPr>
      </w:pPr>
      <w:r>
        <w:rPr>
          <w:rStyle w:val="Char10"/>
          <w:rFonts w:hint="eastAsia"/>
        </w:rPr>
        <w:t>采购商品</w:t>
      </w:r>
      <w:r>
        <w:rPr>
          <w:rStyle w:val="Char10"/>
          <w:rFonts w:hint="eastAsia"/>
        </w:rPr>
        <w:t>/</w:t>
      </w:r>
      <w:r>
        <w:rPr>
          <w:rStyle w:val="Char10"/>
          <w:rFonts w:hint="eastAsia"/>
        </w:rPr>
        <w:t>接受劳务情况表</w:t>
      </w:r>
    </w:p>
    <w:sdt>
      <w:sdtPr>
        <w:rPr>
          <w:rStyle w:val="Char10"/>
        </w:rPr>
        <w:alias w:val="是否适用：采购商品或接受劳务情况表[双击切换]"/>
        <w:tag w:val="_GBC_c080653feddc4cf2a468adfbb755dff3"/>
        <w:id w:val="1986964042"/>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采购商品接受劳务情况表"/>
          <w:tag w:val="_GBC_60c7e55aaf24447a8a860810d4064a69"/>
          <w:id w:val="8610940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万元</w:t>
          </w:r>
        </w:sdtContent>
      </w:sdt>
      <w:r>
        <w:rPr>
          <w:rStyle w:val="Char10"/>
          <w:rFonts w:hint="eastAsia"/>
        </w:rPr>
        <w:t xml:space="preserve">  </w:t>
      </w:r>
      <w:r>
        <w:rPr>
          <w:rStyle w:val="Char10"/>
          <w:rFonts w:hint="eastAsia"/>
        </w:rPr>
        <w:t>币种：</w:t>
      </w:r>
      <w:sdt>
        <w:sdtPr>
          <w:rPr>
            <w:rStyle w:val="Char10"/>
            <w:rFonts w:hint="eastAsia"/>
          </w:rPr>
          <w:alias w:val="币种：采购商品接受劳务情况表"/>
          <w:tag w:val="_GBC_18feeecfa5c34459a62da7de5d6b5a90"/>
          <w:id w:val="9489014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1414"/>
        <w:gridCol w:w="1558"/>
        <w:gridCol w:w="1653"/>
        <w:gridCol w:w="1323"/>
        <w:gridCol w:w="1276"/>
        <w:gridCol w:w="1599"/>
      </w:tblGrid>
      <w:tr w:rsidR="004A3868">
        <w:trPr>
          <w:cantSplit/>
          <w:trHeight w:val="397"/>
          <w:jc w:val="center"/>
        </w:trPr>
        <w:bookmarkStart w:id="252" w:name="_Hlk40536931" w:displacedByCustomXml="next"/>
        <w:sdt>
          <w:sdtPr>
            <w:tag w:val="_PLD_ed4fd195f176464f83eb8db1dbcbc443"/>
            <w:id w:val="17975052"/>
            <w:lock w:val="sdtLocked"/>
          </w:sdtPr>
          <w:sdtEndPr/>
          <w:sdtContent>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关联方</w:t>
                </w:r>
              </w:p>
            </w:tc>
          </w:sdtContent>
        </w:sdt>
        <w:sdt>
          <w:sdtPr>
            <w:tag w:val="_PLD_013e7578c973447da6bccdb1a3924d96"/>
            <w:id w:val="-582524312"/>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关联交易内容</w:t>
                </w:r>
              </w:p>
            </w:tc>
          </w:sdtContent>
        </w:sdt>
        <w:sdt>
          <w:sdtPr>
            <w:tag w:val="_PLD_6b54e09a146a4c34bba286909831c05b"/>
            <w:id w:val="2129652309"/>
            <w:lock w:val="sdtLocked"/>
          </w:sdtPr>
          <w:sdtEndPr/>
          <w:sdtContent>
            <w:tc>
              <w:tcPr>
                <w:tcW w:w="937" w:type="pc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sdt>
          <w:sdtPr>
            <w:rPr>
              <w:rFonts w:hint="eastAsia"/>
            </w:rPr>
            <w:tag w:val="_PLD_1309066cefbd4c94a1a0060831f53cca"/>
            <w:id w:val="519665619"/>
            <w:lock w:val="sdtLocked"/>
          </w:sdtPr>
          <w:sdtEndPr/>
          <w:sdtContent>
            <w:tc>
              <w:tcPr>
                <w:tcW w:w="750" w:type="pct"/>
                <w:tcBorders>
                  <w:top w:val="single" w:sz="4" w:space="0" w:color="auto"/>
                  <w:left w:val="single" w:sz="4" w:space="0" w:color="auto"/>
                  <w:right w:val="single" w:sz="4" w:space="0" w:color="auto"/>
                </w:tcBorders>
                <w:vAlign w:val="center"/>
              </w:tcPr>
              <w:p w:rsidR="004A3868" w:rsidRDefault="003F1AB5">
                <w:pPr>
                  <w:pStyle w:val="afffb"/>
                </w:pPr>
                <w:r>
                  <w:rPr>
                    <w:rFonts w:hint="eastAsia"/>
                  </w:rPr>
                  <w:t>获批的交易额度（如适用）</w:t>
                </w:r>
              </w:p>
            </w:tc>
          </w:sdtContent>
        </w:sdt>
        <w:sdt>
          <w:sdtPr>
            <w:tag w:val="_PLD_a7f960b39a0c45d1b50eca9b6cfe12b8"/>
            <w:id w:val="759722316"/>
            <w:lock w:val="sdtLocked"/>
          </w:sdtPr>
          <w:sdtEndPr>
            <w:rPr>
              <w:rFonts w:hint="eastAsia"/>
            </w:rPr>
          </w:sdtEndPr>
          <w:sdtContent>
            <w:tc>
              <w:tcPr>
                <w:tcW w:w="723" w:type="pct"/>
                <w:tcBorders>
                  <w:top w:val="single" w:sz="4" w:space="0" w:color="auto"/>
                  <w:left w:val="single" w:sz="4" w:space="0" w:color="auto"/>
                  <w:right w:val="single" w:sz="4" w:space="0" w:color="auto"/>
                </w:tcBorders>
                <w:vAlign w:val="center"/>
              </w:tcPr>
              <w:p w:rsidR="004A3868" w:rsidRDefault="003F1AB5">
                <w:pPr>
                  <w:pStyle w:val="afffb"/>
                </w:pPr>
                <w:r>
                  <w:t>是否超过交易额度</w:t>
                </w:r>
                <w:r>
                  <w:rPr>
                    <w:rFonts w:hint="eastAsia"/>
                  </w:rPr>
                  <w:t>（如适用）</w:t>
                </w:r>
              </w:p>
            </w:tc>
          </w:sdtContent>
        </w:sdt>
        <w:sdt>
          <w:sdtPr>
            <w:tag w:val="_PLD_9f856a67de3d45acbef7ccb12b35985d"/>
            <w:id w:val="-793049120"/>
            <w:lock w:val="sdtLocked"/>
          </w:sdtPr>
          <w:sdtEndPr/>
          <w:sdtContent>
            <w:tc>
              <w:tcPr>
                <w:tcW w:w="906" w:type="pc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上期发生额</w:t>
                </w:r>
              </w:p>
            </w:tc>
          </w:sdtContent>
        </w:sdt>
      </w:tr>
      <w:tr w:rsidR="004A3868">
        <w:trPr>
          <w:cantSplit/>
          <w:trHeight w:val="397"/>
          <w:jc w:val="center"/>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四川明珠电工材料有限责任公司</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采购原材料</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5,591.42</w:t>
            </w:r>
          </w:p>
        </w:tc>
        <w:tc>
          <w:tcPr>
            <w:tcW w:w="75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sdt>
          <w:sdtPr>
            <w:alias w:val="采购商品接受劳务情况明细-是否超过交易额度"/>
            <w:tag w:val="_GBC_4132b5a989a941b3ae6315479bc27b4a"/>
            <w:id w:val="1545862734"/>
            <w:lock w:val="sdtLocked"/>
            <w:comboBox>
              <w:listItem w:displayText="是" w:value="是"/>
              <w:listItem w:displayText="否" w:value="否"/>
            </w:comboBox>
          </w:sdtPr>
          <w:sdtEndPr/>
          <w:sdtContent>
            <w:tc>
              <w:tcPr>
                <w:tcW w:w="7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6,569.21</w:t>
            </w:r>
          </w:p>
        </w:tc>
      </w:tr>
      <w:tr w:rsidR="004A3868">
        <w:trPr>
          <w:cantSplit/>
          <w:trHeight w:val="397"/>
          <w:jc w:val="center"/>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黔南都能汽车服务有限公司</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2.66</w:t>
            </w:r>
          </w:p>
        </w:tc>
        <w:tc>
          <w:tcPr>
            <w:tcW w:w="75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sdt>
          <w:sdtPr>
            <w:alias w:val="采购商品接受劳务情况明细-是否超过交易额度"/>
            <w:tag w:val="_GBC_4132b5a989a941b3ae6315479bc27b4a"/>
            <w:id w:val="1558116925"/>
            <w:lock w:val="sdtLocked"/>
            <w:comboBox>
              <w:listItem w:displayText="是" w:value="是"/>
              <w:listItem w:displayText="否" w:value="否"/>
            </w:comboBox>
          </w:sdtPr>
          <w:sdtEndPr/>
          <w:sdtContent>
            <w:tc>
              <w:tcPr>
                <w:tcW w:w="7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r>
      <w:tr w:rsidR="004A3868">
        <w:trPr>
          <w:cantSplit/>
          <w:trHeight w:val="397"/>
          <w:jc w:val="center"/>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重庆能投长寿经开区售电有限公司</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3.21</w:t>
            </w:r>
          </w:p>
        </w:tc>
        <w:tc>
          <w:tcPr>
            <w:tcW w:w="75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sdt>
          <w:sdtPr>
            <w:alias w:val="采购商品接受劳务情况明细-是否超过交易额度"/>
            <w:tag w:val="_GBC_4132b5a989a941b3ae6315479bc27b4a"/>
            <w:id w:val="1843122664"/>
            <w:lock w:val="sdtLocked"/>
            <w:comboBox>
              <w:listItem w:displayText="是" w:value="是"/>
              <w:listItem w:displayText="否" w:value="否"/>
            </w:comboBox>
          </w:sdtPr>
          <w:sdtEndPr/>
          <w:sdtContent>
            <w:tc>
              <w:tcPr>
                <w:tcW w:w="7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r>
      <w:tr w:rsidR="004A3868">
        <w:trPr>
          <w:cantSplit/>
          <w:trHeight w:val="397"/>
          <w:jc w:val="center"/>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重庆圣耀电力工程有限责任公司</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采购原材料</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rPr>
                <w:rFonts w:hint="eastAsia"/>
              </w:rPr>
              <w:t>1</w:t>
            </w:r>
            <w:r>
              <w:t>0.62</w:t>
            </w:r>
          </w:p>
        </w:tc>
        <w:tc>
          <w:tcPr>
            <w:tcW w:w="75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sdt>
          <w:sdtPr>
            <w:alias w:val="采购商品接受劳务情况明细-是否超过交易额度"/>
            <w:tag w:val="_GBC_4132b5a989a941b3ae6315479bc27b4a"/>
            <w:id w:val="602843217"/>
            <w:lock w:val="sdtLocked"/>
            <w:showingPlcHdr/>
            <w:comboBox>
              <w:listItem w:displayText="是" w:value="是"/>
              <w:listItem w:displayText="否" w:value="否"/>
            </w:comboBox>
          </w:sdtPr>
          <w:sdtEndPr/>
          <w:sdtContent>
            <w:tc>
              <w:tcPr>
                <w:tcW w:w="7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r>
      <w:tr w:rsidR="004A3868">
        <w:trPr>
          <w:cantSplit/>
          <w:trHeight w:val="397"/>
          <w:jc w:val="center"/>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重庆圣耀电力工程有限责任公司</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180.51</w:t>
            </w:r>
          </w:p>
        </w:tc>
        <w:tc>
          <w:tcPr>
            <w:tcW w:w="75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sdt>
          <w:sdtPr>
            <w:alias w:val="采购商品接受劳务情况明细-是否超过交易额度"/>
            <w:tag w:val="_GBC_4132b5a989a941b3ae6315479bc27b4a"/>
            <w:id w:val="1916044058"/>
            <w:lock w:val="sdtLocked"/>
            <w:comboBox>
              <w:listItem w:displayText="是" w:value="是"/>
              <w:listItem w:displayText="否" w:value="否"/>
            </w:comboBox>
          </w:sdtPr>
          <w:sdtEndPr/>
          <w:sdtContent>
            <w:tc>
              <w:tcPr>
                <w:tcW w:w="7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r>
      <w:tr w:rsidR="004A3868">
        <w:trPr>
          <w:cantSplit/>
          <w:trHeight w:val="397"/>
          <w:jc w:val="center"/>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9"/>
            </w:pP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5,788.42</w:t>
            </w:r>
          </w:p>
        </w:tc>
        <w:tc>
          <w:tcPr>
            <w:tcW w:w="750"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pPr>
          </w:p>
        </w:tc>
        <w:sdt>
          <w:sdtPr>
            <w:alias w:val="采购商品接受劳务情况明细-是否超过交易额度"/>
            <w:tag w:val="_GBC_4132b5a989a941b3ae6315479bc27b4a"/>
            <w:id w:val="-939681841"/>
            <w:lock w:val="sdtLocked"/>
            <w:comboBox>
              <w:listItem w:displayText="是" w:value="是"/>
              <w:listItem w:displayText="否" w:value="否"/>
            </w:comboBox>
          </w:sdtPr>
          <w:sdtEndPr/>
          <w:sdtContent>
            <w:tc>
              <w:tcPr>
                <w:tcW w:w="7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pPr>
                <w:r>
                  <w:rPr>
                    <w:rFonts w:hint="eastAsia"/>
                  </w:rPr>
                  <w:t xml:space="preserve">　</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6,569.21</w:t>
            </w:r>
          </w:p>
        </w:tc>
      </w:tr>
    </w:tbl>
    <w:p w:rsidR="004A3868" w:rsidRDefault="004A3868"/>
    <w:p w:rsidR="004A3868" w:rsidRDefault="003F1AB5">
      <w:pPr>
        <w:pStyle w:val="Style842"/>
        <w:rPr>
          <w:rStyle w:val="Char20"/>
        </w:rPr>
      </w:pPr>
      <w:r>
        <w:rPr>
          <w:rStyle w:val="Char20"/>
          <w:rFonts w:hint="eastAsia"/>
        </w:rPr>
        <w:t>出售商品</w:t>
      </w:r>
      <w:r>
        <w:rPr>
          <w:rStyle w:val="Char20"/>
          <w:rFonts w:hint="eastAsia"/>
        </w:rPr>
        <w:t>/</w:t>
      </w:r>
      <w:r>
        <w:rPr>
          <w:rStyle w:val="Char20"/>
          <w:rFonts w:hint="eastAsia"/>
        </w:rPr>
        <w:t>提供劳务情况表</w:t>
      </w:r>
    </w:p>
    <w:bookmarkEnd w:id="252" w:displacedByCustomXml="next"/>
    <w:sdt>
      <w:sdtPr>
        <w:rPr>
          <w:rStyle w:val="Char20"/>
        </w:rPr>
        <w:alias w:val="是否适用：出售商品或提供劳务情况表[双击切换]"/>
        <w:tag w:val="_GBC_38804595ac014174a1f7bfa274a356d2"/>
        <w:id w:val="-846853984"/>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Fonts w:hint="eastAsia"/>
            </w:rPr>
            <w:instrText xml:space="preserve">MACROBUTTON  SnrToggleCheckbox </w:instrText>
          </w:r>
          <w:r>
            <w:rPr>
              <w:rStyle w:val="Char20"/>
              <w:rFonts w:hint="eastAsia"/>
            </w:rPr>
            <w:instrText>√适用</w:instrText>
          </w:r>
          <w:r>
            <w:rPr>
              <w:rStyle w:val="Char20"/>
              <w:rFonts w:hint="eastAsia"/>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rPr>
          <w:rStyle w:val="Char10"/>
        </w:rPr>
      </w:pPr>
      <w:r>
        <w:rPr>
          <w:rStyle w:val="Char10"/>
        </w:rPr>
        <w:t>单位</w:t>
      </w:r>
      <w:r>
        <w:rPr>
          <w:rStyle w:val="Char10"/>
          <w:rFonts w:hint="eastAsia"/>
        </w:rPr>
        <w:t>：</w:t>
      </w:r>
      <w:sdt>
        <w:sdtPr>
          <w:rPr>
            <w:rStyle w:val="Char10"/>
          </w:rPr>
          <w:alias w:val="单位：出售商品提供劳务情况表"/>
          <w:tag w:val="_GBC_74429e932533428390da29c9e567c1c8"/>
          <w:id w:val="7739768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Pr>
            <w:t>万元</w:t>
          </w:r>
        </w:sdtContent>
      </w:sdt>
      <w:r>
        <w:rPr>
          <w:rStyle w:val="Char10"/>
        </w:rPr>
        <w:t xml:space="preserve">  </w:t>
      </w:r>
      <w:r>
        <w:rPr>
          <w:rStyle w:val="Char10"/>
        </w:rPr>
        <w:t>币种：</w:t>
      </w:r>
      <w:sdt>
        <w:sdtPr>
          <w:rPr>
            <w:rStyle w:val="Char10"/>
          </w:rPr>
          <w:alias w:val="币种：出售商品提供劳务情况表"/>
          <w:tag w:val="_GBC_4fc61a58f8e34c3c8024ea0b63c2bd2f"/>
          <w:id w:val="2223388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2334"/>
        <w:gridCol w:w="2139"/>
        <w:gridCol w:w="2174"/>
        <w:gridCol w:w="2176"/>
      </w:tblGrid>
      <w:tr w:rsidR="004A3868">
        <w:trPr>
          <w:cantSplit/>
          <w:trHeight w:val="284"/>
          <w:jc w:val="center"/>
        </w:trPr>
        <w:sdt>
          <w:sdtPr>
            <w:tag w:val="_PLD_8f46d61b556c4e7e9874d48274581d06"/>
            <w:id w:val="-1534031715"/>
            <w:lock w:val="sdtLocked"/>
          </w:sdtPr>
          <w:sdtEndPr/>
          <w:sdtContent>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关联方</w:t>
                </w:r>
              </w:p>
            </w:tc>
          </w:sdtContent>
        </w:sdt>
        <w:sdt>
          <w:sdtPr>
            <w:tag w:val="_PLD_86c6996d2c00443589b89411b2b4bde3"/>
            <w:id w:val="1333567591"/>
            <w:lock w:val="sdtLocked"/>
          </w:sdtPr>
          <w:sdtEndPr/>
          <w:sdtContent>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关联交易内容</w:t>
                </w:r>
              </w:p>
            </w:tc>
          </w:sdtContent>
        </w:sdt>
        <w:sdt>
          <w:sdtPr>
            <w:tag w:val="_PLD_52688fb5000a4ccb8c43276d58764eb4"/>
            <w:id w:val="-389501970"/>
            <w:lock w:val="sdtLocked"/>
          </w:sdtPr>
          <w:sdtEndPr/>
          <w:sdtContent>
            <w:tc>
              <w:tcPr>
                <w:tcW w:w="1232" w:type="pc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sdt>
          <w:sdtPr>
            <w:tag w:val="_PLD_e0158fcec29a443ca9e08a44a2489407"/>
            <w:id w:val="973256032"/>
            <w:lock w:val="sdtLocked"/>
          </w:sdtPr>
          <w:sdtEndPr/>
          <w:sdtContent>
            <w:tc>
              <w:tcPr>
                <w:tcW w:w="1233" w:type="pc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上期发生额</w:t>
                </w:r>
              </w:p>
            </w:tc>
          </w:sdtContent>
        </w:sdt>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t>重庆能投长寿经开区售电有限公司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销售输配电设备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99.42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76.08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t>重庆能投长寿经开区售电有限公司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30.64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24.41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黔南都能开发有限公司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输配电及控制设备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23.45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黔南都能开发有限公司龙里分公司</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t>输配电及控制设备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427.65</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lastRenderedPageBreak/>
              <w:t>黔南都能开发有限公司龙里分公司</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7.47</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福泉市金山电力开发有限责任公司</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输配电及控制设备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16.49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273.70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福泉市金山电力开发有限责任公司</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5.27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独山鑫源实业开发有限公司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输配电及控制设备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2.96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5.32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黔南州都能售电有限公司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0.22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t>瓮安县明辉水电开发有限公司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2.27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1.99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重庆圣耀电力工程有限责任公司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输配电及控制设备</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rPr>
                <w:highlight w:val="yellow"/>
              </w:rPr>
            </w:pPr>
            <w:r>
              <w:t xml:space="preserve"> 873.92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rPr>
                <w:highlight w:val="yellow"/>
              </w:rPr>
            </w:pPr>
            <w:r>
              <w:t xml:space="preserve">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重庆圣耀电力工程有限责任公司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其他</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4.28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   </w:t>
            </w:r>
          </w:p>
        </w:tc>
      </w:tr>
      <w:tr w:rsidR="004A3868">
        <w:trPr>
          <w:cantSplit/>
          <w:trHeight w:val="284"/>
          <w:jc w:val="center"/>
        </w:trPr>
        <w:tc>
          <w:tcPr>
            <w:tcW w:w="1323"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合计</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9"/>
            </w:pP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rPr>
                <w:highlight w:val="magenta"/>
              </w:rPr>
            </w:pPr>
            <w:r>
              <w:t xml:space="preserve"> 1,488.76 </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rPr>
                <w:highlight w:val="magenta"/>
              </w:rPr>
            </w:pPr>
            <w:r>
              <w:t xml:space="preserve"> 386.77 </w:t>
            </w:r>
          </w:p>
        </w:tc>
      </w:tr>
    </w:tbl>
    <w:p w:rsidR="004A3868" w:rsidRDefault="004A3868"/>
    <w:p w:rsidR="004A3868" w:rsidRDefault="003F1AB5">
      <w:pPr>
        <w:pStyle w:val="Style842"/>
        <w:rPr>
          <w:rStyle w:val="Char10"/>
        </w:rPr>
      </w:pPr>
      <w:r>
        <w:rPr>
          <w:rStyle w:val="Char10"/>
          <w:rFonts w:hint="eastAsia"/>
        </w:rPr>
        <w:t>购销商品、提供和接受劳务的关联交易说明</w:t>
      </w:r>
    </w:p>
    <w:sdt>
      <w:sdtPr>
        <w:rPr>
          <w:rStyle w:val="Char10"/>
        </w:rPr>
        <w:alias w:val="是否适用：购销商品、提供和接受劳务的关联交易说明[双击切换]"/>
        <w:tag w:val="_GBC_bfac708300bd4f9886d4b6bc97c99022"/>
        <w:id w:val="1373964252"/>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alias w:val="购销商品、提供和接受劳务的关联交易说明"/>
        <w:tag w:val="_GBC_2e3d658b1c454acb945f621162cfd0e7"/>
        <w:id w:val="-722517272"/>
        <w:placeholder>
          <w:docPart w:val="GBC22222222222222222222222222222"/>
        </w:placeholder>
      </w:sdtPr>
      <w:sdtEndPr/>
      <w:sdtContent>
        <w:p w:rsidR="004A3868" w:rsidRDefault="003F1AB5">
          <w:pPr>
            <w:pStyle w:val="Style842"/>
          </w:pPr>
          <w:r>
            <w:rPr>
              <w:rFonts w:hint="eastAsia"/>
            </w:rPr>
            <w:t>无</w:t>
          </w:r>
        </w:p>
      </w:sdtContent>
    </w:sdt>
    <w:p w:rsidR="004A3868" w:rsidRDefault="003F1AB5">
      <w:pPr>
        <w:pStyle w:val="Style956"/>
        <w:numPr>
          <w:ilvl w:val="3"/>
          <w:numId w:val="117"/>
        </w:numPr>
        <w:rPr>
          <w:rStyle w:val="Char10"/>
        </w:rPr>
      </w:pPr>
      <w:r>
        <w:rPr>
          <w:rStyle w:val="Char10"/>
          <w:rFonts w:hint="eastAsia"/>
        </w:rPr>
        <w:t>关联受托管理</w:t>
      </w:r>
      <w:r>
        <w:rPr>
          <w:rStyle w:val="Char10"/>
          <w:rFonts w:hint="eastAsia"/>
        </w:rPr>
        <w:t>/</w:t>
      </w:r>
      <w:r>
        <w:rPr>
          <w:rStyle w:val="Char10"/>
          <w:rFonts w:hint="eastAsia"/>
        </w:rPr>
        <w:t>承包及委托管理</w:t>
      </w:r>
      <w:r>
        <w:rPr>
          <w:rStyle w:val="Char10"/>
          <w:rFonts w:hint="eastAsia"/>
        </w:rPr>
        <w:t>/</w:t>
      </w:r>
      <w:r>
        <w:rPr>
          <w:rStyle w:val="Char10"/>
          <w:rFonts w:hint="eastAsia"/>
        </w:rPr>
        <w:t>出包情况</w:t>
      </w:r>
    </w:p>
    <w:p w:rsidR="004A3868" w:rsidRDefault="003F1AB5">
      <w:pPr>
        <w:pStyle w:val="Style842"/>
        <w:rPr>
          <w:rStyle w:val="Char10"/>
        </w:rPr>
      </w:pPr>
      <w:r>
        <w:rPr>
          <w:rStyle w:val="Char10"/>
          <w:rFonts w:hint="eastAsia"/>
        </w:rPr>
        <w:t>本公司受托管理</w:t>
      </w:r>
      <w:r>
        <w:rPr>
          <w:rStyle w:val="Char10"/>
          <w:rFonts w:hint="eastAsia"/>
        </w:rPr>
        <w:t>/</w:t>
      </w:r>
      <w:r>
        <w:rPr>
          <w:rStyle w:val="Char10"/>
          <w:rFonts w:hint="eastAsia"/>
        </w:rPr>
        <w:t>承包情况表：</w:t>
      </w:r>
    </w:p>
    <w:sdt>
      <w:sdtPr>
        <w:rPr>
          <w:rStyle w:val="Char10"/>
        </w:rPr>
        <w:alias w:val="是否适用：本公司受托管理或承包情况表[双击切换]"/>
        <w:tag w:val="_GBC_30440fae2d7246f59be82c31d907217a"/>
        <w:id w:val="268891548"/>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关联托管</w:t>
      </w:r>
      <w:r>
        <w:rPr>
          <w:rStyle w:val="Char10"/>
          <w:rFonts w:hint="eastAsia"/>
        </w:rPr>
        <w:t>/</w:t>
      </w:r>
      <w:r>
        <w:rPr>
          <w:rStyle w:val="Char10"/>
          <w:rFonts w:hint="eastAsia"/>
        </w:rPr>
        <w:t>承包情况说明</w:t>
      </w:r>
    </w:p>
    <w:sdt>
      <w:sdtPr>
        <w:rPr>
          <w:rStyle w:val="Char10"/>
        </w:rPr>
        <w:alias w:val="是否适用：关联托管或承包情况说明[双击切换]"/>
        <w:tag w:val="_GBC_60aca51a92e545e9bbad9ba5228083c8"/>
        <w:id w:val="-839233406"/>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本公司委托管理</w:t>
      </w:r>
      <w:r>
        <w:rPr>
          <w:rStyle w:val="Char10"/>
          <w:rFonts w:hint="eastAsia"/>
        </w:rPr>
        <w:t>/</w:t>
      </w:r>
      <w:r>
        <w:rPr>
          <w:rStyle w:val="Char10"/>
          <w:rFonts w:hint="eastAsia"/>
        </w:rPr>
        <w:t>出包情况表</w:t>
      </w:r>
    </w:p>
    <w:sdt>
      <w:sdtPr>
        <w:rPr>
          <w:rStyle w:val="Char10"/>
        </w:rPr>
        <w:alias w:val="是否适用：本公司委托管理或出包情况表[双击切换]"/>
        <w:tag w:val="_GBC_4655dfffa9a7464b8715035e819d5968"/>
        <w:id w:val="-63325191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关联管理</w:t>
      </w:r>
      <w:r>
        <w:rPr>
          <w:rStyle w:val="Char10"/>
          <w:rFonts w:hint="eastAsia"/>
        </w:rPr>
        <w:t>/</w:t>
      </w:r>
      <w:r>
        <w:rPr>
          <w:rStyle w:val="Char10"/>
          <w:rFonts w:hint="eastAsia"/>
        </w:rPr>
        <w:t>出包情况说明</w:t>
      </w:r>
    </w:p>
    <w:sdt>
      <w:sdtPr>
        <w:rPr>
          <w:rStyle w:val="Char10"/>
        </w:rPr>
        <w:alias w:val="是否适用：关联管理或出包情况说明[双击切换]"/>
        <w:tag w:val="_GBC_a21df8e7013c4b70bab4125cabda8c46"/>
        <w:id w:val="164521484"/>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7"/>
        </w:numPr>
        <w:rPr>
          <w:rStyle w:val="Char10"/>
        </w:rPr>
      </w:pPr>
      <w:r>
        <w:rPr>
          <w:rStyle w:val="Char10"/>
          <w:rFonts w:hint="eastAsia"/>
        </w:rPr>
        <w:t>关联租赁情况</w:t>
      </w:r>
    </w:p>
    <w:p w:rsidR="004A3868" w:rsidRDefault="003F1AB5">
      <w:pPr>
        <w:pStyle w:val="Style842"/>
        <w:rPr>
          <w:rStyle w:val="Char10"/>
        </w:rPr>
      </w:pPr>
      <w:r>
        <w:rPr>
          <w:rStyle w:val="Char10"/>
          <w:rFonts w:hint="eastAsia"/>
        </w:rPr>
        <w:t>本公司作为出租方：</w:t>
      </w:r>
    </w:p>
    <w:sdt>
      <w:sdtPr>
        <w:rPr>
          <w:rStyle w:val="Char10"/>
        </w:rPr>
        <w:alias w:val="是否适用：本公司作为出租方的租赁情况表[双击切换]"/>
        <w:tag w:val="_GBC_b67e8ccf7ec147d698f9f192968e98bf"/>
        <w:id w:val="1079799527"/>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4A3868">
      <w:pPr>
        <w:sectPr w:rsidR="004A3868">
          <w:pgSz w:w="11906" w:h="16838"/>
          <w:pgMar w:top="1525" w:right="1276" w:bottom="1440" w:left="1797" w:header="856" w:footer="992" w:gutter="0"/>
          <w:cols w:space="425"/>
          <w:docGrid w:linePitch="312"/>
        </w:sectPr>
      </w:pPr>
    </w:p>
    <w:p w:rsidR="004A3868" w:rsidRDefault="004A3868">
      <w:pPr>
        <w:pStyle w:val="Style842"/>
      </w:pPr>
    </w:p>
    <w:p w:rsidR="004A3868" w:rsidRDefault="003F1AB5">
      <w:pPr>
        <w:pStyle w:val="Style842"/>
        <w:rPr>
          <w:rStyle w:val="Char10"/>
        </w:rPr>
      </w:pPr>
      <w:r>
        <w:rPr>
          <w:rStyle w:val="Char10"/>
          <w:rFonts w:hint="eastAsia"/>
        </w:rPr>
        <w:t>本公司作为承租方：</w:t>
      </w:r>
    </w:p>
    <w:sdt>
      <w:sdtPr>
        <w:rPr>
          <w:rStyle w:val="Char10"/>
        </w:rPr>
        <w:alias w:val="是否适用：本公司作为承租方的租赁情况表[双击切换]"/>
        <w:tag w:val="_GBC_f8542afd84e2430aad299d7024543330"/>
        <w:id w:val="-301009559"/>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关联租赁情况说明</w:t>
      </w:r>
    </w:p>
    <w:sdt>
      <w:sdtPr>
        <w:rPr>
          <w:rStyle w:val="Char10"/>
        </w:rPr>
        <w:alias w:val="是否适用：关联租赁情况说明[双击切换]"/>
        <w:tag w:val="_GBC_f11304240a9e46d8b340976a035205d3"/>
        <w:id w:val="590048858"/>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4A3868">
      <w:pPr>
        <w:sectPr w:rsidR="004A3868">
          <w:pgSz w:w="16838" w:h="11906" w:orient="landscape"/>
          <w:pgMar w:top="1797" w:right="1525" w:bottom="1276" w:left="1440" w:header="856" w:footer="992" w:gutter="0"/>
          <w:cols w:space="425"/>
          <w:docGrid w:linePitch="312"/>
        </w:sectPr>
      </w:pPr>
    </w:p>
    <w:p w:rsidR="004A3868" w:rsidRDefault="004A3868">
      <w:pPr>
        <w:pStyle w:val="Style853"/>
      </w:pPr>
    </w:p>
    <w:p w:rsidR="004A3868" w:rsidRDefault="003F1AB5">
      <w:pPr>
        <w:pStyle w:val="Style956"/>
        <w:numPr>
          <w:ilvl w:val="3"/>
          <w:numId w:val="117"/>
        </w:numPr>
        <w:rPr>
          <w:rStyle w:val="Char10"/>
        </w:rPr>
      </w:pPr>
      <w:r>
        <w:rPr>
          <w:rStyle w:val="Char10"/>
          <w:rFonts w:hint="eastAsia"/>
        </w:rPr>
        <w:t>关联担保情况</w:t>
      </w:r>
    </w:p>
    <w:p w:rsidR="004A3868" w:rsidRDefault="003F1AB5">
      <w:pPr>
        <w:pStyle w:val="Style853"/>
        <w:rPr>
          <w:rStyle w:val="Char10"/>
        </w:rPr>
      </w:pPr>
      <w:r>
        <w:rPr>
          <w:rStyle w:val="Char10"/>
          <w:rFonts w:hint="eastAsia"/>
        </w:rPr>
        <w:t>本公司作为担保方</w:t>
      </w:r>
    </w:p>
    <w:sdt>
      <w:sdtPr>
        <w:rPr>
          <w:rStyle w:val="Char10"/>
        </w:rPr>
        <w:alias w:val="是否适用：本公司作为担保方的担保情况表[双击切换]"/>
        <w:tag w:val="_GBC_4ba390d56c0645788c7893af84ca2773"/>
        <w:id w:val="-811404317"/>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关联担保情况"/>
          <w:tag w:val="_GBC_336765f306884ed7ac31323ffdc7164d"/>
          <w:id w:val="-11083533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万元</w:t>
          </w:r>
        </w:sdtContent>
      </w:sdt>
      <w:r>
        <w:rPr>
          <w:rStyle w:val="Char10"/>
          <w:rFonts w:hint="eastAsia"/>
        </w:rPr>
        <w:t xml:space="preserve">  </w:t>
      </w:r>
      <w:r>
        <w:rPr>
          <w:rStyle w:val="Char10"/>
          <w:rFonts w:hint="eastAsia"/>
        </w:rPr>
        <w:t>币种：</w:t>
      </w:r>
      <w:sdt>
        <w:sdtPr>
          <w:rPr>
            <w:rStyle w:val="Char10"/>
            <w:rFonts w:hint="eastAsia"/>
          </w:rPr>
          <w:alias w:val="币种：关联担保情况"/>
          <w:tag w:val="_GBC_65f9c6a02cb346e48ef0bee93406b7c3"/>
          <w:id w:val="11824827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30" w:type="dxa"/>
        </w:tblCellMar>
        <w:tblLook w:val="04A0" w:firstRow="1" w:lastRow="0" w:firstColumn="1" w:lastColumn="0" w:noHBand="0" w:noVBand="1"/>
      </w:tblPr>
      <w:tblGrid>
        <w:gridCol w:w="1563"/>
        <w:gridCol w:w="1641"/>
        <w:gridCol w:w="1786"/>
        <w:gridCol w:w="1777"/>
        <w:gridCol w:w="2056"/>
      </w:tblGrid>
      <w:tr w:rsidR="004A3868">
        <w:trPr>
          <w:trHeight w:val="397"/>
          <w:jc w:val="center"/>
        </w:trPr>
        <w:sdt>
          <w:sdtPr>
            <w:rPr>
              <w:rStyle w:val="Char10"/>
            </w:rPr>
            <w:tag w:val="_PLD_96a4e4b902dd4a1aabeda7f378f03632"/>
            <w:id w:val="1388457118"/>
            <w:lock w:val="sdtLocked"/>
          </w:sdtPr>
          <w:sdtEndPr>
            <w:rPr>
              <w:rStyle w:val="Char10"/>
            </w:r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被担保方</w:t>
                </w:r>
              </w:p>
            </w:tc>
          </w:sdtContent>
        </w:sdt>
        <w:sdt>
          <w:sdtPr>
            <w:rPr>
              <w:rStyle w:val="Char10"/>
            </w:rPr>
            <w:tag w:val="_PLD_e261ef4f94b54fc2b7ef782e98e6a6f9"/>
            <w:id w:val="-358583045"/>
            <w:lock w:val="sdtLocked"/>
          </w:sdtPr>
          <w:sdtEndPr>
            <w:rPr>
              <w:rStyle w:val="Char10"/>
            </w:r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担保金额</w:t>
                </w:r>
              </w:p>
            </w:tc>
          </w:sdtContent>
        </w:sdt>
        <w:sdt>
          <w:sdtPr>
            <w:rPr>
              <w:rStyle w:val="Char10"/>
            </w:rPr>
            <w:tag w:val="_PLD_6591ac1a04e6441cbf6e117b8ca9b235"/>
            <w:id w:val="714699879"/>
            <w:lock w:val="sdtLocked"/>
          </w:sdtPr>
          <w:sdtEndPr>
            <w:rPr>
              <w:rStyle w:val="Char10"/>
            </w:r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担保起始日</w:t>
                </w:r>
              </w:p>
            </w:tc>
          </w:sdtContent>
        </w:sdt>
        <w:sdt>
          <w:sdtPr>
            <w:rPr>
              <w:rStyle w:val="Char10"/>
            </w:rPr>
            <w:tag w:val="_PLD_a4bd05821174469b92860eea66b1f7f5"/>
            <w:id w:val="-341936163"/>
            <w:lock w:val="sdtLocked"/>
          </w:sdtPr>
          <w:sdtEndPr>
            <w:rPr>
              <w:rStyle w:val="Char10"/>
            </w:r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担保到期日</w:t>
                </w:r>
              </w:p>
            </w:tc>
          </w:sdtContent>
        </w:sdt>
        <w:sdt>
          <w:sdtPr>
            <w:rPr>
              <w:rStyle w:val="Char10"/>
            </w:rPr>
            <w:tag w:val="_PLD_ed3011fa0ff64ab0b41763ff62b9ba30"/>
            <w:id w:val="-1173945337"/>
            <w:lock w:val="sdtLocked"/>
          </w:sdtPr>
          <w:sdtEndPr>
            <w:rPr>
              <w:rStyle w:val="Char10"/>
            </w:r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担保是否已经履行完毕</w:t>
                </w:r>
              </w:p>
            </w:tc>
          </w:sdtContent>
        </w:sdt>
      </w:tr>
      <w:tr w:rsidR="004A3868">
        <w:trPr>
          <w:trHeight w:val="397"/>
          <w:jc w:val="center"/>
        </w:trPr>
        <w:tc>
          <w:tcPr>
            <w:tcW w:w="885"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1224"/>
              <w:rPr>
                <w:rStyle w:val="Char10"/>
              </w:rPr>
            </w:pPr>
            <w:r>
              <w:rPr>
                <w:rStyle w:val="Char10"/>
              </w:rPr>
              <w:t>黔南望江变压器有限公司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8,000.00</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2021/11/1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2027/12/31</w:t>
            </w:r>
          </w:p>
        </w:tc>
        <w:sdt>
          <w:sdtPr>
            <w:rPr>
              <w:rStyle w:val="Char10"/>
            </w:rPr>
            <w:alias w:val="本公司作为担保方的关联担保情况明细-担保是否已经履行完毕"/>
            <w:tag w:val="_GBC_70748b9f40494d41a4708a6b900ecc0d"/>
            <w:id w:val="-1147662339"/>
            <w:lock w:val="sdtLocked"/>
            <w:comboBox>
              <w:listItem w:displayText="是" w:value="true"/>
              <w:listItem w:displayText="否" w:value="false"/>
            </w:comboBox>
          </w:sdtPr>
          <w:sdtEndPr>
            <w:rPr>
              <w:rStyle w:val="Char10"/>
            </w:r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否</w:t>
                </w:r>
              </w:p>
            </w:tc>
          </w:sdtContent>
        </w:sdt>
      </w:tr>
      <w:tr w:rsidR="004A3868">
        <w:trPr>
          <w:trHeight w:val="397"/>
          <w:jc w:val="center"/>
        </w:trPr>
        <w:tc>
          <w:tcPr>
            <w:tcW w:w="885"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1224"/>
              <w:rPr>
                <w:rStyle w:val="Char10"/>
              </w:rPr>
            </w:pPr>
            <w:r>
              <w:rPr>
                <w:rStyle w:val="Char10"/>
                <w:rFonts w:hint="eastAsia"/>
              </w:rPr>
              <w:t>合计</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8,000.00</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rPr>
                <w:rStyle w:val="Char10"/>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rPr>
                <w:rStyle w:val="Char10"/>
              </w:rPr>
            </w:pPr>
          </w:p>
        </w:tc>
        <w:sdt>
          <w:sdtPr>
            <w:rPr>
              <w:rStyle w:val="Char10"/>
            </w:rPr>
            <w:alias w:val="本公司作为担保方的关联担保情况明细-担保是否已经履行完毕"/>
            <w:tag w:val="_GBC_70748b9f40494d41a4708a6b900ecc0d"/>
            <w:id w:val="-1645186129"/>
            <w:lock w:val="sdtLocked"/>
            <w:comboBox>
              <w:listItem w:displayText="是" w:value="true"/>
              <w:listItem w:displayText="否" w:value="false"/>
            </w:comboBox>
          </w:sdtPr>
          <w:sdtEndPr>
            <w:rPr>
              <w:rStyle w:val="Char10"/>
            </w:r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842"/>
                  <w:rPr>
                    <w:rStyle w:val="Char10"/>
                  </w:rPr>
                </w:pPr>
                <w:r>
                  <w:rPr>
                    <w:rStyle w:val="Char10"/>
                    <w:rFonts w:hint="eastAsia"/>
                  </w:rPr>
                  <w:t xml:space="preserve">　</w:t>
                </w:r>
              </w:p>
            </w:tc>
          </w:sdtContent>
        </w:sdt>
      </w:tr>
    </w:tbl>
    <w:p w:rsidR="004A3868" w:rsidRDefault="003F1AB5">
      <w:pPr>
        <w:pStyle w:val="Style1213"/>
        <w:ind w:firstLine="420"/>
        <w:rPr>
          <w:rStyle w:val="Char10"/>
        </w:rPr>
      </w:pPr>
      <w:r>
        <w:rPr>
          <w:rStyle w:val="Char10"/>
        </w:rPr>
        <w:t>2021</w:t>
      </w:r>
      <w:r>
        <w:rPr>
          <w:rStyle w:val="Char10"/>
        </w:rPr>
        <w:t>年</w:t>
      </w:r>
      <w:r>
        <w:rPr>
          <w:rStyle w:val="Char10"/>
        </w:rPr>
        <w:t>11</w:t>
      </w:r>
      <w:r>
        <w:rPr>
          <w:rStyle w:val="Char10"/>
        </w:rPr>
        <w:t>月</w:t>
      </w:r>
      <w:r>
        <w:rPr>
          <w:rStyle w:val="Char10"/>
        </w:rPr>
        <w:t>1</w:t>
      </w:r>
      <w:r>
        <w:rPr>
          <w:rStyle w:val="Char10"/>
        </w:rPr>
        <w:t>日本公司与中国工商银行股份有限公司都匀分行签订担保协议，本公司为全资子公司黔南望江变压器有限公司与中国工商银行股份有限公司都匀分行签订的</w:t>
      </w:r>
      <w:r>
        <w:rPr>
          <w:rStyle w:val="Char10"/>
        </w:rPr>
        <w:t>8,000</w:t>
      </w:r>
      <w:r>
        <w:rPr>
          <w:rStyle w:val="Char10"/>
        </w:rPr>
        <w:t>万元《项目贷款合同》提供担保，担保金额</w:t>
      </w:r>
      <w:r>
        <w:rPr>
          <w:rStyle w:val="Char10"/>
        </w:rPr>
        <w:t>: 8,000</w:t>
      </w:r>
      <w:r>
        <w:rPr>
          <w:rStyle w:val="Char10"/>
        </w:rPr>
        <w:t>万元。</w:t>
      </w:r>
    </w:p>
    <w:p w:rsidR="004A3868" w:rsidRDefault="003F1AB5">
      <w:pPr>
        <w:pStyle w:val="Style842"/>
        <w:rPr>
          <w:rStyle w:val="Char10"/>
        </w:rPr>
      </w:pPr>
      <w:r>
        <w:rPr>
          <w:rStyle w:val="Char10"/>
          <w:rFonts w:hint="eastAsia"/>
        </w:rPr>
        <w:t>本公司作为被担保方</w:t>
      </w:r>
    </w:p>
    <w:sdt>
      <w:sdtPr>
        <w:rPr>
          <w:rStyle w:val="Char10"/>
        </w:rPr>
        <w:alias w:val="是否适用：本公司作为被担保方的担保情况表[双击切换]"/>
        <w:tag w:val="_GBC_24ee28d66e214f089c669dca4a51a3a4"/>
        <w:id w:val="1628130541"/>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财务附注：本公司作为被担保方"/>
          <w:tag w:val="_GBC_08de61ddd16b467c884ca0edae6aa2be"/>
          <w:id w:val="17671174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万元</w:t>
          </w:r>
        </w:sdtContent>
      </w:sdt>
      <w:r>
        <w:rPr>
          <w:rStyle w:val="Char10"/>
          <w:rFonts w:hint="eastAsia"/>
        </w:rPr>
        <w:t xml:space="preserve">  </w:t>
      </w:r>
      <w:r>
        <w:rPr>
          <w:rStyle w:val="Char10"/>
          <w:rFonts w:hint="eastAsia"/>
        </w:rPr>
        <w:t>币种：</w:t>
      </w:r>
      <w:sdt>
        <w:sdtPr>
          <w:rPr>
            <w:rStyle w:val="Char10"/>
            <w:rFonts w:hint="eastAsia"/>
          </w:rPr>
          <w:alias w:val="币种：财务附注：本公司作为被担保方"/>
          <w:tag w:val="_GBC_42fee4856c844a5db5f4478afdb3c96d"/>
          <w:id w:val="-436985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30" w:type="dxa"/>
        </w:tblCellMar>
        <w:tblLook w:val="04A0" w:firstRow="1" w:lastRow="0" w:firstColumn="1" w:lastColumn="0" w:noHBand="0" w:noVBand="1"/>
      </w:tblPr>
      <w:tblGrid>
        <w:gridCol w:w="1698"/>
        <w:gridCol w:w="2126"/>
        <w:gridCol w:w="1703"/>
        <w:gridCol w:w="1699"/>
        <w:gridCol w:w="1597"/>
      </w:tblGrid>
      <w:tr w:rsidR="004A3868">
        <w:trPr>
          <w:trHeight w:val="397"/>
          <w:jc w:val="center"/>
        </w:trPr>
        <w:sdt>
          <w:sdtPr>
            <w:rPr>
              <w:rStyle w:val="Char10"/>
            </w:rPr>
            <w:tag w:val="_PLD_e05323f7a96841bb935f95dcfec68e48"/>
            <w:id w:val="649714888"/>
            <w:lock w:val="sdtLocked"/>
          </w:sdtPr>
          <w:sdtEndPr>
            <w:rPr>
              <w:rStyle w:val="Char10"/>
            </w:rPr>
          </w:sdtEndPr>
          <w:sdtContent>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担保方</w:t>
                </w:r>
              </w:p>
            </w:tc>
          </w:sdtContent>
        </w:sdt>
        <w:sdt>
          <w:sdtPr>
            <w:rPr>
              <w:rStyle w:val="Char10"/>
            </w:rPr>
            <w:tag w:val="_PLD_7721a8a4c1844b24b36caad78c1dee85"/>
            <w:id w:val="1105690425"/>
            <w:lock w:val="sdtLocked"/>
          </w:sdtPr>
          <w:sdtEndPr>
            <w:rPr>
              <w:rStyle w:val="Char10"/>
            </w:r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担保金额</w:t>
                </w:r>
              </w:p>
            </w:tc>
          </w:sdtContent>
        </w:sdt>
        <w:sdt>
          <w:sdtPr>
            <w:rPr>
              <w:rStyle w:val="Char10"/>
            </w:rPr>
            <w:tag w:val="_PLD_cac4c4f152c846eb9313593bf39d4ef9"/>
            <w:id w:val="98685188"/>
            <w:lock w:val="sdtLocked"/>
          </w:sdtPr>
          <w:sdtEndPr>
            <w:rPr>
              <w:rStyle w:val="Char10"/>
            </w:rPr>
          </w:sdtEndPr>
          <w:sdtContent>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担保起始日</w:t>
                </w:r>
              </w:p>
            </w:tc>
          </w:sdtContent>
        </w:sdt>
        <w:sdt>
          <w:sdtPr>
            <w:rPr>
              <w:rStyle w:val="Char10"/>
            </w:rPr>
            <w:tag w:val="_PLD_c0918f2db0154eb396818afe3e3f0e9d"/>
            <w:id w:val="-470754843"/>
            <w:lock w:val="sdtLocked"/>
          </w:sdtPr>
          <w:sdtEndPr>
            <w:rPr>
              <w:rStyle w:val="Char10"/>
            </w:rPr>
          </w:sdtEndPr>
          <w:sdtContent>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担保到期日</w:t>
                </w:r>
              </w:p>
            </w:tc>
          </w:sdtContent>
        </w:sdt>
        <w:sdt>
          <w:sdtPr>
            <w:rPr>
              <w:rStyle w:val="Char10"/>
            </w:rPr>
            <w:tag w:val="_PLD_f7d47a75b517407d8d11153f5529706f"/>
            <w:id w:val="-1614662137"/>
            <w:lock w:val="sdtLocked"/>
          </w:sdtPr>
          <w:sdtEndPr>
            <w:rPr>
              <w:rStyle w:val="Char10"/>
            </w:r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担保是否已经履行完毕</w:t>
                </w:r>
              </w:p>
            </w:tc>
          </w:sdtContent>
        </w:sdt>
      </w:tr>
      <w:tr w:rsidR="004A3868">
        <w:trPr>
          <w:trHeight w:val="397"/>
          <w:jc w:val="center"/>
        </w:trPr>
        <w:tc>
          <w:tcPr>
            <w:tcW w:w="96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1224"/>
              <w:rPr>
                <w:rStyle w:val="Char10"/>
              </w:rPr>
            </w:pPr>
            <w:r>
              <w:rPr>
                <w:rStyle w:val="Char10"/>
              </w:rPr>
              <w:t>杨泽民、秦惠兰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8,000.00</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2021/11/1</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2027/12/31</w:t>
            </w:r>
          </w:p>
        </w:tc>
        <w:sdt>
          <w:sdtPr>
            <w:rPr>
              <w:rStyle w:val="Char10"/>
            </w:rPr>
            <w:alias w:val="本公司作为被担保方的关联担保情况明细-担保是否已经履行完毕"/>
            <w:tag w:val="_GBC_11b6ef1abc32485687a498df5cd1fbcd"/>
            <w:id w:val="-106895657"/>
            <w:lock w:val="sdtLocked"/>
            <w:comboBox>
              <w:listItem w:displayText="是" w:value="true"/>
              <w:listItem w:displayText="否" w:value="false"/>
            </w:comboBox>
          </w:sdtPr>
          <w:sdtEndPr>
            <w:rPr>
              <w:rStyle w:val="Char10"/>
            </w:r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否</w:t>
                </w:r>
              </w:p>
            </w:tc>
          </w:sdtContent>
        </w:sdt>
      </w:tr>
      <w:tr w:rsidR="004A3868">
        <w:trPr>
          <w:trHeight w:val="397"/>
          <w:jc w:val="center"/>
        </w:trPr>
        <w:tc>
          <w:tcPr>
            <w:tcW w:w="96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1224"/>
              <w:rPr>
                <w:rStyle w:val="Char10"/>
              </w:rPr>
            </w:pPr>
            <w:r>
              <w:rPr>
                <w:rStyle w:val="Char10"/>
              </w:rPr>
              <w:t>杨泽民、秦惠兰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10,000.00</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2022/12/26</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2025/12/26</w:t>
            </w:r>
          </w:p>
        </w:tc>
        <w:sdt>
          <w:sdtPr>
            <w:rPr>
              <w:rStyle w:val="Char10"/>
            </w:rPr>
            <w:alias w:val="本公司作为被担保方的关联担保情况明细-担保是否已经履行完毕"/>
            <w:tag w:val="_GBC_11b6ef1abc32485687a498df5cd1fbcd"/>
            <w:id w:val="1084191807"/>
            <w:lock w:val="sdtLocked"/>
            <w:comboBox>
              <w:listItem w:displayText="是" w:value="true"/>
              <w:listItem w:displayText="否" w:value="false"/>
            </w:comboBox>
          </w:sdtPr>
          <w:sdtEndPr>
            <w:rPr>
              <w:rStyle w:val="Char10"/>
            </w:r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否</w:t>
                </w:r>
              </w:p>
            </w:tc>
          </w:sdtContent>
        </w:sdt>
      </w:tr>
      <w:tr w:rsidR="004A3868">
        <w:trPr>
          <w:trHeight w:val="397"/>
          <w:jc w:val="center"/>
        </w:trPr>
        <w:tc>
          <w:tcPr>
            <w:tcW w:w="96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1224"/>
              <w:rPr>
                <w:rStyle w:val="Char10"/>
              </w:rPr>
            </w:pPr>
            <w:r>
              <w:rPr>
                <w:rStyle w:val="Char10"/>
              </w:rPr>
              <w:t>杨泽民、秦惠兰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18,000.00</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2022/11/8</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2026/2/25</w:t>
            </w:r>
          </w:p>
        </w:tc>
        <w:sdt>
          <w:sdtPr>
            <w:rPr>
              <w:rStyle w:val="Char10"/>
            </w:rPr>
            <w:alias w:val="本公司作为被担保方的关联担保情况明细-担保是否已经履行完毕"/>
            <w:tag w:val="_GBC_11b6ef1abc32485687a498df5cd1fbcd"/>
            <w:id w:val="-414788511"/>
            <w:lock w:val="sdtLocked"/>
            <w:comboBox>
              <w:listItem w:displayText="是" w:value="true"/>
              <w:listItem w:displayText="否" w:value="false"/>
            </w:comboBox>
          </w:sdtPr>
          <w:sdtEndPr>
            <w:rPr>
              <w:rStyle w:val="Char10"/>
            </w:r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否</w:t>
                </w:r>
              </w:p>
            </w:tc>
          </w:sdtContent>
        </w:sdt>
      </w:tr>
      <w:tr w:rsidR="004A3868">
        <w:trPr>
          <w:trHeight w:val="397"/>
          <w:jc w:val="center"/>
        </w:trPr>
        <w:tc>
          <w:tcPr>
            <w:tcW w:w="962"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1224"/>
              <w:rPr>
                <w:rStyle w:val="Char10"/>
              </w:rPr>
            </w:pPr>
            <w:r>
              <w:rPr>
                <w:rStyle w:val="Char10"/>
              </w:rPr>
              <w:t>杨泽民、秦惠兰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79,650.00</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2023/9/8</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2026/3/5</w:t>
            </w:r>
          </w:p>
        </w:tc>
        <w:sdt>
          <w:sdtPr>
            <w:rPr>
              <w:rStyle w:val="Char10"/>
            </w:rPr>
            <w:alias w:val="本公司作为被担保方的关联担保情况明细-担保是否已经履行完毕"/>
            <w:tag w:val="_GBC_11b6ef1abc32485687a498df5cd1fbcd"/>
            <w:id w:val="25457008"/>
            <w:lock w:val="sdtLocked"/>
            <w:comboBox>
              <w:listItem w:displayText="是" w:value="true"/>
              <w:listItem w:displayText="否" w:value="false"/>
            </w:comboBox>
          </w:sdtPr>
          <w:sdtEndPr>
            <w:rPr>
              <w:rStyle w:val="Char10"/>
            </w:r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否</w:t>
                </w:r>
              </w:p>
            </w:tc>
          </w:sdtContent>
        </w:sdt>
      </w:tr>
      <w:tr w:rsidR="004A3868">
        <w:trPr>
          <w:trHeight w:val="397"/>
          <w:jc w:val="center"/>
        </w:trPr>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4"/>
              <w:rPr>
                <w:rStyle w:val="Char10"/>
              </w:rPr>
            </w:pPr>
            <w:r>
              <w:rPr>
                <w:rStyle w:val="Char10"/>
                <w:rFonts w:hint="eastAsia"/>
              </w:rPr>
              <w:t>合计</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115,650.00</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1226"/>
              <w:rPr>
                <w:rStyle w:val="Char10"/>
              </w:rPr>
            </w:pP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1226"/>
              <w:rPr>
                <w:rStyle w:val="Char10"/>
              </w:rPr>
            </w:pPr>
          </w:p>
        </w:tc>
        <w:sdt>
          <w:sdtPr>
            <w:rPr>
              <w:rStyle w:val="Char10"/>
            </w:rPr>
            <w:alias w:val="本公司作为被担保方的关联担保情况明细-担保是否已经履行完毕"/>
            <w:tag w:val="_GBC_11b6ef1abc32485687a498df5cd1fbcd"/>
            <w:id w:val="552582358"/>
            <w:lock w:val="sdtLocked"/>
            <w:comboBox>
              <w:listItem w:displayText="是" w:value="true"/>
              <w:listItem w:displayText="否" w:value="false"/>
            </w:comboBox>
          </w:sdtPr>
          <w:sdtEndPr>
            <w:rPr>
              <w:rStyle w:val="Char10"/>
            </w:r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 xml:space="preserve">　</w:t>
                </w:r>
              </w:p>
            </w:tc>
          </w:sdtContent>
        </w:sdt>
      </w:tr>
    </w:tbl>
    <w:p w:rsidR="004A3868" w:rsidRDefault="003F1AB5">
      <w:pPr>
        <w:pStyle w:val="Style842"/>
        <w:rPr>
          <w:rStyle w:val="Char10"/>
        </w:rPr>
      </w:pPr>
      <w:r>
        <w:rPr>
          <w:rStyle w:val="Char10"/>
          <w:rFonts w:hint="eastAsia"/>
        </w:rPr>
        <w:t>关联担保情况说明</w:t>
      </w:r>
    </w:p>
    <w:sdt>
      <w:sdtPr>
        <w:rPr>
          <w:rStyle w:val="Char10"/>
        </w:rPr>
        <w:alias w:val="是否适用：关联担保情况说明[双击切换]"/>
        <w:tag w:val="_GBC_455c21d6a2674726afee6a2386be7898"/>
        <w:id w:val="-1160155638"/>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Style w:val="Char10"/>
        </w:rPr>
        <w:alias w:val="关联担保说明"/>
        <w:tag w:val="_GBC_3eee756411e248a88ccd781b4dc66942"/>
        <w:id w:val="-497969066"/>
        <w:placeholder>
          <w:docPart w:val="GBC22222222222222222222222222222"/>
        </w:placeholder>
      </w:sdtPr>
      <w:sdtEndPr>
        <w:rPr>
          <w:rStyle w:val="Char10"/>
        </w:rPr>
      </w:sdtEndPr>
      <w:sdtContent>
        <w:p w:rsidR="004A3868" w:rsidRDefault="003F1AB5">
          <w:pPr>
            <w:pStyle w:val="Style1213"/>
            <w:ind w:firstLine="420"/>
            <w:rPr>
              <w:rStyle w:val="Char10"/>
            </w:rPr>
          </w:pPr>
          <w:r>
            <w:rPr>
              <w:rStyle w:val="Char10"/>
            </w:rPr>
            <w:t>1</w:t>
          </w:r>
          <w:r>
            <w:rPr>
              <w:rStyle w:val="Char10"/>
              <w:rFonts w:hint="eastAsia"/>
            </w:rPr>
            <w:t>）</w:t>
          </w:r>
          <w:r>
            <w:rPr>
              <w:rStyle w:val="Char10"/>
              <w:rFonts w:hint="eastAsia"/>
            </w:rPr>
            <w:t>2</w:t>
          </w:r>
          <w:r>
            <w:rPr>
              <w:rStyle w:val="Char10"/>
            </w:rPr>
            <w:t>021</w:t>
          </w:r>
          <w:r>
            <w:rPr>
              <w:rStyle w:val="Char10"/>
              <w:rFonts w:hint="eastAsia"/>
            </w:rPr>
            <w:t>年</w:t>
          </w:r>
          <w:r>
            <w:rPr>
              <w:rStyle w:val="Char10"/>
              <w:rFonts w:hint="eastAsia"/>
            </w:rPr>
            <w:t>1</w:t>
          </w:r>
          <w:r>
            <w:rPr>
              <w:rStyle w:val="Char10"/>
            </w:rPr>
            <w:t>1</w:t>
          </w:r>
          <w:r>
            <w:rPr>
              <w:rStyle w:val="Char10"/>
              <w:rFonts w:hint="eastAsia"/>
            </w:rPr>
            <w:t>月</w:t>
          </w:r>
          <w:r>
            <w:rPr>
              <w:rStyle w:val="Char10"/>
              <w:rFonts w:hint="eastAsia"/>
            </w:rPr>
            <w:t>1</w:t>
          </w:r>
          <w:r>
            <w:rPr>
              <w:rStyle w:val="Char10"/>
              <w:rFonts w:hint="eastAsia"/>
            </w:rPr>
            <w:t>日杨泽民、秦惠兰</w:t>
          </w:r>
          <w:r>
            <w:rPr>
              <w:rStyle w:val="Char10"/>
            </w:rPr>
            <w:t>与中国工商银行股份有限公司都匀分行签订担保协议，担保人杨泽民、秦惠兰</w:t>
          </w:r>
          <w:r>
            <w:rPr>
              <w:rStyle w:val="Char10"/>
              <w:rFonts w:hint="eastAsia"/>
            </w:rPr>
            <w:t>为</w:t>
          </w:r>
          <w:r>
            <w:rPr>
              <w:rStyle w:val="Char10"/>
            </w:rPr>
            <w:t>黔南望江变压器有限公司与中国工商银行股份有限公司都匀分行签订的</w:t>
          </w:r>
          <w:r>
            <w:rPr>
              <w:rStyle w:val="Char10"/>
            </w:rPr>
            <w:t>0.8</w:t>
          </w:r>
          <w:r>
            <w:rPr>
              <w:rStyle w:val="Char10"/>
              <w:rFonts w:hint="eastAsia"/>
            </w:rPr>
            <w:t>亿</w:t>
          </w:r>
          <w:r>
            <w:rPr>
              <w:rStyle w:val="Char10"/>
            </w:rPr>
            <w:t>元《项目贷款合同》提供担保，担保金额</w:t>
          </w:r>
          <w:r>
            <w:rPr>
              <w:rStyle w:val="Char10"/>
            </w:rPr>
            <w:t>:0.8</w:t>
          </w:r>
          <w:r>
            <w:rPr>
              <w:rStyle w:val="Char10"/>
              <w:rFonts w:hint="eastAsia"/>
            </w:rPr>
            <w:t>亿</w:t>
          </w:r>
          <w:r>
            <w:rPr>
              <w:rStyle w:val="Char10"/>
            </w:rPr>
            <w:t>元</w:t>
          </w:r>
        </w:p>
        <w:p w:rsidR="004A3868" w:rsidRDefault="003F1AB5">
          <w:pPr>
            <w:pStyle w:val="Style1213"/>
            <w:ind w:firstLine="420"/>
            <w:rPr>
              <w:rStyle w:val="Char10"/>
            </w:rPr>
          </w:pPr>
          <w:r>
            <w:rPr>
              <w:rStyle w:val="Char10"/>
            </w:rPr>
            <w:t>2</w:t>
          </w:r>
          <w:r>
            <w:rPr>
              <w:rStyle w:val="Char10"/>
            </w:rPr>
            <w:t>）</w:t>
          </w:r>
          <w:r>
            <w:rPr>
              <w:rStyle w:val="Char10"/>
            </w:rPr>
            <w:t>2022</w:t>
          </w:r>
          <w:r>
            <w:rPr>
              <w:rStyle w:val="Char10"/>
            </w:rPr>
            <w:t>年</w:t>
          </w:r>
          <w:r>
            <w:rPr>
              <w:rStyle w:val="Char10"/>
            </w:rPr>
            <w:t>12</w:t>
          </w:r>
          <w:r>
            <w:rPr>
              <w:rStyle w:val="Char10"/>
            </w:rPr>
            <w:t>月</w:t>
          </w:r>
          <w:r>
            <w:rPr>
              <w:rStyle w:val="Char10"/>
            </w:rPr>
            <w:t>26</w:t>
          </w:r>
          <w:r>
            <w:rPr>
              <w:rStyle w:val="Char10"/>
            </w:rPr>
            <w:t>日杨泽民、秦惠兰与上海浦东发展银行股份有限公司重庆分行签订担保协议，担保人杨泽民、秦惠兰为本公司与上海浦东发展银行股份有限公司重庆分行签订的</w:t>
          </w:r>
          <w:r>
            <w:rPr>
              <w:rStyle w:val="Char10"/>
            </w:rPr>
            <w:t>1</w:t>
          </w:r>
          <w:r>
            <w:rPr>
              <w:rStyle w:val="Char10"/>
            </w:rPr>
            <w:t>亿元《授信合同》提供担保，担保金额</w:t>
          </w:r>
          <w:r>
            <w:rPr>
              <w:rStyle w:val="Char10"/>
            </w:rPr>
            <w:t>:1</w:t>
          </w:r>
          <w:r>
            <w:rPr>
              <w:rStyle w:val="Char10"/>
            </w:rPr>
            <w:t>亿元整；</w:t>
          </w:r>
        </w:p>
        <w:p w:rsidR="004A3868" w:rsidRDefault="003F1AB5">
          <w:pPr>
            <w:pStyle w:val="Style1213"/>
            <w:ind w:firstLine="420"/>
            <w:rPr>
              <w:rStyle w:val="Char10"/>
            </w:rPr>
          </w:pPr>
          <w:r>
            <w:rPr>
              <w:rStyle w:val="Char10"/>
            </w:rPr>
            <w:t>3</w:t>
          </w:r>
          <w:r>
            <w:rPr>
              <w:rStyle w:val="Char10"/>
            </w:rPr>
            <w:t>）</w:t>
          </w:r>
          <w:r>
            <w:rPr>
              <w:rStyle w:val="Char10"/>
            </w:rPr>
            <w:t>2022</w:t>
          </w:r>
          <w:r>
            <w:rPr>
              <w:rStyle w:val="Char10"/>
            </w:rPr>
            <w:t>年</w:t>
          </w:r>
          <w:r>
            <w:rPr>
              <w:rStyle w:val="Char10"/>
            </w:rPr>
            <w:t>11</w:t>
          </w:r>
          <w:r>
            <w:rPr>
              <w:rStyle w:val="Char10"/>
            </w:rPr>
            <w:t>月</w:t>
          </w:r>
          <w:r>
            <w:rPr>
              <w:rStyle w:val="Char10"/>
            </w:rPr>
            <w:t>08</w:t>
          </w:r>
          <w:r>
            <w:rPr>
              <w:rStyle w:val="Char10"/>
            </w:rPr>
            <w:t>日杨泽民、秦惠兰与中信银行股份有限公司重庆分行签订担保协议，担保人杨泽民、秦惠兰为本公司与中信银行股份有限公司重庆分行签订的</w:t>
          </w:r>
          <w:r>
            <w:rPr>
              <w:rStyle w:val="Char10"/>
            </w:rPr>
            <w:t>1.8</w:t>
          </w:r>
          <w:r>
            <w:rPr>
              <w:rStyle w:val="Char10"/>
            </w:rPr>
            <w:t>亿元《授信合同》提供担保，担保金额</w:t>
          </w:r>
          <w:r>
            <w:rPr>
              <w:rStyle w:val="Char10"/>
            </w:rPr>
            <w:t>:1.8</w:t>
          </w:r>
          <w:r>
            <w:rPr>
              <w:rStyle w:val="Char10"/>
            </w:rPr>
            <w:t>亿元；</w:t>
          </w:r>
        </w:p>
        <w:p w:rsidR="004A3868" w:rsidRDefault="003F1AB5">
          <w:pPr>
            <w:pStyle w:val="Style1213"/>
            <w:ind w:firstLine="420"/>
            <w:rPr>
              <w:rStyle w:val="Char10"/>
            </w:rPr>
          </w:pPr>
          <w:r>
            <w:rPr>
              <w:rStyle w:val="Char10"/>
            </w:rPr>
            <w:t>4</w:t>
          </w:r>
          <w:r>
            <w:rPr>
              <w:rStyle w:val="Char10"/>
            </w:rPr>
            <w:t>）</w:t>
          </w:r>
          <w:r>
            <w:rPr>
              <w:rStyle w:val="Char10"/>
            </w:rPr>
            <w:t>2022</w:t>
          </w:r>
          <w:r>
            <w:rPr>
              <w:rStyle w:val="Char10"/>
            </w:rPr>
            <w:t>年</w:t>
          </w:r>
          <w:r>
            <w:rPr>
              <w:rStyle w:val="Char10"/>
            </w:rPr>
            <w:t>12</w:t>
          </w:r>
          <w:r>
            <w:rPr>
              <w:rStyle w:val="Char10"/>
            </w:rPr>
            <w:t>月</w:t>
          </w:r>
          <w:r>
            <w:rPr>
              <w:rStyle w:val="Char10"/>
            </w:rPr>
            <w:t>28</w:t>
          </w:r>
          <w:r>
            <w:rPr>
              <w:rStyle w:val="Char10"/>
            </w:rPr>
            <w:t>日杨泽民、秦惠兰及杨秦与重庆三峡银行股份有限公司长寿支行签订担保协议，担保人杨泽民、秦惠兰及杨秦为本公司与重庆三峡银行股份有限公司长寿支行签订的</w:t>
          </w:r>
          <w:r>
            <w:rPr>
              <w:rStyle w:val="Char10"/>
            </w:rPr>
            <w:t>5.9</w:t>
          </w:r>
          <w:r>
            <w:rPr>
              <w:rStyle w:val="Char10"/>
              <w:rFonts w:hint="eastAsia"/>
            </w:rPr>
            <w:lastRenderedPageBreak/>
            <w:t>亿</w:t>
          </w:r>
          <w:r>
            <w:rPr>
              <w:rStyle w:val="Char10"/>
            </w:rPr>
            <w:t>元《授信合同》提供担保，担保金额</w:t>
          </w:r>
          <w:r>
            <w:rPr>
              <w:rStyle w:val="Char10"/>
            </w:rPr>
            <w:t>:7.965</w:t>
          </w:r>
          <w:r>
            <w:rPr>
              <w:rStyle w:val="Char10"/>
              <w:rFonts w:hint="eastAsia"/>
            </w:rPr>
            <w:t>亿</w:t>
          </w:r>
          <w:r>
            <w:rPr>
              <w:rStyle w:val="Char10"/>
            </w:rPr>
            <w:t>元；</w:t>
          </w:r>
        </w:p>
      </w:sdtContent>
    </w:sdt>
    <w:p w:rsidR="004A3868" w:rsidRDefault="003F1AB5">
      <w:pPr>
        <w:pStyle w:val="Style956"/>
        <w:numPr>
          <w:ilvl w:val="3"/>
          <w:numId w:val="117"/>
        </w:numPr>
        <w:rPr>
          <w:rStyle w:val="Char10"/>
        </w:rPr>
      </w:pPr>
      <w:r>
        <w:rPr>
          <w:rStyle w:val="Char10"/>
          <w:rFonts w:hint="eastAsia"/>
        </w:rPr>
        <w:t>关联方资金拆借</w:t>
      </w:r>
    </w:p>
    <w:sdt>
      <w:sdtPr>
        <w:rPr>
          <w:rStyle w:val="Char10"/>
        </w:rPr>
        <w:alias w:val="是否适用：关联方资金拆借[双击切换]"/>
        <w:tag w:val="_GBC_9b5630a86e1e452494249106e2600b15"/>
        <w:id w:val="-1973276126"/>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7"/>
        </w:numPr>
        <w:rPr>
          <w:rStyle w:val="Char10"/>
        </w:rPr>
      </w:pPr>
      <w:r>
        <w:rPr>
          <w:rStyle w:val="Char10"/>
          <w:rFonts w:hint="eastAsia"/>
        </w:rPr>
        <w:t>关联方资产转让、债务重组情况</w:t>
      </w:r>
    </w:p>
    <w:sdt>
      <w:sdtPr>
        <w:rPr>
          <w:rStyle w:val="Char10"/>
        </w:rPr>
        <w:alias w:val="是否适用：关联方资产转让、债务重组情况[双击切换]"/>
        <w:tag w:val="_GBC_6f8fce72ce784c23aba8af28c51de336"/>
        <w:id w:val="-1737930741"/>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17"/>
        </w:numPr>
        <w:rPr>
          <w:rStyle w:val="Char10"/>
        </w:rPr>
      </w:pPr>
      <w:r>
        <w:rPr>
          <w:rStyle w:val="Char10"/>
          <w:rFonts w:hint="eastAsia"/>
        </w:rPr>
        <w:t>关键管理人员报酬</w:t>
      </w:r>
    </w:p>
    <w:sdt>
      <w:sdtPr>
        <w:rPr>
          <w:rStyle w:val="Char10"/>
        </w:rPr>
        <w:alias w:val="是否适用：关键管理人员报酬[双击切换]"/>
        <w:tag w:val="_GBC_4768ccd806f845f4b6f5f0ec038ec747"/>
        <w:id w:val="401796991"/>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财务附注：关键管理人员报酬"/>
          <w:tag w:val="_GBC_3dcac03c36954e5ab3dab539e6a2f735"/>
          <w:id w:val="14168145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财务附注：关键管理人员报酬"/>
          <w:tag w:val="_GBC_9bf846a4da0046829fd7baa3fd1fe348"/>
          <w:id w:val="-13035370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92"/>
        <w:gridCol w:w="3192"/>
        <w:gridCol w:w="2439"/>
      </w:tblGrid>
      <w:tr w:rsidR="004A3868">
        <w:trPr>
          <w:trHeight w:val="397"/>
          <w:jc w:val="center"/>
        </w:trPr>
        <w:sdt>
          <w:sdtPr>
            <w:rPr>
              <w:rStyle w:val="Char10"/>
            </w:rPr>
            <w:tag w:val="_PLD_3d38745be5c64397b1dab92289838da1"/>
            <w:id w:val="-6688374"/>
          </w:sdtPr>
          <w:sdtEndPr>
            <w:rPr>
              <w:rStyle w:val="Char10"/>
            </w:r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项目</w:t>
                </w:r>
              </w:p>
            </w:tc>
          </w:sdtContent>
        </w:sdt>
        <w:sdt>
          <w:sdtPr>
            <w:rPr>
              <w:rStyle w:val="Char10"/>
            </w:rPr>
            <w:tag w:val="_PLD_31133ff59dcf4a7b93a7991d1f435b05"/>
            <w:id w:val="-1575586713"/>
          </w:sdtPr>
          <w:sdtEndPr>
            <w:rPr>
              <w:rStyle w:val="Char10"/>
            </w:r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本期发生额</w:t>
                </w:r>
              </w:p>
            </w:tc>
          </w:sdtContent>
        </w:sdt>
        <w:sdt>
          <w:sdtPr>
            <w:rPr>
              <w:rStyle w:val="Char10"/>
            </w:rPr>
            <w:tag w:val="_PLD_e08658a238f7419ca0d4ce3386ff565e"/>
            <w:id w:val="-54852711"/>
          </w:sdtPr>
          <w:sdtEndPr>
            <w:rPr>
              <w:rStyle w:val="Char10"/>
            </w:r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上期发生额</w:t>
                </w:r>
              </w:p>
            </w:tc>
          </w:sdtContent>
        </w:sdt>
      </w:tr>
      <w:tr w:rsidR="004A3868">
        <w:trPr>
          <w:trHeight w:val="397"/>
          <w:jc w:val="center"/>
        </w:trPr>
        <w:tc>
          <w:tcPr>
            <w:tcW w:w="180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4,447,312.04</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2"/>
              <w:rPr>
                <w:rStyle w:val="Char10"/>
              </w:rPr>
            </w:pPr>
            <w:r>
              <w:rPr>
                <w:rStyle w:val="Char10"/>
              </w:rPr>
              <w:t>5,682,916.03</w:t>
            </w:r>
          </w:p>
        </w:tc>
      </w:tr>
    </w:tbl>
    <w:p w:rsidR="004A3868" w:rsidRDefault="004A3868">
      <w:pPr>
        <w:pStyle w:val="Style853"/>
        <w:rPr>
          <w:rStyle w:val="Char10"/>
        </w:rPr>
      </w:pPr>
    </w:p>
    <w:p w:rsidR="004A3868" w:rsidRDefault="003F1AB5">
      <w:pPr>
        <w:pStyle w:val="Style956"/>
        <w:numPr>
          <w:ilvl w:val="3"/>
          <w:numId w:val="117"/>
        </w:numPr>
        <w:rPr>
          <w:rStyle w:val="Char10"/>
        </w:rPr>
      </w:pPr>
      <w:r>
        <w:rPr>
          <w:rStyle w:val="Char10"/>
          <w:rFonts w:hint="eastAsia"/>
        </w:rPr>
        <w:t>其他关联交易</w:t>
      </w:r>
    </w:p>
    <w:sdt>
      <w:sdtPr>
        <w:rPr>
          <w:rStyle w:val="Char10"/>
          <w:rFonts w:hint="eastAsia"/>
        </w:rPr>
        <w:alias w:val="是否适用：其他关联交易[双击切换]"/>
        <w:tag w:val="_GBC_a1203a07d7684e08bdc2f1959f1cb9ae"/>
        <w:id w:val="1304655604"/>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6"/>
        </w:numPr>
        <w:spacing w:before="120"/>
        <w:rPr>
          <w:rStyle w:val="Char10"/>
        </w:rPr>
      </w:pPr>
      <w:r>
        <w:rPr>
          <w:rStyle w:val="Char10"/>
          <w:rFonts w:hint="eastAsia"/>
        </w:rPr>
        <w:t>应收、应付关联方等未结算项目情况</w:t>
      </w:r>
    </w:p>
    <w:p w:rsidR="004A3868" w:rsidRDefault="003F1AB5">
      <w:pPr>
        <w:pStyle w:val="Style956"/>
        <w:numPr>
          <w:ilvl w:val="3"/>
          <w:numId w:val="118"/>
        </w:numPr>
        <w:rPr>
          <w:rStyle w:val="Char10"/>
        </w:rPr>
      </w:pPr>
      <w:r>
        <w:rPr>
          <w:rStyle w:val="Char10"/>
          <w:rFonts w:hint="eastAsia"/>
        </w:rPr>
        <w:t>应收项目</w:t>
      </w:r>
    </w:p>
    <w:sdt>
      <w:sdtPr>
        <w:rPr>
          <w:rStyle w:val="Char10"/>
          <w:rFonts w:hint="eastAsia"/>
        </w:rPr>
        <w:alias w:val="是否适用：应收项目[双击切换]"/>
        <w:tag w:val="_GBC_4ae94d538d2e44ae839d59a1751a6d01"/>
        <w:id w:val="-1023168049"/>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w:instrText>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r>
        <w:rPr>
          <w:rStyle w:val="Char10"/>
          <w:rFonts w:hint="eastAsia"/>
        </w:rPr>
        <w:t>:</w:t>
      </w:r>
      <w:sdt>
        <w:sdtPr>
          <w:rPr>
            <w:rStyle w:val="Char10"/>
            <w:rFonts w:hint="eastAsia"/>
          </w:rPr>
          <w:alias w:val="单位：上市公司应收关联方款项"/>
          <w:tag w:val="_GBC_83968b233566404db428b085bcb695b8"/>
          <w:id w:val="-13610434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r>
        <w:rPr>
          <w:rStyle w:val="Char10"/>
          <w:rFonts w:hint="eastAsia"/>
        </w:rPr>
        <w:t>:</w:t>
      </w:r>
      <w:sdt>
        <w:sdtPr>
          <w:rPr>
            <w:rStyle w:val="Char10"/>
            <w:rFonts w:hint="eastAsia"/>
          </w:rPr>
          <w:alias w:val="币种：上市公司应收关联方款项"/>
          <w:tag w:val="_GBC_546206ef37784e9ca5284158e64b95dc"/>
          <w:id w:val="21386005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196"/>
        <w:gridCol w:w="1634"/>
        <w:gridCol w:w="1560"/>
        <w:gridCol w:w="1560"/>
        <w:gridCol w:w="1415"/>
        <w:gridCol w:w="1458"/>
      </w:tblGrid>
      <w:tr w:rsidR="004A3868">
        <w:trPr>
          <w:trHeight w:val="397"/>
          <w:jc w:val="center"/>
        </w:trPr>
        <w:sdt>
          <w:sdtPr>
            <w:rPr>
              <w:rStyle w:val="Char10"/>
            </w:rPr>
            <w:tag w:val="_PLD_c0c6dc2d23f94f929199b42c584f57ca"/>
            <w:id w:val="1958366901"/>
            <w:lock w:val="sdtLocked"/>
          </w:sdtPr>
          <w:sdtEndPr>
            <w:rPr>
              <w:rStyle w:val="Char10"/>
            </w:rPr>
          </w:sdtEndPr>
          <w:sdtContent>
            <w:tc>
              <w:tcPr>
                <w:tcW w:w="678" w:type="pct"/>
                <w:vMerge w:val="restart"/>
                <w:tcBorders>
                  <w:top w:val="single" w:sz="4" w:space="0" w:color="auto"/>
                  <w:left w:val="single" w:sz="4" w:space="0" w:color="auto"/>
                  <w:right w:val="single" w:sz="4" w:space="0" w:color="auto"/>
                </w:tcBorders>
                <w:vAlign w:val="center"/>
              </w:tcPr>
              <w:p w:rsidR="004A3868" w:rsidRDefault="003F1AB5">
                <w:pPr>
                  <w:pStyle w:val="afffb"/>
                  <w:rPr>
                    <w:rStyle w:val="Char10"/>
                  </w:rPr>
                </w:pPr>
                <w:r>
                  <w:rPr>
                    <w:rStyle w:val="Char10"/>
                    <w:rFonts w:hint="eastAsia"/>
                  </w:rPr>
                  <w:t>项目名称</w:t>
                </w:r>
              </w:p>
            </w:tc>
          </w:sdtContent>
        </w:sdt>
        <w:sdt>
          <w:sdtPr>
            <w:rPr>
              <w:rStyle w:val="Char10"/>
            </w:rPr>
            <w:tag w:val="_PLD_56aedf077d5c4d3b814d04d193f71af7"/>
            <w:id w:val="-1048455025"/>
            <w:lock w:val="sdtLocked"/>
          </w:sdtPr>
          <w:sdtEndPr>
            <w:rPr>
              <w:rStyle w:val="Char10"/>
            </w:rPr>
          </w:sdtEndPr>
          <w:sdtContent>
            <w:tc>
              <w:tcPr>
                <w:tcW w:w="926" w:type="pct"/>
                <w:vMerge w:val="restart"/>
                <w:tcBorders>
                  <w:top w:val="single" w:sz="4" w:space="0" w:color="auto"/>
                  <w:left w:val="single" w:sz="4" w:space="0" w:color="auto"/>
                  <w:right w:val="single" w:sz="4" w:space="0" w:color="auto"/>
                </w:tcBorders>
                <w:vAlign w:val="center"/>
              </w:tcPr>
              <w:p w:rsidR="004A3868" w:rsidRDefault="003F1AB5">
                <w:pPr>
                  <w:pStyle w:val="afffb"/>
                  <w:rPr>
                    <w:rStyle w:val="Char10"/>
                  </w:rPr>
                </w:pPr>
                <w:r>
                  <w:rPr>
                    <w:rStyle w:val="Char10"/>
                    <w:rFonts w:hint="eastAsia"/>
                  </w:rPr>
                  <w:t>关联方</w:t>
                </w:r>
              </w:p>
            </w:tc>
          </w:sdtContent>
        </w:sdt>
        <w:sdt>
          <w:sdtPr>
            <w:rPr>
              <w:rStyle w:val="Char10"/>
            </w:rPr>
            <w:tag w:val="_PLD_e8867e7b52fb42f4b447e445a20beebc"/>
            <w:id w:val="1322306854"/>
            <w:lock w:val="sdtLocked"/>
          </w:sdtPr>
          <w:sdtEndPr>
            <w:rPr>
              <w:rStyle w:val="Char10"/>
            </w:rPr>
          </w:sdtEndPr>
          <w:sdtContent>
            <w:tc>
              <w:tcPr>
                <w:tcW w:w="1768"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rStyle w:val="Char10"/>
                  </w:rPr>
                </w:pPr>
                <w:r>
                  <w:rPr>
                    <w:rStyle w:val="Char10"/>
                    <w:rFonts w:hint="eastAsia"/>
                  </w:rPr>
                  <w:t>期末余额</w:t>
                </w:r>
              </w:p>
            </w:tc>
          </w:sdtContent>
        </w:sdt>
        <w:sdt>
          <w:sdtPr>
            <w:rPr>
              <w:rStyle w:val="Char10"/>
            </w:rPr>
            <w:tag w:val="_PLD_6a4888e558004037a5faac678bea523c"/>
            <w:id w:val="-1896189918"/>
            <w:lock w:val="sdtLocked"/>
          </w:sdtPr>
          <w:sdtEndPr>
            <w:rPr>
              <w:rStyle w:val="Char10"/>
            </w:rPr>
          </w:sdtEndPr>
          <w:sdtContent>
            <w:tc>
              <w:tcPr>
                <w:tcW w:w="1629"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rStyle w:val="Char10"/>
                  </w:rPr>
                </w:pPr>
                <w:r>
                  <w:rPr>
                    <w:rStyle w:val="Char10"/>
                    <w:rFonts w:hint="eastAsia"/>
                  </w:rPr>
                  <w:t>期初余额</w:t>
                </w:r>
              </w:p>
            </w:tc>
          </w:sdtContent>
        </w:sdt>
      </w:tr>
      <w:tr w:rsidR="004A3868">
        <w:trPr>
          <w:trHeight w:val="397"/>
          <w:jc w:val="center"/>
        </w:trPr>
        <w:tc>
          <w:tcPr>
            <w:tcW w:w="678" w:type="pct"/>
            <w:vMerge/>
            <w:tcBorders>
              <w:left w:val="single" w:sz="4" w:space="0" w:color="auto"/>
              <w:bottom w:val="single" w:sz="4" w:space="0" w:color="auto"/>
              <w:right w:val="single" w:sz="4" w:space="0" w:color="auto"/>
            </w:tcBorders>
            <w:vAlign w:val="center"/>
          </w:tcPr>
          <w:p w:rsidR="004A3868" w:rsidRDefault="004A3868">
            <w:pPr>
              <w:pStyle w:val="afffb"/>
              <w:rPr>
                <w:rStyle w:val="Char10"/>
              </w:rPr>
            </w:pPr>
          </w:p>
        </w:tc>
        <w:tc>
          <w:tcPr>
            <w:tcW w:w="926" w:type="pct"/>
            <w:vMerge/>
            <w:tcBorders>
              <w:left w:val="single" w:sz="4" w:space="0" w:color="auto"/>
              <w:bottom w:val="single" w:sz="4" w:space="0" w:color="auto"/>
              <w:right w:val="single" w:sz="4" w:space="0" w:color="auto"/>
            </w:tcBorders>
            <w:vAlign w:val="center"/>
          </w:tcPr>
          <w:p w:rsidR="004A3868" w:rsidRDefault="004A3868">
            <w:pPr>
              <w:pStyle w:val="afffb"/>
              <w:rPr>
                <w:rStyle w:val="Char10"/>
              </w:rPr>
            </w:pPr>
          </w:p>
        </w:tc>
        <w:sdt>
          <w:sdtPr>
            <w:rPr>
              <w:rStyle w:val="Char10"/>
            </w:rPr>
            <w:tag w:val="_PLD_0545f54235344f978e1e8356e1b05042"/>
            <w:id w:val="651642207"/>
            <w:lock w:val="sdtLocked"/>
          </w:sdtPr>
          <w:sdtEndPr>
            <w:rPr>
              <w:rStyle w:val="Char10"/>
            </w:rPr>
          </w:sdtEndPr>
          <w:sdtContent>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rStyle w:val="Char10"/>
                  </w:rPr>
                </w:pPr>
                <w:r>
                  <w:rPr>
                    <w:rStyle w:val="Char10"/>
                    <w:rFonts w:hint="eastAsia"/>
                  </w:rPr>
                  <w:t>账面余额</w:t>
                </w:r>
              </w:p>
            </w:tc>
          </w:sdtContent>
        </w:sdt>
        <w:sdt>
          <w:sdtPr>
            <w:rPr>
              <w:rStyle w:val="Char10"/>
            </w:rPr>
            <w:tag w:val="_PLD_9e6982f3b5cd46e9b3be23eda364cd7a"/>
            <w:id w:val="-1766522578"/>
            <w:lock w:val="sdtLocked"/>
          </w:sdtPr>
          <w:sdtEndPr>
            <w:rPr>
              <w:rStyle w:val="Char10"/>
            </w:rPr>
          </w:sdtEndPr>
          <w:sdtContent>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rStyle w:val="Char10"/>
                  </w:rPr>
                </w:pPr>
                <w:r>
                  <w:rPr>
                    <w:rStyle w:val="Char10"/>
                    <w:rFonts w:hint="eastAsia"/>
                  </w:rPr>
                  <w:t>坏账准备</w:t>
                </w:r>
              </w:p>
            </w:tc>
          </w:sdtContent>
        </w:sdt>
        <w:sdt>
          <w:sdtPr>
            <w:rPr>
              <w:rStyle w:val="Char10"/>
            </w:rPr>
            <w:tag w:val="_PLD_5c8e0a4ac99e4539bea932f77317d8de"/>
            <w:id w:val="-1788354497"/>
            <w:lock w:val="sdtLocked"/>
          </w:sdtPr>
          <w:sdtEndPr>
            <w:rPr>
              <w:rStyle w:val="Char10"/>
            </w:rPr>
          </w:sdtEndPr>
          <w:sdtContent>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rStyle w:val="Char10"/>
                  </w:rPr>
                </w:pPr>
                <w:r>
                  <w:rPr>
                    <w:rStyle w:val="Char10"/>
                    <w:rFonts w:hint="eastAsia"/>
                  </w:rPr>
                  <w:t>账面余额</w:t>
                </w:r>
              </w:p>
            </w:tc>
          </w:sdtContent>
        </w:sdt>
        <w:sdt>
          <w:sdtPr>
            <w:rPr>
              <w:rStyle w:val="Char10"/>
            </w:rPr>
            <w:tag w:val="_PLD_c5afa9908d794831a4bc715802a1061d"/>
            <w:id w:val="1020592176"/>
            <w:lock w:val="sdtLocked"/>
          </w:sdtPr>
          <w:sdtEndPr>
            <w:rPr>
              <w:rStyle w:val="Char10"/>
            </w:rPr>
          </w:sdtEndPr>
          <w:sdtContent>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rStyle w:val="Char10"/>
                  </w:rPr>
                </w:pPr>
                <w:r>
                  <w:rPr>
                    <w:rStyle w:val="Char10"/>
                    <w:rFonts w:hint="eastAsia"/>
                  </w:rPr>
                  <w:t>坏账准备</w:t>
                </w:r>
              </w:p>
            </w:tc>
          </w:sdtContent>
        </w:sdt>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黔南都能开发有限公司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1,010,037.00</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184,496.40</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2,104,050.60</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256,001.06</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瓮安县明辉水电开发有限公司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130,393.22</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31,509.97</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2,132,321.00</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649,677.30</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黔南海滨供电设备有限公司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47,544.00</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23,030.80</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757,678.60</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249,681.70</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独山鑫源实业开发有限公司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450,000.00</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414,945.00</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惠水惠明电气实业有限责任公司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393,357.90</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58,561.88</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福泉市金山电力开发有限责任公司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48,114.66</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2,405.73</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1,992,756.15</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100,342.09</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重庆能投长寿经开区售电有限公司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810,511.20</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42,218.76</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529,859.59 </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26,492.98 </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贵州省罗甸县明达水电开发有限责任公司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92,712.19</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18,542.44</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442,760.00 </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44,276.00 </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黔南都能开发有限公司三都分公司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44,015.05</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4,401.51</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579,390.00 </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121,267.00 </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黔南都能开发有限公司龙里分公</w:t>
            </w:r>
            <w:r>
              <w:rPr>
                <w:rStyle w:val="Char10"/>
              </w:rPr>
              <w:lastRenderedPageBreak/>
              <w:t>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lastRenderedPageBreak/>
              <w:t>177,668.94</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8,883.45</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1,132,661.53</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140,356.31</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应收项目</w:t>
            </w:r>
          </w:p>
        </w:tc>
        <w:tc>
          <w:tcPr>
            <w:tcW w:w="926" w:type="pct"/>
            <w:tcBorders>
              <w:top w:val="single" w:sz="4" w:space="0" w:color="auto"/>
              <w:left w:val="single" w:sz="4" w:space="0" w:color="auto"/>
              <w:bottom w:val="single" w:sz="4" w:space="0" w:color="auto"/>
              <w:right w:val="single" w:sz="4" w:space="0" w:color="auto"/>
            </w:tcBorders>
          </w:tcPr>
          <w:p w:rsidR="004A3868" w:rsidRDefault="003F1AB5">
            <w:pPr>
              <w:pStyle w:val="afff9"/>
              <w:rPr>
                <w:rStyle w:val="Char10"/>
              </w:rPr>
            </w:pPr>
            <w:r>
              <w:rPr>
                <w:rStyle w:val="Char10"/>
                <w:rFonts w:hint="eastAsia"/>
              </w:rPr>
              <w:t>重庆圣耀电力工程有限责任公司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3,666,268.20</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183,313.41</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3,034,954.00 </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151,747.70 </w:t>
            </w: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其他应收项目</w:t>
            </w:r>
          </w:p>
        </w:tc>
        <w:tc>
          <w:tcPr>
            <w:tcW w:w="926" w:type="pct"/>
            <w:tcBorders>
              <w:top w:val="single" w:sz="4" w:space="0" w:color="auto"/>
              <w:left w:val="single" w:sz="4" w:space="0" w:color="auto"/>
              <w:bottom w:val="single" w:sz="4" w:space="0" w:color="auto"/>
              <w:right w:val="single" w:sz="4" w:space="0" w:color="auto"/>
            </w:tcBorders>
          </w:tcPr>
          <w:p w:rsidR="004A3868" w:rsidRDefault="003F1AB5">
            <w:pPr>
              <w:pStyle w:val="afff9"/>
              <w:rPr>
                <w:rStyle w:val="Char10"/>
              </w:rPr>
            </w:pPr>
            <w:r>
              <w:rPr>
                <w:rStyle w:val="Char10"/>
                <w:rFonts w:hint="eastAsia"/>
              </w:rPr>
              <w:t>惠水惠明电气实业有限责任公司</w:t>
            </w: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2,359.06</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117.95</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r>
      <w:tr w:rsidR="004A3868">
        <w:trPr>
          <w:trHeight w:val="397"/>
          <w:jc w:val="center"/>
        </w:trPr>
        <w:tc>
          <w:tcPr>
            <w:tcW w:w="67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合计</w:t>
            </w:r>
          </w:p>
        </w:tc>
        <w:tc>
          <w:tcPr>
            <w:tcW w:w="926" w:type="pct"/>
            <w:tcBorders>
              <w:top w:val="single" w:sz="4" w:space="0" w:color="auto"/>
              <w:left w:val="single" w:sz="4" w:space="0" w:color="auto"/>
              <w:bottom w:val="single" w:sz="4" w:space="0" w:color="auto"/>
              <w:right w:val="single" w:sz="4" w:space="0" w:color="auto"/>
            </w:tcBorders>
          </w:tcPr>
          <w:p w:rsidR="004A3868" w:rsidRDefault="004A3868">
            <w:pPr>
              <w:pStyle w:val="afff9"/>
              <w:rPr>
                <w:rStyle w:val="Char10"/>
              </w:rPr>
            </w:pPr>
          </w:p>
        </w:tc>
        <w:tc>
          <w:tcPr>
            <w:tcW w:w="88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6,029,623.52</w:t>
            </w:r>
          </w:p>
        </w:tc>
        <w:tc>
          <w:tcPr>
            <w:tcW w:w="88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498,920.42</w:t>
            </w:r>
          </w:p>
        </w:tc>
        <w:tc>
          <w:tcPr>
            <w:tcW w:w="8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13,549,789.37</w:t>
            </w:r>
          </w:p>
        </w:tc>
        <w:tc>
          <w:tcPr>
            <w:tcW w:w="82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2,213,349.02</w:t>
            </w:r>
          </w:p>
        </w:tc>
      </w:tr>
    </w:tbl>
    <w:p w:rsidR="004A3868" w:rsidRDefault="004A3868">
      <w:pPr>
        <w:pStyle w:val="Style842"/>
        <w:rPr>
          <w:rStyle w:val="Char10"/>
        </w:rPr>
      </w:pPr>
    </w:p>
    <w:p w:rsidR="004A3868" w:rsidRDefault="003F1AB5">
      <w:pPr>
        <w:pStyle w:val="Style956"/>
        <w:numPr>
          <w:ilvl w:val="3"/>
          <w:numId w:val="118"/>
        </w:numPr>
        <w:rPr>
          <w:rStyle w:val="Char10"/>
        </w:rPr>
      </w:pPr>
      <w:r>
        <w:rPr>
          <w:rStyle w:val="Char10"/>
          <w:rFonts w:hint="eastAsia"/>
        </w:rPr>
        <w:t>应付项目</w:t>
      </w:r>
    </w:p>
    <w:sdt>
      <w:sdtPr>
        <w:rPr>
          <w:rStyle w:val="Char10"/>
          <w:rFonts w:hint="eastAsia"/>
        </w:rPr>
        <w:alias w:val="是否适用：应付项目[双击切换]"/>
        <w:tag w:val="_GBC_41bc31a1fefb4e25918c1ece7c27be62"/>
        <w:id w:val="1907797676"/>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w:instrText>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r>
        <w:rPr>
          <w:rStyle w:val="Char10"/>
          <w:rFonts w:hint="eastAsia"/>
        </w:rPr>
        <w:t>:</w:t>
      </w:r>
      <w:sdt>
        <w:sdtPr>
          <w:rPr>
            <w:rStyle w:val="Char10"/>
            <w:rFonts w:hint="eastAsia"/>
          </w:rPr>
          <w:alias w:val="单位：上市公司应付关联方款项"/>
          <w:tag w:val="_GBC_dda5edeadff34e4f829b49a813d869a1"/>
          <w:id w:val="16845528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r>
        <w:rPr>
          <w:rStyle w:val="Char10"/>
          <w:rFonts w:hint="eastAsia"/>
        </w:rPr>
        <w:t>:</w:t>
      </w:r>
      <w:sdt>
        <w:sdtPr>
          <w:rPr>
            <w:rStyle w:val="Char10"/>
            <w:rFonts w:hint="eastAsia"/>
          </w:rPr>
          <w:alias w:val="币种：上市公司应付关联方款项"/>
          <w:tag w:val="_GBC_5830ef25ff41407f8d8b3fde33e4bdf1"/>
          <w:id w:val="-12301496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557"/>
        <w:gridCol w:w="3684"/>
        <w:gridCol w:w="1842"/>
        <w:gridCol w:w="1740"/>
      </w:tblGrid>
      <w:tr w:rsidR="004A3868">
        <w:trPr>
          <w:trHeight w:val="397"/>
          <w:jc w:val="center"/>
        </w:trPr>
        <w:sdt>
          <w:sdtPr>
            <w:rPr>
              <w:rStyle w:val="Char10"/>
            </w:rPr>
            <w:tag w:val="_PLD_e606617d378f48ec942565c9488249ee"/>
            <w:id w:val="-307326647"/>
            <w:lock w:val="sdtLocked"/>
          </w:sdtPr>
          <w:sdtEndPr>
            <w:rPr>
              <w:rStyle w:val="Char10"/>
            </w:rPr>
          </w:sdtEndPr>
          <w:sdtContent>
            <w:tc>
              <w:tcPr>
                <w:tcW w:w="882" w:type="pct"/>
                <w:tcBorders>
                  <w:top w:val="single" w:sz="4" w:space="0" w:color="auto"/>
                  <w:left w:val="single" w:sz="4" w:space="0" w:color="auto"/>
                  <w:right w:val="single" w:sz="4" w:space="0" w:color="auto"/>
                </w:tcBorders>
                <w:vAlign w:val="center"/>
              </w:tcPr>
              <w:p w:rsidR="004A3868" w:rsidRDefault="003F1AB5">
                <w:pPr>
                  <w:pStyle w:val="afffb"/>
                  <w:rPr>
                    <w:rStyle w:val="Char10"/>
                  </w:rPr>
                </w:pPr>
                <w:r>
                  <w:rPr>
                    <w:rStyle w:val="Char10"/>
                    <w:rFonts w:hint="eastAsia"/>
                  </w:rPr>
                  <w:t>项目名称</w:t>
                </w:r>
              </w:p>
            </w:tc>
          </w:sdtContent>
        </w:sdt>
        <w:sdt>
          <w:sdtPr>
            <w:rPr>
              <w:rStyle w:val="Char10"/>
            </w:rPr>
            <w:tag w:val="_PLD_8c0f65fb9987497db9d8cb750665f14a"/>
            <w:id w:val="-33656425"/>
            <w:lock w:val="sdtLocked"/>
          </w:sdtPr>
          <w:sdtEndPr>
            <w:rPr>
              <w:rStyle w:val="Char10"/>
            </w:rPr>
          </w:sdtEndPr>
          <w:sdtContent>
            <w:tc>
              <w:tcPr>
                <w:tcW w:w="2088" w:type="pct"/>
                <w:tcBorders>
                  <w:top w:val="single" w:sz="4" w:space="0" w:color="auto"/>
                  <w:left w:val="single" w:sz="4" w:space="0" w:color="auto"/>
                  <w:right w:val="single" w:sz="4" w:space="0" w:color="auto"/>
                </w:tcBorders>
                <w:vAlign w:val="center"/>
              </w:tcPr>
              <w:p w:rsidR="004A3868" w:rsidRDefault="003F1AB5">
                <w:pPr>
                  <w:pStyle w:val="afffb"/>
                  <w:rPr>
                    <w:rStyle w:val="Char10"/>
                  </w:rPr>
                </w:pPr>
                <w:r>
                  <w:rPr>
                    <w:rStyle w:val="Char10"/>
                    <w:rFonts w:hint="eastAsia"/>
                  </w:rPr>
                  <w:t>关联方</w:t>
                </w:r>
              </w:p>
            </w:tc>
          </w:sdtContent>
        </w:sdt>
        <w:sdt>
          <w:sdtPr>
            <w:rPr>
              <w:rStyle w:val="Char10"/>
            </w:rPr>
            <w:tag w:val="_PLD_6abb3a201708442494b9fede0eddf518"/>
            <w:id w:val="92977604"/>
            <w:lock w:val="sdtLocked"/>
          </w:sdtPr>
          <w:sdtEndPr>
            <w:rPr>
              <w:rStyle w:val="Char10"/>
            </w:rPr>
          </w:sdtEndPr>
          <w:sdtContent>
            <w:tc>
              <w:tcPr>
                <w:tcW w:w="104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rStyle w:val="Char10"/>
                  </w:rPr>
                </w:pPr>
                <w:r>
                  <w:rPr>
                    <w:rStyle w:val="Char10"/>
                    <w:rFonts w:hint="eastAsia"/>
                  </w:rPr>
                  <w:t>期末账面余额</w:t>
                </w:r>
              </w:p>
            </w:tc>
          </w:sdtContent>
        </w:sdt>
        <w:sdt>
          <w:sdtPr>
            <w:rPr>
              <w:rStyle w:val="Char10"/>
            </w:rPr>
            <w:tag w:val="_PLD_55efe2bab54445818fecaf16ed9366f9"/>
            <w:id w:val="154651624"/>
            <w:lock w:val="sdtLocked"/>
          </w:sdtPr>
          <w:sdtEndPr>
            <w:rPr>
              <w:rStyle w:val="Char10"/>
            </w:rPr>
          </w:sdtEndPr>
          <w:sdtContent>
            <w:tc>
              <w:tcPr>
                <w:tcW w:w="9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b"/>
                  <w:rPr>
                    <w:rStyle w:val="Char10"/>
                  </w:rPr>
                </w:pPr>
                <w:r>
                  <w:rPr>
                    <w:rStyle w:val="Char10"/>
                    <w:rFonts w:hint="eastAsia"/>
                  </w:rPr>
                  <w:t>期初账面余额</w:t>
                </w:r>
              </w:p>
            </w:tc>
          </w:sdtContent>
        </w:sdt>
      </w:tr>
      <w:tr w:rsidR="004A3868">
        <w:trPr>
          <w:trHeight w:val="397"/>
          <w:jc w:val="center"/>
        </w:trPr>
        <w:tc>
          <w:tcPr>
            <w:tcW w:w="8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应付项目</w:t>
            </w:r>
          </w:p>
        </w:tc>
        <w:tc>
          <w:tcPr>
            <w:tcW w:w="20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四川明珠电工材料有限责任公司</w:t>
            </w:r>
          </w:p>
        </w:tc>
        <w:tc>
          <w:tcPr>
            <w:tcW w:w="104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8,685,871.26</w:t>
            </w:r>
          </w:p>
        </w:tc>
        <w:tc>
          <w:tcPr>
            <w:tcW w:w="9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4,413,194.03</w:t>
            </w:r>
          </w:p>
        </w:tc>
      </w:tr>
      <w:tr w:rsidR="004A3868">
        <w:trPr>
          <w:trHeight w:val="397"/>
          <w:jc w:val="center"/>
        </w:trPr>
        <w:tc>
          <w:tcPr>
            <w:tcW w:w="8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应付项目</w:t>
            </w:r>
          </w:p>
        </w:tc>
        <w:tc>
          <w:tcPr>
            <w:tcW w:w="20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黔南都能开发有限公司</w:t>
            </w:r>
          </w:p>
        </w:tc>
        <w:tc>
          <w:tcPr>
            <w:tcW w:w="104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326,330.28</w:t>
            </w:r>
          </w:p>
        </w:tc>
      </w:tr>
      <w:tr w:rsidR="004A3868">
        <w:trPr>
          <w:trHeight w:val="397"/>
          <w:jc w:val="center"/>
        </w:trPr>
        <w:tc>
          <w:tcPr>
            <w:tcW w:w="8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应付项目</w:t>
            </w:r>
          </w:p>
        </w:tc>
        <w:tc>
          <w:tcPr>
            <w:tcW w:w="20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重庆能投长寿经开区售电有限公司</w:t>
            </w:r>
          </w:p>
        </w:tc>
        <w:tc>
          <w:tcPr>
            <w:tcW w:w="104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34,000.00</w:t>
            </w:r>
          </w:p>
        </w:tc>
        <w:tc>
          <w:tcPr>
            <w:tcW w:w="9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w:t>
            </w:r>
          </w:p>
        </w:tc>
      </w:tr>
      <w:tr w:rsidR="004A3868">
        <w:trPr>
          <w:trHeight w:val="397"/>
          <w:jc w:val="center"/>
        </w:trPr>
        <w:tc>
          <w:tcPr>
            <w:tcW w:w="8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应付项目</w:t>
            </w:r>
          </w:p>
        </w:tc>
        <w:tc>
          <w:tcPr>
            <w:tcW w:w="20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重庆圣耀电力工程有限责任公司</w:t>
            </w:r>
          </w:p>
        </w:tc>
        <w:tc>
          <w:tcPr>
            <w:tcW w:w="104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606,271.83</w:t>
            </w:r>
          </w:p>
        </w:tc>
        <w:tc>
          <w:tcPr>
            <w:tcW w:w="9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w:t>
            </w:r>
          </w:p>
        </w:tc>
      </w:tr>
      <w:tr w:rsidR="004A3868">
        <w:trPr>
          <w:trHeight w:val="397"/>
          <w:jc w:val="center"/>
        </w:trPr>
        <w:tc>
          <w:tcPr>
            <w:tcW w:w="8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其他</w:t>
            </w:r>
            <w:r>
              <w:rPr>
                <w:rStyle w:val="Char10"/>
              </w:rPr>
              <w:t>应付项目</w:t>
            </w:r>
          </w:p>
        </w:tc>
        <w:tc>
          <w:tcPr>
            <w:tcW w:w="208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重庆圣耀电力工程有限责任公司</w:t>
            </w:r>
          </w:p>
        </w:tc>
        <w:tc>
          <w:tcPr>
            <w:tcW w:w="104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100,000.00</w:t>
            </w:r>
          </w:p>
        </w:tc>
        <w:tc>
          <w:tcPr>
            <w:tcW w:w="9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w:t>
            </w:r>
          </w:p>
        </w:tc>
      </w:tr>
      <w:tr w:rsidR="004A3868">
        <w:trPr>
          <w:trHeight w:val="397"/>
          <w:jc w:val="center"/>
        </w:trPr>
        <w:tc>
          <w:tcPr>
            <w:tcW w:w="8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合计</w:t>
            </w:r>
          </w:p>
        </w:tc>
        <w:tc>
          <w:tcPr>
            <w:tcW w:w="208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9"/>
              <w:rPr>
                <w:rStyle w:val="Char10"/>
              </w:rPr>
            </w:pPr>
          </w:p>
        </w:tc>
        <w:tc>
          <w:tcPr>
            <w:tcW w:w="1044"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9,426,143.09</w:t>
            </w:r>
          </w:p>
        </w:tc>
        <w:tc>
          <w:tcPr>
            <w:tcW w:w="9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4,739,524.31</w:t>
            </w:r>
          </w:p>
        </w:tc>
      </w:tr>
    </w:tbl>
    <w:p w:rsidR="004A3868" w:rsidRDefault="004A3868">
      <w:pPr>
        <w:pStyle w:val="Style842"/>
        <w:rPr>
          <w:rStyle w:val="Char10"/>
        </w:rPr>
      </w:pPr>
    </w:p>
    <w:p w:rsidR="004A3868" w:rsidRDefault="003F1AB5">
      <w:pPr>
        <w:pStyle w:val="Style956"/>
        <w:numPr>
          <w:ilvl w:val="3"/>
          <w:numId w:val="118"/>
        </w:numPr>
        <w:rPr>
          <w:rStyle w:val="Char10"/>
        </w:rPr>
      </w:pPr>
      <w:r>
        <w:rPr>
          <w:rStyle w:val="Char10"/>
          <w:rFonts w:hint="eastAsia"/>
        </w:rPr>
        <w:t>其他项目</w:t>
      </w:r>
    </w:p>
    <w:sdt>
      <w:sdtPr>
        <w:rPr>
          <w:rStyle w:val="Char10"/>
        </w:rPr>
        <w:alias w:val="是否适用：关联方其他未结算项目情况[双击切换]"/>
        <w:tag w:val="_GBC_61142f5ee3c54a58901e03781b59f5db"/>
        <w:id w:val="-603036374"/>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6"/>
        </w:numPr>
        <w:spacing w:before="120"/>
        <w:rPr>
          <w:rStyle w:val="Char10"/>
        </w:rPr>
      </w:pPr>
      <w:r>
        <w:rPr>
          <w:rStyle w:val="Char10"/>
          <w:rFonts w:hint="eastAsia"/>
        </w:rPr>
        <w:t>关联方承诺</w:t>
      </w:r>
    </w:p>
    <w:sdt>
      <w:sdtPr>
        <w:rPr>
          <w:rStyle w:val="Char10"/>
          <w:rFonts w:hint="eastAsia"/>
        </w:rPr>
        <w:alias w:val="是否适用：关联方承诺[双击切换]"/>
        <w:tag w:val="_GBC_cf52a7b0760b4670b5fc5ea8d7363a6c"/>
        <w:id w:val="1264959547"/>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6"/>
        </w:numPr>
        <w:spacing w:before="120"/>
        <w:rPr>
          <w:rStyle w:val="Char10"/>
        </w:rPr>
      </w:pPr>
      <w:r>
        <w:rPr>
          <w:rStyle w:val="Char10"/>
          <w:rFonts w:hint="eastAsia"/>
        </w:rPr>
        <w:t>其他</w:t>
      </w:r>
    </w:p>
    <w:sdt>
      <w:sdtPr>
        <w:rPr>
          <w:rStyle w:val="Char10"/>
          <w:rFonts w:hint="eastAsia"/>
        </w:rPr>
        <w:alias w:val="是否适用：关联方及关联情况的其他说明[双击切换]"/>
        <w:tag w:val="_GBC_0fbd096440c645128adaffccb05f4e2f"/>
        <w:id w:val="-201630433"/>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4"/>
        <w:rPr>
          <w:rStyle w:val="Char10"/>
        </w:rPr>
      </w:pPr>
      <w:r>
        <w:rPr>
          <w:rStyle w:val="Char10"/>
          <w:rFonts w:hint="eastAsia"/>
        </w:rPr>
        <w:t>股份支付</w:t>
      </w:r>
    </w:p>
    <w:p w:rsidR="004A3868" w:rsidRDefault="003F1AB5">
      <w:pPr>
        <w:pStyle w:val="Style955"/>
        <w:numPr>
          <w:ilvl w:val="0"/>
          <w:numId w:val="119"/>
        </w:numPr>
        <w:spacing w:before="120"/>
        <w:rPr>
          <w:rStyle w:val="Char10"/>
        </w:rPr>
      </w:pPr>
      <w:r>
        <w:rPr>
          <w:rStyle w:val="Char10"/>
          <w:rFonts w:hint="eastAsia"/>
        </w:rPr>
        <w:t>各项权益工具</w:t>
      </w:r>
    </w:p>
    <w:bookmarkStart w:id="253" w:name="_Hlk40787153" w:displacedByCustomXml="next"/>
    <w:bookmarkStart w:id="254" w:name="_Hlk151135509" w:displacedByCustomXml="next"/>
    <w:sdt>
      <w:sdtPr>
        <w:rPr>
          <w:rStyle w:val="Char10"/>
        </w:rPr>
        <w:alias w:val="是否适用：各项权益工具[双击切换]"/>
        <w:tag w:val="_GBC_0398e620ff9243c39df09ccd571d2387"/>
        <w:id w:val="-911388926"/>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期末发行在外的股票期权或其他权益工具</w:t>
      </w:r>
    </w:p>
    <w:sdt>
      <w:sdtPr>
        <w:rPr>
          <w:rStyle w:val="Char10"/>
        </w:rPr>
        <w:alias w:val="是否适用：期末发行在外的股票期权或其他权益工具[双击切换]"/>
        <w:tag w:val="_GBC_2e4df3ddd5a5427f9a9de654e2e35eb0"/>
        <w:id w:val="1392928549"/>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9"/>
        </w:numPr>
        <w:spacing w:before="120"/>
        <w:rPr>
          <w:rStyle w:val="Char10"/>
        </w:rPr>
      </w:pPr>
      <w:r>
        <w:rPr>
          <w:rStyle w:val="Char10"/>
          <w:rFonts w:hint="eastAsia"/>
        </w:rPr>
        <w:t>以权益结算的股份支付情况</w:t>
      </w:r>
    </w:p>
    <w:bookmarkEnd w:id="253" w:displacedByCustomXml="next"/>
    <w:bookmarkStart w:id="255" w:name="_Hlk40787255" w:displacedByCustomXml="next"/>
    <w:sdt>
      <w:sdtPr>
        <w:rPr>
          <w:rStyle w:val="Char10"/>
        </w:rPr>
        <w:alias w:val="是否适用：以权益结算的股份支付情况[双击切换]"/>
        <w:tag w:val="_GBC_180733cce6b5415097c0582f27918a4f"/>
        <w:id w:val="1405797112"/>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54"/>
    <w:p w:rsidR="004A3868" w:rsidRDefault="003F1AB5">
      <w:pPr>
        <w:pStyle w:val="Style955"/>
        <w:numPr>
          <w:ilvl w:val="0"/>
          <w:numId w:val="119"/>
        </w:numPr>
        <w:spacing w:before="120"/>
        <w:rPr>
          <w:rStyle w:val="Char10"/>
        </w:rPr>
      </w:pPr>
      <w:r>
        <w:rPr>
          <w:rStyle w:val="Char10"/>
          <w:rFonts w:hint="eastAsia"/>
        </w:rPr>
        <w:t>以现金结算的股份支付情况</w:t>
      </w:r>
    </w:p>
    <w:bookmarkEnd w:id="255" w:displacedByCustomXml="next"/>
    <w:sdt>
      <w:sdtPr>
        <w:rPr>
          <w:rStyle w:val="Char10"/>
        </w:rPr>
        <w:alias w:val="是否适用：以现金结算的股份支付情况[双击切换]"/>
        <w:tag w:val="_GBC_aa134f611909486bb3a2d6258058f88d"/>
        <w:id w:val="452902760"/>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9"/>
        </w:numPr>
        <w:spacing w:before="120"/>
        <w:rPr>
          <w:rStyle w:val="Char10"/>
        </w:rPr>
      </w:pPr>
      <w:r>
        <w:rPr>
          <w:rStyle w:val="Char10"/>
        </w:rPr>
        <w:t>本期</w:t>
      </w:r>
      <w:r>
        <w:rPr>
          <w:rStyle w:val="Char10"/>
          <w:rFonts w:hint="eastAsia"/>
        </w:rPr>
        <w:t>股份支付费用</w:t>
      </w:r>
    </w:p>
    <w:sdt>
      <w:sdtPr>
        <w:rPr>
          <w:rStyle w:val="Char10"/>
        </w:rPr>
        <w:alias w:val="是否适用：股份支付费用[双击切换]"/>
        <w:tag w:val="_GBC_13f52df697614645a77ebd37316f419c"/>
        <w:id w:val="1815668411"/>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4A3868">
      <w:pPr>
        <w:pStyle w:val="Style853"/>
        <w:rPr>
          <w:rStyle w:val="Char10"/>
        </w:rPr>
      </w:pPr>
    </w:p>
    <w:p w:rsidR="004A3868" w:rsidRDefault="003F1AB5">
      <w:pPr>
        <w:pStyle w:val="Style955"/>
        <w:numPr>
          <w:ilvl w:val="0"/>
          <w:numId w:val="119"/>
        </w:numPr>
        <w:spacing w:before="120"/>
        <w:rPr>
          <w:rStyle w:val="Char10"/>
        </w:rPr>
      </w:pPr>
      <w:r>
        <w:rPr>
          <w:rStyle w:val="Char10"/>
          <w:rFonts w:hint="eastAsia"/>
        </w:rPr>
        <w:t>股份支付的修改、终止情况</w:t>
      </w:r>
    </w:p>
    <w:sdt>
      <w:sdtPr>
        <w:rPr>
          <w:rStyle w:val="Char10"/>
          <w:rFonts w:hint="eastAsia"/>
        </w:rPr>
        <w:alias w:val="是否适用：股份支付的修改、终止情况[双击切换]"/>
        <w:tag w:val="_GBC_6da986e9834d42b9bb7548673f325962"/>
        <w:id w:val="-316811636"/>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19"/>
        </w:numPr>
        <w:spacing w:before="120"/>
      </w:pPr>
      <w:r>
        <w:rPr>
          <w:rFonts w:hint="eastAsia"/>
        </w:rPr>
        <w:t>其他</w:t>
      </w:r>
    </w:p>
    <w:sdt>
      <w:sdtPr>
        <w:rPr>
          <w:rFonts w:hint="eastAsia"/>
        </w:rPr>
        <w:alias w:val="是否适用：股份支付的其他情况说明[双击切换]"/>
        <w:tag w:val="_GBC_d03d26e0d4844b798c3d4b87d2578ece"/>
        <w:id w:val="472174453"/>
        <w:lock w:val="sdtLocked"/>
        <w:placeholder>
          <w:docPart w:val="GBC22222222222222222222222222222"/>
        </w:placeholder>
      </w:sdtPr>
      <w:sdtEndPr/>
      <w:sdtContent>
        <w:p w:rsidR="004A3868" w:rsidRDefault="003F1AB5">
          <w:pPr>
            <w:pStyle w:val="Style84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954"/>
      </w:pPr>
      <w:r>
        <w:rPr>
          <w:rFonts w:hint="eastAsia"/>
        </w:rPr>
        <w:t>承诺及或有事项</w:t>
      </w:r>
    </w:p>
    <w:p w:rsidR="004A3868" w:rsidRDefault="003F1AB5">
      <w:pPr>
        <w:pStyle w:val="Style955"/>
        <w:numPr>
          <w:ilvl w:val="0"/>
          <w:numId w:val="120"/>
        </w:numPr>
        <w:spacing w:before="120"/>
        <w:rPr>
          <w:rStyle w:val="Char10"/>
        </w:rPr>
      </w:pPr>
      <w:r>
        <w:rPr>
          <w:rStyle w:val="Char10"/>
          <w:rFonts w:hint="eastAsia"/>
        </w:rPr>
        <w:t>重要承诺事项</w:t>
      </w:r>
    </w:p>
    <w:sdt>
      <w:sdtPr>
        <w:alias w:val="是否适用：重要承诺事项[双击切换]"/>
        <w:tag w:val="_GBC_568be9a6805040a8b9fbd5c5d07b45dd"/>
        <w:id w:val="718710593"/>
        <w:placeholder>
          <w:docPart w:val="GBC22222222222222222222222222222"/>
        </w:placeholder>
      </w:sdtPr>
      <w:sdtEndPr/>
      <w:sdtContent>
        <w:p w:rsidR="004A3868" w:rsidRDefault="003F1AB5">
          <w:pPr>
            <w:pStyle w:val="Style853"/>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Fonts w:hint="eastAsia"/>
          <w:b/>
          <w:bCs/>
        </w:rPr>
        <w:alias w:val="模块:资产负债表日存在的重大承诺"/>
        <w:tag w:val="_SEC_5ebba82f117d48db8c37854cf072cc17"/>
        <w:id w:val="2126568725"/>
        <w:lock w:val="sdtLocked"/>
      </w:sdtPr>
      <w:sdtEndPr>
        <w:rPr>
          <w:rStyle w:val="Char10"/>
          <w:rFonts w:ascii="Times New Roman" w:hAnsi="Times New Roman"/>
          <w:b w:val="0"/>
          <w:bCs w:val="0"/>
          <w:kern w:val="2"/>
          <w:sz w:val="21"/>
          <w:szCs w:val="21"/>
        </w:rPr>
      </w:sdtEndPr>
      <w:sdtContent>
        <w:p w:rsidR="004A3868" w:rsidRDefault="003F1AB5">
          <w:pPr>
            <w:pStyle w:val="Style853"/>
            <w:rPr>
              <w:rStyle w:val="Char10"/>
            </w:rPr>
          </w:pPr>
          <w:r>
            <w:rPr>
              <w:rStyle w:val="Char10"/>
              <w:rFonts w:hint="eastAsia"/>
            </w:rPr>
            <w:t>资产负债表日存在的对外重要承诺、性质、金额</w:t>
          </w:r>
        </w:p>
        <w:sdt>
          <w:sdtPr>
            <w:rPr>
              <w:rStyle w:val="Char10"/>
            </w:rPr>
            <w:alias w:val="资产负债表日存在的重要承诺"/>
            <w:tag w:val="_GBC_d8961aa2bd524a56bb4914de9e5d2dc3"/>
            <w:id w:val="-927423625"/>
            <w:lock w:val="sdtLocked"/>
          </w:sdtPr>
          <w:sdtEndPr>
            <w:rPr>
              <w:rStyle w:val="Char10"/>
            </w:rPr>
          </w:sdtEndPr>
          <w:sdtContent>
            <w:p w:rsidR="004A3868" w:rsidRDefault="003F1AB5">
              <w:pPr>
                <w:pStyle w:val="Style1213"/>
                <w:ind w:firstLine="420"/>
                <w:rPr>
                  <w:rStyle w:val="Char10"/>
                </w:rPr>
              </w:pPr>
              <w:r>
                <w:rPr>
                  <w:rStyle w:val="Char10"/>
                  <w:rFonts w:hint="eastAsia"/>
                </w:rPr>
                <w:t>回购股份的财务承诺事项</w:t>
              </w:r>
            </w:p>
            <w:p w:rsidR="004A3868" w:rsidRDefault="003F1AB5">
              <w:pPr>
                <w:pStyle w:val="Style1213"/>
                <w:ind w:firstLine="420"/>
                <w:rPr>
                  <w:rStyle w:val="Char10"/>
                </w:rPr>
              </w:pPr>
              <w:r>
                <w:rPr>
                  <w:rStyle w:val="Char10"/>
                </w:rPr>
                <w:t>2023</w:t>
              </w:r>
              <w:r>
                <w:rPr>
                  <w:rStyle w:val="Char10"/>
                </w:rPr>
                <w:t>年</w:t>
              </w:r>
              <w:r>
                <w:rPr>
                  <w:rStyle w:val="Char10"/>
                </w:rPr>
                <w:t>10</w:t>
              </w:r>
              <w:r>
                <w:rPr>
                  <w:rStyle w:val="Char10"/>
                </w:rPr>
                <w:t>月</w:t>
              </w:r>
              <w:r>
                <w:rPr>
                  <w:rStyle w:val="Char10"/>
                </w:rPr>
                <w:t>25</w:t>
              </w:r>
              <w:r>
                <w:rPr>
                  <w:rStyle w:val="Char10"/>
                </w:rPr>
                <w:t>日，公司召开第三届董事会第十八次会议，审议通过了《关于以集中竞价方式回购公司股份方案的议案》，根据议案内容，公司拟以自有资金通过集中竞价方式回购公司股份，回购资金总额为不低于人民币</w:t>
              </w:r>
              <w:r>
                <w:rPr>
                  <w:rStyle w:val="Char10"/>
                </w:rPr>
                <w:t>5,000</w:t>
              </w:r>
              <w:r>
                <w:rPr>
                  <w:rStyle w:val="Char10"/>
                </w:rPr>
                <w:t>万元</w:t>
              </w:r>
              <w:r>
                <w:rPr>
                  <w:rStyle w:val="Char10"/>
                </w:rPr>
                <w:t>(</w:t>
              </w:r>
              <w:r>
                <w:rPr>
                  <w:rStyle w:val="Char10"/>
                </w:rPr>
                <w:t>含本数</w:t>
              </w:r>
              <w:r>
                <w:rPr>
                  <w:rStyle w:val="Char10"/>
                </w:rPr>
                <w:t>)</w:t>
              </w:r>
              <w:r>
                <w:rPr>
                  <w:rStyle w:val="Char10"/>
                </w:rPr>
                <w:t>且不超过人民币</w:t>
              </w:r>
              <w:r>
                <w:rPr>
                  <w:rStyle w:val="Char10"/>
                </w:rPr>
                <w:t>10,000</w:t>
              </w:r>
              <w:r>
                <w:rPr>
                  <w:rStyle w:val="Char10"/>
                </w:rPr>
                <w:t>万元</w:t>
              </w:r>
              <w:r>
                <w:rPr>
                  <w:rStyle w:val="Char10"/>
                </w:rPr>
                <w:t>(</w:t>
              </w:r>
              <w:r>
                <w:rPr>
                  <w:rStyle w:val="Char10"/>
                </w:rPr>
                <w:t>含本数</w:t>
              </w:r>
              <w:r>
                <w:rPr>
                  <w:rStyle w:val="Char10"/>
                </w:rPr>
                <w:t>)</w:t>
              </w:r>
              <w:r>
                <w:rPr>
                  <w:rStyle w:val="Char10"/>
                </w:rPr>
                <w:t>。截止期末，公司累计使用资金</w:t>
              </w:r>
              <w:r>
                <w:rPr>
                  <w:rStyle w:val="Char10"/>
                </w:rPr>
                <w:t>50,299,241.28</w:t>
              </w:r>
              <w:r>
                <w:rPr>
                  <w:rStyle w:val="Char10"/>
                </w:rPr>
                <w:t>元回购本公司股份</w:t>
              </w:r>
              <w:r>
                <w:rPr>
                  <w:rStyle w:val="Char10"/>
                </w:rPr>
                <w:t>3,202,768</w:t>
              </w:r>
              <w:r>
                <w:rPr>
                  <w:rStyle w:val="Char10"/>
                </w:rPr>
                <w:t>股，占公司总股本的比例为</w:t>
              </w:r>
              <w:r>
                <w:rPr>
                  <w:rStyle w:val="Char10"/>
                </w:rPr>
                <w:t>0.9613%</w:t>
              </w:r>
              <w:r>
                <w:rPr>
                  <w:rStyle w:val="Char10"/>
                </w:rPr>
                <w:t>。</w:t>
              </w:r>
            </w:p>
            <w:p w:rsidR="004A3868" w:rsidRDefault="003F1AB5">
              <w:pPr>
                <w:pStyle w:val="Style1213"/>
                <w:ind w:firstLine="420"/>
                <w:rPr>
                  <w:rStyle w:val="Char10"/>
                </w:rPr>
              </w:pPr>
              <w:r>
                <w:rPr>
                  <w:rStyle w:val="Char10"/>
                  <w:rFonts w:hint="eastAsia"/>
                </w:rPr>
                <w:t>除存在上述承诺事项外，截止</w:t>
              </w:r>
              <w:r>
                <w:rPr>
                  <w:rStyle w:val="Char10"/>
                </w:rPr>
                <w:t>2023</w:t>
              </w:r>
              <w:r>
                <w:rPr>
                  <w:rStyle w:val="Char10"/>
                </w:rPr>
                <w:t>年</w:t>
              </w:r>
              <w:r>
                <w:rPr>
                  <w:rStyle w:val="Char10"/>
                </w:rPr>
                <w:t>12</w:t>
              </w:r>
              <w:r>
                <w:rPr>
                  <w:rStyle w:val="Char10"/>
                </w:rPr>
                <w:t>月</w:t>
              </w:r>
              <w:r>
                <w:rPr>
                  <w:rStyle w:val="Char10"/>
                </w:rPr>
                <w:t>31</w:t>
              </w:r>
              <w:r>
                <w:rPr>
                  <w:rStyle w:val="Char10"/>
                </w:rPr>
                <w:t>日，本公司无其他应披露未披露的重大承诺事项。</w:t>
              </w:r>
            </w:p>
          </w:sdtContent>
        </w:sdt>
      </w:sdtContent>
    </w:sdt>
    <w:p w:rsidR="004A3868" w:rsidRDefault="003F1AB5">
      <w:pPr>
        <w:pStyle w:val="Style955"/>
        <w:numPr>
          <w:ilvl w:val="0"/>
          <w:numId w:val="120"/>
        </w:numPr>
        <w:spacing w:before="120"/>
        <w:rPr>
          <w:rStyle w:val="Char10"/>
        </w:rPr>
      </w:pPr>
      <w:r>
        <w:rPr>
          <w:rStyle w:val="Char10"/>
          <w:rFonts w:hint="eastAsia"/>
        </w:rPr>
        <w:t>或有事项</w:t>
      </w:r>
    </w:p>
    <w:p w:rsidR="004A3868" w:rsidRDefault="003F1AB5">
      <w:pPr>
        <w:pStyle w:val="Style956"/>
        <w:numPr>
          <w:ilvl w:val="3"/>
          <w:numId w:val="121"/>
        </w:numPr>
        <w:rPr>
          <w:rStyle w:val="Char10"/>
        </w:rPr>
      </w:pPr>
      <w:r>
        <w:rPr>
          <w:rStyle w:val="Char10"/>
          <w:rFonts w:hint="eastAsia"/>
        </w:rPr>
        <w:t>资产负债表日存在的重要或有事项</w:t>
      </w:r>
    </w:p>
    <w:sdt>
      <w:sdtPr>
        <w:rPr>
          <w:rStyle w:val="Char10"/>
          <w:rFonts w:hint="eastAsia"/>
        </w:rPr>
        <w:alias w:val="是否适用：资产负债表日存在的重要或有事项[双击切换]"/>
        <w:tag w:val="_GBC_d987504ad98e408986b4fc6f62089ffe"/>
        <w:id w:val="-385109858"/>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alias w:val="资产负债表日存在的重要或有事项"/>
        <w:tag w:val="_GBC_44fe1af4de6e4875a4861efb466efdca"/>
        <w:id w:val="-17620636"/>
        <w:lock w:val="sdtLocked"/>
        <w:placeholder>
          <w:docPart w:val="5C0C2B2880B24235A4E48F0CDF0C8341"/>
        </w:placeholder>
      </w:sdtPr>
      <w:sdtEndPr>
        <w:rPr>
          <w:rStyle w:val="Char10"/>
          <w:rFonts w:ascii="Times New Roman" w:hAnsi="Times New Roman"/>
          <w:kern w:val="2"/>
          <w:sz w:val="21"/>
          <w:szCs w:val="21"/>
        </w:rPr>
      </w:sdtEndPr>
      <w:sdtContent>
        <w:p w:rsidR="004A3868" w:rsidRDefault="003F1AB5">
          <w:pPr>
            <w:pStyle w:val="Style1213"/>
            <w:numPr>
              <w:ilvl w:val="0"/>
              <w:numId w:val="122"/>
            </w:numPr>
            <w:ind w:firstLineChars="0"/>
            <w:rPr>
              <w:rStyle w:val="Char10"/>
            </w:rPr>
          </w:pPr>
          <w:r>
            <w:rPr>
              <w:rStyle w:val="Char10"/>
            </w:rPr>
            <w:t>未决诉讼或仲裁形成的或有事项及其财务影响</w:t>
          </w:r>
        </w:p>
        <w:tbl>
          <w:tblPr>
            <w:tblStyle w:val="g5"/>
            <w:tblW w:w="4747" w:type="pct"/>
            <w:jc w:val="center"/>
            <w:tblInd w:w="0" w:type="dxa"/>
            <w:tblLayout w:type="fixed"/>
            <w:tblCellMar>
              <w:right w:w="28" w:type="dxa"/>
            </w:tblCellMar>
            <w:tblLook w:val="04A0" w:firstRow="1" w:lastRow="0" w:firstColumn="1" w:lastColumn="0" w:noHBand="0" w:noVBand="1"/>
          </w:tblPr>
          <w:tblGrid>
            <w:gridCol w:w="563"/>
            <w:gridCol w:w="1260"/>
            <w:gridCol w:w="1575"/>
            <w:gridCol w:w="742"/>
            <w:gridCol w:w="992"/>
            <w:gridCol w:w="1984"/>
            <w:gridCol w:w="1261"/>
          </w:tblGrid>
          <w:tr w:rsidR="004A3868">
            <w:trPr>
              <w:trHeight w:val="397"/>
              <w:jc w:val="center"/>
            </w:trPr>
            <w:tc>
              <w:tcPr>
                <w:tcW w:w="562" w:type="dxa"/>
                <w:vAlign w:val="center"/>
              </w:tcPr>
              <w:p w:rsidR="004A3868" w:rsidRDefault="003F1AB5">
                <w:pPr>
                  <w:pStyle w:val="Style1226"/>
                  <w:rPr>
                    <w:rStyle w:val="Char10"/>
                  </w:rPr>
                </w:pPr>
                <w:r>
                  <w:rPr>
                    <w:rStyle w:val="Char10"/>
                    <w:rFonts w:hint="eastAsia"/>
                  </w:rPr>
                  <w:t>序号</w:t>
                </w:r>
              </w:p>
            </w:tc>
            <w:tc>
              <w:tcPr>
                <w:tcW w:w="1260" w:type="dxa"/>
                <w:vAlign w:val="center"/>
              </w:tcPr>
              <w:p w:rsidR="004A3868" w:rsidRDefault="003F1AB5">
                <w:pPr>
                  <w:pStyle w:val="Style1226"/>
                  <w:rPr>
                    <w:rStyle w:val="Char10"/>
                  </w:rPr>
                </w:pPr>
                <w:r>
                  <w:rPr>
                    <w:rStyle w:val="Char10"/>
                  </w:rPr>
                  <w:t>诉讼</w:t>
                </w:r>
                <w:r>
                  <w:rPr>
                    <w:rStyle w:val="Char10"/>
                  </w:rPr>
                  <w:t>(</w:t>
                </w:r>
                <w:r>
                  <w:rPr>
                    <w:rStyle w:val="Char10"/>
                  </w:rPr>
                  <w:t>仲裁</w:t>
                </w:r>
                <w:r>
                  <w:rPr>
                    <w:rStyle w:val="Char10"/>
                  </w:rPr>
                  <w:t>)</w:t>
                </w:r>
                <w:r>
                  <w:rPr>
                    <w:rStyle w:val="Char10"/>
                  </w:rPr>
                  <w:t>基本情况</w:t>
                </w:r>
              </w:p>
            </w:tc>
            <w:tc>
              <w:tcPr>
                <w:tcW w:w="1575" w:type="dxa"/>
                <w:vAlign w:val="center"/>
              </w:tcPr>
              <w:p w:rsidR="004A3868" w:rsidRDefault="003F1AB5">
                <w:pPr>
                  <w:pStyle w:val="Style1226"/>
                  <w:rPr>
                    <w:rStyle w:val="Char10"/>
                  </w:rPr>
                </w:pPr>
                <w:r>
                  <w:rPr>
                    <w:rStyle w:val="Char10"/>
                  </w:rPr>
                  <w:t>涉案金额（</w:t>
                </w:r>
                <w:r>
                  <w:rPr>
                    <w:rStyle w:val="Char10"/>
                    <w:rFonts w:hint="eastAsia"/>
                  </w:rPr>
                  <w:t>万</w:t>
                </w:r>
                <w:r>
                  <w:rPr>
                    <w:rStyle w:val="Char10"/>
                  </w:rPr>
                  <w:t>元）</w:t>
                </w:r>
              </w:p>
            </w:tc>
            <w:tc>
              <w:tcPr>
                <w:tcW w:w="742" w:type="dxa"/>
                <w:vAlign w:val="center"/>
              </w:tcPr>
              <w:p w:rsidR="004A3868" w:rsidRDefault="003F1AB5">
                <w:pPr>
                  <w:pStyle w:val="Style1226"/>
                  <w:rPr>
                    <w:rStyle w:val="Char10"/>
                  </w:rPr>
                </w:pPr>
                <w:r>
                  <w:rPr>
                    <w:rStyle w:val="Char10"/>
                  </w:rPr>
                  <w:t>是否形成预计负债</w:t>
                </w:r>
              </w:p>
            </w:tc>
            <w:tc>
              <w:tcPr>
                <w:tcW w:w="992" w:type="dxa"/>
                <w:vAlign w:val="center"/>
              </w:tcPr>
              <w:p w:rsidR="004A3868" w:rsidRDefault="003F1AB5">
                <w:pPr>
                  <w:pStyle w:val="Style1226"/>
                  <w:rPr>
                    <w:rStyle w:val="Char10"/>
                  </w:rPr>
                </w:pPr>
                <w:r>
                  <w:rPr>
                    <w:rStyle w:val="Char10"/>
                  </w:rPr>
                  <w:t>诉讼</w:t>
                </w:r>
                <w:r>
                  <w:rPr>
                    <w:rStyle w:val="Char10"/>
                  </w:rPr>
                  <w:t>(</w:t>
                </w:r>
                <w:r>
                  <w:rPr>
                    <w:rStyle w:val="Char10"/>
                  </w:rPr>
                  <w:t>仲裁</w:t>
                </w:r>
                <w:r>
                  <w:rPr>
                    <w:rStyle w:val="Char10"/>
                  </w:rPr>
                  <w:t>)</w:t>
                </w:r>
                <w:r>
                  <w:rPr>
                    <w:rStyle w:val="Char10"/>
                  </w:rPr>
                  <w:t>进展</w:t>
                </w:r>
              </w:p>
            </w:tc>
            <w:tc>
              <w:tcPr>
                <w:tcW w:w="1984" w:type="dxa"/>
                <w:vAlign w:val="center"/>
              </w:tcPr>
              <w:p w:rsidR="004A3868" w:rsidRDefault="003F1AB5">
                <w:pPr>
                  <w:pStyle w:val="Style1226"/>
                  <w:rPr>
                    <w:rStyle w:val="Char10"/>
                  </w:rPr>
                </w:pPr>
                <w:r>
                  <w:rPr>
                    <w:rStyle w:val="Char10"/>
                  </w:rPr>
                  <w:t>诉讼</w:t>
                </w:r>
                <w:r>
                  <w:rPr>
                    <w:rStyle w:val="Char10"/>
                  </w:rPr>
                  <w:t>(</w:t>
                </w:r>
                <w:r>
                  <w:rPr>
                    <w:rStyle w:val="Char10"/>
                  </w:rPr>
                  <w:t>仲裁</w:t>
                </w:r>
                <w:r>
                  <w:rPr>
                    <w:rStyle w:val="Char10"/>
                  </w:rPr>
                  <w:t>)</w:t>
                </w:r>
                <w:r>
                  <w:rPr>
                    <w:rStyle w:val="Char10"/>
                  </w:rPr>
                  <w:t>审理结果及影响</w:t>
                </w:r>
              </w:p>
            </w:tc>
            <w:tc>
              <w:tcPr>
                <w:tcW w:w="1261" w:type="dxa"/>
                <w:vAlign w:val="center"/>
              </w:tcPr>
              <w:p w:rsidR="004A3868" w:rsidRDefault="003F1AB5">
                <w:pPr>
                  <w:pStyle w:val="Style1226"/>
                  <w:rPr>
                    <w:rStyle w:val="Char10"/>
                  </w:rPr>
                </w:pPr>
                <w:r>
                  <w:rPr>
                    <w:rStyle w:val="Char10"/>
                  </w:rPr>
                  <w:t>诉讼</w:t>
                </w:r>
                <w:r>
                  <w:rPr>
                    <w:rStyle w:val="Char10"/>
                  </w:rPr>
                  <w:t>(</w:t>
                </w:r>
                <w:r>
                  <w:rPr>
                    <w:rStyle w:val="Char10"/>
                  </w:rPr>
                  <w:t>仲裁</w:t>
                </w:r>
                <w:r>
                  <w:rPr>
                    <w:rStyle w:val="Char10"/>
                  </w:rPr>
                  <w:t>)</w:t>
                </w:r>
                <w:r>
                  <w:rPr>
                    <w:rStyle w:val="Char10"/>
                  </w:rPr>
                  <w:t>判决执行情况</w:t>
                </w:r>
              </w:p>
            </w:tc>
          </w:tr>
          <w:tr w:rsidR="004A3868">
            <w:trPr>
              <w:trHeight w:val="397"/>
              <w:jc w:val="center"/>
            </w:trPr>
            <w:tc>
              <w:tcPr>
                <w:tcW w:w="562" w:type="dxa"/>
                <w:vAlign w:val="center"/>
              </w:tcPr>
              <w:p w:rsidR="004A3868" w:rsidRDefault="003F1AB5">
                <w:pPr>
                  <w:pStyle w:val="Style1226"/>
                  <w:rPr>
                    <w:rStyle w:val="Char10"/>
                  </w:rPr>
                </w:pPr>
                <w:r>
                  <w:rPr>
                    <w:rStyle w:val="Char10"/>
                  </w:rPr>
                  <w:t>1</w:t>
                </w:r>
              </w:p>
            </w:tc>
            <w:tc>
              <w:tcPr>
                <w:tcW w:w="1260" w:type="dxa"/>
                <w:vAlign w:val="center"/>
              </w:tcPr>
              <w:p w:rsidR="004A3868" w:rsidRDefault="003F1AB5">
                <w:pPr>
                  <w:pStyle w:val="Style1226"/>
                  <w:rPr>
                    <w:rStyle w:val="Char10"/>
                  </w:rPr>
                </w:pPr>
                <w:r>
                  <w:rPr>
                    <w:rStyle w:val="Char10"/>
                  </w:rPr>
                  <w:t>罗兴刚</w:t>
                </w:r>
              </w:p>
            </w:tc>
            <w:tc>
              <w:tcPr>
                <w:tcW w:w="1575" w:type="dxa"/>
                <w:vAlign w:val="center"/>
              </w:tcPr>
              <w:p w:rsidR="004A3868" w:rsidRDefault="003F1AB5">
                <w:pPr>
                  <w:pStyle w:val="Style1226"/>
                  <w:rPr>
                    <w:rStyle w:val="Char10"/>
                  </w:rPr>
                </w:pPr>
                <w:r>
                  <w:rPr>
                    <w:rStyle w:val="Char10"/>
                  </w:rPr>
                  <w:t>6.00</w:t>
                </w:r>
              </w:p>
            </w:tc>
            <w:tc>
              <w:tcPr>
                <w:tcW w:w="742" w:type="dxa"/>
                <w:vAlign w:val="center"/>
              </w:tcPr>
              <w:p w:rsidR="004A3868" w:rsidRDefault="003F1AB5">
                <w:pPr>
                  <w:pStyle w:val="Style1226"/>
                  <w:rPr>
                    <w:rStyle w:val="Char10"/>
                  </w:rPr>
                </w:pPr>
                <w:r>
                  <w:rPr>
                    <w:rStyle w:val="Char10"/>
                  </w:rPr>
                  <w:t>是</w:t>
                </w:r>
              </w:p>
            </w:tc>
            <w:tc>
              <w:tcPr>
                <w:tcW w:w="992" w:type="dxa"/>
                <w:vAlign w:val="center"/>
              </w:tcPr>
              <w:p w:rsidR="004A3868" w:rsidRDefault="003F1AB5">
                <w:pPr>
                  <w:pStyle w:val="Style1226"/>
                  <w:rPr>
                    <w:rStyle w:val="Char10"/>
                  </w:rPr>
                </w:pPr>
                <w:r>
                  <w:rPr>
                    <w:rStyle w:val="Char10"/>
                  </w:rPr>
                  <w:t>双方调解</w:t>
                </w:r>
              </w:p>
            </w:tc>
            <w:tc>
              <w:tcPr>
                <w:tcW w:w="1984" w:type="dxa"/>
                <w:vAlign w:val="center"/>
              </w:tcPr>
              <w:p w:rsidR="004A3868" w:rsidRDefault="003F1AB5">
                <w:pPr>
                  <w:pStyle w:val="Style1226"/>
                  <w:rPr>
                    <w:rStyle w:val="Char10"/>
                  </w:rPr>
                </w:pPr>
                <w:r>
                  <w:rPr>
                    <w:rStyle w:val="Char10"/>
                  </w:rPr>
                  <w:t>支付原告</w:t>
                </w:r>
                <w:r>
                  <w:rPr>
                    <w:rStyle w:val="Char10"/>
                  </w:rPr>
                  <w:t>6</w:t>
                </w:r>
                <w:r>
                  <w:rPr>
                    <w:rStyle w:val="Char10"/>
                    <w:rFonts w:hint="eastAsia"/>
                  </w:rPr>
                  <w:t>万</w:t>
                </w:r>
                <w:r>
                  <w:rPr>
                    <w:rStyle w:val="Char10"/>
                  </w:rPr>
                  <w:t>元</w:t>
                </w:r>
              </w:p>
            </w:tc>
            <w:tc>
              <w:tcPr>
                <w:tcW w:w="1261" w:type="dxa"/>
                <w:vAlign w:val="center"/>
              </w:tcPr>
              <w:p w:rsidR="004A3868" w:rsidRDefault="003F1AB5">
                <w:pPr>
                  <w:pStyle w:val="Style1226"/>
                  <w:rPr>
                    <w:rStyle w:val="Char10"/>
                  </w:rPr>
                </w:pPr>
                <w:r>
                  <w:rPr>
                    <w:rStyle w:val="Char10"/>
                  </w:rPr>
                  <w:t>已结案</w:t>
                </w:r>
              </w:p>
            </w:tc>
          </w:tr>
          <w:tr w:rsidR="004A3868">
            <w:trPr>
              <w:trHeight w:val="397"/>
              <w:jc w:val="center"/>
            </w:trPr>
            <w:tc>
              <w:tcPr>
                <w:tcW w:w="562" w:type="dxa"/>
                <w:vAlign w:val="center"/>
              </w:tcPr>
              <w:p w:rsidR="004A3868" w:rsidRDefault="003F1AB5">
                <w:pPr>
                  <w:pStyle w:val="Style1226"/>
                  <w:rPr>
                    <w:rStyle w:val="Char10"/>
                  </w:rPr>
                </w:pPr>
                <w:r>
                  <w:rPr>
                    <w:rStyle w:val="Char10"/>
                  </w:rPr>
                  <w:t>2</w:t>
                </w:r>
              </w:p>
            </w:tc>
            <w:tc>
              <w:tcPr>
                <w:tcW w:w="1260" w:type="dxa"/>
                <w:vAlign w:val="center"/>
              </w:tcPr>
              <w:p w:rsidR="004A3868" w:rsidRDefault="003F1AB5">
                <w:pPr>
                  <w:pStyle w:val="Style1226"/>
                  <w:rPr>
                    <w:rStyle w:val="Char10"/>
                  </w:rPr>
                </w:pPr>
                <w:r>
                  <w:rPr>
                    <w:rStyle w:val="Char10"/>
                  </w:rPr>
                  <w:t>张太华</w:t>
                </w:r>
              </w:p>
            </w:tc>
            <w:tc>
              <w:tcPr>
                <w:tcW w:w="1575" w:type="dxa"/>
                <w:vAlign w:val="center"/>
              </w:tcPr>
              <w:p w:rsidR="004A3868" w:rsidRDefault="003F1AB5">
                <w:pPr>
                  <w:pStyle w:val="Style1226"/>
                  <w:rPr>
                    <w:rStyle w:val="Char10"/>
                  </w:rPr>
                </w:pPr>
                <w:r>
                  <w:rPr>
                    <w:rStyle w:val="Char10"/>
                  </w:rPr>
                  <w:t>128</w:t>
                </w:r>
                <w:r>
                  <w:rPr>
                    <w:rStyle w:val="Char10"/>
                    <w:rFonts w:hint="eastAsia"/>
                  </w:rPr>
                  <w:t>.</w:t>
                </w:r>
                <w:r>
                  <w:rPr>
                    <w:rStyle w:val="Char10"/>
                  </w:rPr>
                  <w:t>00</w:t>
                </w:r>
              </w:p>
            </w:tc>
            <w:tc>
              <w:tcPr>
                <w:tcW w:w="742" w:type="dxa"/>
                <w:vAlign w:val="center"/>
              </w:tcPr>
              <w:p w:rsidR="004A3868" w:rsidRDefault="003F1AB5">
                <w:pPr>
                  <w:pStyle w:val="Style1226"/>
                  <w:rPr>
                    <w:rStyle w:val="Char10"/>
                  </w:rPr>
                </w:pPr>
                <w:r>
                  <w:rPr>
                    <w:rStyle w:val="Char10"/>
                  </w:rPr>
                  <w:t>是</w:t>
                </w:r>
              </w:p>
            </w:tc>
            <w:tc>
              <w:tcPr>
                <w:tcW w:w="992" w:type="dxa"/>
                <w:vAlign w:val="center"/>
              </w:tcPr>
              <w:p w:rsidR="004A3868" w:rsidRDefault="003F1AB5">
                <w:pPr>
                  <w:pStyle w:val="Style1226"/>
                  <w:rPr>
                    <w:rStyle w:val="Char10"/>
                  </w:rPr>
                </w:pPr>
                <w:r>
                  <w:rPr>
                    <w:rStyle w:val="Char10"/>
                  </w:rPr>
                  <w:t>法院裁决</w:t>
                </w:r>
              </w:p>
            </w:tc>
            <w:tc>
              <w:tcPr>
                <w:tcW w:w="1984" w:type="dxa"/>
                <w:vAlign w:val="center"/>
              </w:tcPr>
              <w:p w:rsidR="004A3868" w:rsidRDefault="003F1AB5">
                <w:pPr>
                  <w:pStyle w:val="Style1226"/>
                  <w:rPr>
                    <w:rStyle w:val="Char10"/>
                  </w:rPr>
                </w:pPr>
                <w:r>
                  <w:rPr>
                    <w:rStyle w:val="Char10"/>
                  </w:rPr>
                  <w:t>支付原告</w:t>
                </w:r>
                <w:r>
                  <w:rPr>
                    <w:rStyle w:val="Char10"/>
                  </w:rPr>
                  <w:t>2.51</w:t>
                </w:r>
                <w:r>
                  <w:rPr>
                    <w:rStyle w:val="Char10"/>
                    <w:rFonts w:hint="eastAsia"/>
                  </w:rPr>
                  <w:t>万</w:t>
                </w:r>
                <w:r>
                  <w:rPr>
                    <w:rStyle w:val="Char10"/>
                  </w:rPr>
                  <w:t>元</w:t>
                </w:r>
              </w:p>
            </w:tc>
            <w:tc>
              <w:tcPr>
                <w:tcW w:w="1261" w:type="dxa"/>
                <w:vAlign w:val="center"/>
              </w:tcPr>
              <w:p w:rsidR="004A3868" w:rsidRDefault="003F1AB5">
                <w:pPr>
                  <w:pStyle w:val="Style1226"/>
                  <w:rPr>
                    <w:rStyle w:val="Char10"/>
                  </w:rPr>
                </w:pPr>
                <w:r>
                  <w:rPr>
                    <w:rStyle w:val="Char10"/>
                  </w:rPr>
                  <w:t>已结案</w:t>
                </w:r>
              </w:p>
            </w:tc>
          </w:tr>
          <w:tr w:rsidR="004A3868">
            <w:trPr>
              <w:trHeight w:val="397"/>
              <w:jc w:val="center"/>
            </w:trPr>
            <w:tc>
              <w:tcPr>
                <w:tcW w:w="562" w:type="dxa"/>
                <w:vAlign w:val="center"/>
              </w:tcPr>
              <w:p w:rsidR="004A3868" w:rsidRDefault="003F1AB5">
                <w:pPr>
                  <w:pStyle w:val="Style1226"/>
                  <w:rPr>
                    <w:rStyle w:val="Char10"/>
                  </w:rPr>
                </w:pPr>
                <w:r>
                  <w:rPr>
                    <w:rStyle w:val="Char10"/>
                  </w:rPr>
                  <w:t>3</w:t>
                </w:r>
              </w:p>
            </w:tc>
            <w:tc>
              <w:tcPr>
                <w:tcW w:w="1260" w:type="dxa"/>
                <w:vAlign w:val="center"/>
              </w:tcPr>
              <w:p w:rsidR="004A3868" w:rsidRDefault="003F1AB5">
                <w:pPr>
                  <w:pStyle w:val="Style1226"/>
                  <w:rPr>
                    <w:rStyle w:val="Char10"/>
                  </w:rPr>
                </w:pPr>
                <w:r>
                  <w:rPr>
                    <w:rStyle w:val="Char10"/>
                  </w:rPr>
                  <w:t>卢大望</w:t>
                </w:r>
              </w:p>
            </w:tc>
            <w:tc>
              <w:tcPr>
                <w:tcW w:w="1575" w:type="dxa"/>
                <w:vAlign w:val="center"/>
              </w:tcPr>
              <w:p w:rsidR="004A3868" w:rsidRDefault="003F1AB5">
                <w:pPr>
                  <w:pStyle w:val="Style1226"/>
                  <w:rPr>
                    <w:rStyle w:val="Char10"/>
                  </w:rPr>
                </w:pPr>
                <w:r>
                  <w:rPr>
                    <w:rStyle w:val="Char10"/>
                  </w:rPr>
                  <w:t>26</w:t>
                </w:r>
                <w:r>
                  <w:rPr>
                    <w:rStyle w:val="Char10"/>
                    <w:rFonts w:hint="eastAsia"/>
                  </w:rPr>
                  <w:t>.</w:t>
                </w:r>
                <w:r>
                  <w:rPr>
                    <w:rStyle w:val="Char10"/>
                  </w:rPr>
                  <w:t>71</w:t>
                </w:r>
              </w:p>
            </w:tc>
            <w:tc>
              <w:tcPr>
                <w:tcW w:w="742" w:type="dxa"/>
                <w:vAlign w:val="center"/>
              </w:tcPr>
              <w:p w:rsidR="004A3868" w:rsidRDefault="003F1AB5">
                <w:pPr>
                  <w:pStyle w:val="Style1226"/>
                  <w:rPr>
                    <w:rStyle w:val="Char10"/>
                  </w:rPr>
                </w:pPr>
                <w:r>
                  <w:rPr>
                    <w:rStyle w:val="Char10"/>
                  </w:rPr>
                  <w:t>是</w:t>
                </w:r>
              </w:p>
            </w:tc>
            <w:tc>
              <w:tcPr>
                <w:tcW w:w="992" w:type="dxa"/>
                <w:vAlign w:val="center"/>
              </w:tcPr>
              <w:p w:rsidR="004A3868" w:rsidRDefault="003F1AB5">
                <w:pPr>
                  <w:pStyle w:val="Style1226"/>
                  <w:rPr>
                    <w:rStyle w:val="Char10"/>
                  </w:rPr>
                </w:pPr>
                <w:r>
                  <w:rPr>
                    <w:rStyle w:val="Char10"/>
                  </w:rPr>
                  <w:t>一审</w:t>
                </w:r>
              </w:p>
            </w:tc>
            <w:tc>
              <w:tcPr>
                <w:tcW w:w="1984" w:type="dxa"/>
                <w:vAlign w:val="center"/>
              </w:tcPr>
              <w:p w:rsidR="004A3868" w:rsidRDefault="003F1AB5">
                <w:pPr>
                  <w:pStyle w:val="Style1226"/>
                  <w:rPr>
                    <w:rStyle w:val="Char10"/>
                  </w:rPr>
                </w:pPr>
                <w:r>
                  <w:rPr>
                    <w:rStyle w:val="Char10"/>
                  </w:rPr>
                  <w:t>预计承担</w:t>
                </w:r>
                <w:r>
                  <w:rPr>
                    <w:rStyle w:val="Char10"/>
                  </w:rPr>
                  <w:t>10%</w:t>
                </w:r>
                <w:r>
                  <w:rPr>
                    <w:rStyle w:val="Char10"/>
                  </w:rPr>
                  <w:t>（</w:t>
                </w:r>
                <w:r>
                  <w:rPr>
                    <w:rStyle w:val="Char10"/>
                  </w:rPr>
                  <w:t>26.71</w:t>
                </w:r>
                <w:r>
                  <w:rPr>
                    <w:rStyle w:val="Char10"/>
                    <w:rFonts w:hint="eastAsia"/>
                  </w:rPr>
                  <w:t>万</w:t>
                </w:r>
                <w:r>
                  <w:rPr>
                    <w:rStyle w:val="Char10"/>
                  </w:rPr>
                  <w:t>元）责任</w:t>
                </w:r>
              </w:p>
            </w:tc>
            <w:tc>
              <w:tcPr>
                <w:tcW w:w="1261" w:type="dxa"/>
                <w:vAlign w:val="center"/>
              </w:tcPr>
              <w:p w:rsidR="004A3868" w:rsidRDefault="003F1AB5">
                <w:pPr>
                  <w:pStyle w:val="Style1226"/>
                  <w:rPr>
                    <w:rStyle w:val="Char10"/>
                  </w:rPr>
                </w:pPr>
                <w:r>
                  <w:rPr>
                    <w:rStyle w:val="Char10"/>
                  </w:rPr>
                  <w:t>进行二审上诉</w:t>
                </w:r>
              </w:p>
            </w:tc>
          </w:tr>
          <w:tr w:rsidR="004A3868">
            <w:trPr>
              <w:trHeight w:val="397"/>
              <w:jc w:val="center"/>
            </w:trPr>
            <w:tc>
              <w:tcPr>
                <w:tcW w:w="562" w:type="dxa"/>
                <w:vAlign w:val="center"/>
              </w:tcPr>
              <w:p w:rsidR="004A3868" w:rsidRDefault="004A3868">
                <w:pPr>
                  <w:pStyle w:val="Style1226"/>
                  <w:rPr>
                    <w:rStyle w:val="Char10"/>
                  </w:rPr>
                </w:pPr>
              </w:p>
            </w:tc>
            <w:tc>
              <w:tcPr>
                <w:tcW w:w="1260" w:type="dxa"/>
                <w:vAlign w:val="center"/>
              </w:tcPr>
              <w:p w:rsidR="004A3868" w:rsidRDefault="003F1AB5">
                <w:pPr>
                  <w:pStyle w:val="Style1226"/>
                  <w:rPr>
                    <w:rStyle w:val="Char10"/>
                  </w:rPr>
                </w:pPr>
                <w:r>
                  <w:rPr>
                    <w:rStyle w:val="Char10"/>
                  </w:rPr>
                  <w:t>合计</w:t>
                </w:r>
              </w:p>
            </w:tc>
            <w:tc>
              <w:tcPr>
                <w:tcW w:w="1575" w:type="dxa"/>
                <w:vAlign w:val="center"/>
              </w:tcPr>
              <w:p w:rsidR="004A3868" w:rsidRDefault="003F1AB5">
                <w:pPr>
                  <w:pStyle w:val="Style1226"/>
                  <w:rPr>
                    <w:rStyle w:val="Char10"/>
                  </w:rPr>
                </w:pPr>
                <w:r>
                  <w:rPr>
                    <w:rStyle w:val="Char10"/>
                    <w:rFonts w:hint="eastAsia"/>
                  </w:rPr>
                  <w:t>4</w:t>
                </w:r>
                <w:r>
                  <w:rPr>
                    <w:rStyle w:val="Char10"/>
                  </w:rPr>
                  <w:t>01.06</w:t>
                </w:r>
              </w:p>
            </w:tc>
            <w:tc>
              <w:tcPr>
                <w:tcW w:w="742" w:type="dxa"/>
                <w:vAlign w:val="center"/>
              </w:tcPr>
              <w:p w:rsidR="004A3868" w:rsidRDefault="004A3868">
                <w:pPr>
                  <w:pStyle w:val="Style1226"/>
                  <w:rPr>
                    <w:rStyle w:val="Char10"/>
                  </w:rPr>
                </w:pPr>
              </w:p>
            </w:tc>
            <w:tc>
              <w:tcPr>
                <w:tcW w:w="992" w:type="dxa"/>
                <w:vAlign w:val="center"/>
              </w:tcPr>
              <w:p w:rsidR="004A3868" w:rsidRDefault="004A3868">
                <w:pPr>
                  <w:pStyle w:val="Style1226"/>
                  <w:rPr>
                    <w:rStyle w:val="Char10"/>
                  </w:rPr>
                </w:pPr>
              </w:p>
            </w:tc>
            <w:tc>
              <w:tcPr>
                <w:tcW w:w="1984" w:type="dxa"/>
                <w:vAlign w:val="center"/>
              </w:tcPr>
              <w:p w:rsidR="004A3868" w:rsidRDefault="004A3868">
                <w:pPr>
                  <w:pStyle w:val="Style1226"/>
                  <w:rPr>
                    <w:rStyle w:val="Char10"/>
                  </w:rPr>
                </w:pPr>
              </w:p>
            </w:tc>
            <w:tc>
              <w:tcPr>
                <w:tcW w:w="1261" w:type="dxa"/>
                <w:vAlign w:val="center"/>
              </w:tcPr>
              <w:p w:rsidR="004A3868" w:rsidRDefault="004A3868">
                <w:pPr>
                  <w:pStyle w:val="Style1226"/>
                  <w:rPr>
                    <w:rStyle w:val="Char10"/>
                  </w:rPr>
                </w:pPr>
              </w:p>
            </w:tc>
          </w:tr>
        </w:tbl>
        <w:p w:rsidR="004A3868" w:rsidRDefault="003F1AB5">
          <w:pPr>
            <w:pStyle w:val="Style1213"/>
            <w:ind w:firstLine="420"/>
            <w:rPr>
              <w:rStyle w:val="Char10"/>
            </w:rPr>
          </w:pPr>
          <w:r>
            <w:rPr>
              <w:rStyle w:val="Char10"/>
              <w:rFonts w:hint="eastAsia"/>
            </w:rPr>
            <w:t>2</w:t>
          </w:r>
          <w:r>
            <w:rPr>
              <w:rStyle w:val="Char10"/>
            </w:rPr>
            <w:t>)</w:t>
          </w:r>
          <w:r>
            <w:rPr>
              <w:rStyle w:val="Char10"/>
            </w:rPr>
            <w:t>开出保函、信用证</w:t>
          </w:r>
        </w:p>
        <w:p w:rsidR="004A3868" w:rsidRDefault="003F1AB5">
          <w:pPr>
            <w:pStyle w:val="Style1213"/>
            <w:ind w:firstLine="420"/>
            <w:rPr>
              <w:rStyle w:val="Char10"/>
            </w:rPr>
          </w:pPr>
          <w:r>
            <w:rPr>
              <w:rStyle w:val="Char10"/>
              <w:rFonts w:hint="eastAsia"/>
            </w:rPr>
            <w:t>截至</w:t>
          </w:r>
          <w:r>
            <w:rPr>
              <w:rStyle w:val="Char10"/>
            </w:rPr>
            <w:t>2023</w:t>
          </w:r>
          <w:r>
            <w:rPr>
              <w:rStyle w:val="Char10"/>
            </w:rPr>
            <w:t>年</w:t>
          </w:r>
          <w:r>
            <w:rPr>
              <w:rStyle w:val="Char10"/>
            </w:rPr>
            <w:t>12</w:t>
          </w:r>
          <w:r>
            <w:rPr>
              <w:rStyle w:val="Char10"/>
            </w:rPr>
            <w:t>月</w:t>
          </w:r>
          <w:r>
            <w:rPr>
              <w:rStyle w:val="Char10"/>
            </w:rPr>
            <w:t>31</w:t>
          </w:r>
          <w:r>
            <w:rPr>
              <w:rStyle w:val="Char10"/>
            </w:rPr>
            <w:t>日，公司开出未到期</w:t>
          </w:r>
          <w:r>
            <w:rPr>
              <w:rStyle w:val="Char10"/>
              <w:rFonts w:hint="eastAsia"/>
            </w:rPr>
            <w:t>人民币保函</w:t>
          </w:r>
          <w:r>
            <w:rPr>
              <w:rStyle w:val="Char10"/>
            </w:rPr>
            <w:t>87,643,871.45</w:t>
          </w:r>
          <w:r>
            <w:rPr>
              <w:rStyle w:val="Char10"/>
            </w:rPr>
            <w:t>元，</w:t>
          </w:r>
          <w:r>
            <w:rPr>
              <w:rStyle w:val="Char10"/>
              <w:rFonts w:hint="eastAsia"/>
            </w:rPr>
            <w:t>未到期欧元保函</w:t>
          </w:r>
          <w:r>
            <w:rPr>
              <w:rStyle w:val="Char10"/>
            </w:rPr>
            <w:t>552,800.00</w:t>
          </w:r>
          <w:r>
            <w:rPr>
              <w:rStyle w:val="Char10"/>
            </w:rPr>
            <w:t>欧元；开出未到期</w:t>
          </w:r>
          <w:r>
            <w:rPr>
              <w:rStyle w:val="Char10"/>
              <w:rFonts w:hint="eastAsia"/>
            </w:rPr>
            <w:t>人民币信用证</w:t>
          </w:r>
          <w:r>
            <w:rPr>
              <w:rStyle w:val="Char10"/>
            </w:rPr>
            <w:t>为</w:t>
          </w:r>
          <w:r>
            <w:rPr>
              <w:rStyle w:val="Char10"/>
            </w:rPr>
            <w:t>37,948,200.00</w:t>
          </w:r>
          <w:r>
            <w:rPr>
              <w:rStyle w:val="Char10"/>
            </w:rPr>
            <w:t>元</w:t>
          </w:r>
          <w:r>
            <w:rPr>
              <w:rStyle w:val="Char10"/>
              <w:rFonts w:hint="eastAsia"/>
            </w:rPr>
            <w:t>；未到期美元信用证</w:t>
          </w:r>
          <w:r>
            <w:rPr>
              <w:rStyle w:val="Char10"/>
            </w:rPr>
            <w:t>10,000.00</w:t>
          </w:r>
          <w:r>
            <w:rPr>
              <w:rStyle w:val="Char10"/>
            </w:rPr>
            <w:t>美元。</w:t>
          </w:r>
        </w:p>
        <w:p w:rsidR="004A3868" w:rsidRDefault="003F1AB5">
          <w:pPr>
            <w:pStyle w:val="Style1213"/>
            <w:ind w:firstLine="420"/>
            <w:rPr>
              <w:rStyle w:val="Char10"/>
            </w:rPr>
          </w:pPr>
          <w:r>
            <w:rPr>
              <w:rStyle w:val="Char10"/>
              <w:rFonts w:hint="eastAsia"/>
            </w:rPr>
            <w:lastRenderedPageBreak/>
            <w:t>除存在上述或有事项外，截止</w:t>
          </w:r>
          <w:r>
            <w:rPr>
              <w:rStyle w:val="Char10"/>
            </w:rPr>
            <w:t>2023</w:t>
          </w:r>
          <w:r>
            <w:rPr>
              <w:rStyle w:val="Char10"/>
            </w:rPr>
            <w:t>年</w:t>
          </w:r>
          <w:r>
            <w:rPr>
              <w:rStyle w:val="Char10"/>
            </w:rPr>
            <w:t>12</w:t>
          </w:r>
          <w:r>
            <w:rPr>
              <w:rStyle w:val="Char10"/>
            </w:rPr>
            <w:t>月</w:t>
          </w:r>
          <w:r>
            <w:rPr>
              <w:rStyle w:val="Char10"/>
            </w:rPr>
            <w:t>31</w:t>
          </w:r>
          <w:r>
            <w:rPr>
              <w:rStyle w:val="Char10"/>
            </w:rPr>
            <w:t>日，本公司无其他应披露未披露的重要或有事项。</w:t>
          </w:r>
        </w:p>
      </w:sdtContent>
    </w:sdt>
    <w:p w:rsidR="004A3868" w:rsidRDefault="003F1AB5">
      <w:pPr>
        <w:pStyle w:val="Style956"/>
        <w:numPr>
          <w:ilvl w:val="3"/>
          <w:numId w:val="121"/>
        </w:numPr>
        <w:rPr>
          <w:rStyle w:val="Char10"/>
        </w:rPr>
      </w:pPr>
      <w:r>
        <w:rPr>
          <w:rStyle w:val="Char10"/>
          <w:rFonts w:hint="eastAsia"/>
        </w:rPr>
        <w:t>公司没有需要披露的重要或有事项，也应予以说明：</w:t>
      </w:r>
    </w:p>
    <w:sdt>
      <w:sdtPr>
        <w:rPr>
          <w:rStyle w:val="Char10"/>
          <w:rFonts w:hint="eastAsia"/>
        </w:rPr>
        <w:alias w:val="是否适用：公司没有需要披露的重要或有事项，也应予以说明[双击切换]"/>
        <w:tag w:val="_GBC_07f7b2e649f24a948656f8714cbf5345"/>
        <w:id w:val="1004854176"/>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20"/>
        </w:numPr>
        <w:spacing w:before="120"/>
        <w:rPr>
          <w:rStyle w:val="Char10"/>
        </w:rPr>
      </w:pPr>
      <w:r>
        <w:rPr>
          <w:rStyle w:val="Char10"/>
          <w:rFonts w:hint="eastAsia"/>
        </w:rPr>
        <w:t>其他</w:t>
      </w:r>
    </w:p>
    <w:sdt>
      <w:sdtPr>
        <w:rPr>
          <w:rStyle w:val="Char10"/>
          <w:rFonts w:hint="eastAsia"/>
        </w:rPr>
        <w:alias w:val="是否适用：承诺及或有事项的其他情况说明[双击切换]"/>
        <w:tag w:val="_GBC_cf5b3c02da904b4ea27843983d9a6248"/>
        <w:id w:val="55214602"/>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4"/>
        <w:rPr>
          <w:rStyle w:val="Char10"/>
        </w:rPr>
      </w:pPr>
      <w:r>
        <w:rPr>
          <w:rStyle w:val="Char10"/>
          <w:rFonts w:hint="eastAsia"/>
        </w:rPr>
        <w:t>资产负债表日后事项</w:t>
      </w:r>
    </w:p>
    <w:p w:rsidR="004A3868" w:rsidRDefault="003F1AB5">
      <w:pPr>
        <w:pStyle w:val="Style955"/>
        <w:numPr>
          <w:ilvl w:val="0"/>
          <w:numId w:val="123"/>
        </w:numPr>
        <w:spacing w:before="120"/>
        <w:rPr>
          <w:rStyle w:val="Char10"/>
        </w:rPr>
      </w:pPr>
      <w:r>
        <w:rPr>
          <w:rStyle w:val="Char10"/>
          <w:rFonts w:hint="eastAsia"/>
        </w:rPr>
        <w:t>重要的非调整事项</w:t>
      </w:r>
    </w:p>
    <w:sdt>
      <w:sdtPr>
        <w:alias w:val="是否适用：重要的非调整事项[双击切换]"/>
        <w:tag w:val="_GBC_5d94a9ce52454687be716014c1894fef"/>
        <w:id w:val="133686419"/>
        <w:lock w:val="sdtLocked"/>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财务附注：重要的资产负债表日后事项说明"/>
          <w:tag w:val="_GBC_177a32b7ca794318a5efc517a0eed09e"/>
          <w:id w:val="1122726794"/>
          <w:lock w:val="sdtLocked"/>
          <w:placeholder>
            <w:docPart w:val="689CE4114E0648A4B9A5138AAB5D4C79"/>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万元</w:t>
          </w:r>
        </w:sdtContent>
      </w:sdt>
      <w:r>
        <w:rPr>
          <w:rStyle w:val="Char10"/>
          <w:rFonts w:hint="eastAsia"/>
        </w:rPr>
        <w:t xml:space="preserve">  </w:t>
      </w:r>
      <w:r>
        <w:rPr>
          <w:rStyle w:val="Char10"/>
          <w:rFonts w:hint="eastAsia"/>
        </w:rPr>
        <w:t>币种：</w:t>
      </w:r>
      <w:sdt>
        <w:sdtPr>
          <w:rPr>
            <w:rStyle w:val="Char10"/>
            <w:rFonts w:hint="eastAsia"/>
          </w:rPr>
          <w:alias w:val="币种：财务附注：重要的资产负债表日后事项说明"/>
          <w:tag w:val="_GBC_314487925f36402abda926e1f3f54933"/>
          <w:id w:val="-879859291"/>
          <w:lock w:val="sdtLocked"/>
          <w:placeholder>
            <w:docPart w:val="689CE4114E0648A4B9A5138AAB5D4C7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540"/>
        <w:gridCol w:w="2982"/>
        <w:gridCol w:w="2183"/>
        <w:gridCol w:w="2118"/>
      </w:tblGrid>
      <w:tr w:rsidR="004A3868">
        <w:trPr>
          <w:trHeight w:val="397"/>
          <w:jc w:val="center"/>
        </w:trPr>
        <w:sdt>
          <w:sdtPr>
            <w:rPr>
              <w:rStyle w:val="Char10"/>
            </w:rPr>
            <w:tag w:val="_PLD_cdb9ffca0c9440c1ac5f0a2fe231d1bb"/>
            <w:id w:val="718479602"/>
            <w:lock w:val="sdtLocked"/>
          </w:sdtPr>
          <w:sdtEndPr>
            <w:rPr>
              <w:rStyle w:val="Char10"/>
            </w:r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项目</w:t>
                </w:r>
              </w:p>
            </w:tc>
          </w:sdtContent>
        </w:sdt>
        <w:sdt>
          <w:sdtPr>
            <w:rPr>
              <w:rStyle w:val="Char10"/>
            </w:rPr>
            <w:tag w:val="_PLD_1e23eaf3fad6444ab34ffaa0973abf1b"/>
            <w:id w:val="672914416"/>
            <w:lock w:val="sdtLocked"/>
          </w:sdtPr>
          <w:sdtEndPr>
            <w:rPr>
              <w:rStyle w:val="Char10"/>
            </w:rPr>
          </w:sdtEndPr>
          <w:sdtContent>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内容</w:t>
                </w:r>
              </w:p>
            </w:tc>
          </w:sdtContent>
        </w:sdt>
        <w:sdt>
          <w:sdtPr>
            <w:rPr>
              <w:rStyle w:val="Char10"/>
            </w:rPr>
            <w:tag w:val="_PLD_2fa94c5054bd4f43a6049a7d90065b6e"/>
            <w:id w:val="-492796670"/>
            <w:lock w:val="sdtLocked"/>
          </w:sdtPr>
          <w:sdtEndPr>
            <w:rPr>
              <w:rStyle w:val="Char10"/>
            </w:rPr>
          </w:sdtEndPr>
          <w:sdtContent>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对财务状况和经营成果的影响数</w:t>
                </w:r>
              </w:p>
            </w:tc>
          </w:sdtContent>
        </w:sdt>
        <w:sdt>
          <w:sdtPr>
            <w:rPr>
              <w:rStyle w:val="Char10"/>
            </w:rPr>
            <w:tag w:val="_PLD_77027e8c41a44d66a5c20b6a4c82bff4"/>
            <w:id w:val="168233830"/>
            <w:lock w:val="sdtLocked"/>
          </w:sdtPr>
          <w:sdtEndPr>
            <w:rPr>
              <w:rStyle w:val="Char10"/>
            </w:rPr>
          </w:sdtEndPr>
          <w:sdtContent>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无法估计影响数的</w:t>
                </w:r>
              </w:p>
              <w:p w:rsidR="004A3868" w:rsidRDefault="003F1AB5">
                <w:pPr>
                  <w:pStyle w:val="Style1226"/>
                  <w:rPr>
                    <w:rStyle w:val="Char10"/>
                  </w:rPr>
                </w:pPr>
                <w:r>
                  <w:rPr>
                    <w:rStyle w:val="Char10"/>
                    <w:rFonts w:hint="eastAsia"/>
                  </w:rPr>
                  <w:t>原因</w:t>
                </w:r>
              </w:p>
            </w:tc>
          </w:sdtContent>
        </w:sdt>
      </w:tr>
      <w:tr w:rsidR="004A3868">
        <w:trPr>
          <w:trHeight w:val="397"/>
          <w:jc w:val="center"/>
        </w:trPr>
        <w:sdt>
          <w:sdtPr>
            <w:rPr>
              <w:rStyle w:val="Char10"/>
            </w:rPr>
            <w:tag w:val="_PLD_d8992895ee1446f5a9e97651de1bd125"/>
            <w:id w:val="-1987227488"/>
            <w:lock w:val="sdtLocked"/>
          </w:sdtPr>
          <w:sdtEndPr>
            <w:rPr>
              <w:rStyle w:val="Char10"/>
            </w:r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开展外汇套期保值业务</w:t>
                </w:r>
              </w:p>
            </w:tc>
          </w:sdtContent>
        </w:sdt>
        <w:tc>
          <w:tcPr>
            <w:tcW w:w="1690"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Style1226"/>
              <w:rPr>
                <w:rStyle w:val="Char10"/>
              </w:rPr>
            </w:pPr>
            <w:r>
              <w:rPr>
                <w:rStyle w:val="Char10"/>
                <w:rFonts w:hint="eastAsia"/>
              </w:rPr>
              <w:t>公司于</w:t>
            </w:r>
            <w:r>
              <w:rPr>
                <w:rStyle w:val="Char10"/>
              </w:rPr>
              <w:t>2024</w:t>
            </w:r>
            <w:r>
              <w:rPr>
                <w:rStyle w:val="Char10"/>
              </w:rPr>
              <w:t>年</w:t>
            </w:r>
            <w:r>
              <w:rPr>
                <w:rStyle w:val="Char10"/>
              </w:rPr>
              <w:t>1</w:t>
            </w:r>
            <w:r>
              <w:rPr>
                <w:rStyle w:val="Char10"/>
              </w:rPr>
              <w:t>月</w:t>
            </w:r>
            <w:r>
              <w:rPr>
                <w:rStyle w:val="Char10"/>
              </w:rPr>
              <w:t>18</w:t>
            </w:r>
            <w:r>
              <w:rPr>
                <w:rStyle w:val="Char10"/>
              </w:rPr>
              <w:t>日召开第四届董事会审计委员会第二次会议、第四届董事会第二次会议，审议通过《关于开展外汇套期保值业务的议案》，同意公司编制的《关于开展外汇套期保值业务的可行性分析报告》</w:t>
            </w:r>
            <w:r>
              <w:rPr>
                <w:rStyle w:val="Char10"/>
                <w:rFonts w:hint="eastAsia"/>
              </w:rPr>
              <w:t>，</w:t>
            </w:r>
            <w:r>
              <w:rPr>
                <w:rStyle w:val="Char10"/>
              </w:rPr>
              <w:t>同意公司及子公司根据生产经营需要开展外汇套期保值业务。</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1226"/>
              <w:rPr>
                <w:rStyle w:val="Char10"/>
              </w:rPr>
            </w:pP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注</w:t>
            </w:r>
            <w:r>
              <w:rPr>
                <w:rStyle w:val="Char10"/>
              </w:rPr>
              <w:t>1</w:t>
            </w:r>
          </w:p>
        </w:tc>
      </w:tr>
      <w:tr w:rsidR="004A3868">
        <w:trPr>
          <w:trHeight w:val="397"/>
          <w:jc w:val="center"/>
        </w:trPr>
        <w:sdt>
          <w:sdtPr>
            <w:rPr>
              <w:rStyle w:val="Char10"/>
            </w:rPr>
            <w:tag w:val="_PLD_c8d1320fa1b24ea4b7cb650e749a62c0"/>
            <w:id w:val="1492213583"/>
            <w:lock w:val="sdtLocked"/>
          </w:sdtPr>
          <w:sdtEndPr>
            <w:rPr>
              <w:rStyle w:val="Char10"/>
            </w:r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限制性股票激励计划</w:t>
                </w:r>
              </w:p>
            </w:tc>
          </w:sdtContent>
        </w:sdt>
        <w:tc>
          <w:tcPr>
            <w:tcW w:w="1690"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Style1226"/>
              <w:rPr>
                <w:rStyle w:val="Char10"/>
              </w:rPr>
            </w:pPr>
            <w:r>
              <w:rPr>
                <w:rStyle w:val="Char10"/>
              </w:rPr>
              <w:t>2024</w:t>
            </w:r>
            <w:r>
              <w:rPr>
                <w:rStyle w:val="Char10"/>
              </w:rPr>
              <w:t>年</w:t>
            </w:r>
            <w:r>
              <w:rPr>
                <w:rStyle w:val="Char10"/>
              </w:rPr>
              <w:t>3</w:t>
            </w:r>
            <w:r>
              <w:rPr>
                <w:rStyle w:val="Char10"/>
              </w:rPr>
              <w:t>月</w:t>
            </w:r>
            <w:r>
              <w:rPr>
                <w:rStyle w:val="Char10"/>
              </w:rPr>
              <w:t>5</w:t>
            </w:r>
            <w:r>
              <w:rPr>
                <w:rStyle w:val="Char10"/>
              </w:rPr>
              <w:t>日，公司召开第四届董事会第三次会议、第四届监事会第三次会议审议通过了《关于向公司</w:t>
            </w:r>
            <w:r>
              <w:rPr>
                <w:rStyle w:val="Char10"/>
              </w:rPr>
              <w:t>2024</w:t>
            </w:r>
            <w:r>
              <w:rPr>
                <w:rStyle w:val="Char10"/>
              </w:rPr>
              <w:t>年限制性股票激励计划激励对象首次授子限制性股票的议案》。</w:t>
            </w:r>
          </w:p>
          <w:p w:rsidR="004A3868" w:rsidRDefault="003F1AB5">
            <w:pPr>
              <w:pStyle w:val="Style1226"/>
              <w:rPr>
                <w:rStyle w:val="Char10"/>
              </w:rPr>
            </w:pPr>
            <w:r>
              <w:rPr>
                <w:rStyle w:val="Char10"/>
                <w:rFonts w:hint="eastAsia"/>
              </w:rPr>
              <w:t>根据公司《</w:t>
            </w:r>
            <w:r>
              <w:rPr>
                <w:rStyle w:val="Char10"/>
              </w:rPr>
              <w:t>2024</w:t>
            </w:r>
            <w:r>
              <w:rPr>
                <w:rStyle w:val="Char10"/>
              </w:rPr>
              <w:t>年限制性股票激励计划》的规定和公司</w:t>
            </w:r>
            <w:r>
              <w:rPr>
                <w:rStyle w:val="Char10"/>
              </w:rPr>
              <w:t>2024</w:t>
            </w:r>
            <w:r>
              <w:rPr>
                <w:rStyle w:val="Char10"/>
              </w:rPr>
              <w:t>年第一次临时股东大会的授权，董事会认为本次激励计划的首次授予条件已经成就，同意确认</w:t>
            </w:r>
            <w:r>
              <w:rPr>
                <w:rStyle w:val="Char10"/>
              </w:rPr>
              <w:t>2024</w:t>
            </w:r>
            <w:r>
              <w:rPr>
                <w:rStyle w:val="Char10"/>
              </w:rPr>
              <w:t>年</w:t>
            </w:r>
            <w:r>
              <w:rPr>
                <w:rStyle w:val="Char10"/>
              </w:rPr>
              <w:t>3</w:t>
            </w:r>
            <w:r>
              <w:rPr>
                <w:rStyle w:val="Char10"/>
              </w:rPr>
              <w:t>月</w:t>
            </w:r>
            <w:r>
              <w:rPr>
                <w:rStyle w:val="Char10"/>
              </w:rPr>
              <w:t>5</w:t>
            </w:r>
            <w:r>
              <w:rPr>
                <w:rStyle w:val="Char10"/>
              </w:rPr>
              <w:t>日为首次授予日，授予</w:t>
            </w:r>
            <w:r>
              <w:rPr>
                <w:rStyle w:val="Char10"/>
              </w:rPr>
              <w:t>57</w:t>
            </w:r>
            <w:r>
              <w:rPr>
                <w:rStyle w:val="Char10"/>
              </w:rPr>
              <w:t>名激励对象</w:t>
            </w:r>
            <w:r>
              <w:rPr>
                <w:rStyle w:val="Char10"/>
              </w:rPr>
              <w:t>255</w:t>
            </w:r>
            <w:r>
              <w:rPr>
                <w:rStyle w:val="Char10"/>
              </w:rPr>
              <w:t>万股限制性股票。</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 xml:space="preserve">1,978.80 </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1226"/>
              <w:rPr>
                <w:rStyle w:val="Char10"/>
              </w:rPr>
            </w:pPr>
          </w:p>
        </w:tc>
      </w:tr>
      <w:tr w:rsidR="004A3868">
        <w:trPr>
          <w:trHeight w:val="397"/>
          <w:jc w:val="center"/>
        </w:trPr>
        <w:sdt>
          <w:sdtPr>
            <w:rPr>
              <w:rStyle w:val="Char10"/>
            </w:rPr>
            <w:tag w:val="_PLD_173bd3152a1d47ab9c908e6d9e2da3c4"/>
            <w:id w:val="-1258824956"/>
            <w:lock w:val="sdtLocked"/>
          </w:sdtPr>
          <w:sdtEndPr>
            <w:rPr>
              <w:rStyle w:val="Char10"/>
            </w:r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重要的对外投资</w:t>
                </w:r>
              </w:p>
            </w:tc>
          </w:sdtContent>
        </w:sdt>
        <w:tc>
          <w:tcPr>
            <w:tcW w:w="1690"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Style1226"/>
              <w:rPr>
                <w:rStyle w:val="Char10"/>
              </w:rPr>
            </w:pPr>
            <w:r>
              <w:rPr>
                <w:rStyle w:val="Char10"/>
              </w:rPr>
              <w:t>2024</w:t>
            </w:r>
            <w:r>
              <w:rPr>
                <w:rStyle w:val="Char10"/>
              </w:rPr>
              <w:t>年</w:t>
            </w:r>
            <w:r>
              <w:rPr>
                <w:rStyle w:val="Char10"/>
              </w:rPr>
              <w:t>3</w:t>
            </w:r>
            <w:r>
              <w:rPr>
                <w:rStyle w:val="Char10"/>
              </w:rPr>
              <w:t>月</w:t>
            </w:r>
            <w:r>
              <w:rPr>
                <w:rStyle w:val="Char10"/>
              </w:rPr>
              <w:t>5</w:t>
            </w:r>
            <w:r>
              <w:rPr>
                <w:rStyle w:val="Char10"/>
              </w:rPr>
              <w:t>日，公司召开第四届董事会第三次会议，拟通过北京产权交易所竞购上海长威股权投资合伙企业</w:t>
            </w:r>
            <w:r>
              <w:rPr>
                <w:rStyle w:val="Char10"/>
              </w:rPr>
              <w:t>(</w:t>
            </w:r>
            <w:r>
              <w:rPr>
                <w:rStyle w:val="Char10"/>
              </w:rPr>
              <w:t>有限合伙</w:t>
            </w:r>
            <w:r>
              <w:rPr>
                <w:rStyle w:val="Char10"/>
              </w:rPr>
              <w:t>)</w:t>
            </w:r>
            <w:r>
              <w:rPr>
                <w:rStyle w:val="Char10"/>
              </w:rPr>
              <w:t>和南方工业资产管理有限责任公司合计持有云南变压器电气股份有限公司</w:t>
            </w:r>
            <w:r>
              <w:rPr>
                <w:rStyle w:val="Char10"/>
              </w:rPr>
              <w:t>(</w:t>
            </w:r>
            <w:r>
              <w:rPr>
                <w:rStyle w:val="Char10"/>
              </w:rPr>
              <w:t>以下简称</w:t>
            </w:r>
            <w:r>
              <w:rPr>
                <w:rStyle w:val="Char10"/>
              </w:rPr>
              <w:t>“</w:t>
            </w:r>
            <w:r>
              <w:rPr>
                <w:rStyle w:val="Char10"/>
              </w:rPr>
              <w:t>云变电气</w:t>
            </w:r>
            <w:r>
              <w:rPr>
                <w:rStyle w:val="Char10"/>
              </w:rPr>
              <w:t>”</w:t>
            </w:r>
            <w:r>
              <w:rPr>
                <w:rStyle w:val="Char10"/>
              </w:rPr>
              <w:t>或</w:t>
            </w:r>
            <w:r>
              <w:rPr>
                <w:rStyle w:val="Char10"/>
              </w:rPr>
              <w:t>“</w:t>
            </w:r>
            <w:r>
              <w:rPr>
                <w:rStyle w:val="Char10"/>
              </w:rPr>
              <w:t>标的公司</w:t>
            </w:r>
            <w:r>
              <w:rPr>
                <w:rStyle w:val="Char10"/>
              </w:rPr>
              <w:t>”)79.97%</w:t>
            </w:r>
            <w:r>
              <w:rPr>
                <w:rStyle w:val="Char10"/>
              </w:rPr>
              <w:t>股份，</w:t>
            </w:r>
            <w:r>
              <w:rPr>
                <w:rStyle w:val="Char10"/>
              </w:rPr>
              <w:t>2024</w:t>
            </w:r>
            <w:r>
              <w:rPr>
                <w:rStyle w:val="Char10"/>
              </w:rPr>
              <w:t>年</w:t>
            </w:r>
            <w:r>
              <w:rPr>
                <w:rStyle w:val="Char10"/>
              </w:rPr>
              <w:t>3</w:t>
            </w:r>
            <w:r>
              <w:rPr>
                <w:rStyle w:val="Char10"/>
              </w:rPr>
              <w:t>月</w:t>
            </w:r>
            <w:r>
              <w:rPr>
                <w:rStyle w:val="Char10"/>
              </w:rPr>
              <w:t>20</w:t>
            </w:r>
            <w:r>
              <w:rPr>
                <w:rStyle w:val="Char10"/>
              </w:rPr>
              <w:t>日，公司与上海长威、南方资产签订了《产权交易合同》及《产权交易合同之补充协</w:t>
            </w:r>
            <w:r>
              <w:rPr>
                <w:rStyle w:val="Char10"/>
              </w:rPr>
              <w:lastRenderedPageBreak/>
              <w:t>议》，并按合同约定足额支付了交易价款。</w:t>
            </w:r>
            <w:r>
              <w:rPr>
                <w:rStyle w:val="Char10"/>
              </w:rPr>
              <w:t xml:space="preserve">2024 </w:t>
            </w:r>
            <w:r>
              <w:rPr>
                <w:rStyle w:val="Char10"/>
              </w:rPr>
              <w:t>年</w:t>
            </w:r>
            <w:r>
              <w:rPr>
                <w:rStyle w:val="Char10"/>
              </w:rPr>
              <w:t xml:space="preserve"> 4 </w:t>
            </w:r>
            <w:r>
              <w:rPr>
                <w:rStyle w:val="Char10"/>
              </w:rPr>
              <w:t>月</w:t>
            </w:r>
            <w:r>
              <w:rPr>
                <w:rStyle w:val="Char10"/>
              </w:rPr>
              <w:t xml:space="preserve"> 1 </w:t>
            </w:r>
            <w:r>
              <w:rPr>
                <w:rStyle w:val="Char10"/>
              </w:rPr>
              <w:t>日，公司收到北交所出具的《企业国有资产交易凭证》，本次交易已完成标的股份的交割。</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1226"/>
              <w:rPr>
                <w:rStyle w:val="Char10"/>
              </w:rPr>
            </w:pP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注</w:t>
            </w:r>
            <w:r>
              <w:rPr>
                <w:rStyle w:val="Char10"/>
              </w:rPr>
              <w:t>2</w:t>
            </w:r>
          </w:p>
        </w:tc>
      </w:tr>
      <w:tr w:rsidR="004A3868">
        <w:trPr>
          <w:trHeight w:val="397"/>
          <w:jc w:val="center"/>
        </w:trPr>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对外捐赠</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bottom"/>
          </w:tcPr>
          <w:p w:rsidR="004A3868" w:rsidRDefault="003F1AB5">
            <w:pPr>
              <w:pStyle w:val="Style1226"/>
              <w:rPr>
                <w:rStyle w:val="Char10"/>
              </w:rPr>
            </w:pPr>
            <w:r>
              <w:rPr>
                <w:rStyle w:val="Char10"/>
              </w:rPr>
              <w:t>2024</w:t>
            </w:r>
            <w:r>
              <w:rPr>
                <w:rStyle w:val="Char10"/>
              </w:rPr>
              <w:t>年</w:t>
            </w:r>
            <w:r>
              <w:rPr>
                <w:rStyle w:val="Char10"/>
              </w:rPr>
              <w:t>3</w:t>
            </w:r>
            <w:r>
              <w:rPr>
                <w:rStyle w:val="Char10"/>
              </w:rPr>
              <w:t>月</w:t>
            </w:r>
            <w:r>
              <w:rPr>
                <w:rStyle w:val="Char10"/>
              </w:rPr>
              <w:t>28</w:t>
            </w:r>
            <w:r>
              <w:rPr>
                <w:rStyle w:val="Char10"/>
              </w:rPr>
              <w:t>日召开第四届董事会第四次会议，审议通过了《关于对外捐赠的议案》，董事会同意公司向华中师范大学教育发展基金会捐赠</w:t>
            </w:r>
            <w:r>
              <w:rPr>
                <w:rStyle w:val="Char10"/>
              </w:rPr>
              <w:t>2,000</w:t>
            </w:r>
            <w:r>
              <w:rPr>
                <w:rStyle w:val="Char10"/>
              </w:rPr>
              <w:t>万元，</w:t>
            </w:r>
            <w:r>
              <w:rPr>
                <w:rStyle w:val="Char10"/>
                <w:rFonts w:hint="eastAsia"/>
              </w:rPr>
              <w:t>用于支持华中师范大学教育事业发展或者基础教育发展</w:t>
            </w:r>
            <w:r>
              <w:rPr>
                <w:rStyle w:val="Char10"/>
              </w:rPr>
              <w:t>。</w:t>
            </w:r>
          </w:p>
          <w:p w:rsidR="004A3868" w:rsidRDefault="003F1AB5">
            <w:pPr>
              <w:pStyle w:val="Style1226"/>
              <w:rPr>
                <w:rStyle w:val="Char10"/>
              </w:rPr>
            </w:pPr>
            <w:r>
              <w:rPr>
                <w:rStyle w:val="Char10"/>
                <w:rFonts w:hint="eastAsia"/>
              </w:rPr>
              <w:t>公司已与华中师范大学教育发展基金会于</w:t>
            </w:r>
            <w:r>
              <w:rPr>
                <w:rStyle w:val="Char10"/>
              </w:rPr>
              <w:t>2024</w:t>
            </w:r>
            <w:r>
              <w:rPr>
                <w:rStyle w:val="Char10"/>
              </w:rPr>
              <w:t>年</w:t>
            </w:r>
            <w:r>
              <w:rPr>
                <w:rStyle w:val="Char10"/>
              </w:rPr>
              <w:t>4</w:t>
            </w:r>
            <w:r>
              <w:rPr>
                <w:rStyle w:val="Char10"/>
              </w:rPr>
              <w:t>月</w:t>
            </w:r>
            <w:r>
              <w:rPr>
                <w:rStyle w:val="Char10"/>
              </w:rPr>
              <w:t>1</w:t>
            </w:r>
            <w:r>
              <w:rPr>
                <w:rStyle w:val="Char10"/>
              </w:rPr>
              <w:t>日签署了《捐赠协议》，并于</w:t>
            </w:r>
            <w:r>
              <w:rPr>
                <w:rStyle w:val="Char10"/>
              </w:rPr>
              <w:t>2024</w:t>
            </w:r>
            <w:r>
              <w:rPr>
                <w:rStyle w:val="Char10"/>
              </w:rPr>
              <w:t>年</w:t>
            </w:r>
            <w:r>
              <w:rPr>
                <w:rStyle w:val="Char10"/>
              </w:rPr>
              <w:t>4</w:t>
            </w:r>
            <w:r>
              <w:rPr>
                <w:rStyle w:val="Char10"/>
              </w:rPr>
              <w:t>月</w:t>
            </w:r>
            <w:r>
              <w:rPr>
                <w:rStyle w:val="Char10"/>
              </w:rPr>
              <w:t>1</w:t>
            </w:r>
            <w:r>
              <w:rPr>
                <w:rStyle w:val="Char10"/>
              </w:rPr>
              <w:t>日向华中师范大学教育发展基金会支付了</w:t>
            </w:r>
            <w:r>
              <w:rPr>
                <w:rStyle w:val="Char10"/>
              </w:rPr>
              <w:t>2,000</w:t>
            </w:r>
            <w:r>
              <w:rPr>
                <w:rStyle w:val="Char10"/>
              </w:rPr>
              <w:t>万元的捐赠款。</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Pr>
              <w:t>2,000.00</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1226"/>
              <w:rPr>
                <w:rStyle w:val="Char10"/>
              </w:rPr>
            </w:pPr>
          </w:p>
        </w:tc>
      </w:tr>
    </w:tbl>
    <w:p w:rsidR="004A3868" w:rsidRDefault="003F1AB5">
      <w:pPr>
        <w:pStyle w:val="Style1215"/>
      </w:pPr>
      <w:r>
        <w:rPr>
          <w:rFonts w:hint="eastAsia"/>
        </w:rPr>
        <w:t>注</w:t>
      </w:r>
      <w:r>
        <w:t>1：预计公司全年出口销售业务收汇和设备进口业务付汇总金额为不超过100,000万元或等值外币，公司计划在上述实际交易业务总额范围内开展外汇套期保值业务;套期保值业务标的交易额度不超过实际外汇业务发生总额的80%单笔套期业务期限不超过6个月,计划使用保证金为不超过人民币5,000万元(授权期限以内任意时点保证金总额不超过5,000万元)</w:t>
      </w:r>
    </w:p>
    <w:p w:rsidR="004A3868" w:rsidRDefault="003F1AB5">
      <w:pPr>
        <w:pStyle w:val="Style1215"/>
      </w:pPr>
      <w:r>
        <w:rPr>
          <w:rFonts w:hint="eastAsia"/>
        </w:rPr>
        <w:t>上述额度自</w:t>
      </w:r>
      <w:r>
        <w:t>2024年1月1日至2024年12月31日有效，在上述额度及期限范围内可以滚动使用，公司及子公司拟进行的外汇套期保值交易余额任一时点不超过上述额度。</w:t>
      </w:r>
    </w:p>
    <w:p w:rsidR="004A3868" w:rsidRDefault="003F1AB5">
      <w:pPr>
        <w:pStyle w:val="Style1215"/>
      </w:pPr>
      <w:r>
        <w:rPr>
          <w:rFonts w:hint="eastAsia"/>
        </w:rPr>
        <w:t>注</w:t>
      </w:r>
      <w:r>
        <w:t>2：2024年3月20日，公司与上海长威、南方资产签订了《产权交易合同》及《产权交易合同之补充协议》，并按合同约定足额支付了交易价款。待北交所出具产权交易凭证之日，转让方承诺促使标的企业于交割日起30日内办理完毕本次产权交易涉及的标的企业工商变更登记或备案手续。2024 年 4 月 1 日，公司收到北交所出具的《企业国有资产交易凭证》，本次交易已完成标的股份的交割。</w:t>
      </w:r>
    </w:p>
    <w:p w:rsidR="004A3868" w:rsidRDefault="003F1AB5">
      <w:pPr>
        <w:pStyle w:val="Style955"/>
        <w:numPr>
          <w:ilvl w:val="0"/>
          <w:numId w:val="123"/>
        </w:numPr>
        <w:spacing w:before="120"/>
        <w:rPr>
          <w:rStyle w:val="Char20"/>
        </w:rPr>
      </w:pPr>
      <w:r>
        <w:rPr>
          <w:rStyle w:val="Char20"/>
          <w:rFonts w:hint="eastAsia"/>
        </w:rPr>
        <w:t>利润分配情况</w:t>
      </w:r>
    </w:p>
    <w:sdt>
      <w:sdtPr>
        <w:rPr>
          <w:rStyle w:val="Char20"/>
        </w:rPr>
        <w:alias w:val="是否适用：利润分配情况[双击切换]"/>
        <w:tag w:val="_GBC_9a91fb54a6c146e5b9ee1ecff3141237"/>
        <w:id w:val="-1515830932"/>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Fonts w:hint="eastAsia"/>
            </w:rPr>
            <w:instrText xml:space="preserve">MACROBUTTON  SnrToggleCheckbox </w:instrText>
          </w:r>
          <w:r>
            <w:rPr>
              <w:rStyle w:val="Char20"/>
              <w:rFonts w:hint="eastAsia"/>
            </w:rPr>
            <w:instrText>√适用</w:instrText>
          </w:r>
          <w:r>
            <w:rPr>
              <w:rStyle w:val="Char20"/>
              <w:rFonts w:hint="eastAsia"/>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rPr>
          <w:rStyle w:val="Char20"/>
        </w:rPr>
      </w:pPr>
      <w:r>
        <w:rPr>
          <w:rStyle w:val="Char20"/>
          <w:rFonts w:hint="eastAsia"/>
        </w:rPr>
        <w:t>单位：</w:t>
      </w:r>
      <w:sdt>
        <w:sdtPr>
          <w:rPr>
            <w:rStyle w:val="Char20"/>
            <w:rFonts w:hint="eastAsia"/>
          </w:rPr>
          <w:alias w:val="单位：财务附注：资产负债表日后利润分配情况说明"/>
          <w:tag w:val="_GBC_6424df7632ca4cf5ab9e9760e3119d62"/>
          <w:id w:val="3618701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万元</w:t>
          </w:r>
        </w:sdtContent>
      </w:sdt>
      <w:r>
        <w:rPr>
          <w:rStyle w:val="Char20"/>
          <w:rFonts w:hint="eastAsia"/>
        </w:rPr>
        <w:t xml:space="preserve">  </w:t>
      </w:r>
      <w:r>
        <w:rPr>
          <w:rStyle w:val="Char20"/>
          <w:rFonts w:hint="eastAsia"/>
        </w:rPr>
        <w:t>币种：</w:t>
      </w:r>
      <w:sdt>
        <w:sdtPr>
          <w:rPr>
            <w:rStyle w:val="Char20"/>
            <w:rFonts w:hint="eastAsia"/>
          </w:rPr>
          <w:alias w:val="币种：财务附注：资产负债表日后利润分配情况说明"/>
          <w:tag w:val="_GBC_e75fd1607c614d249844c767ceffa84e"/>
          <w:id w:val="-4099205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630"/>
        <w:gridCol w:w="5193"/>
      </w:tblGrid>
      <w:tr w:rsidR="004A3868">
        <w:trPr>
          <w:trHeight w:val="397"/>
          <w:jc w:val="center"/>
        </w:trPr>
        <w:sdt>
          <w:sdtPr>
            <w:rPr>
              <w:rStyle w:val="Char20"/>
            </w:rPr>
            <w:tag w:val="_PLD_bf262968d8f642798440b0d07b3a1dda"/>
            <w:id w:val="1886364528"/>
          </w:sdtPr>
          <w:sdtEndPr>
            <w:rPr>
              <w:rStyle w:val="Char20"/>
            </w:rPr>
          </w:sdtEndPr>
          <w:sdtContent>
            <w:tc>
              <w:tcPr>
                <w:tcW w:w="2057" w:type="pct"/>
                <w:tcBorders>
                  <w:top w:val="single" w:sz="4" w:space="0" w:color="auto"/>
                  <w:left w:val="single" w:sz="4" w:space="0" w:color="auto"/>
                  <w:bottom w:val="single" w:sz="4" w:space="0" w:color="auto"/>
                  <w:right w:val="single" w:sz="4" w:space="0" w:color="auto"/>
                </w:tcBorders>
              </w:tcPr>
              <w:p w:rsidR="004A3868" w:rsidRDefault="003F1AB5">
                <w:pPr>
                  <w:pStyle w:val="Style1226"/>
                  <w:rPr>
                    <w:rStyle w:val="Char20"/>
                  </w:rPr>
                </w:pPr>
                <w:r>
                  <w:rPr>
                    <w:rStyle w:val="Char20"/>
                    <w:rFonts w:hint="eastAsia"/>
                  </w:rPr>
                  <w:t>拟分配的利润或股利</w:t>
                </w:r>
              </w:p>
            </w:tc>
          </w:sdtContent>
        </w:sdt>
        <w:sdt>
          <w:sdtPr>
            <w:rPr>
              <w:rStyle w:val="Char20"/>
            </w:rPr>
            <w:alias w:val="资产负债表日后拟分配的利润或股利"/>
            <w:tag w:val="_GBC_3add72466c2e49709858581a726eb392"/>
            <w:id w:val="1727491688"/>
          </w:sdtPr>
          <w:sdtEndPr>
            <w:rPr>
              <w:rStyle w:val="Char20"/>
            </w:rPr>
          </w:sdtEndPr>
          <w:sdtContent>
            <w:tc>
              <w:tcPr>
                <w:tcW w:w="294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20"/>
                  </w:rPr>
                </w:pPr>
                <w:r>
                  <w:rPr>
                    <w:rStyle w:val="Char20"/>
                  </w:rPr>
                  <w:t>4,987.72</w:t>
                </w:r>
              </w:p>
            </w:tc>
          </w:sdtContent>
        </w:sdt>
      </w:tr>
      <w:tr w:rsidR="004A3868">
        <w:trPr>
          <w:trHeight w:val="397"/>
          <w:jc w:val="center"/>
        </w:trPr>
        <w:tc>
          <w:tcPr>
            <w:tcW w:w="2057" w:type="pct"/>
            <w:tcBorders>
              <w:top w:val="single" w:sz="4" w:space="0" w:color="auto"/>
              <w:left w:val="single" w:sz="4" w:space="0" w:color="auto"/>
              <w:bottom w:val="single" w:sz="4" w:space="0" w:color="auto"/>
              <w:right w:val="single" w:sz="4" w:space="0" w:color="auto"/>
            </w:tcBorders>
          </w:tcPr>
          <w:p w:rsidR="004A3868" w:rsidRDefault="003F1AB5">
            <w:pPr>
              <w:pStyle w:val="Style1226"/>
              <w:rPr>
                <w:rStyle w:val="Char20"/>
              </w:rPr>
            </w:pPr>
            <w:r>
              <w:rPr>
                <w:rStyle w:val="Char20"/>
                <w:rFonts w:hint="eastAsia"/>
              </w:rPr>
              <w:t>经审议批准宣告发放的利润或股利</w:t>
            </w:r>
          </w:p>
        </w:tc>
        <w:tc>
          <w:tcPr>
            <w:tcW w:w="294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20"/>
              </w:rPr>
            </w:pPr>
            <w:r>
              <w:rPr>
                <w:rStyle w:val="Char20"/>
              </w:rPr>
              <w:t>4,987.72</w:t>
            </w:r>
          </w:p>
        </w:tc>
      </w:tr>
    </w:tbl>
    <w:p w:rsidR="004A3868" w:rsidRDefault="003F1AB5">
      <w:pPr>
        <w:pStyle w:val="Style1215"/>
      </w:pPr>
      <w:r>
        <w:rPr>
          <w:rFonts w:hint="eastAsia"/>
        </w:rPr>
        <w:t>除存在上述资产负债表日后事项外，截至财务报告批准报出日止，本公司无其他应披露未披露的重大资产负债表日后事项。</w:t>
      </w:r>
    </w:p>
    <w:p w:rsidR="004A3868" w:rsidRDefault="003F1AB5">
      <w:pPr>
        <w:pStyle w:val="Style955"/>
        <w:numPr>
          <w:ilvl w:val="0"/>
          <w:numId w:val="123"/>
        </w:numPr>
        <w:spacing w:before="120"/>
        <w:rPr>
          <w:rStyle w:val="Char20"/>
        </w:rPr>
      </w:pPr>
      <w:r>
        <w:rPr>
          <w:rStyle w:val="Char20"/>
          <w:rFonts w:hint="eastAsia"/>
        </w:rPr>
        <w:t>销售退回</w:t>
      </w:r>
    </w:p>
    <w:sdt>
      <w:sdtPr>
        <w:rPr>
          <w:rStyle w:val="Char20"/>
        </w:rPr>
        <w:alias w:val="是否适用：销售退回[双击切换]"/>
        <w:tag w:val="_GBC_7fb2ecaa1ffb494486f4a8b2e94240d2"/>
        <w:id w:val="232438895"/>
        <w:lock w:val="sdtLocked"/>
        <w:placeholder>
          <w:docPart w:val="GBC22222222222222222222222222222"/>
        </w:placeholder>
      </w:sdtPr>
      <w:sdtEndPr>
        <w:rPr>
          <w:rStyle w:val="Char20"/>
        </w:rPr>
      </w:sdtEndPr>
      <w:sdtContent>
        <w:p w:rsidR="004A3868" w:rsidRDefault="003F1AB5">
          <w:pPr>
            <w:rPr>
              <w:rStyle w:val="Char20"/>
            </w:rPr>
          </w:pPr>
          <w:r>
            <w:rPr>
              <w:rStyle w:val="Char20"/>
            </w:rPr>
            <w:fldChar w:fldCharType="begin"/>
          </w:r>
          <w:r>
            <w:rPr>
              <w:rStyle w:val="Char20"/>
            </w:rPr>
            <w:instrText>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955"/>
        <w:numPr>
          <w:ilvl w:val="0"/>
          <w:numId w:val="123"/>
        </w:numPr>
        <w:spacing w:before="120"/>
        <w:rPr>
          <w:rStyle w:val="Char20"/>
        </w:rPr>
      </w:pPr>
      <w:r>
        <w:rPr>
          <w:rStyle w:val="Char20"/>
          <w:rFonts w:hint="eastAsia"/>
        </w:rPr>
        <w:t>其他资产负债表日后事项说明</w:t>
      </w:r>
    </w:p>
    <w:sdt>
      <w:sdtPr>
        <w:rPr>
          <w:rStyle w:val="Char20"/>
          <w:rFonts w:hint="eastAsia"/>
        </w:rPr>
        <w:alias w:val="是否适用：其他资产负债表日后事项说明[双击切换]"/>
        <w:tag w:val="_GBC_4fc0f824aaea4ed096cae3b9f97ff314"/>
        <w:id w:val="1174534681"/>
        <w:lock w:val="sdtLocked"/>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954"/>
      </w:pPr>
      <w:r>
        <w:rPr>
          <w:rFonts w:hint="eastAsia"/>
        </w:rPr>
        <w:lastRenderedPageBreak/>
        <w:t>其他重要事项</w:t>
      </w:r>
    </w:p>
    <w:p w:rsidR="004A3868" w:rsidRDefault="003F1AB5">
      <w:pPr>
        <w:pStyle w:val="Style955"/>
        <w:numPr>
          <w:ilvl w:val="0"/>
          <w:numId w:val="124"/>
        </w:numPr>
        <w:spacing w:before="120"/>
        <w:rPr>
          <w:rStyle w:val="Char10"/>
        </w:rPr>
      </w:pPr>
      <w:r>
        <w:rPr>
          <w:rStyle w:val="Char10"/>
          <w:rFonts w:hint="eastAsia"/>
        </w:rPr>
        <w:t>前期会计差错更正</w:t>
      </w:r>
    </w:p>
    <w:p w:rsidR="004A3868" w:rsidRDefault="003F1AB5">
      <w:pPr>
        <w:pStyle w:val="Style956"/>
        <w:numPr>
          <w:ilvl w:val="3"/>
          <w:numId w:val="125"/>
        </w:numPr>
        <w:rPr>
          <w:rStyle w:val="Char10"/>
        </w:rPr>
      </w:pPr>
      <w:r>
        <w:rPr>
          <w:rStyle w:val="Char10"/>
          <w:rFonts w:hint="eastAsia"/>
        </w:rPr>
        <w:t>追溯重述法</w:t>
      </w:r>
    </w:p>
    <w:sdt>
      <w:sdtPr>
        <w:rPr>
          <w:rStyle w:val="Char10"/>
          <w:rFonts w:hint="eastAsia"/>
        </w:rPr>
        <w:alias w:val="是否适用：追溯重述法[双击切换]"/>
        <w:tag w:val="_GBC_19d462bfe01047cd87b083dddf885193"/>
        <w:id w:val="125976076"/>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25"/>
        </w:numPr>
        <w:rPr>
          <w:rStyle w:val="Char10"/>
        </w:rPr>
      </w:pPr>
      <w:r>
        <w:rPr>
          <w:rStyle w:val="Char10"/>
          <w:rFonts w:hint="eastAsia"/>
        </w:rPr>
        <w:t>未来适用法</w:t>
      </w:r>
    </w:p>
    <w:sdt>
      <w:sdtPr>
        <w:rPr>
          <w:rStyle w:val="Char10"/>
        </w:rPr>
        <w:alias w:val="是否适用：未来适用法[双击切换]"/>
        <w:tag w:val="_GBC_6fd6421ddf524335aa8fac02bc322e70"/>
        <w:id w:val="-1404825614"/>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24"/>
        </w:numPr>
        <w:spacing w:before="120"/>
        <w:rPr>
          <w:rStyle w:val="Char10"/>
        </w:rPr>
      </w:pPr>
      <w:r>
        <w:rPr>
          <w:rStyle w:val="Char10"/>
          <w:rFonts w:hint="eastAsia"/>
        </w:rPr>
        <w:t>重要债务重组</w:t>
      </w:r>
    </w:p>
    <w:sdt>
      <w:sdtPr>
        <w:rPr>
          <w:rStyle w:val="Char10"/>
        </w:rPr>
        <w:alias w:val="是否适用：重要债务重组[双击切换]"/>
        <w:tag w:val="_GBC_6b3631222f074ee0b23297cdcd94685f"/>
        <w:id w:val="306898975"/>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24"/>
        </w:numPr>
        <w:spacing w:before="120"/>
        <w:rPr>
          <w:rStyle w:val="Char10"/>
        </w:rPr>
      </w:pPr>
      <w:r>
        <w:rPr>
          <w:rStyle w:val="Char10"/>
          <w:rFonts w:hint="eastAsia"/>
        </w:rPr>
        <w:t>资产置换</w:t>
      </w:r>
    </w:p>
    <w:p w:rsidR="004A3868" w:rsidRDefault="003F1AB5">
      <w:pPr>
        <w:pStyle w:val="Style956"/>
        <w:numPr>
          <w:ilvl w:val="3"/>
          <w:numId w:val="126"/>
        </w:numPr>
        <w:rPr>
          <w:rStyle w:val="Char10"/>
        </w:rPr>
      </w:pPr>
      <w:r>
        <w:rPr>
          <w:rStyle w:val="Char10"/>
          <w:rFonts w:hint="eastAsia"/>
        </w:rPr>
        <w:t>非货币性资产交换</w:t>
      </w:r>
    </w:p>
    <w:sdt>
      <w:sdtPr>
        <w:rPr>
          <w:rStyle w:val="Char10"/>
          <w:rFonts w:hint="eastAsia"/>
        </w:rPr>
        <w:alias w:val="是否适用：非货币性资产交换[双击切换]"/>
        <w:tag w:val="_GBC_480975ada702478dae8a1468d6e0c3cd"/>
        <w:id w:val="1724250540"/>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26"/>
        </w:numPr>
        <w:rPr>
          <w:rStyle w:val="Char10"/>
        </w:rPr>
      </w:pPr>
      <w:r>
        <w:rPr>
          <w:rStyle w:val="Char10"/>
          <w:rFonts w:hint="eastAsia"/>
        </w:rPr>
        <w:t>其他资产置换</w:t>
      </w:r>
    </w:p>
    <w:sdt>
      <w:sdtPr>
        <w:rPr>
          <w:rStyle w:val="Char10"/>
          <w:rFonts w:hint="eastAsia"/>
        </w:rPr>
        <w:alias w:val="是否适用：其他资产置换[双击切换]"/>
        <w:tag w:val="_GBC_d4d75cf02549483681739e6eb10910ff"/>
        <w:id w:val="-1396975863"/>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24"/>
        </w:numPr>
        <w:spacing w:before="120"/>
        <w:rPr>
          <w:rStyle w:val="Char10"/>
        </w:rPr>
      </w:pPr>
      <w:r>
        <w:rPr>
          <w:rStyle w:val="Char10"/>
          <w:rFonts w:hint="eastAsia"/>
        </w:rPr>
        <w:t>年金计划</w:t>
      </w:r>
    </w:p>
    <w:sdt>
      <w:sdtPr>
        <w:rPr>
          <w:rStyle w:val="Char10"/>
        </w:rPr>
        <w:alias w:val="是否适用：年金计划[双击切换]"/>
        <w:tag w:val="_GBC_7abcd6901bc848d8b58391e0ddd63034"/>
        <w:id w:val="-286589919"/>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24"/>
        </w:numPr>
        <w:spacing w:before="120"/>
        <w:rPr>
          <w:rStyle w:val="Char10"/>
        </w:rPr>
      </w:pPr>
      <w:r>
        <w:rPr>
          <w:rStyle w:val="Char10"/>
          <w:rFonts w:hint="eastAsia"/>
        </w:rPr>
        <w:t>终止经营</w:t>
      </w:r>
    </w:p>
    <w:p w:rsidR="004A3868" w:rsidRDefault="00B34370">
      <w:pPr>
        <w:rPr>
          <w:rStyle w:val="Char10"/>
        </w:rPr>
      </w:pPr>
      <w:sdt>
        <w:sdtPr>
          <w:rPr>
            <w:rStyle w:val="Char10"/>
          </w:rPr>
          <w:alias w:val="是否适用：终止经营[双击切换]"/>
          <w:tag w:val="_GBC_667e81a5639a48488e957a55e45c7763"/>
          <w:id w:val="-242801735"/>
          <w:lock w:val="sdtLocked"/>
          <w:placeholder>
            <w:docPart w:val="GBC22222222222222222222222222222"/>
          </w:placeholder>
        </w:sdtPr>
        <w:sdtEndPr>
          <w:rPr>
            <w:rStyle w:val="Char10"/>
          </w:rPr>
        </w:sdtEndPr>
        <w:sdtContent>
          <w:r w:rsidR="003F1AB5">
            <w:rPr>
              <w:rStyle w:val="Char10"/>
            </w:rPr>
            <w:fldChar w:fldCharType="begin"/>
          </w:r>
          <w:r w:rsidR="003F1AB5">
            <w:rPr>
              <w:rStyle w:val="Char10"/>
            </w:rPr>
            <w:instrText>MACROBUTTON  SnrToggleCheckbox □</w:instrText>
          </w:r>
          <w:r w:rsidR="003F1AB5">
            <w:rPr>
              <w:rStyle w:val="Char10"/>
            </w:rPr>
            <w:instrText>适用</w:instrText>
          </w:r>
          <w:r w:rsidR="003F1AB5">
            <w:rPr>
              <w:rStyle w:val="Char10"/>
            </w:rPr>
            <w:instrText xml:space="preserve"> </w:instrText>
          </w:r>
          <w:r w:rsidR="003F1AB5">
            <w:rPr>
              <w:rStyle w:val="Char10"/>
            </w:rPr>
            <w:fldChar w:fldCharType="end"/>
          </w:r>
          <w:r w:rsidR="003F1AB5">
            <w:rPr>
              <w:rStyle w:val="Char10"/>
            </w:rPr>
            <w:fldChar w:fldCharType="begin"/>
          </w:r>
          <w:r w:rsidR="003F1AB5">
            <w:rPr>
              <w:rStyle w:val="Char10"/>
            </w:rPr>
            <w:instrText xml:space="preserve"> MACROBUTTON  SnrToggleCheckbox √</w:instrText>
          </w:r>
          <w:r w:rsidR="003F1AB5">
            <w:rPr>
              <w:rStyle w:val="Char10"/>
            </w:rPr>
            <w:instrText>不适用</w:instrText>
          </w:r>
          <w:r w:rsidR="003F1AB5">
            <w:rPr>
              <w:rStyle w:val="Char10"/>
            </w:rPr>
            <w:instrText xml:space="preserve"> </w:instrText>
          </w:r>
          <w:r w:rsidR="003F1AB5">
            <w:rPr>
              <w:rStyle w:val="Char10"/>
            </w:rPr>
            <w:fldChar w:fldCharType="end"/>
          </w:r>
        </w:sdtContent>
      </w:sdt>
    </w:p>
    <w:p w:rsidR="004A3868" w:rsidRDefault="003F1AB5">
      <w:pPr>
        <w:pStyle w:val="Style955"/>
        <w:numPr>
          <w:ilvl w:val="0"/>
          <w:numId w:val="124"/>
        </w:numPr>
        <w:spacing w:before="120"/>
        <w:rPr>
          <w:rStyle w:val="Char10"/>
        </w:rPr>
      </w:pPr>
      <w:r>
        <w:rPr>
          <w:rStyle w:val="Char10"/>
          <w:rFonts w:hint="eastAsia"/>
        </w:rPr>
        <w:t>分部信息</w:t>
      </w:r>
    </w:p>
    <w:p w:rsidR="004A3868" w:rsidRDefault="003F1AB5">
      <w:pPr>
        <w:pStyle w:val="Style956"/>
        <w:numPr>
          <w:ilvl w:val="3"/>
          <w:numId w:val="127"/>
        </w:numPr>
        <w:rPr>
          <w:rStyle w:val="Char10"/>
        </w:rPr>
      </w:pPr>
      <w:r>
        <w:rPr>
          <w:rStyle w:val="Char10"/>
          <w:rFonts w:hint="eastAsia"/>
        </w:rPr>
        <w:t>报告分部的确定依据与会计政策</w:t>
      </w:r>
    </w:p>
    <w:sdt>
      <w:sdtPr>
        <w:rPr>
          <w:rStyle w:val="Char10"/>
          <w:rFonts w:hint="eastAsia"/>
        </w:rPr>
        <w:alias w:val="是否适用：报告分部的确定依据与会计政策[双击切换]"/>
        <w:tag w:val="_GBC_b3cac5485321452cadb6e7ec2be5d907"/>
        <w:id w:val="-808938736"/>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Style w:val="Char10"/>
        </w:rPr>
        <w:alias w:val="报告分部的确定依据与会计政策"/>
        <w:tag w:val="_GBC_93ce2d8a1bb34f5498420754de576c4b"/>
        <w:id w:val="766514911"/>
        <w:lock w:val="sdtLocked"/>
        <w:placeholder>
          <w:docPart w:val="31FA6AD54F5A4A3F9D2CE354A3DDD1F8"/>
        </w:placeholder>
      </w:sdtPr>
      <w:sdtEndPr>
        <w:rPr>
          <w:rStyle w:val="Char10"/>
        </w:rPr>
      </w:sdtEndPr>
      <w:sdtContent>
        <w:p w:rsidR="004A3868" w:rsidRDefault="003F1AB5">
          <w:pPr>
            <w:pStyle w:val="Style1213"/>
            <w:ind w:firstLine="420"/>
            <w:rPr>
              <w:rStyle w:val="Char10"/>
            </w:rPr>
          </w:pPr>
          <w:r>
            <w:rPr>
              <w:rStyle w:val="Char10"/>
              <w:rFonts w:hint="eastAsia"/>
            </w:rPr>
            <w:t>本公司以内部组织结构、管理要求、内部报告制度为依据确定经营分部。本公司的经营分部是指同时满足下列条件的组成部分：</w:t>
          </w:r>
        </w:p>
        <w:p w:rsidR="004A3868" w:rsidRDefault="003F1AB5">
          <w:pPr>
            <w:pStyle w:val="Style1213"/>
            <w:ind w:firstLine="420"/>
            <w:rPr>
              <w:rStyle w:val="Char10"/>
            </w:rPr>
          </w:pPr>
          <w:r>
            <w:rPr>
              <w:rStyle w:val="Char10"/>
            </w:rPr>
            <w:t>1</w:t>
          </w:r>
          <w:r>
            <w:rPr>
              <w:rStyle w:val="Char10"/>
            </w:rPr>
            <w:t>）该组成部分能够在日常活动中产生收入、发生费用；</w:t>
          </w:r>
        </w:p>
        <w:p w:rsidR="004A3868" w:rsidRDefault="003F1AB5">
          <w:pPr>
            <w:pStyle w:val="Style1213"/>
            <w:ind w:firstLine="420"/>
            <w:rPr>
              <w:rStyle w:val="Char10"/>
            </w:rPr>
          </w:pPr>
          <w:r>
            <w:rPr>
              <w:rStyle w:val="Char10"/>
            </w:rPr>
            <w:t>2</w:t>
          </w:r>
          <w:r>
            <w:rPr>
              <w:rStyle w:val="Char10"/>
            </w:rPr>
            <w:t>）管理层能够定期评价该组成部分的经营成果，以决定向其配置资源、评价其业绩；</w:t>
          </w:r>
        </w:p>
        <w:p w:rsidR="004A3868" w:rsidRDefault="003F1AB5">
          <w:pPr>
            <w:pStyle w:val="Style1213"/>
            <w:ind w:firstLine="420"/>
            <w:rPr>
              <w:rStyle w:val="Char10"/>
            </w:rPr>
          </w:pPr>
          <w:r>
            <w:rPr>
              <w:rStyle w:val="Char10"/>
            </w:rPr>
            <w:t>3</w:t>
          </w:r>
          <w:r>
            <w:rPr>
              <w:rStyle w:val="Char10"/>
            </w:rPr>
            <w:t>）能够取得该组成部分的财务状况、经营成果和现金流量等有关会计信息。</w:t>
          </w:r>
        </w:p>
        <w:p w:rsidR="004A3868" w:rsidRDefault="003F1AB5">
          <w:pPr>
            <w:pStyle w:val="Style1213"/>
            <w:ind w:firstLine="420"/>
            <w:rPr>
              <w:rStyle w:val="Char10"/>
            </w:rPr>
          </w:pPr>
          <w:r>
            <w:rPr>
              <w:rStyle w:val="Char10"/>
              <w:rFonts w:hint="eastAsia"/>
            </w:rPr>
            <w:t>本公司以经营分部为基础确定报告分部，满足下列条件之一的经营分部确定为报告分部：</w:t>
          </w:r>
        </w:p>
        <w:p w:rsidR="004A3868" w:rsidRDefault="003F1AB5">
          <w:pPr>
            <w:pStyle w:val="Style1213"/>
            <w:ind w:firstLine="420"/>
            <w:rPr>
              <w:rStyle w:val="Char10"/>
            </w:rPr>
          </w:pPr>
          <w:r>
            <w:rPr>
              <w:rStyle w:val="Char10"/>
            </w:rPr>
            <w:t>1</w:t>
          </w:r>
          <w:r>
            <w:rPr>
              <w:rStyle w:val="Char10"/>
            </w:rPr>
            <w:t>）该经营分部的分部收入占所有分部收入合计的</w:t>
          </w:r>
          <w:r>
            <w:rPr>
              <w:rStyle w:val="Char10"/>
            </w:rPr>
            <w:t>10%</w:t>
          </w:r>
          <w:r>
            <w:rPr>
              <w:rStyle w:val="Char10"/>
            </w:rPr>
            <w:t>或者以上；</w:t>
          </w:r>
        </w:p>
        <w:p w:rsidR="004A3868" w:rsidRDefault="003F1AB5">
          <w:pPr>
            <w:pStyle w:val="Style1213"/>
            <w:ind w:firstLine="420"/>
            <w:rPr>
              <w:rStyle w:val="Char10"/>
            </w:rPr>
          </w:pPr>
          <w:r>
            <w:rPr>
              <w:rStyle w:val="Char10"/>
            </w:rPr>
            <w:t>2</w:t>
          </w:r>
          <w:r>
            <w:rPr>
              <w:rStyle w:val="Char10"/>
            </w:rPr>
            <w:t>）该分部的分部利润（亏损）的绝对额，占所有盈利分部利润合计额或者所有亏损分部亏损合计额的绝对额两者中较大者的</w:t>
          </w:r>
          <w:r>
            <w:rPr>
              <w:rStyle w:val="Char10"/>
            </w:rPr>
            <w:t>10%</w:t>
          </w:r>
          <w:r>
            <w:rPr>
              <w:rStyle w:val="Char10"/>
            </w:rPr>
            <w:t>或者以上。</w:t>
          </w:r>
        </w:p>
        <w:p w:rsidR="004A3868" w:rsidRDefault="003F1AB5">
          <w:pPr>
            <w:pStyle w:val="Style1213"/>
            <w:ind w:firstLine="420"/>
            <w:rPr>
              <w:rStyle w:val="Char10"/>
            </w:rPr>
          </w:pPr>
          <w:r>
            <w:rPr>
              <w:rStyle w:val="Char10"/>
              <w:rFonts w:hint="eastAsia"/>
            </w:rPr>
            <w:t>本公司主要为生产销售输配电及控制设备和取向硅钢，同时，公司领用自产的取向硅钢用于生产输配电及控制设备，取向硅钢业务未能取得独立的财务状况、经营成果和现金流量，管理层</w:t>
          </w:r>
          <w:r>
            <w:rPr>
              <w:rStyle w:val="Char10"/>
              <w:rFonts w:hint="eastAsia"/>
            </w:rPr>
            <w:lastRenderedPageBreak/>
            <w:t>将两项业务视作为一个整体实施管理、评估经营成果，因此，本财务报表不呈报分部信息。</w:t>
          </w:r>
        </w:p>
      </w:sdtContent>
    </w:sdt>
    <w:p w:rsidR="004A3868" w:rsidRDefault="003F1AB5">
      <w:pPr>
        <w:pStyle w:val="Style956"/>
        <w:numPr>
          <w:ilvl w:val="3"/>
          <w:numId w:val="127"/>
        </w:numPr>
        <w:rPr>
          <w:rStyle w:val="Char10"/>
        </w:rPr>
      </w:pPr>
      <w:r>
        <w:rPr>
          <w:rStyle w:val="Char10"/>
          <w:rFonts w:hint="eastAsia"/>
        </w:rPr>
        <w:t>报告分部的财务信息</w:t>
      </w:r>
    </w:p>
    <w:sdt>
      <w:sdtPr>
        <w:rPr>
          <w:rStyle w:val="Char10"/>
          <w:rFonts w:hint="eastAsia"/>
        </w:rPr>
        <w:alias w:val="是否适用：报告分部的财务信息[双击切换]"/>
        <w:tag w:val="_GBC_560c7b592f324714b8c87339e43684af"/>
        <w:id w:val="-1442139738"/>
        <w:lock w:val="sdtLocked"/>
        <w:placeholder>
          <w:docPart w:val="GBC22222222222222222222222222222"/>
        </w:placeholder>
      </w:sdtPr>
      <w:sdtEndPr>
        <w:rPr>
          <w:rStyle w:val="Char10"/>
        </w:rPr>
      </w:sdtEndPr>
      <w:sdtContent>
        <w:p w:rsidR="004A3868" w:rsidRDefault="003F1AB5">
          <w:pPr>
            <w:pStyle w:val="Style15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27"/>
        </w:numPr>
        <w:rPr>
          <w:rStyle w:val="Char10"/>
        </w:rPr>
      </w:pPr>
      <w:r>
        <w:rPr>
          <w:rStyle w:val="Char10"/>
        </w:rPr>
        <w:t>公司无报告分部的，或者不能披露各报告分部的资产总额和负债总额的，应说明原因</w:t>
      </w:r>
    </w:p>
    <w:sdt>
      <w:sdtPr>
        <w:rPr>
          <w:rStyle w:val="Char10"/>
          <w:rFonts w:hint="eastAsia"/>
        </w:rPr>
        <w:alias w:val="是否适用：公司无报告分部的，或者不能披露各报告分部的资产总额和负债总额的，应说明原因[双击切换]"/>
        <w:tag w:val="_GBC_bcab2070d3744848a3b9d7010db71172"/>
        <w:id w:val="-197644415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3"/>
          <w:numId w:val="127"/>
        </w:numPr>
        <w:rPr>
          <w:rStyle w:val="Char10"/>
        </w:rPr>
      </w:pPr>
      <w:r>
        <w:rPr>
          <w:rStyle w:val="Char10"/>
          <w:rFonts w:hint="eastAsia"/>
        </w:rPr>
        <w:t>其他说明</w:t>
      </w:r>
    </w:p>
    <w:sdt>
      <w:sdtPr>
        <w:rPr>
          <w:rStyle w:val="Char10"/>
          <w:rFonts w:hint="eastAsia"/>
        </w:rPr>
        <w:alias w:val="是否适用：分部信息的其他说明[双击切换]"/>
        <w:tag w:val="_GBC_a7173613038248df8d31b8ffe91e1e27"/>
        <w:id w:val="-1177963824"/>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24"/>
        </w:numPr>
        <w:spacing w:before="120"/>
        <w:rPr>
          <w:rStyle w:val="Char10"/>
        </w:rPr>
      </w:pPr>
      <w:r>
        <w:rPr>
          <w:rStyle w:val="Char10"/>
          <w:rFonts w:hint="eastAsia"/>
        </w:rPr>
        <w:t>其他对投资者决策有影响的重要交易和事项</w:t>
      </w:r>
    </w:p>
    <w:sdt>
      <w:sdtPr>
        <w:rPr>
          <w:rStyle w:val="Char10"/>
          <w:rFonts w:hint="eastAsia"/>
        </w:rPr>
        <w:alias w:val="是否适用：其他对投资者决策有影响的重要交易和事项[双击切换]"/>
        <w:tag w:val="_GBC_fb50fde0c1774b5b8ae2688488649ea7"/>
        <w:id w:val="694427370"/>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24"/>
        </w:numPr>
        <w:spacing w:before="120"/>
        <w:rPr>
          <w:rStyle w:val="Char10"/>
        </w:rPr>
      </w:pPr>
      <w:r>
        <w:rPr>
          <w:rStyle w:val="Char10"/>
          <w:rFonts w:hint="eastAsia"/>
        </w:rPr>
        <w:t>其他</w:t>
      </w:r>
    </w:p>
    <w:sdt>
      <w:sdtPr>
        <w:rPr>
          <w:rStyle w:val="Char10"/>
          <w:rFonts w:hint="eastAsia"/>
        </w:rPr>
        <w:alias w:val="是否适用：其他重要事项的说明[双击切换]"/>
        <w:tag w:val="_GBC_fb43f52ac5bc49a4b33e34d6b1758f09"/>
        <w:id w:val="959305356"/>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4"/>
        <w:rPr>
          <w:rStyle w:val="Char10"/>
        </w:rPr>
      </w:pPr>
      <w:r>
        <w:rPr>
          <w:rStyle w:val="Char10"/>
          <w:rFonts w:hint="eastAsia"/>
        </w:rPr>
        <w:t>母公司财务报表主要项目注释</w:t>
      </w:r>
    </w:p>
    <w:p w:rsidR="004A3868" w:rsidRDefault="003F1AB5">
      <w:pPr>
        <w:pStyle w:val="Style955"/>
        <w:numPr>
          <w:ilvl w:val="0"/>
          <w:numId w:val="128"/>
        </w:numPr>
        <w:spacing w:before="120"/>
        <w:rPr>
          <w:rStyle w:val="Char10"/>
        </w:rPr>
      </w:pPr>
      <w:r>
        <w:rPr>
          <w:rStyle w:val="Char10"/>
          <w:rFonts w:hint="eastAsia"/>
        </w:rPr>
        <w:t>应收账款</w:t>
      </w:r>
    </w:p>
    <w:p w:rsidR="004A3868" w:rsidRDefault="003F1AB5">
      <w:pPr>
        <w:pStyle w:val="Style956"/>
        <w:numPr>
          <w:ilvl w:val="3"/>
          <w:numId w:val="129"/>
        </w:numPr>
        <w:rPr>
          <w:rStyle w:val="Char10"/>
        </w:rPr>
      </w:pPr>
      <w:r>
        <w:rPr>
          <w:rStyle w:val="Char10"/>
          <w:rFonts w:hint="eastAsia"/>
        </w:rPr>
        <w:t>按账龄披露</w:t>
      </w:r>
    </w:p>
    <w:bookmarkStart w:id="256" w:name="_Hlk533796665" w:displacedByCustomXml="next"/>
    <w:sdt>
      <w:sdtPr>
        <w:rPr>
          <w:rStyle w:val="Char10"/>
        </w:rPr>
        <w:alias w:val="是否适用：母公司应收账款按账龄披露[双击切换]"/>
        <w:tag w:val="_GBC_dafcd7d733014c4a8aaa9a9a4b6c92f1"/>
        <w:id w:val="581109822"/>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母公司应收账款按账龄披露"/>
          <w:tag w:val="_GBC_6f3238355b1f4a02b89a4d1aa10b0026"/>
          <w:id w:val="-20291656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母公司应收账款按账龄披露"/>
          <w:tag w:val="_GBC_c255ef872ced4f4ba9701062491ddd60"/>
          <w:id w:val="-9346631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73"/>
        <w:gridCol w:w="2975"/>
        <w:gridCol w:w="2975"/>
      </w:tblGrid>
      <w:tr w:rsidR="004A3868">
        <w:trPr>
          <w:cantSplit/>
          <w:trHeight w:val="397"/>
          <w:jc w:val="center"/>
        </w:trPr>
        <w:sdt>
          <w:sdtPr>
            <w:rPr>
              <w:rStyle w:val="Char10"/>
            </w:rPr>
            <w:tag w:val="_PLD_91f1d8bffa9649c89e109fe838d32207"/>
            <w:id w:val="-954948092"/>
          </w:sdtPr>
          <w:sdtEndPr>
            <w:rPr>
              <w:rStyle w:val="Char10"/>
            </w:r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Fonts w:hint="eastAsia"/>
                  </w:rPr>
                  <w:t>账龄</w:t>
                </w:r>
              </w:p>
            </w:tc>
          </w:sdtContent>
        </w:sdt>
        <w:sdt>
          <w:sdtPr>
            <w:rPr>
              <w:rStyle w:val="Char10"/>
            </w:rPr>
            <w:tag w:val="_PLD_6b7aa27e99b34e1eb61af3bd12c578d2"/>
            <w:id w:val="1119574259"/>
          </w:sdtPr>
          <w:sdtEndPr>
            <w:rPr>
              <w:rStyle w:val="Char10"/>
            </w:r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Fonts w:hint="eastAsia"/>
                  </w:rPr>
                  <w:t>期末账面余额</w:t>
                </w:r>
              </w:p>
            </w:tc>
          </w:sdtContent>
        </w:sdt>
        <w:sdt>
          <w:sdtPr>
            <w:rPr>
              <w:rStyle w:val="Char10"/>
              <w:rFonts w:hint="eastAsia"/>
            </w:rPr>
            <w:tag w:val="_PLD_0e2d3c046f184578857e4606189d40ef"/>
            <w:id w:val="-1025788378"/>
          </w:sdtPr>
          <w:sdtEndPr>
            <w:rPr>
              <w:rStyle w:val="Char10"/>
            </w:r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Fonts w:hint="eastAsia"/>
                  </w:rPr>
                  <w:t>期初账面余额</w:t>
                </w:r>
              </w:p>
            </w:tc>
          </w:sdtContent>
        </w:sdt>
      </w:tr>
      <w:tr w:rsidR="004A3868">
        <w:trPr>
          <w:cantSplit/>
          <w:trHeight w:val="397"/>
          <w:jc w:val="center"/>
        </w:trPr>
        <w:sdt>
          <w:sdtPr>
            <w:rPr>
              <w:rStyle w:val="Char10"/>
            </w:rPr>
            <w:tag w:val="_PLD_8b2cd7286fc64ae28d76518258aa2e12"/>
            <w:id w:val="1155257932"/>
          </w:sdtPr>
          <w:sdtEndPr>
            <w:rPr>
              <w:rStyle w:val="Char10"/>
            </w:rPr>
          </w:sdtEndPr>
          <w:sdtContent>
            <w:tc>
              <w:tcPr>
                <w:tcW w:w="5000" w:type="pct"/>
                <w:gridSpan w:val="3"/>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1</w:t>
                </w:r>
                <w:r>
                  <w:rPr>
                    <w:rStyle w:val="Char10"/>
                    <w:rFonts w:hint="eastAsia"/>
                  </w:rPr>
                  <w:t>年以内</w:t>
                </w:r>
              </w:p>
            </w:tc>
          </w:sdtContent>
        </w:sdt>
      </w:tr>
      <w:tr w:rsidR="004A3868">
        <w:trPr>
          <w:cantSplit/>
          <w:trHeight w:val="397"/>
          <w:jc w:val="center"/>
        </w:trPr>
        <w:sdt>
          <w:sdtPr>
            <w:rPr>
              <w:rStyle w:val="Char10"/>
            </w:rPr>
            <w:tag w:val="_PLD_3cb2a8de19134a869aaf24eb903d37b4"/>
            <w:id w:val="-1946450788"/>
          </w:sdtPr>
          <w:sdtEndPr>
            <w:rPr>
              <w:rStyle w:val="Char10"/>
            </w:rPr>
          </w:sdtEndPr>
          <w:sdtContent>
            <w:tc>
              <w:tcPr>
                <w:tcW w:w="5000" w:type="pct"/>
                <w:gridSpan w:val="3"/>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其中：</w:t>
                </w:r>
                <w:r>
                  <w:rPr>
                    <w:rStyle w:val="Char10"/>
                    <w:rFonts w:hint="eastAsia"/>
                  </w:rPr>
                  <w:t>1</w:t>
                </w:r>
                <w:r>
                  <w:rPr>
                    <w:rStyle w:val="Char10"/>
                    <w:rFonts w:hint="eastAsia"/>
                  </w:rPr>
                  <w:t>年以内分项</w:t>
                </w:r>
              </w:p>
            </w:tc>
          </w:sdtContent>
        </w:sdt>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1</w:t>
            </w:r>
            <w:r>
              <w:rPr>
                <w:rStyle w:val="Char10"/>
                <w:rFonts w:hint="eastAsia"/>
              </w:rPr>
              <w:t>年以内</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767,226,828.89</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546,933,409.34</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4"/>
              <w:rPr>
                <w:rStyle w:val="Char10"/>
              </w:rPr>
            </w:pP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10"/>
              </w:rPr>
            </w:pP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10"/>
              </w:rPr>
            </w:pP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1</w:t>
            </w:r>
            <w:r>
              <w:rPr>
                <w:rStyle w:val="Char10"/>
                <w:rFonts w:hint="eastAsia"/>
              </w:rPr>
              <w:t>年以内小计</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767,226,828.89</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546,933,409.34</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1</w:t>
            </w:r>
            <w:r>
              <w:rPr>
                <w:rStyle w:val="Char10"/>
                <w:rFonts w:hint="eastAsia"/>
              </w:rPr>
              <w:t>至</w:t>
            </w:r>
            <w:r>
              <w:rPr>
                <w:rStyle w:val="Char10"/>
                <w:rFonts w:hint="eastAsia"/>
              </w:rPr>
              <w:t>2</w:t>
            </w:r>
            <w:r>
              <w:rPr>
                <w:rStyle w:val="Char10"/>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128,442,919.02</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121,143,720.15</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2</w:t>
            </w:r>
            <w:r>
              <w:rPr>
                <w:rStyle w:val="Char10"/>
                <w:rFonts w:hint="eastAsia"/>
              </w:rPr>
              <w:t>至</w:t>
            </w:r>
            <w:r>
              <w:rPr>
                <w:rStyle w:val="Char10"/>
                <w:rFonts w:hint="eastAsia"/>
              </w:rPr>
              <w:t>3</w:t>
            </w:r>
            <w:r>
              <w:rPr>
                <w:rStyle w:val="Char10"/>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47,482,614.55</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60,026,985.08</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3</w:t>
            </w:r>
            <w:r>
              <w:rPr>
                <w:rStyle w:val="Char10"/>
                <w:rFonts w:hint="eastAsia"/>
              </w:rPr>
              <w:t>年以上</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10"/>
              </w:rPr>
            </w:pP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10"/>
              </w:rPr>
            </w:pP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3</w:t>
            </w:r>
            <w:r>
              <w:rPr>
                <w:rStyle w:val="Char10"/>
                <w:rFonts w:hint="eastAsia"/>
              </w:rPr>
              <w:t>至</w:t>
            </w:r>
            <w:r>
              <w:rPr>
                <w:rStyle w:val="Char10"/>
                <w:rFonts w:hint="eastAsia"/>
              </w:rPr>
              <w:t>4</w:t>
            </w:r>
            <w:r>
              <w:rPr>
                <w:rStyle w:val="Char10"/>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37,897,493.24</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30,135,032.36</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4</w:t>
            </w:r>
            <w:r>
              <w:rPr>
                <w:rStyle w:val="Char10"/>
                <w:rFonts w:hint="eastAsia"/>
              </w:rPr>
              <w:t>至</w:t>
            </w:r>
            <w:r>
              <w:rPr>
                <w:rStyle w:val="Char10"/>
                <w:rFonts w:hint="eastAsia"/>
              </w:rPr>
              <w:t>5</w:t>
            </w:r>
            <w:r>
              <w:rPr>
                <w:rStyle w:val="Char10"/>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12,987,423.60</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12,342,940.36</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5</w:t>
            </w:r>
            <w:r>
              <w:rPr>
                <w:rStyle w:val="Char10"/>
                <w:rFonts w:hint="eastAsia"/>
              </w:rPr>
              <w:t>年以上</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19,573,907.16</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11,330,433.83</w:t>
            </w:r>
          </w:p>
        </w:tc>
      </w:tr>
      <w:tr w:rsidR="004A3868">
        <w:trPr>
          <w:cantSplit/>
          <w:trHeight w:val="397"/>
          <w:jc w:val="center"/>
        </w:trPr>
        <w:tc>
          <w:tcPr>
            <w:tcW w:w="1628"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10"/>
              </w:rPr>
            </w:pPr>
            <w:r>
              <w:rPr>
                <w:rStyle w:val="Char10"/>
                <w:rFonts w:hint="eastAsia"/>
              </w:rPr>
              <w:t>合计</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1,013,611,186.46</w:t>
            </w:r>
          </w:p>
        </w:tc>
        <w:tc>
          <w:tcPr>
            <w:tcW w:w="16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781,912,521.12</w:t>
            </w:r>
          </w:p>
        </w:tc>
      </w:tr>
      <w:bookmarkEnd w:id="256"/>
    </w:tbl>
    <w:p w:rsidR="004A3868" w:rsidRDefault="004A3868">
      <w:pPr>
        <w:pStyle w:val="Style853"/>
        <w:rPr>
          <w:rStyle w:val="Char10"/>
        </w:rPr>
      </w:pPr>
    </w:p>
    <w:p w:rsidR="004A3868" w:rsidRDefault="003F1AB5">
      <w:pPr>
        <w:pStyle w:val="Style956"/>
        <w:numPr>
          <w:ilvl w:val="3"/>
          <w:numId w:val="129"/>
        </w:numPr>
        <w:rPr>
          <w:rStyle w:val="Char10"/>
        </w:rPr>
      </w:pPr>
      <w:r>
        <w:rPr>
          <w:rStyle w:val="Char10"/>
          <w:rFonts w:hint="eastAsia"/>
        </w:rPr>
        <w:t>按坏账计提方法分类披露</w:t>
      </w:r>
    </w:p>
    <w:bookmarkStart w:id="257" w:name="_Hlk533796703" w:displacedByCustomXml="next"/>
    <w:sdt>
      <w:sdtPr>
        <w:rPr>
          <w:rStyle w:val="Char10"/>
        </w:rPr>
        <w:alias w:val="是否适用：母公司应收账款按坏账计提方法分类披露[双击切换]"/>
        <w:tag w:val="_GBC_7881b37ba62844928bb3a0f84fa1312c"/>
        <w:id w:val="-1535955192"/>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母公司应收账款按坏账计提方法分类披露"/>
          <w:tag w:val="_GBC_57cfa95657c1492d995c84aaa01cd7a5"/>
          <w:id w:val="-17916580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母公司应收账款按坏账计提方法分类披露"/>
          <w:tag w:val="_GBC_b8d2fec8e15e43c8b9a141c04cb5fea0"/>
          <w:id w:val="-495462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986"/>
        <w:gridCol w:w="1135"/>
        <w:gridCol w:w="566"/>
        <w:gridCol w:w="851"/>
        <w:gridCol w:w="708"/>
        <w:gridCol w:w="852"/>
        <w:gridCol w:w="851"/>
        <w:gridCol w:w="568"/>
        <w:gridCol w:w="851"/>
        <w:gridCol w:w="709"/>
        <w:gridCol w:w="746"/>
      </w:tblGrid>
      <w:tr w:rsidR="004A3868">
        <w:trPr>
          <w:cantSplit/>
          <w:trHeight w:val="397"/>
          <w:jc w:val="center"/>
        </w:trPr>
        <w:sdt>
          <w:sdtPr>
            <w:rPr>
              <w:rStyle w:val="Char10"/>
            </w:rPr>
            <w:tag w:val="_PLD_0b6f94bf734a49f28ff9eb2211eccc4e"/>
            <w:id w:val="-1048383381"/>
          </w:sdtPr>
          <w:sdtEndPr>
            <w:rPr>
              <w:rStyle w:val="Char10"/>
            </w:rPr>
          </w:sdtEndPr>
          <w:sdtContent>
            <w:tc>
              <w:tcPr>
                <w:tcW w:w="559" w:type="pct"/>
                <w:vMerge w:val="restart"/>
                <w:tcBorders>
                  <w:top w:val="single" w:sz="4" w:space="0" w:color="auto"/>
                  <w:left w:val="single" w:sz="4" w:space="0" w:color="auto"/>
                  <w:right w:val="single" w:sz="4" w:space="0" w:color="auto"/>
                </w:tcBorders>
                <w:vAlign w:val="center"/>
              </w:tcPr>
              <w:p w:rsidR="004A3868" w:rsidRDefault="003F1AB5">
                <w:pPr>
                  <w:pStyle w:val="Style1226"/>
                  <w:rPr>
                    <w:rStyle w:val="Char10"/>
                  </w:rPr>
                </w:pPr>
                <w:r>
                  <w:rPr>
                    <w:rStyle w:val="Char10"/>
                    <w:rFonts w:hint="eastAsia"/>
                  </w:rPr>
                  <w:t>类别</w:t>
                </w:r>
              </w:p>
            </w:tc>
          </w:sdtContent>
        </w:sdt>
        <w:sdt>
          <w:sdtPr>
            <w:rPr>
              <w:rStyle w:val="Char10"/>
            </w:rPr>
            <w:tag w:val="_PLD_cadda055920649559b4578dc73b6f05e"/>
            <w:id w:val="-1439671444"/>
          </w:sdtPr>
          <w:sdtEndPr>
            <w:rPr>
              <w:rStyle w:val="Char10"/>
            </w:rPr>
          </w:sdtEndPr>
          <w:sdtContent>
            <w:tc>
              <w:tcPr>
                <w:tcW w:w="2330" w:type="pct"/>
                <w:gridSpan w:val="5"/>
                <w:tcBorders>
                  <w:top w:val="single" w:sz="4" w:space="0" w:color="auto"/>
                  <w:left w:val="single" w:sz="4" w:space="0" w:color="auto"/>
                  <w:right w:val="single" w:sz="4" w:space="0" w:color="auto"/>
                </w:tcBorders>
                <w:vAlign w:val="center"/>
              </w:tcPr>
              <w:p w:rsidR="004A3868" w:rsidRDefault="003F1AB5">
                <w:pPr>
                  <w:pStyle w:val="Style1226"/>
                  <w:rPr>
                    <w:rStyle w:val="Char10"/>
                  </w:rPr>
                </w:pPr>
                <w:r>
                  <w:rPr>
                    <w:rStyle w:val="Char10"/>
                    <w:rFonts w:hint="eastAsia"/>
                  </w:rPr>
                  <w:t>期末余额</w:t>
                </w:r>
              </w:p>
            </w:tc>
          </w:sdtContent>
        </w:sdt>
        <w:sdt>
          <w:sdtPr>
            <w:rPr>
              <w:rStyle w:val="Char10"/>
            </w:rPr>
            <w:tag w:val="_PLD_28a8aaa48276458aa987282704951cc5"/>
            <w:id w:val="-2106031143"/>
          </w:sdtPr>
          <w:sdtEndPr>
            <w:rPr>
              <w:rStyle w:val="Char10"/>
            </w:rPr>
          </w:sdtEndPr>
          <w:sdtContent>
            <w:tc>
              <w:tcPr>
                <w:tcW w:w="2111" w:type="pct"/>
                <w:gridSpan w:val="5"/>
                <w:tcBorders>
                  <w:top w:val="single" w:sz="4" w:space="0" w:color="auto"/>
                  <w:left w:val="single" w:sz="4" w:space="0" w:color="auto"/>
                  <w:right w:val="single" w:sz="4" w:space="0" w:color="auto"/>
                </w:tcBorders>
                <w:vAlign w:val="center"/>
              </w:tcPr>
              <w:p w:rsidR="004A3868" w:rsidRDefault="003F1AB5">
                <w:pPr>
                  <w:pStyle w:val="Style1226"/>
                  <w:rPr>
                    <w:rStyle w:val="Char10"/>
                  </w:rPr>
                </w:pPr>
                <w:r>
                  <w:rPr>
                    <w:rStyle w:val="Char10"/>
                    <w:rFonts w:hint="eastAsia"/>
                  </w:rPr>
                  <w:t>期初余额</w:t>
                </w:r>
              </w:p>
            </w:tc>
          </w:sdtContent>
        </w:sdt>
      </w:tr>
      <w:tr w:rsidR="004A3868">
        <w:trPr>
          <w:cantSplit/>
          <w:trHeight w:val="397"/>
          <w:jc w:val="center"/>
        </w:trPr>
        <w:tc>
          <w:tcPr>
            <w:tcW w:w="559" w:type="pct"/>
            <w:vMerge/>
            <w:tcBorders>
              <w:left w:val="single" w:sz="4" w:space="0" w:color="auto"/>
              <w:right w:val="single" w:sz="4" w:space="0" w:color="auto"/>
            </w:tcBorders>
            <w:vAlign w:val="center"/>
          </w:tcPr>
          <w:p w:rsidR="004A3868" w:rsidRDefault="004A3868">
            <w:pPr>
              <w:pStyle w:val="Style1226"/>
              <w:rPr>
                <w:sz w:val="18"/>
                <w:szCs w:val="18"/>
              </w:rPr>
            </w:pPr>
          </w:p>
        </w:tc>
        <w:sdt>
          <w:sdtPr>
            <w:rPr>
              <w:sz w:val="18"/>
              <w:szCs w:val="18"/>
            </w:rPr>
            <w:tag w:val="_PLD_b6e4cad360f948d68bd5af2c3f52e83a"/>
            <w:id w:val="1849593478"/>
          </w:sdtPr>
          <w:sdtEndPr/>
          <w:sdtContent>
            <w:tc>
              <w:tcPr>
                <w:tcW w:w="964"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账面余额</w:t>
                </w:r>
              </w:p>
            </w:tc>
          </w:sdtContent>
        </w:sdt>
        <w:sdt>
          <w:sdtPr>
            <w:rPr>
              <w:sz w:val="18"/>
              <w:szCs w:val="18"/>
            </w:rPr>
            <w:tag w:val="_PLD_1812a70770914fa4b8145f493ad4c468"/>
            <w:id w:val="-129638442"/>
          </w:sdtPr>
          <w:sdtEndPr/>
          <w:sdtContent>
            <w:tc>
              <w:tcPr>
                <w:tcW w:w="883"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坏账准备</w:t>
                </w:r>
              </w:p>
            </w:tc>
          </w:sdtContent>
        </w:sdt>
        <w:sdt>
          <w:sdtPr>
            <w:rPr>
              <w:sz w:val="18"/>
              <w:szCs w:val="18"/>
            </w:rPr>
            <w:tag w:val="_PLD_970be2ae3a84456bb0feb4eb360d2b2f"/>
            <w:id w:val="-2121371790"/>
          </w:sdtPr>
          <w:sdtEndPr/>
          <w:sdtContent>
            <w:tc>
              <w:tcPr>
                <w:tcW w:w="482" w:type="pct"/>
                <w:vMerge w:val="restart"/>
                <w:tcBorders>
                  <w:top w:val="single" w:sz="4" w:space="0" w:color="auto"/>
                  <w:left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账面</w:t>
                </w:r>
              </w:p>
              <w:p w:rsidR="004A3868" w:rsidRDefault="003F1AB5">
                <w:pPr>
                  <w:pStyle w:val="Style1226"/>
                  <w:rPr>
                    <w:sz w:val="18"/>
                    <w:szCs w:val="18"/>
                  </w:rPr>
                </w:pPr>
                <w:r>
                  <w:rPr>
                    <w:rFonts w:hint="eastAsia"/>
                    <w:sz w:val="18"/>
                    <w:szCs w:val="18"/>
                  </w:rPr>
                  <w:lastRenderedPageBreak/>
                  <w:t>价值</w:t>
                </w:r>
              </w:p>
            </w:tc>
          </w:sdtContent>
        </w:sdt>
        <w:sdt>
          <w:sdtPr>
            <w:rPr>
              <w:sz w:val="18"/>
              <w:szCs w:val="18"/>
            </w:rPr>
            <w:tag w:val="_PLD_be04f05fbfa341e1a7546ee304164c92"/>
            <w:id w:val="-1312478216"/>
          </w:sdtPr>
          <w:sdtEndPr/>
          <w:sdtContent>
            <w:tc>
              <w:tcPr>
                <w:tcW w:w="804" w:type="pct"/>
                <w:gridSpan w:val="2"/>
                <w:tcBorders>
                  <w:top w:val="single" w:sz="4" w:space="0" w:color="auto"/>
                  <w:left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账面余额</w:t>
                </w:r>
              </w:p>
            </w:tc>
          </w:sdtContent>
        </w:sdt>
        <w:sdt>
          <w:sdtPr>
            <w:rPr>
              <w:sz w:val="18"/>
              <w:szCs w:val="18"/>
            </w:rPr>
            <w:tag w:val="_PLD_708baf88b6ab4f6ca208582ef2033d3e"/>
            <w:id w:val="602082953"/>
          </w:sdtPr>
          <w:sdtEndPr/>
          <w:sdtContent>
            <w:tc>
              <w:tcPr>
                <w:tcW w:w="884" w:type="pct"/>
                <w:gridSpan w:val="2"/>
                <w:tcBorders>
                  <w:top w:val="single" w:sz="4" w:space="0" w:color="auto"/>
                  <w:left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坏账准备</w:t>
                </w:r>
              </w:p>
            </w:tc>
          </w:sdtContent>
        </w:sdt>
        <w:sdt>
          <w:sdtPr>
            <w:rPr>
              <w:sz w:val="18"/>
              <w:szCs w:val="18"/>
            </w:rPr>
            <w:tag w:val="_PLD_7c2453d3d43547428eaaafae8df8b7d0"/>
            <w:id w:val="-162244500"/>
          </w:sdtPr>
          <w:sdtEndPr/>
          <w:sdtContent>
            <w:tc>
              <w:tcPr>
                <w:tcW w:w="423" w:type="pct"/>
                <w:vMerge w:val="restart"/>
                <w:tcBorders>
                  <w:top w:val="single" w:sz="4" w:space="0" w:color="auto"/>
                  <w:left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账面</w:t>
                </w:r>
              </w:p>
              <w:p w:rsidR="004A3868" w:rsidRDefault="003F1AB5">
                <w:pPr>
                  <w:pStyle w:val="Style1226"/>
                  <w:rPr>
                    <w:sz w:val="18"/>
                    <w:szCs w:val="18"/>
                  </w:rPr>
                </w:pPr>
                <w:r>
                  <w:rPr>
                    <w:rFonts w:hint="eastAsia"/>
                    <w:sz w:val="18"/>
                    <w:szCs w:val="18"/>
                  </w:rPr>
                  <w:lastRenderedPageBreak/>
                  <w:t>价值</w:t>
                </w:r>
              </w:p>
            </w:tc>
          </w:sdtContent>
        </w:sdt>
      </w:tr>
      <w:tr w:rsidR="004A3868">
        <w:trPr>
          <w:cantSplit/>
          <w:trHeight w:val="397"/>
          <w:jc w:val="center"/>
        </w:trPr>
        <w:tc>
          <w:tcPr>
            <w:tcW w:w="559" w:type="pct"/>
            <w:vMerge/>
            <w:tcBorders>
              <w:left w:val="single" w:sz="4" w:space="0" w:color="auto"/>
              <w:bottom w:val="single" w:sz="4" w:space="0" w:color="auto"/>
              <w:right w:val="single" w:sz="4" w:space="0" w:color="auto"/>
            </w:tcBorders>
            <w:vAlign w:val="center"/>
          </w:tcPr>
          <w:p w:rsidR="004A3868" w:rsidRDefault="004A3868">
            <w:pPr>
              <w:pStyle w:val="Style842"/>
              <w:rPr>
                <w:sz w:val="18"/>
                <w:szCs w:val="18"/>
              </w:rPr>
            </w:pPr>
          </w:p>
        </w:tc>
        <w:sdt>
          <w:sdtPr>
            <w:rPr>
              <w:sz w:val="18"/>
              <w:szCs w:val="18"/>
            </w:rPr>
            <w:tag w:val="_PLD_c5c981ae53b144af90139d228c5285af"/>
            <w:id w:val="-2143263313"/>
          </w:sdtPr>
          <w:sdtEndPr/>
          <w:sdtContent>
            <w:tc>
              <w:tcPr>
                <w:tcW w:w="643" w:type="pct"/>
                <w:tcBorders>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金额</w:t>
                </w:r>
              </w:p>
            </w:tc>
          </w:sdtContent>
        </w:sdt>
        <w:sdt>
          <w:sdtPr>
            <w:rPr>
              <w:sz w:val="18"/>
              <w:szCs w:val="18"/>
            </w:rPr>
            <w:tag w:val="_PLD_c62cdb22fba648808acfebda9f29289b"/>
            <w:id w:val="1310678946"/>
          </w:sdtPr>
          <w:sdtEndPr/>
          <w:sdtContent>
            <w:tc>
              <w:tcPr>
                <w:tcW w:w="321" w:type="pct"/>
                <w:tcBorders>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比例</w:t>
                </w:r>
                <w:r>
                  <w:rPr>
                    <w:sz w:val="18"/>
                    <w:szCs w:val="18"/>
                  </w:rPr>
                  <w:t>(%)</w:t>
                </w:r>
              </w:p>
            </w:tc>
          </w:sdtContent>
        </w:sdt>
        <w:sdt>
          <w:sdtPr>
            <w:rPr>
              <w:sz w:val="18"/>
              <w:szCs w:val="18"/>
            </w:rPr>
            <w:tag w:val="_PLD_d259a31756a946a6a441328cc78413fc"/>
            <w:id w:val="265974974"/>
          </w:sdtPr>
          <w:sdtEndPr/>
          <w:sdtContent>
            <w:tc>
              <w:tcPr>
                <w:tcW w:w="482" w:type="pct"/>
                <w:tcBorders>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金额</w:t>
                </w:r>
              </w:p>
            </w:tc>
          </w:sdtContent>
        </w:sdt>
        <w:sdt>
          <w:sdtPr>
            <w:rPr>
              <w:sz w:val="18"/>
              <w:szCs w:val="18"/>
            </w:rPr>
            <w:tag w:val="_PLD_f74078100e7348efb6fa93b2ac934809"/>
            <w:id w:val="-131871291"/>
          </w:sdtPr>
          <w:sdtEndPr/>
          <w:sdtContent>
            <w:tc>
              <w:tcPr>
                <w:tcW w:w="401" w:type="pct"/>
                <w:tcBorders>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计提比例</w:t>
                </w:r>
                <w:r>
                  <w:rPr>
                    <w:sz w:val="18"/>
                    <w:szCs w:val="18"/>
                  </w:rPr>
                  <w:t>(%)</w:t>
                </w:r>
              </w:p>
            </w:tc>
          </w:sdtContent>
        </w:sdt>
        <w:tc>
          <w:tcPr>
            <w:tcW w:w="482" w:type="pct"/>
            <w:vMerge/>
            <w:tcBorders>
              <w:left w:val="single" w:sz="4" w:space="0" w:color="auto"/>
              <w:bottom w:val="single" w:sz="4" w:space="0" w:color="auto"/>
              <w:right w:val="single" w:sz="4" w:space="0" w:color="auto"/>
            </w:tcBorders>
            <w:vAlign w:val="center"/>
          </w:tcPr>
          <w:p w:rsidR="004A3868" w:rsidRDefault="004A3868">
            <w:pPr>
              <w:pStyle w:val="Style1226"/>
              <w:rPr>
                <w:sz w:val="18"/>
                <w:szCs w:val="18"/>
              </w:rPr>
            </w:pPr>
          </w:p>
        </w:tc>
        <w:sdt>
          <w:sdtPr>
            <w:rPr>
              <w:sz w:val="18"/>
              <w:szCs w:val="18"/>
            </w:rPr>
            <w:tag w:val="_PLD_4b188b463cd04b5f935c04bb97091ad7"/>
            <w:id w:val="1525749027"/>
          </w:sdtPr>
          <w:sdtEndPr/>
          <w:sdtContent>
            <w:tc>
              <w:tcPr>
                <w:tcW w:w="482" w:type="pct"/>
                <w:tcBorders>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金额</w:t>
                </w:r>
              </w:p>
            </w:tc>
          </w:sdtContent>
        </w:sdt>
        <w:sdt>
          <w:sdtPr>
            <w:rPr>
              <w:sz w:val="18"/>
              <w:szCs w:val="18"/>
            </w:rPr>
            <w:tag w:val="_PLD_0eb49b8077f24050b883fe1c83156c6a"/>
            <w:id w:val="512113134"/>
          </w:sdtPr>
          <w:sdtEndPr/>
          <w:sdtContent>
            <w:tc>
              <w:tcPr>
                <w:tcW w:w="322" w:type="pct"/>
                <w:tcBorders>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比例</w:t>
                </w:r>
                <w:r>
                  <w:rPr>
                    <w:sz w:val="18"/>
                    <w:szCs w:val="18"/>
                  </w:rPr>
                  <w:t>(%)</w:t>
                </w:r>
              </w:p>
            </w:tc>
          </w:sdtContent>
        </w:sdt>
        <w:sdt>
          <w:sdtPr>
            <w:rPr>
              <w:sz w:val="18"/>
              <w:szCs w:val="18"/>
            </w:rPr>
            <w:tag w:val="_PLD_97b959dafb2649fe9097ba91d4d77a2f"/>
            <w:id w:val="-1096788295"/>
          </w:sdtPr>
          <w:sdtEndPr/>
          <w:sdtContent>
            <w:tc>
              <w:tcPr>
                <w:tcW w:w="482" w:type="pct"/>
                <w:tcBorders>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金额</w:t>
                </w:r>
              </w:p>
            </w:tc>
          </w:sdtContent>
        </w:sdt>
        <w:sdt>
          <w:sdtPr>
            <w:rPr>
              <w:sz w:val="18"/>
              <w:szCs w:val="18"/>
            </w:rPr>
            <w:tag w:val="_PLD_99dda048c2a04725a5d8bfac8b356378"/>
            <w:id w:val="1468628999"/>
          </w:sdtPr>
          <w:sdtEndPr/>
          <w:sdtContent>
            <w:tc>
              <w:tcPr>
                <w:tcW w:w="402" w:type="pct"/>
                <w:tcBorders>
                  <w:left w:val="single" w:sz="4" w:space="0" w:color="auto"/>
                  <w:bottom w:val="single" w:sz="4" w:space="0" w:color="auto"/>
                  <w:right w:val="single" w:sz="4" w:space="0" w:color="auto"/>
                </w:tcBorders>
                <w:vAlign w:val="center"/>
              </w:tcPr>
              <w:p w:rsidR="004A3868" w:rsidRDefault="003F1AB5">
                <w:pPr>
                  <w:pStyle w:val="Style1226"/>
                  <w:rPr>
                    <w:sz w:val="18"/>
                    <w:szCs w:val="18"/>
                  </w:rPr>
                </w:pPr>
                <w:r>
                  <w:rPr>
                    <w:rFonts w:hint="eastAsia"/>
                    <w:sz w:val="18"/>
                    <w:szCs w:val="18"/>
                  </w:rPr>
                  <w:t>计提比例</w:t>
                </w:r>
                <w:r>
                  <w:rPr>
                    <w:sz w:val="18"/>
                    <w:szCs w:val="18"/>
                  </w:rPr>
                  <w:t>(%)</w:t>
                </w:r>
              </w:p>
            </w:tc>
          </w:sdtContent>
        </w:sdt>
        <w:tc>
          <w:tcPr>
            <w:tcW w:w="423" w:type="pct"/>
            <w:vMerge/>
            <w:tcBorders>
              <w:left w:val="single" w:sz="4" w:space="0" w:color="auto"/>
              <w:bottom w:val="single" w:sz="4" w:space="0" w:color="auto"/>
              <w:right w:val="single" w:sz="4" w:space="0" w:color="auto"/>
            </w:tcBorders>
          </w:tcPr>
          <w:p w:rsidR="004A3868" w:rsidRDefault="004A3868">
            <w:pPr>
              <w:pStyle w:val="Style842"/>
              <w:rPr>
                <w:sz w:val="18"/>
                <w:szCs w:val="18"/>
              </w:rPr>
            </w:pPr>
          </w:p>
        </w:tc>
      </w:tr>
      <w:tr w:rsidR="004A3868">
        <w:trPr>
          <w:cantSplit/>
          <w:trHeight w:val="397"/>
          <w:jc w:val="center"/>
        </w:trPr>
        <w:tc>
          <w:tcPr>
            <w:tcW w:w="5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sz w:val="18"/>
                <w:szCs w:val="18"/>
              </w:rPr>
            </w:pPr>
            <w:r>
              <w:rPr>
                <w:rFonts w:hint="eastAsia"/>
                <w:sz w:val="18"/>
                <w:szCs w:val="18"/>
              </w:rPr>
              <w:t>按单项计提坏账准备</w:t>
            </w:r>
          </w:p>
        </w:tc>
        <w:tc>
          <w:tcPr>
            <w:tcW w:w="64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35,292,679.88</w:t>
            </w:r>
          </w:p>
        </w:tc>
        <w:tc>
          <w:tcPr>
            <w:tcW w:w="3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3.48</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26,430,652.88</w:t>
            </w:r>
          </w:p>
        </w:tc>
        <w:tc>
          <w:tcPr>
            <w:tcW w:w="40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74.89</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8,862,027.00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28,962,581.42</w:t>
            </w:r>
          </w:p>
        </w:tc>
        <w:tc>
          <w:tcPr>
            <w:tcW w:w="3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3.70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22,734,295.81</w:t>
            </w:r>
          </w:p>
        </w:tc>
        <w:tc>
          <w:tcPr>
            <w:tcW w:w="4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78.50</w:t>
            </w:r>
          </w:p>
        </w:tc>
        <w:tc>
          <w:tcPr>
            <w:tcW w:w="4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6,228,285.61</w:t>
            </w:r>
          </w:p>
        </w:tc>
      </w:tr>
      <w:tr w:rsidR="004A3868">
        <w:trPr>
          <w:cantSplit/>
          <w:trHeight w:val="397"/>
          <w:jc w:val="center"/>
        </w:trPr>
        <w:sdt>
          <w:sdtPr>
            <w:rPr>
              <w:sz w:val="18"/>
              <w:szCs w:val="18"/>
            </w:rPr>
            <w:tag w:val="_PLD_b482c2c63c82442b8be7b0cffa7694c4"/>
            <w:id w:val="-415019027"/>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4A3868" w:rsidRDefault="003F1AB5">
                <w:pPr>
                  <w:pStyle w:val="Style842"/>
                  <w:rPr>
                    <w:sz w:val="18"/>
                    <w:szCs w:val="18"/>
                  </w:rPr>
                </w:pPr>
                <w:r>
                  <w:rPr>
                    <w:rStyle w:val="Style1225"/>
                    <w:rFonts w:hint="eastAsia"/>
                    <w:sz w:val="18"/>
                    <w:szCs w:val="18"/>
                  </w:rPr>
                  <w:t>其中：</w:t>
                </w:r>
              </w:p>
            </w:tc>
          </w:sdtContent>
        </w:sdt>
      </w:tr>
      <w:tr w:rsidR="004A3868">
        <w:trPr>
          <w:cantSplit/>
          <w:trHeight w:val="397"/>
          <w:jc w:val="center"/>
        </w:trPr>
        <w:sdt>
          <w:sdtPr>
            <w:rPr>
              <w:sz w:val="18"/>
              <w:szCs w:val="18"/>
            </w:rPr>
            <w:alias w:val="按单项计提坏账准备的应收账款明细-类别"/>
            <w:tag w:val="_GBC_8bce54839ffd46eb912136d37cd80cc4"/>
            <w:id w:val="-1752346609"/>
            <w:showingPlcHdr/>
          </w:sdtPr>
          <w:sdtEndPr/>
          <w:sdtContent>
            <w:tc>
              <w:tcPr>
                <w:tcW w:w="559" w:type="pct"/>
                <w:tcBorders>
                  <w:top w:val="single" w:sz="4" w:space="0" w:color="auto"/>
                  <w:left w:val="single" w:sz="4" w:space="0" w:color="auto"/>
                  <w:bottom w:val="single" w:sz="4" w:space="0" w:color="auto"/>
                  <w:right w:val="single" w:sz="4" w:space="0" w:color="auto"/>
                </w:tcBorders>
              </w:tcPr>
              <w:p w:rsidR="004A3868" w:rsidRDefault="003F1AB5">
                <w:pPr>
                  <w:rPr>
                    <w:color w:val="808080"/>
                    <w:sz w:val="18"/>
                    <w:szCs w:val="18"/>
                  </w:rPr>
                </w:pPr>
                <w:r>
                  <w:rPr>
                    <w:rFonts w:hint="eastAsia"/>
                    <w:sz w:val="18"/>
                    <w:szCs w:val="18"/>
                  </w:rPr>
                  <w:t xml:space="preserve">　</w:t>
                </w:r>
              </w:p>
            </w:tc>
          </w:sdtContent>
        </w:sdt>
        <w:tc>
          <w:tcPr>
            <w:tcW w:w="643"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321"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01"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32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0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23"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r>
      <w:tr w:rsidR="004A3868">
        <w:trPr>
          <w:cantSplit/>
          <w:trHeight w:val="397"/>
          <w:jc w:val="center"/>
        </w:trPr>
        <w:tc>
          <w:tcPr>
            <w:tcW w:w="5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sz w:val="18"/>
                <w:szCs w:val="18"/>
              </w:rPr>
            </w:pPr>
            <w:r>
              <w:rPr>
                <w:rFonts w:hint="eastAsia"/>
                <w:sz w:val="18"/>
                <w:szCs w:val="18"/>
              </w:rPr>
              <w:t>按组合计提坏账准备</w:t>
            </w:r>
          </w:p>
        </w:tc>
        <w:tc>
          <w:tcPr>
            <w:tcW w:w="64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978,318,506.58</w:t>
            </w:r>
          </w:p>
        </w:tc>
        <w:tc>
          <w:tcPr>
            <w:tcW w:w="3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96.52</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80,304,988.69</w:t>
            </w:r>
          </w:p>
        </w:tc>
        <w:tc>
          <w:tcPr>
            <w:tcW w:w="40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8.21</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898,013,517.90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752,949,939.70</w:t>
            </w:r>
          </w:p>
        </w:tc>
        <w:tc>
          <w:tcPr>
            <w:tcW w:w="3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96.30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63,195,307.50</w:t>
            </w:r>
          </w:p>
        </w:tc>
        <w:tc>
          <w:tcPr>
            <w:tcW w:w="4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8.39</w:t>
            </w:r>
          </w:p>
        </w:tc>
        <w:tc>
          <w:tcPr>
            <w:tcW w:w="4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689,754,632.20</w:t>
            </w:r>
          </w:p>
        </w:tc>
      </w:tr>
      <w:tr w:rsidR="004A3868">
        <w:trPr>
          <w:cantSplit/>
          <w:trHeight w:val="397"/>
          <w:jc w:val="center"/>
        </w:trPr>
        <w:sdt>
          <w:sdtPr>
            <w:rPr>
              <w:sz w:val="18"/>
              <w:szCs w:val="18"/>
            </w:rPr>
            <w:tag w:val="_PLD_3e90aa50b20c494dafda2d9726e46570"/>
            <w:id w:val="-1638176585"/>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4A3868" w:rsidRDefault="003F1AB5">
                <w:pPr>
                  <w:pStyle w:val="Style1224"/>
                  <w:rPr>
                    <w:sz w:val="18"/>
                    <w:szCs w:val="18"/>
                  </w:rPr>
                </w:pPr>
                <w:r>
                  <w:rPr>
                    <w:rFonts w:hint="eastAsia"/>
                    <w:sz w:val="18"/>
                    <w:szCs w:val="18"/>
                  </w:rPr>
                  <w:t>其中：</w:t>
                </w:r>
              </w:p>
            </w:tc>
          </w:sdtContent>
        </w:sdt>
      </w:tr>
      <w:tr w:rsidR="004A3868">
        <w:trPr>
          <w:cantSplit/>
          <w:trHeight w:val="397"/>
          <w:jc w:val="center"/>
        </w:trPr>
        <w:sdt>
          <w:sdtPr>
            <w:rPr>
              <w:sz w:val="18"/>
              <w:szCs w:val="18"/>
            </w:rPr>
            <w:alias w:val="按组合计提坏账准备的应收账款明细-组合名称"/>
            <w:tag w:val="_GBC_bb95ca191c6548418732405aecc5c303"/>
            <w:id w:val="-2001104862"/>
          </w:sdtPr>
          <w:sdtEndPr/>
          <w:sdtContent>
            <w:tc>
              <w:tcPr>
                <w:tcW w:w="5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color w:val="808080"/>
                    <w:sz w:val="18"/>
                    <w:szCs w:val="18"/>
                  </w:rPr>
                </w:pPr>
                <w:r>
                  <w:rPr>
                    <w:rFonts w:hint="eastAsia"/>
                    <w:sz w:val="18"/>
                    <w:szCs w:val="18"/>
                  </w:rPr>
                  <w:t>组合账龄</w:t>
                </w:r>
              </w:p>
            </w:tc>
          </w:sdtContent>
        </w:sdt>
        <w:tc>
          <w:tcPr>
            <w:tcW w:w="64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978,318,506.58</w:t>
            </w:r>
          </w:p>
        </w:tc>
        <w:tc>
          <w:tcPr>
            <w:tcW w:w="3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96.52</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80,304,988.69</w:t>
            </w:r>
          </w:p>
        </w:tc>
        <w:tc>
          <w:tcPr>
            <w:tcW w:w="40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8.21</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898,013,517.90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752,949,939.70</w:t>
            </w:r>
          </w:p>
        </w:tc>
        <w:tc>
          <w:tcPr>
            <w:tcW w:w="3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96.30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63,195,307.50</w:t>
            </w:r>
          </w:p>
        </w:tc>
        <w:tc>
          <w:tcPr>
            <w:tcW w:w="4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8.39</w:t>
            </w:r>
          </w:p>
        </w:tc>
        <w:tc>
          <w:tcPr>
            <w:tcW w:w="4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689,754,632.20</w:t>
            </w:r>
          </w:p>
        </w:tc>
      </w:tr>
      <w:tr w:rsidR="004A3868">
        <w:trPr>
          <w:cantSplit/>
          <w:trHeight w:val="397"/>
          <w:jc w:val="center"/>
        </w:trPr>
        <w:sdt>
          <w:sdtPr>
            <w:rPr>
              <w:sz w:val="18"/>
              <w:szCs w:val="18"/>
            </w:rPr>
            <w:alias w:val="按组合计提坏账准备的应收账款明细-组合名称"/>
            <w:tag w:val="_GBC_bb95ca191c6548418732405aecc5c303"/>
            <w:id w:val="-1064260494"/>
            <w:showingPlcHdr/>
          </w:sdtPr>
          <w:sdtEndPr/>
          <w:sdtContent>
            <w:tc>
              <w:tcPr>
                <w:tcW w:w="559" w:type="pct"/>
                <w:tcBorders>
                  <w:top w:val="single" w:sz="4" w:space="0" w:color="auto"/>
                  <w:left w:val="single" w:sz="4" w:space="0" w:color="auto"/>
                  <w:bottom w:val="single" w:sz="4" w:space="0" w:color="auto"/>
                  <w:right w:val="single" w:sz="4" w:space="0" w:color="auto"/>
                </w:tcBorders>
                <w:vAlign w:val="center"/>
              </w:tcPr>
              <w:p w:rsidR="004A3868" w:rsidRDefault="003F1AB5">
                <w:pPr>
                  <w:rPr>
                    <w:color w:val="808080"/>
                    <w:sz w:val="18"/>
                    <w:szCs w:val="18"/>
                  </w:rPr>
                </w:pPr>
                <w:r>
                  <w:rPr>
                    <w:rFonts w:hint="eastAsia"/>
                    <w:sz w:val="18"/>
                    <w:szCs w:val="18"/>
                  </w:rPr>
                  <w:t xml:space="preserve">　</w:t>
                </w:r>
              </w:p>
            </w:tc>
          </w:sdtContent>
        </w:sdt>
        <w:tc>
          <w:tcPr>
            <w:tcW w:w="643"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321"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01"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32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02"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c>
          <w:tcPr>
            <w:tcW w:w="423" w:type="pct"/>
            <w:tcBorders>
              <w:top w:val="single" w:sz="4" w:space="0" w:color="auto"/>
              <w:left w:val="single" w:sz="4" w:space="0" w:color="auto"/>
              <w:bottom w:val="single" w:sz="4" w:space="0" w:color="auto"/>
              <w:right w:val="single" w:sz="4" w:space="0" w:color="auto"/>
            </w:tcBorders>
          </w:tcPr>
          <w:p w:rsidR="004A3868" w:rsidRDefault="004A3868">
            <w:pPr>
              <w:pStyle w:val="Style842"/>
              <w:rPr>
                <w:sz w:val="18"/>
                <w:szCs w:val="18"/>
              </w:rPr>
            </w:pPr>
          </w:p>
        </w:tc>
      </w:tr>
      <w:tr w:rsidR="004A3868">
        <w:trPr>
          <w:cantSplit/>
          <w:trHeight w:val="397"/>
          <w:jc w:val="center"/>
        </w:trPr>
        <w:tc>
          <w:tcPr>
            <w:tcW w:w="5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842"/>
              <w:rPr>
                <w:sz w:val="18"/>
                <w:szCs w:val="18"/>
              </w:rPr>
            </w:pPr>
            <w:r>
              <w:rPr>
                <w:rFonts w:hint="eastAsia"/>
                <w:sz w:val="18"/>
                <w:szCs w:val="18"/>
              </w:rPr>
              <w:t>合计</w:t>
            </w:r>
          </w:p>
        </w:tc>
        <w:tc>
          <w:tcPr>
            <w:tcW w:w="64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1,013,611,186.46</w:t>
            </w:r>
          </w:p>
        </w:tc>
        <w:tc>
          <w:tcPr>
            <w:tcW w:w="32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rFonts w:hint="eastAsia"/>
                <w:sz w:val="18"/>
                <w:szCs w:val="18"/>
              </w:rPr>
              <w:t>1</w:t>
            </w:r>
            <w:r>
              <w:rPr>
                <w:sz w:val="18"/>
                <w:szCs w:val="18"/>
              </w:rPr>
              <w:t>00.00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106,735,641.56</w:t>
            </w:r>
          </w:p>
        </w:tc>
        <w:tc>
          <w:tcPr>
            <w:tcW w:w="401"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10.53</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906,875,544.90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781,912,521.12</w:t>
            </w:r>
          </w:p>
        </w:tc>
        <w:tc>
          <w:tcPr>
            <w:tcW w:w="32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rFonts w:hint="eastAsia"/>
                <w:sz w:val="18"/>
                <w:szCs w:val="18"/>
              </w:rPr>
              <w:t>1</w:t>
            </w:r>
            <w:r>
              <w:rPr>
                <w:sz w:val="18"/>
                <w:szCs w:val="18"/>
              </w:rPr>
              <w:t>00.00</w:t>
            </w:r>
          </w:p>
        </w:tc>
        <w:tc>
          <w:tcPr>
            <w:tcW w:w="48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85,929,603.31</w:t>
            </w:r>
          </w:p>
        </w:tc>
        <w:tc>
          <w:tcPr>
            <w:tcW w:w="40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rFonts w:hint="eastAsia"/>
                <w:sz w:val="18"/>
                <w:szCs w:val="18"/>
              </w:rPr>
              <w:t>1</w:t>
            </w:r>
            <w:r>
              <w:rPr>
                <w:sz w:val="18"/>
                <w:szCs w:val="18"/>
              </w:rPr>
              <w:t>0.99</w:t>
            </w:r>
          </w:p>
        </w:tc>
        <w:tc>
          <w:tcPr>
            <w:tcW w:w="42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sz w:val="18"/>
                <w:szCs w:val="18"/>
              </w:rPr>
            </w:pPr>
            <w:r>
              <w:rPr>
                <w:sz w:val="18"/>
                <w:szCs w:val="18"/>
              </w:rPr>
              <w:t>695,982,917.81</w:t>
            </w:r>
          </w:p>
        </w:tc>
      </w:tr>
    </w:tbl>
    <w:p w:rsidR="004A3868" w:rsidRDefault="004A3868">
      <w:pPr>
        <w:pStyle w:val="Style853"/>
      </w:pPr>
    </w:p>
    <w:p w:rsidR="004A3868" w:rsidRDefault="003F1AB5">
      <w:pPr>
        <w:pStyle w:val="Style842"/>
        <w:rPr>
          <w:rStyle w:val="Char20"/>
        </w:rPr>
      </w:pPr>
      <w:r>
        <w:rPr>
          <w:rStyle w:val="Char20"/>
          <w:rFonts w:hint="eastAsia"/>
        </w:rPr>
        <w:t>按单项计提坏账准备：</w:t>
      </w:r>
    </w:p>
    <w:bookmarkEnd w:id="257" w:displacedByCustomXml="next"/>
    <w:sdt>
      <w:sdtPr>
        <w:rPr>
          <w:rStyle w:val="Char20"/>
        </w:rPr>
        <w:alias w:val="是否适用：母公司应收账款按单项计提坏账准备[双击切换]"/>
        <w:tag w:val="_GBC_1cd34dae0bf14ebba3d99534844e7d95"/>
        <w:id w:val="-430587167"/>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rPr>
          <w:rStyle w:val="Char20"/>
        </w:rPr>
      </w:pPr>
      <w:bookmarkStart w:id="258" w:name="_Hlk533796752"/>
      <w:r>
        <w:rPr>
          <w:rStyle w:val="Char20"/>
          <w:rFonts w:hint="eastAsia"/>
        </w:rPr>
        <w:t>单位：</w:t>
      </w:r>
      <w:sdt>
        <w:sdtPr>
          <w:rPr>
            <w:rStyle w:val="Char20"/>
            <w:rFonts w:hint="eastAsia"/>
          </w:rPr>
          <w:alias w:val="单位：母公司应收账款按单项计提坏账准备"/>
          <w:tag w:val="_GBC_92bc20ad98a2451daf91a5a49b199fd6"/>
          <w:id w:val="-19840686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应收账款按单项计提坏账准备"/>
          <w:tag w:val="_GBC_0a6db35d2d144335a2ac2dfe3b629ff1"/>
          <w:id w:val="19735625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047"/>
        <w:gridCol w:w="1657"/>
        <w:gridCol w:w="1659"/>
        <w:gridCol w:w="1657"/>
        <w:gridCol w:w="1803"/>
      </w:tblGrid>
      <w:tr w:rsidR="004A3868">
        <w:trPr>
          <w:trHeight w:val="397"/>
          <w:jc w:val="center"/>
        </w:trPr>
        <w:sdt>
          <w:sdtPr>
            <w:tag w:val="_PLD_bf06f48741cf4f8683629bc86fe4253a"/>
            <w:id w:val="665055291"/>
            <w:lock w:val="sdtLocked"/>
          </w:sdtPr>
          <w:sdtEndPr/>
          <w:sdtContent>
            <w:tc>
              <w:tcPr>
                <w:tcW w:w="1160" w:type="pct"/>
                <w:vMerge w:val="restart"/>
                <w:vAlign w:val="center"/>
              </w:tcPr>
              <w:p w:rsidR="004A3868" w:rsidRDefault="003F1AB5">
                <w:pPr>
                  <w:pStyle w:val="afffb"/>
                </w:pPr>
                <w:r>
                  <w:rPr>
                    <w:rFonts w:hint="eastAsia"/>
                  </w:rPr>
                  <w:t>名称</w:t>
                </w:r>
              </w:p>
            </w:tc>
          </w:sdtContent>
        </w:sdt>
        <w:sdt>
          <w:sdtPr>
            <w:tag w:val="_PLD_e8eabae632cb4a738dba30bece28c3a8"/>
            <w:id w:val="-2123447791"/>
            <w:lock w:val="sdtLocked"/>
          </w:sdtPr>
          <w:sdtEndPr/>
          <w:sdtContent>
            <w:tc>
              <w:tcPr>
                <w:tcW w:w="3840" w:type="pct"/>
                <w:gridSpan w:val="4"/>
                <w:vAlign w:val="center"/>
              </w:tcPr>
              <w:p w:rsidR="004A3868" w:rsidRDefault="003F1AB5">
                <w:pPr>
                  <w:pStyle w:val="afffb"/>
                </w:pPr>
                <w:r>
                  <w:rPr>
                    <w:rFonts w:hint="eastAsia"/>
                  </w:rPr>
                  <w:t>期末余额</w:t>
                </w:r>
              </w:p>
            </w:tc>
          </w:sdtContent>
        </w:sdt>
      </w:tr>
      <w:tr w:rsidR="004A3868">
        <w:trPr>
          <w:trHeight w:val="397"/>
          <w:jc w:val="center"/>
        </w:trPr>
        <w:tc>
          <w:tcPr>
            <w:tcW w:w="1160" w:type="pct"/>
            <w:vMerge/>
            <w:vAlign w:val="center"/>
          </w:tcPr>
          <w:p w:rsidR="004A3868" w:rsidRDefault="004A3868">
            <w:pPr>
              <w:pStyle w:val="afffb"/>
            </w:pPr>
          </w:p>
        </w:tc>
        <w:sdt>
          <w:sdtPr>
            <w:tag w:val="_PLD_0ea49c9284ac4750b9c5ffe19ec4732c"/>
            <w:id w:val="1594975612"/>
            <w:lock w:val="sdtLocked"/>
          </w:sdtPr>
          <w:sdtEndPr/>
          <w:sdtContent>
            <w:tc>
              <w:tcPr>
                <w:tcW w:w="939" w:type="pct"/>
                <w:vAlign w:val="center"/>
              </w:tcPr>
              <w:p w:rsidR="004A3868" w:rsidRDefault="003F1AB5">
                <w:pPr>
                  <w:pStyle w:val="afffb"/>
                </w:pPr>
                <w:r>
                  <w:rPr>
                    <w:rFonts w:hint="eastAsia"/>
                  </w:rPr>
                  <w:t>账面余额</w:t>
                </w:r>
              </w:p>
            </w:tc>
          </w:sdtContent>
        </w:sdt>
        <w:sdt>
          <w:sdtPr>
            <w:tag w:val="_PLD_4e5b035254d34ab286177f908a392849"/>
            <w:id w:val="-1689288227"/>
            <w:lock w:val="sdtLocked"/>
          </w:sdtPr>
          <w:sdtEndPr/>
          <w:sdtContent>
            <w:tc>
              <w:tcPr>
                <w:tcW w:w="940" w:type="pct"/>
                <w:vAlign w:val="center"/>
              </w:tcPr>
              <w:p w:rsidR="004A3868" w:rsidRDefault="003F1AB5">
                <w:pPr>
                  <w:pStyle w:val="afffb"/>
                </w:pPr>
                <w:r>
                  <w:rPr>
                    <w:rFonts w:hint="eastAsia"/>
                  </w:rPr>
                  <w:t>坏账准备</w:t>
                </w:r>
              </w:p>
            </w:tc>
          </w:sdtContent>
        </w:sdt>
        <w:sdt>
          <w:sdtPr>
            <w:tag w:val="_PLD_9316156bac3c45f593fc5f35e8e28833"/>
            <w:id w:val="1792943281"/>
            <w:lock w:val="sdtLocked"/>
          </w:sdtPr>
          <w:sdtEndPr/>
          <w:sdtContent>
            <w:tc>
              <w:tcPr>
                <w:tcW w:w="939" w:type="pct"/>
                <w:vAlign w:val="center"/>
              </w:tcPr>
              <w:p w:rsidR="004A3868" w:rsidRDefault="003F1AB5">
                <w:pPr>
                  <w:pStyle w:val="afffb"/>
                </w:pPr>
                <w:r>
                  <w:t>计提比例</w:t>
                </w:r>
                <w:r>
                  <w:rPr>
                    <w:rFonts w:hint="eastAsia"/>
                  </w:rPr>
                  <w:t>（%）</w:t>
                </w:r>
              </w:p>
            </w:tc>
          </w:sdtContent>
        </w:sdt>
        <w:sdt>
          <w:sdtPr>
            <w:tag w:val="_PLD_20dce80930bd4c9eb9bd96af960a880b"/>
            <w:id w:val="-697153313"/>
            <w:lock w:val="sdtLocked"/>
          </w:sdtPr>
          <w:sdtEndPr/>
          <w:sdtContent>
            <w:tc>
              <w:tcPr>
                <w:tcW w:w="1022" w:type="pct"/>
                <w:vAlign w:val="center"/>
              </w:tcPr>
              <w:p w:rsidR="004A3868" w:rsidRDefault="003F1AB5">
                <w:pPr>
                  <w:pStyle w:val="afffb"/>
                </w:pPr>
                <w:r>
                  <w:rPr>
                    <w:rFonts w:hint="eastAsia"/>
                  </w:rPr>
                  <w:t>计提理由</w:t>
                </w:r>
              </w:p>
            </w:tc>
          </w:sdtContent>
        </w:sdt>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1</w:t>
            </w:r>
          </w:p>
        </w:tc>
        <w:tc>
          <w:tcPr>
            <w:tcW w:w="939" w:type="pct"/>
            <w:vAlign w:val="center"/>
          </w:tcPr>
          <w:p w:rsidR="004A3868" w:rsidRDefault="003F1AB5">
            <w:pPr>
              <w:pStyle w:val="afff7"/>
            </w:pPr>
            <w:r>
              <w:t>4,978,410.00</w:t>
            </w:r>
          </w:p>
        </w:tc>
        <w:tc>
          <w:tcPr>
            <w:tcW w:w="940" w:type="pct"/>
            <w:vAlign w:val="center"/>
          </w:tcPr>
          <w:p w:rsidR="004A3868" w:rsidRDefault="003F1AB5">
            <w:pPr>
              <w:pStyle w:val="afff7"/>
            </w:pPr>
            <w:r>
              <w:t>4,978,410.00</w:t>
            </w:r>
          </w:p>
        </w:tc>
        <w:tc>
          <w:tcPr>
            <w:tcW w:w="939" w:type="pct"/>
            <w:vAlign w:val="center"/>
          </w:tcPr>
          <w:p w:rsidR="004A3868" w:rsidRDefault="003F1AB5">
            <w:pPr>
              <w:pStyle w:val="afff7"/>
            </w:pPr>
            <w:r>
              <w:t>100.00</w:t>
            </w:r>
          </w:p>
        </w:tc>
        <w:tc>
          <w:tcPr>
            <w:tcW w:w="1022" w:type="pct"/>
            <w:vAlign w:val="center"/>
          </w:tcPr>
          <w:p w:rsidR="004A3868" w:rsidRDefault="003F1AB5">
            <w:pPr>
              <w:pStyle w:val="afff9"/>
              <w:rPr>
                <w:highlight w:val="yellow"/>
              </w:rPr>
            </w:pPr>
            <w:r>
              <w:t>对方资金困难，预计款项无法收回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2</w:t>
            </w:r>
          </w:p>
        </w:tc>
        <w:tc>
          <w:tcPr>
            <w:tcW w:w="939" w:type="pct"/>
            <w:vAlign w:val="center"/>
          </w:tcPr>
          <w:p w:rsidR="004A3868" w:rsidRDefault="003F1AB5">
            <w:pPr>
              <w:pStyle w:val="afff7"/>
            </w:pPr>
            <w:r>
              <w:t>4,621,530.09</w:t>
            </w:r>
          </w:p>
        </w:tc>
        <w:tc>
          <w:tcPr>
            <w:tcW w:w="940" w:type="pct"/>
            <w:vAlign w:val="center"/>
          </w:tcPr>
          <w:p w:rsidR="004A3868" w:rsidRDefault="003F1AB5">
            <w:pPr>
              <w:pStyle w:val="afff7"/>
            </w:pPr>
            <w:r>
              <w:t>2,772,918.05</w:t>
            </w:r>
          </w:p>
        </w:tc>
        <w:tc>
          <w:tcPr>
            <w:tcW w:w="939" w:type="pct"/>
            <w:vAlign w:val="center"/>
          </w:tcPr>
          <w:p w:rsidR="004A3868" w:rsidRDefault="003F1AB5">
            <w:pPr>
              <w:pStyle w:val="afff7"/>
            </w:pPr>
            <w:r>
              <w:t>60.00</w:t>
            </w:r>
          </w:p>
        </w:tc>
        <w:tc>
          <w:tcPr>
            <w:tcW w:w="1022" w:type="pct"/>
            <w:vAlign w:val="center"/>
          </w:tcPr>
          <w:p w:rsidR="004A3868" w:rsidRDefault="003F1AB5">
            <w:pPr>
              <w:pStyle w:val="afff9"/>
              <w:rPr>
                <w:highlight w:val="yellow"/>
              </w:rPr>
            </w:pPr>
            <w:r>
              <w:t>对方资金困难，预计款项无法收回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3</w:t>
            </w:r>
          </w:p>
        </w:tc>
        <w:tc>
          <w:tcPr>
            <w:tcW w:w="939" w:type="pct"/>
            <w:vAlign w:val="center"/>
          </w:tcPr>
          <w:p w:rsidR="004A3868" w:rsidRDefault="003F1AB5">
            <w:pPr>
              <w:pStyle w:val="afff7"/>
            </w:pPr>
            <w:r>
              <w:t>4,200,000.00</w:t>
            </w:r>
          </w:p>
        </w:tc>
        <w:tc>
          <w:tcPr>
            <w:tcW w:w="940" w:type="pct"/>
            <w:vAlign w:val="center"/>
          </w:tcPr>
          <w:p w:rsidR="004A3868" w:rsidRDefault="003F1AB5">
            <w:pPr>
              <w:pStyle w:val="afff7"/>
            </w:pPr>
            <w:r>
              <w:t>4,200,000.00</w:t>
            </w:r>
          </w:p>
        </w:tc>
        <w:tc>
          <w:tcPr>
            <w:tcW w:w="939" w:type="pct"/>
            <w:vAlign w:val="center"/>
          </w:tcPr>
          <w:p w:rsidR="004A3868" w:rsidRDefault="003F1AB5">
            <w:pPr>
              <w:pStyle w:val="afff7"/>
            </w:pPr>
            <w:r>
              <w:t>100.00</w:t>
            </w:r>
          </w:p>
        </w:tc>
        <w:tc>
          <w:tcPr>
            <w:tcW w:w="1022" w:type="pct"/>
            <w:vAlign w:val="center"/>
          </w:tcPr>
          <w:p w:rsidR="004A3868" w:rsidRDefault="003F1AB5">
            <w:pPr>
              <w:pStyle w:val="afff9"/>
              <w:rPr>
                <w:highlight w:val="yellow"/>
              </w:rPr>
            </w:pPr>
            <w:r>
              <w:rPr>
                <w:rFonts w:hint="eastAsia"/>
              </w:rPr>
              <w:t>对方资金困难，预计款项无法收回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4</w:t>
            </w:r>
          </w:p>
        </w:tc>
        <w:tc>
          <w:tcPr>
            <w:tcW w:w="939" w:type="pct"/>
            <w:vAlign w:val="center"/>
          </w:tcPr>
          <w:p w:rsidR="004A3868" w:rsidRDefault="003F1AB5">
            <w:pPr>
              <w:pStyle w:val="afff7"/>
            </w:pPr>
            <w:r>
              <w:t>4,170,310.42</w:t>
            </w:r>
          </w:p>
        </w:tc>
        <w:tc>
          <w:tcPr>
            <w:tcW w:w="940" w:type="pct"/>
            <w:vAlign w:val="center"/>
          </w:tcPr>
          <w:p w:rsidR="004A3868" w:rsidRDefault="003F1AB5">
            <w:pPr>
              <w:pStyle w:val="afff7"/>
            </w:pPr>
            <w:r>
              <w:t>2,502,186.25</w:t>
            </w:r>
          </w:p>
        </w:tc>
        <w:tc>
          <w:tcPr>
            <w:tcW w:w="939" w:type="pct"/>
            <w:vAlign w:val="center"/>
          </w:tcPr>
          <w:p w:rsidR="004A3868" w:rsidRDefault="003F1AB5">
            <w:pPr>
              <w:pStyle w:val="afff7"/>
            </w:pPr>
            <w:r>
              <w:t>60.00</w:t>
            </w:r>
          </w:p>
        </w:tc>
        <w:tc>
          <w:tcPr>
            <w:tcW w:w="1022" w:type="pct"/>
            <w:vAlign w:val="center"/>
          </w:tcPr>
          <w:p w:rsidR="004A3868" w:rsidRDefault="003F1AB5">
            <w:pPr>
              <w:pStyle w:val="afff9"/>
              <w:rPr>
                <w:highlight w:val="yellow"/>
              </w:rPr>
            </w:pPr>
            <w:r>
              <w:rPr>
                <w:rFonts w:hint="eastAsia"/>
              </w:rPr>
              <w:t>对方资金困难，预计款项无法收回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5</w:t>
            </w:r>
          </w:p>
        </w:tc>
        <w:tc>
          <w:tcPr>
            <w:tcW w:w="939" w:type="pct"/>
            <w:vAlign w:val="center"/>
          </w:tcPr>
          <w:p w:rsidR="004A3868" w:rsidRDefault="003F1AB5">
            <w:pPr>
              <w:pStyle w:val="afff7"/>
            </w:pPr>
            <w:r>
              <w:t>1,993,200.00</w:t>
            </w:r>
          </w:p>
        </w:tc>
        <w:tc>
          <w:tcPr>
            <w:tcW w:w="940" w:type="pct"/>
            <w:vAlign w:val="center"/>
          </w:tcPr>
          <w:p w:rsidR="004A3868" w:rsidRDefault="003F1AB5">
            <w:pPr>
              <w:pStyle w:val="afff7"/>
            </w:pPr>
            <w:r>
              <w:t>1,195,920.00</w:t>
            </w:r>
          </w:p>
        </w:tc>
        <w:tc>
          <w:tcPr>
            <w:tcW w:w="939" w:type="pct"/>
            <w:vAlign w:val="center"/>
          </w:tcPr>
          <w:p w:rsidR="004A3868" w:rsidRDefault="003F1AB5">
            <w:pPr>
              <w:pStyle w:val="afff7"/>
            </w:pPr>
            <w:r>
              <w:t>60.00</w:t>
            </w:r>
          </w:p>
        </w:tc>
        <w:tc>
          <w:tcPr>
            <w:tcW w:w="1022" w:type="pct"/>
            <w:vAlign w:val="center"/>
          </w:tcPr>
          <w:p w:rsidR="004A3868" w:rsidRDefault="003F1AB5">
            <w:pPr>
              <w:pStyle w:val="afff9"/>
              <w:rPr>
                <w:highlight w:val="yellow"/>
              </w:rPr>
            </w:pPr>
            <w:r>
              <w:t>对方资金困难，预计款项无法收回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6</w:t>
            </w:r>
          </w:p>
        </w:tc>
        <w:tc>
          <w:tcPr>
            <w:tcW w:w="939" w:type="pct"/>
            <w:vAlign w:val="center"/>
          </w:tcPr>
          <w:p w:rsidR="004A3868" w:rsidRDefault="003F1AB5">
            <w:pPr>
              <w:pStyle w:val="afff7"/>
            </w:pPr>
            <w:r>
              <w:t>1,524,746.20</w:t>
            </w:r>
          </w:p>
        </w:tc>
        <w:tc>
          <w:tcPr>
            <w:tcW w:w="940" w:type="pct"/>
            <w:vAlign w:val="center"/>
          </w:tcPr>
          <w:p w:rsidR="004A3868" w:rsidRDefault="003F1AB5">
            <w:pPr>
              <w:pStyle w:val="afff7"/>
            </w:pPr>
            <w:r>
              <w:t>914,847.72</w:t>
            </w:r>
          </w:p>
        </w:tc>
        <w:tc>
          <w:tcPr>
            <w:tcW w:w="939" w:type="pct"/>
            <w:vAlign w:val="center"/>
          </w:tcPr>
          <w:p w:rsidR="004A3868" w:rsidRDefault="003F1AB5">
            <w:pPr>
              <w:pStyle w:val="afff7"/>
            </w:pPr>
            <w:r>
              <w:t>60.00</w:t>
            </w:r>
          </w:p>
        </w:tc>
        <w:tc>
          <w:tcPr>
            <w:tcW w:w="1022" w:type="pct"/>
            <w:vAlign w:val="center"/>
          </w:tcPr>
          <w:p w:rsidR="004A3868" w:rsidRDefault="003F1AB5">
            <w:pPr>
              <w:pStyle w:val="afff9"/>
              <w:rPr>
                <w:highlight w:val="yellow"/>
              </w:rPr>
            </w:pPr>
            <w:r>
              <w:t>已发起诉讼，预计部分款项无法收回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7</w:t>
            </w:r>
          </w:p>
        </w:tc>
        <w:tc>
          <w:tcPr>
            <w:tcW w:w="939" w:type="pct"/>
            <w:vAlign w:val="center"/>
          </w:tcPr>
          <w:p w:rsidR="004A3868" w:rsidRDefault="003F1AB5">
            <w:pPr>
              <w:pStyle w:val="afff7"/>
            </w:pPr>
            <w:r>
              <w:t>1,437,350.00</w:t>
            </w:r>
          </w:p>
        </w:tc>
        <w:tc>
          <w:tcPr>
            <w:tcW w:w="940" w:type="pct"/>
            <w:vAlign w:val="center"/>
          </w:tcPr>
          <w:p w:rsidR="004A3868" w:rsidRDefault="003F1AB5">
            <w:pPr>
              <w:pStyle w:val="afff7"/>
            </w:pPr>
            <w:r>
              <w:t>1,437,350.00</w:t>
            </w:r>
          </w:p>
        </w:tc>
        <w:tc>
          <w:tcPr>
            <w:tcW w:w="939" w:type="pct"/>
            <w:vAlign w:val="center"/>
          </w:tcPr>
          <w:p w:rsidR="004A3868" w:rsidRDefault="003F1AB5">
            <w:pPr>
              <w:pStyle w:val="afff7"/>
            </w:pPr>
            <w:r>
              <w:t>100.00</w:t>
            </w:r>
          </w:p>
        </w:tc>
        <w:tc>
          <w:tcPr>
            <w:tcW w:w="1022" w:type="pct"/>
            <w:vAlign w:val="center"/>
          </w:tcPr>
          <w:p w:rsidR="004A3868" w:rsidRDefault="003F1AB5">
            <w:pPr>
              <w:pStyle w:val="afff9"/>
              <w:rPr>
                <w:highlight w:val="yellow"/>
              </w:rPr>
            </w:pPr>
            <w:r>
              <w:t>对方资金困难，预计款项无法收回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8</w:t>
            </w:r>
          </w:p>
        </w:tc>
        <w:tc>
          <w:tcPr>
            <w:tcW w:w="939" w:type="pct"/>
            <w:vAlign w:val="center"/>
          </w:tcPr>
          <w:p w:rsidR="004A3868" w:rsidRDefault="003F1AB5">
            <w:pPr>
              <w:pStyle w:val="afff7"/>
            </w:pPr>
            <w:r>
              <w:t>1,349,680.00</w:t>
            </w:r>
          </w:p>
        </w:tc>
        <w:tc>
          <w:tcPr>
            <w:tcW w:w="940" w:type="pct"/>
            <w:vAlign w:val="center"/>
          </w:tcPr>
          <w:p w:rsidR="004A3868" w:rsidRDefault="003F1AB5">
            <w:pPr>
              <w:pStyle w:val="afff7"/>
            </w:pPr>
            <w:r>
              <w:t>809,808.00</w:t>
            </w:r>
          </w:p>
        </w:tc>
        <w:tc>
          <w:tcPr>
            <w:tcW w:w="939" w:type="pct"/>
            <w:vAlign w:val="center"/>
          </w:tcPr>
          <w:p w:rsidR="004A3868" w:rsidRDefault="003F1AB5">
            <w:pPr>
              <w:pStyle w:val="afff7"/>
            </w:pPr>
            <w:r>
              <w:t>60.00</w:t>
            </w:r>
          </w:p>
        </w:tc>
        <w:tc>
          <w:tcPr>
            <w:tcW w:w="1022" w:type="pct"/>
            <w:vAlign w:val="center"/>
          </w:tcPr>
          <w:p w:rsidR="004A3868" w:rsidRDefault="003F1AB5">
            <w:pPr>
              <w:pStyle w:val="afff9"/>
              <w:rPr>
                <w:highlight w:val="yellow"/>
              </w:rPr>
            </w:pPr>
            <w:r>
              <w:rPr>
                <w:rFonts w:hint="eastAsia"/>
              </w:rPr>
              <w:t>对方资金困难，预计款项无法收回对方资金困难，预计款项无法收回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9</w:t>
            </w:r>
          </w:p>
        </w:tc>
        <w:tc>
          <w:tcPr>
            <w:tcW w:w="939" w:type="pct"/>
            <w:vAlign w:val="center"/>
          </w:tcPr>
          <w:p w:rsidR="004A3868" w:rsidRDefault="003F1AB5">
            <w:pPr>
              <w:pStyle w:val="afff7"/>
            </w:pPr>
            <w:r>
              <w:t>1,290,764.00</w:t>
            </w:r>
          </w:p>
        </w:tc>
        <w:tc>
          <w:tcPr>
            <w:tcW w:w="940" w:type="pct"/>
            <w:vAlign w:val="center"/>
          </w:tcPr>
          <w:p w:rsidR="004A3868" w:rsidRDefault="003F1AB5">
            <w:pPr>
              <w:pStyle w:val="afff7"/>
            </w:pPr>
            <w:r>
              <w:t>774,458.40</w:t>
            </w:r>
          </w:p>
        </w:tc>
        <w:tc>
          <w:tcPr>
            <w:tcW w:w="939" w:type="pct"/>
            <w:vAlign w:val="center"/>
          </w:tcPr>
          <w:p w:rsidR="004A3868" w:rsidRDefault="003F1AB5">
            <w:pPr>
              <w:pStyle w:val="afff7"/>
            </w:pPr>
            <w:r>
              <w:t>60.00</w:t>
            </w:r>
          </w:p>
        </w:tc>
        <w:tc>
          <w:tcPr>
            <w:tcW w:w="1022" w:type="pct"/>
            <w:vAlign w:val="center"/>
          </w:tcPr>
          <w:p w:rsidR="004A3868" w:rsidRDefault="003F1AB5">
            <w:pPr>
              <w:pStyle w:val="afff9"/>
              <w:rPr>
                <w:highlight w:val="yellow"/>
              </w:rPr>
            </w:pPr>
            <w:r>
              <w:rPr>
                <w:rFonts w:hint="eastAsia"/>
              </w:rPr>
              <w:t>对方资金困难，预计款项无法收回</w:t>
            </w:r>
          </w:p>
        </w:tc>
      </w:tr>
      <w:tr w:rsidR="004A3868">
        <w:trPr>
          <w:trHeight w:val="397"/>
          <w:jc w:val="center"/>
        </w:trPr>
        <w:tc>
          <w:tcPr>
            <w:tcW w:w="1160" w:type="pct"/>
            <w:vAlign w:val="center"/>
          </w:tcPr>
          <w:p w:rsidR="004A3868" w:rsidRDefault="003F1AB5">
            <w:pPr>
              <w:pStyle w:val="afff9"/>
            </w:pPr>
            <w:r>
              <w:rPr>
                <w:rFonts w:hint="eastAsia"/>
              </w:rPr>
              <w:t>母公司应收账款单项计提单位</w:t>
            </w:r>
            <w:r>
              <w:t>10</w:t>
            </w:r>
          </w:p>
        </w:tc>
        <w:tc>
          <w:tcPr>
            <w:tcW w:w="939" w:type="pct"/>
            <w:vAlign w:val="center"/>
          </w:tcPr>
          <w:p w:rsidR="004A3868" w:rsidRDefault="003F1AB5">
            <w:pPr>
              <w:pStyle w:val="afff7"/>
            </w:pPr>
            <w:r>
              <w:t>1,190,933.00</w:t>
            </w:r>
          </w:p>
        </w:tc>
        <w:tc>
          <w:tcPr>
            <w:tcW w:w="940" w:type="pct"/>
            <w:vAlign w:val="center"/>
          </w:tcPr>
          <w:p w:rsidR="004A3868" w:rsidRDefault="003F1AB5">
            <w:pPr>
              <w:pStyle w:val="afff7"/>
            </w:pPr>
            <w:r>
              <w:t>714,559.80</w:t>
            </w:r>
          </w:p>
        </w:tc>
        <w:tc>
          <w:tcPr>
            <w:tcW w:w="939" w:type="pct"/>
            <w:vAlign w:val="center"/>
          </w:tcPr>
          <w:p w:rsidR="004A3868" w:rsidRDefault="003F1AB5">
            <w:pPr>
              <w:pStyle w:val="afff7"/>
            </w:pPr>
            <w:r>
              <w:t>60.00</w:t>
            </w:r>
          </w:p>
        </w:tc>
        <w:tc>
          <w:tcPr>
            <w:tcW w:w="1022" w:type="pct"/>
            <w:vAlign w:val="center"/>
          </w:tcPr>
          <w:p w:rsidR="004A3868" w:rsidRDefault="003F1AB5">
            <w:pPr>
              <w:pStyle w:val="afff9"/>
              <w:rPr>
                <w:highlight w:val="yellow"/>
              </w:rPr>
            </w:pPr>
            <w:r>
              <w:rPr>
                <w:rFonts w:hint="eastAsia"/>
              </w:rPr>
              <w:t>对方资金困难，预计款项无法收回</w:t>
            </w:r>
          </w:p>
        </w:tc>
      </w:tr>
      <w:tr w:rsidR="004A3868">
        <w:trPr>
          <w:trHeight w:val="397"/>
          <w:jc w:val="center"/>
        </w:trPr>
        <w:tc>
          <w:tcPr>
            <w:tcW w:w="1160" w:type="pct"/>
            <w:vAlign w:val="center"/>
          </w:tcPr>
          <w:p w:rsidR="004A3868" w:rsidRDefault="003F1AB5">
            <w:pPr>
              <w:pStyle w:val="afff9"/>
            </w:pPr>
            <w:r>
              <w:t>账面余额在</w:t>
            </w:r>
            <w:r>
              <w:t>100</w:t>
            </w:r>
            <w:r>
              <w:t>万元以下单项计提客户金额小计</w:t>
            </w:r>
          </w:p>
        </w:tc>
        <w:tc>
          <w:tcPr>
            <w:tcW w:w="939" w:type="pct"/>
            <w:vAlign w:val="center"/>
          </w:tcPr>
          <w:p w:rsidR="004A3868" w:rsidRDefault="003F1AB5">
            <w:pPr>
              <w:pStyle w:val="afff7"/>
            </w:pPr>
            <w:r>
              <w:t>8,535,756.17</w:t>
            </w:r>
          </w:p>
        </w:tc>
        <w:tc>
          <w:tcPr>
            <w:tcW w:w="940" w:type="pct"/>
            <w:vAlign w:val="center"/>
          </w:tcPr>
          <w:p w:rsidR="004A3868" w:rsidRDefault="003F1AB5">
            <w:pPr>
              <w:pStyle w:val="afff7"/>
            </w:pPr>
            <w:r>
              <w:t>6,130,194.66</w:t>
            </w:r>
          </w:p>
        </w:tc>
        <w:tc>
          <w:tcPr>
            <w:tcW w:w="939" w:type="pct"/>
            <w:vAlign w:val="center"/>
          </w:tcPr>
          <w:p w:rsidR="004A3868" w:rsidRDefault="003F1AB5">
            <w:pPr>
              <w:pStyle w:val="afff7"/>
            </w:pPr>
            <w:r>
              <w:t>71.82</w:t>
            </w:r>
          </w:p>
        </w:tc>
        <w:tc>
          <w:tcPr>
            <w:tcW w:w="1022" w:type="pct"/>
            <w:vAlign w:val="center"/>
          </w:tcPr>
          <w:p w:rsidR="004A3868" w:rsidRDefault="003F1AB5">
            <w:pPr>
              <w:pStyle w:val="afff9"/>
              <w:rPr>
                <w:highlight w:val="yellow"/>
              </w:rPr>
            </w:pPr>
            <w:r>
              <w:t>对方资金困难，预计款项无法收回等</w:t>
            </w:r>
          </w:p>
        </w:tc>
      </w:tr>
      <w:tr w:rsidR="004A3868">
        <w:trPr>
          <w:trHeight w:val="397"/>
          <w:jc w:val="center"/>
        </w:trPr>
        <w:tc>
          <w:tcPr>
            <w:tcW w:w="1160" w:type="pct"/>
            <w:vAlign w:val="center"/>
          </w:tcPr>
          <w:p w:rsidR="004A3868" w:rsidRDefault="003F1AB5">
            <w:pPr>
              <w:pStyle w:val="afff9"/>
            </w:pPr>
            <w:r>
              <w:rPr>
                <w:rFonts w:hint="eastAsia"/>
              </w:rPr>
              <w:t>合计</w:t>
            </w:r>
          </w:p>
        </w:tc>
        <w:tc>
          <w:tcPr>
            <w:tcW w:w="939" w:type="pct"/>
            <w:vAlign w:val="center"/>
          </w:tcPr>
          <w:p w:rsidR="004A3868" w:rsidRDefault="003F1AB5">
            <w:pPr>
              <w:pStyle w:val="afff7"/>
            </w:pPr>
            <w:r>
              <w:t>35,292,679.88</w:t>
            </w:r>
          </w:p>
        </w:tc>
        <w:tc>
          <w:tcPr>
            <w:tcW w:w="940" w:type="pct"/>
            <w:vAlign w:val="center"/>
          </w:tcPr>
          <w:p w:rsidR="004A3868" w:rsidRDefault="003F1AB5">
            <w:pPr>
              <w:pStyle w:val="afff7"/>
            </w:pPr>
            <w:r>
              <w:t>26,430,652.88</w:t>
            </w:r>
          </w:p>
        </w:tc>
        <w:tc>
          <w:tcPr>
            <w:tcW w:w="939" w:type="pct"/>
            <w:vAlign w:val="center"/>
          </w:tcPr>
          <w:p w:rsidR="004A3868" w:rsidRDefault="003F1AB5">
            <w:pPr>
              <w:pStyle w:val="afff7"/>
            </w:pPr>
            <w:r>
              <w:t>74.89</w:t>
            </w:r>
          </w:p>
        </w:tc>
        <w:tc>
          <w:tcPr>
            <w:tcW w:w="1022" w:type="pct"/>
            <w:vAlign w:val="center"/>
          </w:tcPr>
          <w:p w:rsidR="004A3868" w:rsidRDefault="003F1AB5">
            <w:pPr>
              <w:pStyle w:val="afff9"/>
            </w:pPr>
            <w:r>
              <w:rPr>
                <w:rFonts w:hint="eastAsia"/>
              </w:rPr>
              <w:t>/</w:t>
            </w:r>
          </w:p>
        </w:tc>
      </w:tr>
    </w:tbl>
    <w:p w:rsidR="004A3868" w:rsidRDefault="003F1AB5">
      <w:pPr>
        <w:pStyle w:val="Style842"/>
        <w:rPr>
          <w:rStyle w:val="Char20"/>
        </w:rPr>
      </w:pPr>
      <w:r>
        <w:rPr>
          <w:rStyle w:val="Char20"/>
          <w:rFonts w:hint="eastAsia"/>
        </w:rPr>
        <w:t>按单项计提坏账准备的说明：</w:t>
      </w:r>
    </w:p>
    <w:sdt>
      <w:sdtPr>
        <w:rPr>
          <w:rStyle w:val="Char20"/>
        </w:rPr>
        <w:alias w:val="是否适用：母公司应收账款按单项计提坏账准备的说明[双击切换]"/>
        <w:tag w:val="_GBC_30d6fcd4135245dd83d85379087b4e62"/>
        <w:id w:val="-592252332"/>
        <w:lock w:val="sdtLocked"/>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bookmarkEnd w:id="258" w:displacedByCustomXml="next"/>
    <w:sdt>
      <w:sdtPr>
        <w:rPr>
          <w:rFonts w:hint="eastAsia"/>
        </w:rPr>
        <w:tag w:val="_PLD_23aec57fe4b34ac2aa7d42cb52467101"/>
        <w:id w:val="-130014913"/>
        <w:placeholder>
          <w:docPart w:val="GBC22222222222222222222222222222"/>
        </w:placeholder>
      </w:sdtPr>
      <w:sdtEndPr/>
      <w:sdtContent>
        <w:p w:rsidR="004A3868" w:rsidRDefault="003F1AB5">
          <w:pPr>
            <w:pStyle w:val="Style842"/>
          </w:pPr>
          <w:r>
            <w:rPr>
              <w:rFonts w:hint="eastAsia"/>
            </w:rPr>
            <w:t>按组合计提坏账准备：</w:t>
          </w:r>
        </w:p>
      </w:sdtContent>
    </w:sdt>
    <w:sdt>
      <w:sdtPr>
        <w:alias w:val="是否适用：母公司应收账款按组合计提坏账准备[双击切换]"/>
        <w:tag w:val="_GBC_70ac43d24876403083fb1d281c12cd7e"/>
        <w:id w:val="-1313100700"/>
        <w:lock w:val="contentLocked"/>
        <w:placeholder>
          <w:docPart w:val="GBC22222222222222222222222222222"/>
        </w:placeholder>
      </w:sdtPr>
      <w:sdtEndPr/>
      <w:sdtContent>
        <w:p w:rsidR="004A3868" w:rsidRDefault="003F1AB5">
          <w:pPr>
            <w:pStyle w:val="Style85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A3868" w:rsidRDefault="003F1AB5">
      <w:pPr>
        <w:pStyle w:val="Style842"/>
      </w:pPr>
      <w:r>
        <w:rPr>
          <w:rFonts w:hint="eastAsia"/>
        </w:rPr>
        <w:t>组合计提项目：</w:t>
      </w:r>
      <w:bookmarkStart w:id="259" w:name="_Hlk533796778"/>
      <w:sdt>
        <w:sdtPr>
          <w:rPr>
            <w:rFonts w:hint="eastAsia"/>
          </w:rPr>
          <w:alias w:val="按组合计提坏账准备的应收账款明细-组合名称"/>
          <w:tag w:val="_GBC_f2cd2e7d8a6f493ebfd1838be7b87223"/>
          <w:id w:val="-349559846"/>
          <w:placeholder>
            <w:docPart w:val="GBC22222222222222222222222222222"/>
          </w:placeholder>
          <w:comboBox>
            <w:listItem w:displayText="组合账龄" w:value="组合账龄"/>
          </w:comboBox>
        </w:sdtPr>
        <w:sdtEndPr/>
        <w:sdtContent>
          <w:r>
            <w:rPr>
              <w:rFonts w:hint="eastAsia"/>
            </w:rPr>
            <w:t>组合账龄</w:t>
          </w:r>
        </w:sdtContent>
      </w:sdt>
    </w:p>
    <w:p w:rsidR="004A3868" w:rsidRDefault="003F1AB5">
      <w:pPr>
        <w:pStyle w:val="affff"/>
      </w:pPr>
      <w:r>
        <w:rPr>
          <w:rFonts w:hint="eastAsia"/>
        </w:rPr>
        <w:t>单位：</w:t>
      </w:r>
      <w:sdt>
        <w:sdtPr>
          <w:rPr>
            <w:rFonts w:hint="eastAsia"/>
          </w:rPr>
          <w:alias w:val="单位：母公司应收账款按组合计提坏账准备"/>
          <w:tag w:val="_GBC_2da079c1515b4a8f95770937142fdccb"/>
          <w:id w:val="-11516720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19829832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003"/>
        <w:gridCol w:w="2474"/>
        <w:gridCol w:w="2495"/>
        <w:gridCol w:w="1851"/>
      </w:tblGrid>
      <w:tr w:rsidR="004A3868">
        <w:trPr>
          <w:trHeight w:val="397"/>
          <w:jc w:val="center"/>
        </w:trPr>
        <w:sdt>
          <w:sdtPr>
            <w:tag w:val="_PLD_685d7e84e47740668b70cce04f42de5b"/>
            <w:id w:val="-1051449513"/>
            <w:lock w:val="sdtLocked"/>
          </w:sdtPr>
          <w:sdtEndPr/>
          <w:sdtContent>
            <w:tc>
              <w:tcPr>
                <w:tcW w:w="1135" w:type="pct"/>
                <w:vMerge w:val="restart"/>
                <w:vAlign w:val="center"/>
              </w:tcPr>
              <w:p w:rsidR="004A3868" w:rsidRDefault="003F1AB5">
                <w:pPr>
                  <w:pStyle w:val="afffb"/>
                </w:pPr>
                <w:r>
                  <w:rPr>
                    <w:rFonts w:hint="eastAsia"/>
                  </w:rPr>
                  <w:t>名称</w:t>
                </w:r>
              </w:p>
            </w:tc>
          </w:sdtContent>
        </w:sdt>
        <w:sdt>
          <w:sdtPr>
            <w:tag w:val="_PLD_80bd7906b1fa41658076794e93d74585"/>
            <w:id w:val="-2076888222"/>
            <w:lock w:val="sdtLocked"/>
          </w:sdtPr>
          <w:sdtEndPr/>
          <w:sdtContent>
            <w:tc>
              <w:tcPr>
                <w:tcW w:w="3865" w:type="pct"/>
                <w:gridSpan w:val="3"/>
                <w:vAlign w:val="center"/>
              </w:tcPr>
              <w:p w:rsidR="004A3868" w:rsidRDefault="003F1AB5">
                <w:pPr>
                  <w:pStyle w:val="afffb"/>
                </w:pPr>
                <w:r>
                  <w:rPr>
                    <w:rFonts w:hint="eastAsia"/>
                  </w:rPr>
                  <w:t>期末余额</w:t>
                </w:r>
              </w:p>
            </w:tc>
          </w:sdtContent>
        </w:sdt>
      </w:tr>
      <w:tr w:rsidR="004A3868">
        <w:trPr>
          <w:trHeight w:val="397"/>
          <w:jc w:val="center"/>
        </w:trPr>
        <w:tc>
          <w:tcPr>
            <w:tcW w:w="1135" w:type="pct"/>
            <w:vMerge/>
            <w:vAlign w:val="center"/>
          </w:tcPr>
          <w:p w:rsidR="004A3868" w:rsidRDefault="004A3868">
            <w:pPr>
              <w:pStyle w:val="afffb"/>
            </w:pPr>
          </w:p>
        </w:tc>
        <w:sdt>
          <w:sdtPr>
            <w:tag w:val="_PLD_696cb3bb4809472f88c41396728262f5"/>
            <w:id w:val="-1765136165"/>
            <w:lock w:val="sdtLocked"/>
          </w:sdtPr>
          <w:sdtEndPr/>
          <w:sdtContent>
            <w:tc>
              <w:tcPr>
                <w:tcW w:w="1402" w:type="pct"/>
                <w:vAlign w:val="center"/>
              </w:tcPr>
              <w:p w:rsidR="004A3868" w:rsidRDefault="003F1AB5">
                <w:pPr>
                  <w:pStyle w:val="afffb"/>
                </w:pPr>
                <w:r>
                  <w:rPr>
                    <w:rFonts w:hint="eastAsia"/>
                  </w:rPr>
                  <w:t>应收账款</w:t>
                </w:r>
              </w:p>
            </w:tc>
          </w:sdtContent>
        </w:sdt>
        <w:sdt>
          <w:sdtPr>
            <w:tag w:val="_PLD_70e2c6a60e9b4f08bbbb1a23cd403ade"/>
            <w:id w:val="-1259976819"/>
            <w:lock w:val="sdtLocked"/>
          </w:sdtPr>
          <w:sdtEndPr/>
          <w:sdtContent>
            <w:tc>
              <w:tcPr>
                <w:tcW w:w="1414" w:type="pct"/>
                <w:vAlign w:val="center"/>
              </w:tcPr>
              <w:p w:rsidR="004A3868" w:rsidRDefault="003F1AB5">
                <w:pPr>
                  <w:pStyle w:val="afffb"/>
                </w:pPr>
                <w:r>
                  <w:rPr>
                    <w:rFonts w:hint="eastAsia"/>
                  </w:rPr>
                  <w:t>坏账准备</w:t>
                </w:r>
              </w:p>
            </w:tc>
          </w:sdtContent>
        </w:sdt>
        <w:sdt>
          <w:sdtPr>
            <w:tag w:val="_PLD_1fd76d95bed54fc5b0c669cf7b1d5e18"/>
            <w:id w:val="1307907158"/>
            <w:lock w:val="sdtLocked"/>
          </w:sdtPr>
          <w:sdtEndPr/>
          <w:sdtContent>
            <w:tc>
              <w:tcPr>
                <w:tcW w:w="1048" w:type="pct"/>
                <w:vAlign w:val="center"/>
              </w:tcPr>
              <w:p w:rsidR="004A3868" w:rsidRDefault="003F1AB5">
                <w:pPr>
                  <w:pStyle w:val="afffb"/>
                </w:pPr>
                <w:r>
                  <w:t>计提比例</w:t>
                </w:r>
                <w:r>
                  <w:rPr>
                    <w:rFonts w:hint="eastAsia"/>
                  </w:rPr>
                  <w:t>（%）</w:t>
                </w:r>
              </w:p>
            </w:tc>
          </w:sdtContent>
        </w:sdt>
      </w:tr>
      <w:tr w:rsidR="004A3868">
        <w:trPr>
          <w:trHeight w:val="397"/>
          <w:jc w:val="center"/>
        </w:trPr>
        <w:tc>
          <w:tcPr>
            <w:tcW w:w="1135" w:type="pct"/>
          </w:tcPr>
          <w:p w:rsidR="004A3868" w:rsidRDefault="003F1AB5">
            <w:pPr>
              <w:pStyle w:val="afff9"/>
            </w:pPr>
            <w:r>
              <w:t>1</w:t>
            </w:r>
            <w:r>
              <w:t>年以内</w:t>
            </w:r>
          </w:p>
        </w:tc>
        <w:tc>
          <w:tcPr>
            <w:tcW w:w="1402" w:type="pct"/>
            <w:vAlign w:val="center"/>
          </w:tcPr>
          <w:p w:rsidR="004A3868" w:rsidRDefault="003F1AB5">
            <w:pPr>
              <w:pStyle w:val="afff7"/>
            </w:pPr>
            <w:r>
              <w:t>764,809,264.80</w:t>
            </w:r>
          </w:p>
        </w:tc>
        <w:tc>
          <w:tcPr>
            <w:tcW w:w="1414" w:type="pct"/>
            <w:vAlign w:val="center"/>
          </w:tcPr>
          <w:p w:rsidR="004A3868" w:rsidRDefault="003F1AB5">
            <w:pPr>
              <w:pStyle w:val="afff7"/>
            </w:pPr>
            <w:r>
              <w:t>38,240,463.24</w:t>
            </w:r>
          </w:p>
        </w:tc>
        <w:tc>
          <w:tcPr>
            <w:tcW w:w="1048" w:type="pct"/>
            <w:vAlign w:val="center"/>
          </w:tcPr>
          <w:p w:rsidR="004A3868" w:rsidRDefault="003F1AB5">
            <w:pPr>
              <w:pStyle w:val="afff7"/>
            </w:pPr>
            <w:r>
              <w:t>5.00</w:t>
            </w:r>
          </w:p>
        </w:tc>
      </w:tr>
      <w:tr w:rsidR="004A3868">
        <w:trPr>
          <w:trHeight w:val="397"/>
          <w:jc w:val="center"/>
        </w:trPr>
        <w:tc>
          <w:tcPr>
            <w:tcW w:w="1135" w:type="pct"/>
          </w:tcPr>
          <w:p w:rsidR="004A3868" w:rsidRDefault="003F1AB5">
            <w:pPr>
              <w:pStyle w:val="afff9"/>
            </w:pPr>
            <w:r>
              <w:t>1</w:t>
            </w:r>
            <w:r>
              <w:t>－</w:t>
            </w:r>
            <w:r>
              <w:t>2</w:t>
            </w:r>
            <w:r>
              <w:t>年</w:t>
            </w:r>
          </w:p>
        </w:tc>
        <w:tc>
          <w:tcPr>
            <w:tcW w:w="1402" w:type="pct"/>
            <w:vAlign w:val="center"/>
          </w:tcPr>
          <w:p w:rsidR="004A3868" w:rsidRDefault="003F1AB5">
            <w:pPr>
              <w:pStyle w:val="afff7"/>
            </w:pPr>
            <w:r>
              <w:t>124,626,936.10</w:t>
            </w:r>
          </w:p>
        </w:tc>
        <w:tc>
          <w:tcPr>
            <w:tcW w:w="1414" w:type="pct"/>
            <w:vAlign w:val="center"/>
          </w:tcPr>
          <w:p w:rsidR="004A3868" w:rsidRDefault="003F1AB5">
            <w:pPr>
              <w:pStyle w:val="afff7"/>
            </w:pPr>
            <w:r>
              <w:t>12,462,693.61</w:t>
            </w:r>
          </w:p>
        </w:tc>
        <w:tc>
          <w:tcPr>
            <w:tcW w:w="1048" w:type="pct"/>
            <w:vAlign w:val="center"/>
          </w:tcPr>
          <w:p w:rsidR="004A3868" w:rsidRDefault="003F1AB5">
            <w:pPr>
              <w:pStyle w:val="afff7"/>
            </w:pPr>
            <w:r>
              <w:t>10.00</w:t>
            </w:r>
          </w:p>
        </w:tc>
      </w:tr>
      <w:tr w:rsidR="004A3868">
        <w:trPr>
          <w:trHeight w:val="397"/>
          <w:jc w:val="center"/>
        </w:trPr>
        <w:tc>
          <w:tcPr>
            <w:tcW w:w="1135" w:type="pct"/>
          </w:tcPr>
          <w:p w:rsidR="004A3868" w:rsidRDefault="003F1AB5">
            <w:pPr>
              <w:pStyle w:val="afff9"/>
            </w:pPr>
            <w:r>
              <w:t>2</w:t>
            </w:r>
            <w:r>
              <w:t>－</w:t>
            </w:r>
            <w:r>
              <w:t>3</w:t>
            </w:r>
            <w:r>
              <w:t>年</w:t>
            </w:r>
          </w:p>
        </w:tc>
        <w:tc>
          <w:tcPr>
            <w:tcW w:w="1402" w:type="pct"/>
            <w:vAlign w:val="center"/>
          </w:tcPr>
          <w:p w:rsidR="004A3868" w:rsidRDefault="003F1AB5">
            <w:pPr>
              <w:pStyle w:val="afff7"/>
            </w:pPr>
            <w:r>
              <w:t>43,424,610.77</w:t>
            </w:r>
          </w:p>
        </w:tc>
        <w:tc>
          <w:tcPr>
            <w:tcW w:w="1414" w:type="pct"/>
            <w:vAlign w:val="center"/>
          </w:tcPr>
          <w:p w:rsidR="004A3868" w:rsidRDefault="003F1AB5">
            <w:pPr>
              <w:pStyle w:val="afff7"/>
            </w:pPr>
            <w:r>
              <w:t>8,684,922.15</w:t>
            </w:r>
          </w:p>
        </w:tc>
        <w:tc>
          <w:tcPr>
            <w:tcW w:w="1048" w:type="pct"/>
            <w:vAlign w:val="center"/>
          </w:tcPr>
          <w:p w:rsidR="004A3868" w:rsidRDefault="003F1AB5">
            <w:pPr>
              <w:pStyle w:val="afff7"/>
            </w:pPr>
            <w:r>
              <w:t> 20.00</w:t>
            </w:r>
          </w:p>
        </w:tc>
      </w:tr>
      <w:tr w:rsidR="004A3868">
        <w:trPr>
          <w:trHeight w:val="397"/>
          <w:jc w:val="center"/>
        </w:trPr>
        <w:tc>
          <w:tcPr>
            <w:tcW w:w="1135" w:type="pct"/>
          </w:tcPr>
          <w:p w:rsidR="004A3868" w:rsidRDefault="003F1AB5">
            <w:pPr>
              <w:pStyle w:val="afff9"/>
            </w:pPr>
            <w:r>
              <w:t>3</w:t>
            </w:r>
            <w:r>
              <w:t>－</w:t>
            </w:r>
            <w:r>
              <w:t>4</w:t>
            </w:r>
            <w:r>
              <w:t>年</w:t>
            </w:r>
          </w:p>
        </w:tc>
        <w:tc>
          <w:tcPr>
            <w:tcW w:w="1402" w:type="pct"/>
            <w:vAlign w:val="center"/>
          </w:tcPr>
          <w:p w:rsidR="004A3868" w:rsidRDefault="003F1AB5">
            <w:pPr>
              <w:pStyle w:val="afff7"/>
            </w:pPr>
            <w:r>
              <w:t>28,172,225.29</w:t>
            </w:r>
          </w:p>
        </w:tc>
        <w:tc>
          <w:tcPr>
            <w:tcW w:w="1414" w:type="pct"/>
            <w:vAlign w:val="center"/>
          </w:tcPr>
          <w:p w:rsidR="004A3868" w:rsidRDefault="003F1AB5">
            <w:pPr>
              <w:pStyle w:val="afff7"/>
            </w:pPr>
            <w:r>
              <w:t>8,451,667.59</w:t>
            </w:r>
          </w:p>
        </w:tc>
        <w:tc>
          <w:tcPr>
            <w:tcW w:w="1048" w:type="pct"/>
            <w:vAlign w:val="center"/>
          </w:tcPr>
          <w:p w:rsidR="004A3868" w:rsidRDefault="003F1AB5">
            <w:pPr>
              <w:pStyle w:val="afff7"/>
            </w:pPr>
            <w:r>
              <w:t>30.00</w:t>
            </w:r>
          </w:p>
        </w:tc>
      </w:tr>
      <w:tr w:rsidR="004A3868">
        <w:trPr>
          <w:trHeight w:val="397"/>
          <w:jc w:val="center"/>
        </w:trPr>
        <w:tc>
          <w:tcPr>
            <w:tcW w:w="1135" w:type="pct"/>
          </w:tcPr>
          <w:p w:rsidR="004A3868" w:rsidRDefault="003F1AB5">
            <w:pPr>
              <w:pStyle w:val="afff9"/>
            </w:pPr>
            <w:r>
              <w:t>4</w:t>
            </w:r>
            <w:r>
              <w:t>－</w:t>
            </w:r>
            <w:r>
              <w:t>5</w:t>
            </w:r>
            <w:r>
              <w:t>年</w:t>
            </w:r>
          </w:p>
        </w:tc>
        <w:tc>
          <w:tcPr>
            <w:tcW w:w="1402" w:type="pct"/>
            <w:vAlign w:val="center"/>
          </w:tcPr>
          <w:p w:rsidR="004A3868" w:rsidRDefault="003F1AB5">
            <w:pPr>
              <w:pStyle w:val="afff7"/>
            </w:pPr>
            <w:r>
              <w:t>9,640,455.05</w:t>
            </w:r>
          </w:p>
        </w:tc>
        <w:tc>
          <w:tcPr>
            <w:tcW w:w="1414" w:type="pct"/>
            <w:vAlign w:val="center"/>
          </w:tcPr>
          <w:p w:rsidR="004A3868" w:rsidRDefault="003F1AB5">
            <w:pPr>
              <w:pStyle w:val="afff7"/>
            </w:pPr>
            <w:r>
              <w:t>4,820,227.53</w:t>
            </w:r>
          </w:p>
        </w:tc>
        <w:tc>
          <w:tcPr>
            <w:tcW w:w="1048" w:type="pct"/>
            <w:vAlign w:val="center"/>
          </w:tcPr>
          <w:p w:rsidR="004A3868" w:rsidRDefault="003F1AB5">
            <w:pPr>
              <w:pStyle w:val="afff7"/>
            </w:pPr>
            <w:r>
              <w:t>50.00</w:t>
            </w:r>
          </w:p>
        </w:tc>
      </w:tr>
      <w:tr w:rsidR="004A3868">
        <w:trPr>
          <w:trHeight w:val="397"/>
          <w:jc w:val="center"/>
        </w:trPr>
        <w:tc>
          <w:tcPr>
            <w:tcW w:w="1135" w:type="pct"/>
          </w:tcPr>
          <w:p w:rsidR="004A3868" w:rsidRDefault="003F1AB5">
            <w:pPr>
              <w:pStyle w:val="afff9"/>
            </w:pPr>
            <w:r>
              <w:t>5</w:t>
            </w:r>
            <w:r>
              <w:t>年以上</w:t>
            </w:r>
          </w:p>
        </w:tc>
        <w:tc>
          <w:tcPr>
            <w:tcW w:w="1402" w:type="pct"/>
            <w:vAlign w:val="center"/>
          </w:tcPr>
          <w:p w:rsidR="004A3868" w:rsidRDefault="003F1AB5">
            <w:pPr>
              <w:pStyle w:val="afff7"/>
            </w:pPr>
            <w:r>
              <w:t>7,645,014.57</w:t>
            </w:r>
          </w:p>
        </w:tc>
        <w:tc>
          <w:tcPr>
            <w:tcW w:w="1414" w:type="pct"/>
            <w:vAlign w:val="center"/>
          </w:tcPr>
          <w:p w:rsidR="004A3868" w:rsidRDefault="003F1AB5">
            <w:pPr>
              <w:pStyle w:val="afff7"/>
            </w:pPr>
            <w:r>
              <w:t>7,645,014.57</w:t>
            </w:r>
          </w:p>
        </w:tc>
        <w:tc>
          <w:tcPr>
            <w:tcW w:w="1048" w:type="pct"/>
            <w:vAlign w:val="center"/>
          </w:tcPr>
          <w:p w:rsidR="004A3868" w:rsidRDefault="003F1AB5">
            <w:pPr>
              <w:pStyle w:val="afff7"/>
            </w:pPr>
            <w:r>
              <w:t>100.00</w:t>
            </w:r>
          </w:p>
        </w:tc>
      </w:tr>
      <w:tr w:rsidR="004A3868">
        <w:trPr>
          <w:trHeight w:val="397"/>
          <w:jc w:val="center"/>
        </w:trPr>
        <w:tc>
          <w:tcPr>
            <w:tcW w:w="1135" w:type="pct"/>
            <w:vAlign w:val="center"/>
          </w:tcPr>
          <w:p w:rsidR="004A3868" w:rsidRDefault="003F1AB5">
            <w:pPr>
              <w:pStyle w:val="afff9"/>
            </w:pPr>
            <w:r>
              <w:rPr>
                <w:rFonts w:hint="eastAsia"/>
              </w:rPr>
              <w:t>合计</w:t>
            </w:r>
          </w:p>
        </w:tc>
        <w:tc>
          <w:tcPr>
            <w:tcW w:w="1402" w:type="pct"/>
            <w:vAlign w:val="center"/>
          </w:tcPr>
          <w:p w:rsidR="004A3868" w:rsidRDefault="003F1AB5">
            <w:pPr>
              <w:pStyle w:val="afff7"/>
            </w:pPr>
            <w:r>
              <w:t>978,318,506.58</w:t>
            </w:r>
          </w:p>
        </w:tc>
        <w:tc>
          <w:tcPr>
            <w:tcW w:w="1414" w:type="pct"/>
            <w:vAlign w:val="center"/>
          </w:tcPr>
          <w:p w:rsidR="004A3868" w:rsidRDefault="003F1AB5">
            <w:pPr>
              <w:pStyle w:val="afff7"/>
            </w:pPr>
            <w:r>
              <w:t>80,304,988.69</w:t>
            </w:r>
          </w:p>
        </w:tc>
        <w:tc>
          <w:tcPr>
            <w:tcW w:w="1048" w:type="pct"/>
            <w:vAlign w:val="center"/>
          </w:tcPr>
          <w:p w:rsidR="004A3868" w:rsidRDefault="003F1AB5">
            <w:pPr>
              <w:pStyle w:val="afff7"/>
            </w:pPr>
            <w:r>
              <w:rPr>
                <w:rFonts w:hint="eastAsia"/>
              </w:rPr>
              <w:t>8</w:t>
            </w:r>
            <w:r>
              <w:t>.21</w:t>
            </w:r>
          </w:p>
        </w:tc>
      </w:tr>
    </w:tbl>
    <w:p w:rsidR="004A3868" w:rsidRDefault="003F1AB5">
      <w:pPr>
        <w:pStyle w:val="Style842"/>
        <w:rPr>
          <w:rStyle w:val="Char20"/>
        </w:rPr>
      </w:pPr>
      <w:r>
        <w:rPr>
          <w:rStyle w:val="Char20"/>
          <w:rFonts w:hint="eastAsia"/>
        </w:rPr>
        <w:t>按组合计提坏账准备的说明：</w:t>
      </w:r>
    </w:p>
    <w:sdt>
      <w:sdtPr>
        <w:rPr>
          <w:rStyle w:val="Char20"/>
        </w:rPr>
        <w:alias w:val="是否适用：母公司应收账款按组合计提坏账的确认标准及说明[双击切换]"/>
        <w:tag w:val="_GBC_63044b38e77844689beec86348cdea93"/>
        <w:id w:val="1905876268"/>
        <w:lock w:val="sdtLocked"/>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853"/>
        <w:rPr>
          <w:rStyle w:val="Char20"/>
        </w:rPr>
      </w:pPr>
      <w:r>
        <w:rPr>
          <w:rStyle w:val="Char20"/>
          <w:rFonts w:hint="eastAsia"/>
        </w:rPr>
        <w:t>按预期信用损失一般模型计提坏账准备</w:t>
      </w:r>
    </w:p>
    <w:bookmarkEnd w:id="259" w:displacedByCustomXml="next"/>
    <w:bookmarkStart w:id="260" w:name="_Hlk534616017" w:displacedByCustomXml="next"/>
    <w:sdt>
      <w:sdtPr>
        <w:rPr>
          <w:rStyle w:val="Char20"/>
        </w:rPr>
        <w:alias w:val="是否适用：母公司应收账款按一般预计信用损失模型计提坏账[双击切换]"/>
        <w:tag w:val="_GBC_681a6428f5004327ac9c72b5eb632f13"/>
        <w:id w:val="-995410782"/>
        <w:lock w:val="sdtLocked"/>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842"/>
        <w:rPr>
          <w:rStyle w:val="Char20"/>
        </w:rPr>
      </w:pPr>
      <w:r>
        <w:rPr>
          <w:rStyle w:val="Char20"/>
          <w:rFonts w:hint="eastAsia"/>
        </w:rPr>
        <w:t>各阶段划分依据和坏账准备计提比例</w:t>
      </w:r>
    </w:p>
    <w:sdt>
      <w:sdtPr>
        <w:rPr>
          <w:rStyle w:val="Char20"/>
        </w:rPr>
        <w:alias w:val="各阶段划分依据和坏账准备计提比例"/>
        <w:tag w:val="_GBC_715f45f6066e4ba295d3973a2eed903b"/>
        <w:id w:val="1911432127"/>
        <w:placeholder>
          <w:docPart w:val="GBC22222222222222222222222222222"/>
        </w:placeholder>
      </w:sdtPr>
      <w:sdtEndPr>
        <w:rPr>
          <w:rStyle w:val="Char20"/>
        </w:rPr>
      </w:sdtEndPr>
      <w:sdtContent>
        <w:p w:rsidR="004A3868" w:rsidRDefault="00E23D9A">
          <w:pPr>
            <w:pStyle w:val="Style842"/>
            <w:rPr>
              <w:rStyle w:val="Char20"/>
            </w:rPr>
          </w:pPr>
          <w:r>
            <w:rPr>
              <w:rStyle w:val="Char20"/>
              <w:rFonts w:hint="eastAsia"/>
            </w:rPr>
            <w:t>无</w:t>
          </w:r>
        </w:p>
      </w:sdtContent>
    </w:sdt>
    <w:p w:rsidR="004A3868" w:rsidRDefault="003F1AB5">
      <w:pPr>
        <w:pStyle w:val="Style842"/>
        <w:rPr>
          <w:rStyle w:val="Char20"/>
        </w:rPr>
      </w:pPr>
      <w:r>
        <w:rPr>
          <w:rStyle w:val="Char20"/>
          <w:rFonts w:hint="eastAsia"/>
        </w:rPr>
        <w:t>对本期发生损失准备变动的应收账款账面余额显著变动的情况说明：</w:t>
      </w:r>
    </w:p>
    <w:sdt>
      <w:sdtPr>
        <w:rPr>
          <w:rStyle w:val="Char20"/>
        </w:rPr>
        <w:alias w:val="是否适用：母公司对本期发生损失准备变动的账面余额显著变动的情况说明[双击切换]"/>
        <w:tag w:val="_GBC_2624b4d5ae5d4288ad7c6f9bcbcff810"/>
        <w:id w:val="-1714576381"/>
        <w:lock w:val="sdtLocked"/>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bookmarkEnd w:id="260"/>
    <w:p w:rsidR="004A3868" w:rsidRDefault="004A3868">
      <w:pPr>
        <w:pStyle w:val="Style853"/>
      </w:pPr>
    </w:p>
    <w:p w:rsidR="004A3868" w:rsidRDefault="003F1AB5">
      <w:pPr>
        <w:pStyle w:val="Style956"/>
        <w:numPr>
          <w:ilvl w:val="3"/>
          <w:numId w:val="129"/>
        </w:numPr>
        <w:rPr>
          <w:rStyle w:val="Char20"/>
        </w:rPr>
      </w:pPr>
      <w:r>
        <w:rPr>
          <w:rStyle w:val="Char20"/>
          <w:rFonts w:hint="eastAsia"/>
        </w:rPr>
        <w:t>坏账准备的情况</w:t>
      </w:r>
    </w:p>
    <w:bookmarkStart w:id="261" w:name="_Hlk534890665" w:displacedByCustomXml="next"/>
    <w:sdt>
      <w:sdtPr>
        <w:rPr>
          <w:rStyle w:val="Char20"/>
        </w:rPr>
        <w:alias w:val="是否适用：母公司应收账款坏账准备情况[双击切换]"/>
        <w:tag w:val="_GBC_c4b273c4d86b423ea0abe5794b3a9a07"/>
        <w:id w:val="1878818193"/>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rPr>
          <w:rStyle w:val="Char20"/>
        </w:rPr>
      </w:pPr>
      <w:r>
        <w:rPr>
          <w:rStyle w:val="Char20"/>
          <w:rFonts w:hint="eastAsia"/>
        </w:rPr>
        <w:t>单位：</w:t>
      </w:r>
      <w:sdt>
        <w:sdtPr>
          <w:rPr>
            <w:rStyle w:val="Char20"/>
            <w:rFonts w:hint="eastAsia"/>
          </w:rPr>
          <w:alias w:val="单位：母公司应收账款坏账准备情况"/>
          <w:tag w:val="_GBC_297876b5a195460cabc3796e317c400c"/>
          <w:id w:val="-20437337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应收账款坏账准备情况"/>
          <w:tag w:val="_GBC_e88786d88c2b4853820fef447c6f542a"/>
          <w:id w:val="-17467147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129"/>
        <w:gridCol w:w="1560"/>
        <w:gridCol w:w="1415"/>
        <w:gridCol w:w="1336"/>
        <w:gridCol w:w="1308"/>
        <w:gridCol w:w="476"/>
        <w:gridCol w:w="1599"/>
      </w:tblGrid>
      <w:tr w:rsidR="004A3868">
        <w:trPr>
          <w:jc w:val="center"/>
        </w:trPr>
        <w:sdt>
          <w:sdtPr>
            <w:tag w:val="_PLD_98300d230c0347eb87a2635ad51c1d00"/>
            <w:id w:val="-819038192"/>
            <w:lock w:val="sdtLocked"/>
          </w:sdtPr>
          <w:sdtEndPr/>
          <w:sdtContent>
            <w:tc>
              <w:tcPr>
                <w:tcW w:w="640" w:type="pct"/>
                <w:vMerge w:val="restart"/>
                <w:shd w:val="clear" w:color="auto" w:fill="FFFFFF"/>
                <w:vAlign w:val="center"/>
              </w:tcPr>
              <w:p w:rsidR="004A3868" w:rsidRDefault="003F1AB5">
                <w:pPr>
                  <w:pStyle w:val="afffb"/>
                </w:pPr>
                <w:r>
                  <w:t>类别</w:t>
                </w:r>
              </w:p>
            </w:tc>
          </w:sdtContent>
        </w:sdt>
        <w:sdt>
          <w:sdtPr>
            <w:tag w:val="_PLD_7769f2b383ef45cea01b90026bb353c2"/>
            <w:id w:val="1442110135"/>
            <w:lock w:val="sdtLocked"/>
          </w:sdtPr>
          <w:sdtEndPr/>
          <w:sdtContent>
            <w:tc>
              <w:tcPr>
                <w:tcW w:w="884" w:type="pct"/>
                <w:vMerge w:val="restart"/>
                <w:shd w:val="clear" w:color="auto" w:fill="FFFFFF"/>
                <w:vAlign w:val="center"/>
              </w:tcPr>
              <w:p w:rsidR="004A3868" w:rsidRDefault="003F1AB5">
                <w:pPr>
                  <w:pStyle w:val="afffb"/>
                </w:pPr>
                <w:r>
                  <w:t>期初余额</w:t>
                </w:r>
              </w:p>
            </w:tc>
          </w:sdtContent>
        </w:sdt>
        <w:sdt>
          <w:sdtPr>
            <w:tag w:val="_PLD_cd024d723ca84c77aded9d7b7313563b"/>
            <w:id w:val="-175570627"/>
            <w:lock w:val="sdtLocked"/>
          </w:sdtPr>
          <w:sdtEndPr/>
          <w:sdtContent>
            <w:tc>
              <w:tcPr>
                <w:tcW w:w="2570" w:type="pct"/>
                <w:gridSpan w:val="4"/>
                <w:shd w:val="clear" w:color="auto" w:fill="FFFFFF"/>
                <w:vAlign w:val="center"/>
              </w:tcPr>
              <w:p w:rsidR="004A3868" w:rsidRDefault="003F1AB5">
                <w:pPr>
                  <w:pStyle w:val="afffb"/>
                </w:pPr>
                <w:r>
                  <w:rPr>
                    <w:rFonts w:hint="eastAsia"/>
                  </w:rPr>
                  <w:t>本期变动</w:t>
                </w:r>
                <w:r>
                  <w:t>金额</w:t>
                </w:r>
              </w:p>
            </w:tc>
          </w:sdtContent>
        </w:sdt>
        <w:sdt>
          <w:sdtPr>
            <w:tag w:val="_PLD_1225558b3fd34599bc2c3f9eb23fba1e"/>
            <w:id w:val="-902906219"/>
            <w:lock w:val="sdtLocked"/>
          </w:sdtPr>
          <w:sdtEndPr/>
          <w:sdtContent>
            <w:tc>
              <w:tcPr>
                <w:tcW w:w="906" w:type="pct"/>
                <w:vMerge w:val="restart"/>
                <w:shd w:val="clear" w:color="auto" w:fill="FFFFFF"/>
                <w:vAlign w:val="center"/>
              </w:tcPr>
              <w:p w:rsidR="004A3868" w:rsidRDefault="003F1AB5">
                <w:pPr>
                  <w:pStyle w:val="afffb"/>
                </w:pPr>
                <w:r>
                  <w:t>期末余额</w:t>
                </w:r>
              </w:p>
            </w:tc>
          </w:sdtContent>
        </w:sdt>
      </w:tr>
      <w:tr w:rsidR="004A3868">
        <w:trPr>
          <w:jc w:val="center"/>
        </w:trPr>
        <w:tc>
          <w:tcPr>
            <w:tcW w:w="640" w:type="pct"/>
            <w:vMerge/>
            <w:shd w:val="clear" w:color="auto" w:fill="FFFFFF"/>
            <w:vAlign w:val="center"/>
          </w:tcPr>
          <w:p w:rsidR="004A3868" w:rsidRDefault="004A3868">
            <w:pPr>
              <w:pStyle w:val="Style842"/>
            </w:pPr>
          </w:p>
        </w:tc>
        <w:tc>
          <w:tcPr>
            <w:tcW w:w="884" w:type="pct"/>
            <w:vMerge/>
            <w:shd w:val="clear" w:color="auto" w:fill="FFFFFF"/>
            <w:vAlign w:val="center"/>
          </w:tcPr>
          <w:p w:rsidR="004A3868" w:rsidRDefault="004A3868">
            <w:pPr>
              <w:pStyle w:val="Style842"/>
            </w:pPr>
          </w:p>
        </w:tc>
        <w:sdt>
          <w:sdtPr>
            <w:tag w:val="_PLD_3e1ba6e4785f430c89e70b3081ee1f0a"/>
            <w:id w:val="-1057010952"/>
            <w:lock w:val="sdtLocked"/>
          </w:sdtPr>
          <w:sdtEndPr/>
          <w:sdtContent>
            <w:tc>
              <w:tcPr>
                <w:tcW w:w="802" w:type="pct"/>
                <w:shd w:val="clear" w:color="auto" w:fill="FFFFFF"/>
                <w:vAlign w:val="center"/>
              </w:tcPr>
              <w:p w:rsidR="004A3868" w:rsidRDefault="003F1AB5">
                <w:pPr>
                  <w:pStyle w:val="afffb"/>
                </w:pPr>
                <w:r>
                  <w:t>计提</w:t>
                </w:r>
              </w:p>
            </w:tc>
          </w:sdtContent>
        </w:sdt>
        <w:sdt>
          <w:sdtPr>
            <w:tag w:val="_PLD_e1238ab8ec634edb975aa51e169f4488"/>
            <w:id w:val="1619027591"/>
            <w:lock w:val="sdtLocked"/>
          </w:sdtPr>
          <w:sdtEndPr/>
          <w:sdtContent>
            <w:tc>
              <w:tcPr>
                <w:tcW w:w="757" w:type="pct"/>
                <w:shd w:val="clear" w:color="auto" w:fill="FFFFFF"/>
                <w:vAlign w:val="center"/>
              </w:tcPr>
              <w:p w:rsidR="004A3868" w:rsidRDefault="003F1AB5">
                <w:pPr>
                  <w:pStyle w:val="afffb"/>
                </w:pPr>
                <w:r>
                  <w:rPr>
                    <w:rFonts w:hint="eastAsia"/>
                  </w:rPr>
                  <w:t>收回或转回</w:t>
                </w:r>
              </w:p>
            </w:tc>
          </w:sdtContent>
        </w:sdt>
        <w:tc>
          <w:tcPr>
            <w:tcW w:w="741" w:type="pct"/>
            <w:shd w:val="clear" w:color="auto" w:fill="FFFFFF"/>
            <w:vAlign w:val="center"/>
          </w:tcPr>
          <w:sdt>
            <w:sdtPr>
              <w:rPr>
                <w:rFonts w:hint="eastAsia"/>
              </w:rPr>
              <w:tag w:val="_PLD_4909ee6a3062412caf5e93a150ca2e23"/>
              <w:id w:val="-1403913992"/>
              <w:lock w:val="sdtLocked"/>
            </w:sdtPr>
            <w:sdtEndPr/>
            <w:sdtContent>
              <w:p w:rsidR="004A3868" w:rsidRDefault="003F1AB5">
                <w:pPr>
                  <w:pStyle w:val="afffb"/>
                </w:pPr>
                <w:r>
                  <w:rPr>
                    <w:rFonts w:hint="eastAsia"/>
                  </w:rPr>
                  <w:t>转销或核销</w:t>
                </w:r>
              </w:p>
            </w:sdtContent>
          </w:sdt>
        </w:tc>
        <w:tc>
          <w:tcPr>
            <w:tcW w:w="270" w:type="pct"/>
            <w:shd w:val="clear" w:color="auto" w:fill="FFFFFF"/>
            <w:vAlign w:val="center"/>
          </w:tcPr>
          <w:sdt>
            <w:sdtPr>
              <w:rPr>
                <w:rFonts w:hint="eastAsia"/>
              </w:rPr>
              <w:tag w:val="_PLD_b95e9591908443ef8eef29a18814ebfa"/>
              <w:id w:val="-1331595824"/>
              <w:lock w:val="sdtLocked"/>
            </w:sdtPr>
            <w:sdtEndPr/>
            <w:sdtContent>
              <w:p w:rsidR="004A3868" w:rsidRDefault="003F1AB5">
                <w:pPr>
                  <w:pStyle w:val="afffb"/>
                </w:pPr>
                <w:r>
                  <w:rPr>
                    <w:rFonts w:hint="eastAsia"/>
                  </w:rPr>
                  <w:t>其他变动</w:t>
                </w:r>
              </w:p>
            </w:sdtContent>
          </w:sdt>
        </w:tc>
        <w:tc>
          <w:tcPr>
            <w:tcW w:w="906" w:type="pct"/>
            <w:vMerge/>
            <w:shd w:val="clear" w:color="auto" w:fill="FFFFFF"/>
          </w:tcPr>
          <w:p w:rsidR="004A3868" w:rsidRDefault="004A3868">
            <w:pPr>
              <w:pStyle w:val="afffb"/>
            </w:pPr>
          </w:p>
        </w:tc>
      </w:tr>
      <w:tr w:rsidR="004A3868">
        <w:trPr>
          <w:jc w:val="center"/>
        </w:trPr>
        <w:tc>
          <w:tcPr>
            <w:tcW w:w="640" w:type="pct"/>
            <w:shd w:val="clear" w:color="auto" w:fill="auto"/>
          </w:tcPr>
          <w:p w:rsidR="004A3868" w:rsidRDefault="003F1AB5">
            <w:pPr>
              <w:pStyle w:val="afff9"/>
            </w:pPr>
            <w:r>
              <w:t>按单项计提坏账准备</w:t>
            </w:r>
          </w:p>
        </w:tc>
        <w:tc>
          <w:tcPr>
            <w:tcW w:w="884" w:type="pct"/>
            <w:shd w:val="clear" w:color="auto" w:fill="auto"/>
            <w:vAlign w:val="center"/>
          </w:tcPr>
          <w:p w:rsidR="004A3868" w:rsidRDefault="003F1AB5">
            <w:pPr>
              <w:pStyle w:val="afff7"/>
            </w:pPr>
            <w:r>
              <w:t>22,734,295.81</w:t>
            </w:r>
          </w:p>
        </w:tc>
        <w:tc>
          <w:tcPr>
            <w:tcW w:w="802" w:type="pct"/>
            <w:shd w:val="clear" w:color="auto" w:fill="auto"/>
            <w:vAlign w:val="center"/>
          </w:tcPr>
          <w:p w:rsidR="004A3868" w:rsidRDefault="003F1AB5">
            <w:pPr>
              <w:pStyle w:val="afff7"/>
            </w:pPr>
            <w:r>
              <w:t>6,660,326.44</w:t>
            </w:r>
          </w:p>
        </w:tc>
        <w:tc>
          <w:tcPr>
            <w:tcW w:w="757" w:type="pct"/>
            <w:shd w:val="clear" w:color="auto" w:fill="auto"/>
            <w:vAlign w:val="center"/>
          </w:tcPr>
          <w:p w:rsidR="004A3868" w:rsidRDefault="003F1AB5">
            <w:pPr>
              <w:pStyle w:val="afff7"/>
            </w:pPr>
            <w:r>
              <w:t>2,600,630.94</w:t>
            </w:r>
          </w:p>
        </w:tc>
        <w:tc>
          <w:tcPr>
            <w:tcW w:w="741" w:type="pct"/>
            <w:vAlign w:val="center"/>
          </w:tcPr>
          <w:p w:rsidR="004A3868" w:rsidRDefault="003F1AB5">
            <w:pPr>
              <w:pStyle w:val="afff7"/>
            </w:pPr>
            <w:r>
              <w:t>363,338.43</w:t>
            </w:r>
          </w:p>
        </w:tc>
        <w:tc>
          <w:tcPr>
            <w:tcW w:w="270" w:type="pct"/>
            <w:vAlign w:val="center"/>
          </w:tcPr>
          <w:p w:rsidR="004A3868" w:rsidRDefault="003F1AB5">
            <w:pPr>
              <w:pStyle w:val="afff7"/>
            </w:pPr>
            <w:r>
              <w:t xml:space="preserve">　</w:t>
            </w:r>
          </w:p>
        </w:tc>
        <w:tc>
          <w:tcPr>
            <w:tcW w:w="906" w:type="pct"/>
            <w:shd w:val="clear" w:color="auto" w:fill="auto"/>
            <w:vAlign w:val="center"/>
          </w:tcPr>
          <w:p w:rsidR="004A3868" w:rsidRDefault="003F1AB5">
            <w:pPr>
              <w:pStyle w:val="afff7"/>
            </w:pPr>
            <w:r>
              <w:t>26,430,652.88</w:t>
            </w:r>
          </w:p>
        </w:tc>
      </w:tr>
      <w:tr w:rsidR="004A3868">
        <w:trPr>
          <w:jc w:val="center"/>
        </w:trPr>
        <w:tc>
          <w:tcPr>
            <w:tcW w:w="640" w:type="pct"/>
            <w:shd w:val="clear" w:color="auto" w:fill="auto"/>
          </w:tcPr>
          <w:p w:rsidR="004A3868" w:rsidRDefault="003F1AB5">
            <w:pPr>
              <w:pStyle w:val="afff9"/>
            </w:pPr>
            <w:r>
              <w:t>按组合计提坏账准备</w:t>
            </w:r>
          </w:p>
        </w:tc>
        <w:tc>
          <w:tcPr>
            <w:tcW w:w="884" w:type="pct"/>
            <w:shd w:val="clear" w:color="auto" w:fill="auto"/>
            <w:vAlign w:val="center"/>
          </w:tcPr>
          <w:p w:rsidR="004A3868" w:rsidRDefault="003F1AB5">
            <w:pPr>
              <w:pStyle w:val="afff7"/>
            </w:pPr>
            <w:r>
              <w:t>63,195,307.50</w:t>
            </w:r>
          </w:p>
        </w:tc>
        <w:tc>
          <w:tcPr>
            <w:tcW w:w="802" w:type="pct"/>
            <w:shd w:val="clear" w:color="auto" w:fill="auto"/>
            <w:vAlign w:val="center"/>
          </w:tcPr>
          <w:p w:rsidR="004A3868" w:rsidRDefault="003F1AB5">
            <w:pPr>
              <w:pStyle w:val="afff7"/>
            </w:pPr>
            <w:r>
              <w:t>17,336,114.19</w:t>
            </w:r>
          </w:p>
        </w:tc>
        <w:tc>
          <w:tcPr>
            <w:tcW w:w="757" w:type="pct"/>
            <w:shd w:val="clear" w:color="auto" w:fill="auto"/>
            <w:vAlign w:val="center"/>
          </w:tcPr>
          <w:p w:rsidR="004A3868" w:rsidRDefault="003F1AB5">
            <w:pPr>
              <w:pStyle w:val="afff7"/>
            </w:pPr>
            <w:r>
              <w:t xml:space="preserve">　</w:t>
            </w:r>
          </w:p>
        </w:tc>
        <w:tc>
          <w:tcPr>
            <w:tcW w:w="741" w:type="pct"/>
            <w:vAlign w:val="center"/>
          </w:tcPr>
          <w:p w:rsidR="004A3868" w:rsidRDefault="003F1AB5">
            <w:pPr>
              <w:pStyle w:val="afff7"/>
            </w:pPr>
            <w:r>
              <w:t>226,433.00</w:t>
            </w:r>
          </w:p>
        </w:tc>
        <w:tc>
          <w:tcPr>
            <w:tcW w:w="270" w:type="pct"/>
            <w:vAlign w:val="center"/>
          </w:tcPr>
          <w:p w:rsidR="004A3868" w:rsidRDefault="003F1AB5">
            <w:pPr>
              <w:pStyle w:val="afff7"/>
            </w:pPr>
            <w:r>
              <w:t xml:space="preserve">　</w:t>
            </w:r>
          </w:p>
        </w:tc>
        <w:tc>
          <w:tcPr>
            <w:tcW w:w="906" w:type="pct"/>
            <w:shd w:val="clear" w:color="auto" w:fill="auto"/>
            <w:vAlign w:val="center"/>
          </w:tcPr>
          <w:p w:rsidR="004A3868" w:rsidRDefault="003F1AB5">
            <w:pPr>
              <w:pStyle w:val="afff7"/>
            </w:pPr>
            <w:r>
              <w:t>80,304,988.69</w:t>
            </w:r>
          </w:p>
        </w:tc>
      </w:tr>
      <w:tr w:rsidR="004A3868">
        <w:trPr>
          <w:jc w:val="center"/>
        </w:trPr>
        <w:tc>
          <w:tcPr>
            <w:tcW w:w="640" w:type="pct"/>
            <w:shd w:val="clear" w:color="auto" w:fill="auto"/>
          </w:tcPr>
          <w:p w:rsidR="004A3868" w:rsidRDefault="003F1AB5">
            <w:pPr>
              <w:pStyle w:val="afff9"/>
            </w:pPr>
            <w:r>
              <w:rPr>
                <w:rFonts w:hint="eastAsia"/>
              </w:rPr>
              <w:t>合计</w:t>
            </w:r>
          </w:p>
        </w:tc>
        <w:tc>
          <w:tcPr>
            <w:tcW w:w="884" w:type="pct"/>
            <w:shd w:val="clear" w:color="auto" w:fill="auto"/>
            <w:vAlign w:val="center"/>
          </w:tcPr>
          <w:p w:rsidR="004A3868" w:rsidRDefault="003F1AB5">
            <w:pPr>
              <w:pStyle w:val="afff7"/>
            </w:pPr>
            <w:r>
              <w:t>85,929,603.31</w:t>
            </w:r>
          </w:p>
        </w:tc>
        <w:tc>
          <w:tcPr>
            <w:tcW w:w="802" w:type="pct"/>
            <w:shd w:val="clear" w:color="auto" w:fill="auto"/>
            <w:vAlign w:val="center"/>
          </w:tcPr>
          <w:p w:rsidR="004A3868" w:rsidRDefault="003F1AB5">
            <w:pPr>
              <w:pStyle w:val="afff7"/>
            </w:pPr>
            <w:r>
              <w:t>23,996,440.62</w:t>
            </w:r>
          </w:p>
        </w:tc>
        <w:tc>
          <w:tcPr>
            <w:tcW w:w="757" w:type="pct"/>
            <w:shd w:val="clear" w:color="auto" w:fill="auto"/>
            <w:vAlign w:val="center"/>
          </w:tcPr>
          <w:p w:rsidR="004A3868" w:rsidRDefault="003F1AB5">
            <w:pPr>
              <w:pStyle w:val="afff7"/>
            </w:pPr>
            <w:r>
              <w:t>2,600,630.94</w:t>
            </w:r>
          </w:p>
        </w:tc>
        <w:tc>
          <w:tcPr>
            <w:tcW w:w="741" w:type="pct"/>
            <w:vAlign w:val="center"/>
          </w:tcPr>
          <w:p w:rsidR="004A3868" w:rsidRDefault="003F1AB5">
            <w:pPr>
              <w:pStyle w:val="afff7"/>
            </w:pPr>
            <w:r>
              <w:t>589,771.43</w:t>
            </w:r>
          </w:p>
        </w:tc>
        <w:tc>
          <w:tcPr>
            <w:tcW w:w="270" w:type="pct"/>
            <w:vAlign w:val="center"/>
          </w:tcPr>
          <w:p w:rsidR="004A3868" w:rsidRDefault="004A3868">
            <w:pPr>
              <w:pStyle w:val="afff7"/>
            </w:pPr>
          </w:p>
        </w:tc>
        <w:tc>
          <w:tcPr>
            <w:tcW w:w="906" w:type="pct"/>
            <w:shd w:val="clear" w:color="auto" w:fill="auto"/>
            <w:vAlign w:val="center"/>
          </w:tcPr>
          <w:p w:rsidR="004A3868" w:rsidRDefault="003F1AB5">
            <w:pPr>
              <w:pStyle w:val="afff7"/>
            </w:pPr>
            <w:r>
              <w:t>106,735,641.56</w:t>
            </w:r>
          </w:p>
        </w:tc>
      </w:tr>
    </w:tbl>
    <w:p w:rsidR="004A3868" w:rsidRDefault="003F1AB5">
      <w:pPr>
        <w:pStyle w:val="Style853"/>
        <w:rPr>
          <w:rStyle w:val="Char20"/>
        </w:rPr>
      </w:pPr>
      <w:r>
        <w:rPr>
          <w:rStyle w:val="Char20"/>
          <w:rFonts w:hint="eastAsia"/>
        </w:rPr>
        <w:t>其中本期坏账准备收回或转回金额重要的：</w:t>
      </w:r>
    </w:p>
    <w:bookmarkEnd w:id="261" w:displacedByCustomXml="next"/>
    <w:bookmarkStart w:id="262" w:name="_Hlk153789356" w:displacedByCustomXml="next"/>
    <w:sdt>
      <w:sdtPr>
        <w:rPr>
          <w:rStyle w:val="Char20"/>
        </w:rPr>
        <w:alias w:val="是否适用：母公司其中本期坏账准备收回或转回金额重要的[双击切换]"/>
        <w:tag w:val="_GBC_5f9ff028d97f4757bc779516f257bedd"/>
        <w:id w:val="406733444"/>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Fonts w:hint="eastAsia"/>
            </w:rPr>
            <w:instrText xml:space="preserve">MACROBUTTON  SnrToggleCheckbox </w:instrText>
          </w:r>
          <w:r>
            <w:rPr>
              <w:rStyle w:val="Char20"/>
              <w:rFonts w:hint="eastAsia"/>
            </w:rPr>
            <w:instrText>√适用</w:instrText>
          </w:r>
          <w:r>
            <w:rPr>
              <w:rStyle w:val="Char20"/>
              <w:rFonts w:hint="eastAsia"/>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rPr>
          <w:rStyle w:val="Char20"/>
          <w:highlight w:val="yellow"/>
        </w:rPr>
      </w:pPr>
      <w:r>
        <w:rPr>
          <w:rStyle w:val="Char20"/>
          <w:rFonts w:hint="eastAsia"/>
        </w:rPr>
        <w:t>单位：</w:t>
      </w:r>
      <w:sdt>
        <w:sdtPr>
          <w:rPr>
            <w:rStyle w:val="Char20"/>
            <w:rFonts w:hint="eastAsia"/>
          </w:rPr>
          <w:alias w:val="单位：母公司转回或收回情况"/>
          <w:tag w:val="_GBC_821730b6671c46159bb85e972d88c646"/>
          <w:id w:val="462693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转回或收回情况"/>
          <w:tag w:val="_GBC_de354f345efd473ca4709514358f5f86"/>
          <w:id w:val="-17662261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263"/>
        <w:gridCol w:w="1843"/>
        <w:gridCol w:w="1419"/>
        <w:gridCol w:w="1398"/>
        <w:gridCol w:w="1900"/>
      </w:tblGrid>
      <w:tr w:rsidR="004A3868">
        <w:trPr>
          <w:trHeight w:val="397"/>
          <w:jc w:val="center"/>
        </w:trPr>
        <w:sdt>
          <w:sdtPr>
            <w:rPr>
              <w:rStyle w:val="Char20"/>
            </w:rPr>
            <w:tag w:val="_PLD_0da7ddaa8bb34300bc8221215b8b35ff"/>
            <w:id w:val="-1819180824"/>
            <w:lock w:val="sdtLocked"/>
          </w:sdtPr>
          <w:sdtEndPr>
            <w:rPr>
              <w:rStyle w:val="Char20"/>
            </w:rPr>
          </w:sdtEndPr>
          <w:sdtContent>
            <w:tc>
              <w:tcPr>
                <w:tcW w:w="1282" w:type="pct"/>
                <w:vAlign w:val="center"/>
              </w:tcPr>
              <w:p w:rsidR="004A3868" w:rsidRDefault="003F1AB5">
                <w:pPr>
                  <w:pStyle w:val="afffb"/>
                  <w:rPr>
                    <w:rStyle w:val="Char20"/>
                  </w:rPr>
                </w:pPr>
                <w:r>
                  <w:rPr>
                    <w:rStyle w:val="Char20"/>
                    <w:rFonts w:hint="eastAsia"/>
                  </w:rPr>
                  <w:t>单位名称</w:t>
                </w:r>
              </w:p>
            </w:tc>
          </w:sdtContent>
        </w:sdt>
        <w:sdt>
          <w:sdtPr>
            <w:rPr>
              <w:rStyle w:val="Char20"/>
            </w:rPr>
            <w:tag w:val="_PLD_338cc182be654ab19e8dbdb76bd13cb7"/>
            <w:id w:val="-1881926474"/>
            <w:lock w:val="sdtLocked"/>
          </w:sdtPr>
          <w:sdtEndPr>
            <w:rPr>
              <w:rStyle w:val="Char20"/>
            </w:rPr>
          </w:sdtEndPr>
          <w:sdtContent>
            <w:tc>
              <w:tcPr>
                <w:tcW w:w="1044" w:type="pct"/>
                <w:vAlign w:val="center"/>
              </w:tcPr>
              <w:p w:rsidR="004A3868" w:rsidRDefault="003F1AB5">
                <w:pPr>
                  <w:pStyle w:val="afffb"/>
                  <w:rPr>
                    <w:rStyle w:val="Char20"/>
                  </w:rPr>
                </w:pPr>
                <w:r>
                  <w:rPr>
                    <w:rStyle w:val="Char20"/>
                    <w:rFonts w:hint="eastAsia"/>
                  </w:rPr>
                  <w:t>收回或转回金额</w:t>
                </w:r>
              </w:p>
            </w:tc>
          </w:sdtContent>
        </w:sdt>
        <w:tc>
          <w:tcPr>
            <w:tcW w:w="804" w:type="pct"/>
            <w:vAlign w:val="center"/>
          </w:tcPr>
          <w:sdt>
            <w:sdtPr>
              <w:rPr>
                <w:rStyle w:val="Char20"/>
                <w:rFonts w:hint="eastAsia"/>
              </w:rPr>
              <w:tag w:val="_PLD_455a0b2932464874ae37c4225e715533"/>
              <w:id w:val="-571280115"/>
              <w:lock w:val="sdtLocked"/>
            </w:sdtPr>
            <w:sdtEndPr>
              <w:rPr>
                <w:rStyle w:val="Char20"/>
              </w:rPr>
            </w:sdtEndPr>
            <w:sdtContent>
              <w:p w:rsidR="004A3868" w:rsidRDefault="003F1AB5">
                <w:pPr>
                  <w:pStyle w:val="afffb"/>
                  <w:rPr>
                    <w:rStyle w:val="Char20"/>
                  </w:rPr>
                </w:pPr>
                <w:r>
                  <w:rPr>
                    <w:rStyle w:val="Char20"/>
                    <w:rFonts w:hint="eastAsia"/>
                  </w:rPr>
                  <w:t>转回原因</w:t>
                </w:r>
              </w:p>
            </w:sdtContent>
          </w:sdt>
        </w:tc>
        <w:sdt>
          <w:sdtPr>
            <w:rPr>
              <w:rStyle w:val="Char20"/>
            </w:rPr>
            <w:tag w:val="_PLD_2606d6e478924637b91b4f01c5f651d5"/>
            <w:id w:val="1763647774"/>
            <w:lock w:val="sdtLocked"/>
          </w:sdtPr>
          <w:sdtEndPr>
            <w:rPr>
              <w:rStyle w:val="Char20"/>
            </w:rPr>
          </w:sdtEndPr>
          <w:sdtContent>
            <w:tc>
              <w:tcPr>
                <w:tcW w:w="792" w:type="pct"/>
                <w:vAlign w:val="center"/>
              </w:tcPr>
              <w:p w:rsidR="004A3868" w:rsidRDefault="003F1AB5">
                <w:pPr>
                  <w:pStyle w:val="afffb"/>
                  <w:rPr>
                    <w:rStyle w:val="Char20"/>
                  </w:rPr>
                </w:pPr>
                <w:r>
                  <w:rPr>
                    <w:rStyle w:val="Char20"/>
                    <w:rFonts w:hint="eastAsia"/>
                  </w:rPr>
                  <w:t>收回方式</w:t>
                </w:r>
              </w:p>
            </w:tc>
          </w:sdtContent>
        </w:sdt>
        <w:tc>
          <w:tcPr>
            <w:tcW w:w="1077" w:type="pct"/>
            <w:vAlign w:val="center"/>
          </w:tcPr>
          <w:sdt>
            <w:sdtPr>
              <w:rPr>
                <w:rStyle w:val="Char20"/>
                <w:rFonts w:hint="eastAsia"/>
              </w:rPr>
              <w:tag w:val="_PLD_4a14ba9f00594d7b930563ff25db8977"/>
              <w:id w:val="-842387917"/>
              <w:lock w:val="sdtLocked"/>
            </w:sdtPr>
            <w:sdtEndPr>
              <w:rPr>
                <w:rStyle w:val="Char20"/>
              </w:rPr>
            </w:sdtEndPr>
            <w:sdtContent>
              <w:p w:rsidR="004A3868" w:rsidRDefault="003F1AB5">
                <w:pPr>
                  <w:pStyle w:val="afffb"/>
                  <w:rPr>
                    <w:rStyle w:val="Char20"/>
                  </w:rPr>
                </w:pPr>
                <w:r>
                  <w:rPr>
                    <w:rStyle w:val="Char20"/>
                    <w:rFonts w:hint="eastAsia"/>
                  </w:rPr>
                  <w:t>确定原坏账准备计提比例的依据及其合理性</w:t>
                </w:r>
              </w:p>
            </w:sdtContent>
          </w:sdt>
        </w:tc>
      </w:tr>
      <w:tr w:rsidR="004A3868">
        <w:trPr>
          <w:trHeight w:val="397"/>
          <w:jc w:val="center"/>
        </w:trPr>
        <w:tc>
          <w:tcPr>
            <w:tcW w:w="1282" w:type="pct"/>
            <w:vAlign w:val="center"/>
          </w:tcPr>
          <w:p w:rsidR="004A3868" w:rsidRDefault="003F1AB5">
            <w:pPr>
              <w:pStyle w:val="afff9"/>
            </w:pPr>
            <w:r>
              <w:rPr>
                <w:rFonts w:hint="eastAsia"/>
              </w:rPr>
              <w:t>母公司应收账款坏账转</w:t>
            </w:r>
            <w:r>
              <w:rPr>
                <w:rFonts w:hint="eastAsia"/>
              </w:rPr>
              <w:lastRenderedPageBreak/>
              <w:t>回或转销单位</w:t>
            </w:r>
            <w:r>
              <w:t>1</w:t>
            </w:r>
          </w:p>
        </w:tc>
        <w:tc>
          <w:tcPr>
            <w:tcW w:w="1044" w:type="pct"/>
            <w:vAlign w:val="center"/>
          </w:tcPr>
          <w:p w:rsidR="004A3868" w:rsidRDefault="003F1AB5">
            <w:pPr>
              <w:pStyle w:val="afff7"/>
            </w:pPr>
            <w:r>
              <w:lastRenderedPageBreak/>
              <w:t>1,610,000.00</w:t>
            </w:r>
          </w:p>
        </w:tc>
        <w:tc>
          <w:tcPr>
            <w:tcW w:w="804" w:type="pct"/>
            <w:vAlign w:val="center"/>
          </w:tcPr>
          <w:p w:rsidR="004A3868" w:rsidRDefault="003F1AB5">
            <w:pPr>
              <w:pStyle w:val="afff9"/>
            </w:pPr>
            <w:r>
              <w:t>双方和解</w:t>
            </w:r>
          </w:p>
        </w:tc>
        <w:tc>
          <w:tcPr>
            <w:tcW w:w="792" w:type="pct"/>
            <w:vAlign w:val="center"/>
          </w:tcPr>
          <w:p w:rsidR="004A3868" w:rsidRDefault="003F1AB5">
            <w:pPr>
              <w:pStyle w:val="afff9"/>
            </w:pPr>
            <w:r>
              <w:t>现金收回</w:t>
            </w:r>
          </w:p>
        </w:tc>
        <w:tc>
          <w:tcPr>
            <w:tcW w:w="1077" w:type="pct"/>
            <w:vAlign w:val="center"/>
          </w:tcPr>
          <w:p w:rsidR="004A3868" w:rsidRDefault="004A3868">
            <w:pPr>
              <w:pStyle w:val="afff9"/>
            </w:pPr>
          </w:p>
        </w:tc>
      </w:tr>
      <w:tr w:rsidR="004A3868">
        <w:trPr>
          <w:trHeight w:val="397"/>
          <w:jc w:val="center"/>
        </w:trPr>
        <w:tc>
          <w:tcPr>
            <w:tcW w:w="1282" w:type="pct"/>
            <w:vAlign w:val="center"/>
          </w:tcPr>
          <w:p w:rsidR="004A3868" w:rsidRDefault="003F1AB5">
            <w:pPr>
              <w:pStyle w:val="afff9"/>
            </w:pPr>
            <w:r>
              <w:t>合计</w:t>
            </w:r>
          </w:p>
        </w:tc>
        <w:tc>
          <w:tcPr>
            <w:tcW w:w="1044" w:type="pct"/>
            <w:vAlign w:val="center"/>
          </w:tcPr>
          <w:p w:rsidR="004A3868" w:rsidRDefault="003F1AB5">
            <w:pPr>
              <w:pStyle w:val="afff7"/>
            </w:pPr>
            <w:r>
              <w:t>1,610,000.00</w:t>
            </w:r>
          </w:p>
        </w:tc>
        <w:tc>
          <w:tcPr>
            <w:tcW w:w="804" w:type="pct"/>
            <w:vAlign w:val="center"/>
          </w:tcPr>
          <w:p w:rsidR="004A3868" w:rsidRDefault="004A3868">
            <w:pPr>
              <w:pStyle w:val="afff9"/>
            </w:pPr>
          </w:p>
        </w:tc>
        <w:tc>
          <w:tcPr>
            <w:tcW w:w="792" w:type="pct"/>
            <w:vAlign w:val="center"/>
          </w:tcPr>
          <w:p w:rsidR="004A3868" w:rsidRDefault="004A3868">
            <w:pPr>
              <w:pStyle w:val="afff9"/>
            </w:pPr>
          </w:p>
        </w:tc>
        <w:tc>
          <w:tcPr>
            <w:tcW w:w="1077" w:type="pct"/>
            <w:vAlign w:val="center"/>
          </w:tcPr>
          <w:p w:rsidR="004A3868" w:rsidRDefault="004A3868">
            <w:pPr>
              <w:pStyle w:val="afff9"/>
            </w:pPr>
          </w:p>
        </w:tc>
      </w:tr>
    </w:tbl>
    <w:p w:rsidR="004A3868" w:rsidRDefault="003F1AB5">
      <w:pPr>
        <w:pStyle w:val="Style853"/>
        <w:rPr>
          <w:rStyle w:val="Char20"/>
        </w:rPr>
      </w:pPr>
      <w:r>
        <w:rPr>
          <w:rStyle w:val="Char20"/>
          <w:rFonts w:hint="eastAsia"/>
        </w:rPr>
        <w:t>其他说明</w:t>
      </w:r>
    </w:p>
    <w:sdt>
      <w:sdtPr>
        <w:rPr>
          <w:rStyle w:val="Char20"/>
        </w:rPr>
        <w:alias w:val="应收账款坏账准备情况的说明"/>
        <w:tag w:val="_GBC_cff8cbc4c64e413fadcc7d21dcb34fc7"/>
        <w:id w:val="-1129473135"/>
        <w:placeholder>
          <w:docPart w:val="GBC22222222222222222222222222222"/>
        </w:placeholder>
      </w:sdtPr>
      <w:sdtEndPr>
        <w:rPr>
          <w:rStyle w:val="Char20"/>
        </w:rPr>
      </w:sdtEndPr>
      <w:sdtContent>
        <w:p w:rsidR="004A3868" w:rsidRDefault="003F1AB5">
          <w:pPr>
            <w:pStyle w:val="Style842"/>
            <w:rPr>
              <w:rStyle w:val="Char20"/>
            </w:rPr>
          </w:pPr>
          <w:r>
            <w:rPr>
              <w:rStyle w:val="Char20"/>
              <w:rFonts w:hint="eastAsia"/>
            </w:rPr>
            <w:t>无</w:t>
          </w:r>
        </w:p>
      </w:sdtContent>
    </w:sdt>
    <w:bookmarkEnd w:id="262"/>
    <w:p w:rsidR="004A3868" w:rsidRDefault="004A3868">
      <w:pPr>
        <w:pStyle w:val="Style842"/>
      </w:pPr>
    </w:p>
    <w:p w:rsidR="004A3868" w:rsidRDefault="003F1AB5">
      <w:pPr>
        <w:pStyle w:val="Style956"/>
        <w:numPr>
          <w:ilvl w:val="3"/>
          <w:numId w:val="129"/>
        </w:numPr>
        <w:rPr>
          <w:rStyle w:val="Char20"/>
        </w:rPr>
      </w:pPr>
      <w:r>
        <w:rPr>
          <w:rStyle w:val="Char20"/>
        </w:rPr>
        <w:t>本期实际核销的应收</w:t>
      </w:r>
      <w:r>
        <w:rPr>
          <w:rStyle w:val="Char20"/>
          <w:rFonts w:hint="eastAsia"/>
        </w:rPr>
        <w:t>账款</w:t>
      </w:r>
      <w:r>
        <w:rPr>
          <w:rStyle w:val="Char20"/>
        </w:rPr>
        <w:t>情况</w:t>
      </w:r>
    </w:p>
    <w:sdt>
      <w:sdtPr>
        <w:rPr>
          <w:rStyle w:val="Char20"/>
        </w:rPr>
        <w:alias w:val="是否适用：母公司本期实际核销的应收账款情况[双击切换]"/>
        <w:tag w:val="_GBC_a30d476ac6184bc98f9b334fa55067ac"/>
        <w:id w:val="1485201723"/>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Fonts w:hint="eastAsia"/>
            </w:rPr>
            <w:instrText xml:space="preserve">MACROBUTTON  SnrToggleCheckbox </w:instrText>
          </w:r>
          <w:r>
            <w:rPr>
              <w:rStyle w:val="Char20"/>
              <w:rFonts w:hint="eastAsia"/>
            </w:rPr>
            <w:instrText>√适用</w:instrText>
          </w:r>
          <w:r>
            <w:rPr>
              <w:rStyle w:val="Char20"/>
              <w:rFonts w:hint="eastAsia"/>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pPr>
      <w:r>
        <w:rPr>
          <w:rStyle w:val="Char20"/>
          <w:rFonts w:hint="eastAsia"/>
        </w:rPr>
        <w:t>单位：</w:t>
      </w:r>
      <w:sdt>
        <w:sdtPr>
          <w:rPr>
            <w:rStyle w:val="Char20"/>
            <w:rFonts w:hint="eastAsia"/>
          </w:rPr>
          <w:alias w:val="单位：母公司财务附注：本报告期实际核销的应收款项情况"/>
          <w:tag w:val="_GBC_a5c3b5e8c8bf477abc83c1766768abf2"/>
          <w:id w:val="18460521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财务附注：本报告期实际核销的应收款项情况"/>
          <w:tag w:val="_GBC_c46c6c481aca4428892d83e0d45ec77c"/>
          <w:id w:val="-17532699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4166"/>
        <w:gridCol w:w="4657"/>
      </w:tblGrid>
      <w:tr w:rsidR="004A3868">
        <w:trPr>
          <w:trHeight w:val="397"/>
          <w:jc w:val="center"/>
        </w:trPr>
        <w:sdt>
          <w:sdtPr>
            <w:rPr>
              <w:rStyle w:val="Char20"/>
            </w:rPr>
            <w:tag w:val="_PLD_5c7267345db44379846ba86d759302da"/>
            <w:id w:val="-239249669"/>
          </w:sdtPr>
          <w:sdtEndPr>
            <w:rPr>
              <w:rStyle w:val="Char20"/>
            </w:rPr>
          </w:sdtEndPr>
          <w:sdtContent>
            <w:tc>
              <w:tcPr>
                <w:tcW w:w="2361" w:type="pct"/>
                <w:vAlign w:val="center"/>
              </w:tcPr>
              <w:p w:rsidR="004A3868" w:rsidRDefault="003F1AB5">
                <w:pPr>
                  <w:pStyle w:val="Style1226"/>
                  <w:rPr>
                    <w:rStyle w:val="Char20"/>
                  </w:rPr>
                </w:pPr>
                <w:r>
                  <w:rPr>
                    <w:rStyle w:val="Char20"/>
                    <w:rFonts w:hint="eastAsia"/>
                  </w:rPr>
                  <w:t>项目</w:t>
                </w:r>
              </w:p>
            </w:tc>
          </w:sdtContent>
        </w:sdt>
        <w:sdt>
          <w:sdtPr>
            <w:rPr>
              <w:rStyle w:val="Char20"/>
            </w:rPr>
            <w:tag w:val="_PLD_99874d480e864cddaf845b554cb24ccb"/>
            <w:id w:val="1006945589"/>
          </w:sdtPr>
          <w:sdtEndPr>
            <w:rPr>
              <w:rStyle w:val="Char20"/>
            </w:rPr>
          </w:sdtEndPr>
          <w:sdtContent>
            <w:tc>
              <w:tcPr>
                <w:tcW w:w="2639" w:type="pct"/>
                <w:vAlign w:val="center"/>
              </w:tcPr>
              <w:p w:rsidR="004A3868" w:rsidRDefault="003F1AB5">
                <w:pPr>
                  <w:pStyle w:val="Style1226"/>
                  <w:rPr>
                    <w:rStyle w:val="Char20"/>
                  </w:rPr>
                </w:pPr>
                <w:r>
                  <w:rPr>
                    <w:rStyle w:val="Char20"/>
                    <w:rFonts w:hint="eastAsia"/>
                  </w:rPr>
                  <w:t>核销金额</w:t>
                </w:r>
              </w:p>
            </w:tc>
          </w:sdtContent>
        </w:sdt>
      </w:tr>
      <w:tr w:rsidR="004A3868">
        <w:trPr>
          <w:trHeight w:val="397"/>
          <w:jc w:val="center"/>
        </w:trPr>
        <w:tc>
          <w:tcPr>
            <w:tcW w:w="2361" w:type="pct"/>
          </w:tcPr>
          <w:p w:rsidR="004A3868" w:rsidRDefault="003F1AB5">
            <w:pPr>
              <w:pStyle w:val="Style1226"/>
              <w:rPr>
                <w:rStyle w:val="Char20"/>
              </w:rPr>
            </w:pPr>
            <w:r>
              <w:rPr>
                <w:rStyle w:val="Char20"/>
                <w:rFonts w:hint="eastAsia"/>
              </w:rPr>
              <w:t>实际核销的应收账款</w:t>
            </w:r>
          </w:p>
        </w:tc>
        <w:tc>
          <w:tcPr>
            <w:tcW w:w="2639" w:type="pct"/>
            <w:vAlign w:val="center"/>
          </w:tcPr>
          <w:p w:rsidR="004A3868" w:rsidRDefault="003F1AB5">
            <w:pPr>
              <w:pStyle w:val="Style1226"/>
              <w:rPr>
                <w:rStyle w:val="Char20"/>
              </w:rPr>
            </w:pPr>
            <w:r>
              <w:rPr>
                <w:rStyle w:val="Char20"/>
              </w:rPr>
              <w:t>589,771.43</w:t>
            </w:r>
          </w:p>
        </w:tc>
      </w:tr>
    </w:tbl>
    <w:p w:rsidR="004A3868" w:rsidRDefault="003F1AB5">
      <w:pPr>
        <w:pStyle w:val="Style842"/>
        <w:rPr>
          <w:rStyle w:val="Char20"/>
        </w:rPr>
      </w:pPr>
      <w:r>
        <w:rPr>
          <w:rStyle w:val="Char20"/>
          <w:rFonts w:hint="eastAsia"/>
        </w:rPr>
        <w:t>其中重要的应收账款核销情况</w:t>
      </w:r>
    </w:p>
    <w:sdt>
      <w:sdtPr>
        <w:rPr>
          <w:rStyle w:val="Char20"/>
        </w:rPr>
        <w:alias w:val="是否适用：母公司其中重要的应收账款核销情况[双击切换]"/>
        <w:tag w:val="_GBC_7110dba4b9b14a6ea7177cba57fd2d03"/>
        <w:id w:val="-115139930"/>
        <w:lock w:val="sdtLocked"/>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842"/>
        <w:rPr>
          <w:rStyle w:val="Char20"/>
        </w:rPr>
      </w:pPr>
      <w:r>
        <w:rPr>
          <w:rStyle w:val="Char20"/>
          <w:rFonts w:hint="eastAsia"/>
        </w:rPr>
        <w:t>应收账款核销说明：</w:t>
      </w:r>
    </w:p>
    <w:sdt>
      <w:sdtPr>
        <w:rPr>
          <w:rStyle w:val="Char20"/>
          <w:rFonts w:hint="eastAsia"/>
        </w:rPr>
        <w:alias w:val="是否适用：母公司应收账款核销说明[双击切换]"/>
        <w:tag w:val="_GBC_2ba809c9e31c411795d7353d4b11a774"/>
        <w:id w:val="-1605949123"/>
        <w:lock w:val="sdtLocked"/>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4A3868">
      <w:pPr>
        <w:pStyle w:val="Style853"/>
        <w:rPr>
          <w:rStyle w:val="Char20"/>
        </w:rPr>
      </w:pPr>
    </w:p>
    <w:p w:rsidR="004A3868" w:rsidRDefault="003F1AB5">
      <w:pPr>
        <w:pStyle w:val="Style956"/>
        <w:numPr>
          <w:ilvl w:val="3"/>
          <w:numId w:val="129"/>
        </w:numPr>
        <w:rPr>
          <w:rStyle w:val="Char20"/>
        </w:rPr>
      </w:pPr>
      <w:r>
        <w:rPr>
          <w:rStyle w:val="Char20"/>
          <w:rFonts w:hint="eastAsia"/>
        </w:rPr>
        <w:t>按欠款方归集的期末余额前五名的应收账款和合同资产情况</w:t>
      </w:r>
    </w:p>
    <w:bookmarkStart w:id="263" w:name="_Hlk153789714" w:displacedByCustomXml="next"/>
    <w:bookmarkStart w:id="264" w:name="_Hlk90023019" w:displacedByCustomXml="next"/>
    <w:sdt>
      <w:sdtPr>
        <w:rPr>
          <w:rStyle w:val="Char20"/>
          <w:rFonts w:hint="eastAsia"/>
        </w:rPr>
        <w:alias w:val="是否适用：按欠款方归集的期末余额前五名的应收账款情况[双击切换]"/>
        <w:tag w:val="_GBC_7fffc10e897f45d19e0dc3f8ffc2224f"/>
        <w:id w:val="2046331948"/>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w:instrText>
          </w:r>
          <w:r>
            <w:rPr>
              <w:rStyle w:val="Char20"/>
              <w:rFonts w:hint="eastAsia"/>
            </w:rPr>
            <w:instrText xml:space="preserve">MACROBUTTON  SnrToggleCheckbox </w:instrText>
          </w:r>
          <w:r>
            <w:rPr>
              <w:rStyle w:val="Char20"/>
              <w:rFonts w:hint="eastAsia"/>
            </w:rPr>
            <w:instrText>√适用</w:instrText>
          </w:r>
          <w:r>
            <w:rPr>
              <w:rStyle w:val="Char20"/>
              <w:rFonts w:hint="eastAsia"/>
            </w:rPr>
            <w:instrText xml:space="preserve"> </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rPr>
          <w:rStyle w:val="Char20"/>
        </w:rPr>
      </w:pPr>
      <w:r>
        <w:rPr>
          <w:rStyle w:val="Char20"/>
          <w:rFonts w:hint="eastAsia"/>
        </w:rPr>
        <w:t>单位：</w:t>
      </w:r>
      <w:sdt>
        <w:sdtPr>
          <w:rPr>
            <w:rStyle w:val="Char20"/>
          </w:rPr>
          <w:alias w:val="单位：财务附注：应收账款前五名欠款情况"/>
          <w:tag w:val="_GBC_e41caaf031c645a09f9ff82e1bde3008"/>
          <w:id w:val="-10428240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Style w:val="Char20"/>
          </w:rPr>
        </w:sdtEndPr>
        <w:sdtContent>
          <w:r>
            <w:rPr>
              <w:rStyle w:val="Char20"/>
            </w:rPr>
            <w:t>元</w:t>
          </w:r>
        </w:sdtContent>
      </w:sdt>
      <w:r>
        <w:rPr>
          <w:rStyle w:val="Char20"/>
          <w:rFonts w:hint="eastAsia"/>
        </w:rPr>
        <w:t xml:space="preserve">  </w:t>
      </w:r>
      <w:r>
        <w:rPr>
          <w:rStyle w:val="Char20"/>
          <w:rFonts w:hint="eastAsia"/>
        </w:rPr>
        <w:t>币种：</w:t>
      </w:r>
      <w:sdt>
        <w:sdtPr>
          <w:rPr>
            <w:rStyle w:val="Char20"/>
            <w:rFonts w:hint="eastAsia"/>
          </w:rPr>
          <w:alias w:val="币种：财务附注：应收账款前五名欠款情况"/>
          <w:tag w:val="_GBC_03b6faf9055245869ad37558d10f0525"/>
          <w:id w:val="17409043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838"/>
        <w:gridCol w:w="1558"/>
        <w:gridCol w:w="1278"/>
        <w:gridCol w:w="1166"/>
        <w:gridCol w:w="1331"/>
        <w:gridCol w:w="1652"/>
      </w:tblGrid>
      <w:tr w:rsidR="004A3868">
        <w:trPr>
          <w:cantSplit/>
          <w:trHeight w:val="397"/>
          <w:jc w:val="center"/>
        </w:trPr>
        <w:sdt>
          <w:sdtPr>
            <w:rPr>
              <w:rStyle w:val="Char20"/>
              <w:rFonts w:hint="eastAsia"/>
            </w:rPr>
            <w:tag w:val="_PLD_68ef52d85e9b4f23a72393cc4b01b204"/>
            <w:id w:val="1057442269"/>
            <w:lock w:val="sdtLocked"/>
          </w:sdtPr>
          <w:sdtEndPr>
            <w:rPr>
              <w:rStyle w:val="Char20"/>
            </w:rPr>
          </w:sdtEndPr>
          <w:sdtContent>
            <w:tc>
              <w:tcPr>
                <w:tcW w:w="1042" w:type="pct"/>
                <w:vAlign w:val="center"/>
              </w:tcPr>
              <w:p w:rsidR="004A3868" w:rsidRDefault="003F1AB5">
                <w:pPr>
                  <w:pStyle w:val="afffb"/>
                  <w:rPr>
                    <w:rStyle w:val="Char20"/>
                  </w:rPr>
                </w:pPr>
                <w:r>
                  <w:rPr>
                    <w:rStyle w:val="Char20"/>
                    <w:rFonts w:hint="eastAsia"/>
                  </w:rPr>
                  <w:t>单位名称</w:t>
                </w:r>
              </w:p>
            </w:tc>
          </w:sdtContent>
        </w:sdt>
        <w:sdt>
          <w:sdtPr>
            <w:rPr>
              <w:rStyle w:val="Char20"/>
              <w:rFonts w:hint="eastAsia"/>
            </w:rPr>
            <w:tag w:val="_PLD_a62fd4b0ddfb407795d57ea0471df65a"/>
            <w:id w:val="782719"/>
            <w:lock w:val="sdtLocked"/>
          </w:sdtPr>
          <w:sdtEndPr>
            <w:rPr>
              <w:rStyle w:val="Char20"/>
            </w:rPr>
          </w:sdtEndPr>
          <w:sdtContent>
            <w:tc>
              <w:tcPr>
                <w:tcW w:w="883" w:type="pct"/>
                <w:vAlign w:val="center"/>
              </w:tcPr>
              <w:p w:rsidR="004A3868" w:rsidRDefault="003F1AB5">
                <w:pPr>
                  <w:pStyle w:val="afffb"/>
                  <w:rPr>
                    <w:rStyle w:val="Char20"/>
                  </w:rPr>
                </w:pPr>
                <w:r>
                  <w:rPr>
                    <w:rStyle w:val="Char20"/>
                    <w:rFonts w:hint="eastAsia"/>
                  </w:rPr>
                  <w:t>应收账款期末余额</w:t>
                </w:r>
              </w:p>
            </w:tc>
          </w:sdtContent>
        </w:sdt>
        <w:sdt>
          <w:sdtPr>
            <w:rPr>
              <w:rStyle w:val="Char20"/>
              <w:rFonts w:hint="eastAsia"/>
            </w:rPr>
            <w:tag w:val="_PLD_7e753de74ef54c5da4e5c10a41366274"/>
            <w:id w:val="120889382"/>
            <w:lock w:val="sdtLocked"/>
          </w:sdtPr>
          <w:sdtEndPr>
            <w:rPr>
              <w:rStyle w:val="Char20"/>
            </w:rPr>
          </w:sdtEndPr>
          <w:sdtContent>
            <w:tc>
              <w:tcPr>
                <w:tcW w:w="724" w:type="pct"/>
                <w:vAlign w:val="center"/>
              </w:tcPr>
              <w:p w:rsidR="004A3868" w:rsidRDefault="003F1AB5">
                <w:pPr>
                  <w:pStyle w:val="afffb"/>
                  <w:rPr>
                    <w:rStyle w:val="Char20"/>
                  </w:rPr>
                </w:pPr>
                <w:r>
                  <w:rPr>
                    <w:rStyle w:val="Char20"/>
                    <w:rFonts w:hint="eastAsia"/>
                  </w:rPr>
                  <w:t>合同资产期末余额</w:t>
                </w:r>
              </w:p>
            </w:tc>
          </w:sdtContent>
        </w:sdt>
        <w:sdt>
          <w:sdtPr>
            <w:rPr>
              <w:rStyle w:val="Char20"/>
              <w:rFonts w:hint="eastAsia"/>
            </w:rPr>
            <w:tag w:val="_PLD_1589be2aa7134b3f9de4e223e83a7a61"/>
            <w:id w:val="727108445"/>
            <w:lock w:val="sdtLocked"/>
          </w:sdtPr>
          <w:sdtEndPr>
            <w:rPr>
              <w:rStyle w:val="Char20"/>
            </w:rPr>
          </w:sdtEndPr>
          <w:sdtContent>
            <w:tc>
              <w:tcPr>
                <w:tcW w:w="661" w:type="pct"/>
                <w:vAlign w:val="center"/>
              </w:tcPr>
              <w:p w:rsidR="004A3868" w:rsidRDefault="003F1AB5">
                <w:pPr>
                  <w:pStyle w:val="afffb"/>
                  <w:rPr>
                    <w:rStyle w:val="Char20"/>
                  </w:rPr>
                </w:pPr>
                <w:r>
                  <w:rPr>
                    <w:rStyle w:val="Char20"/>
                    <w:rFonts w:hint="eastAsia"/>
                  </w:rPr>
                  <w:t>应收账款和合同资产期末余额</w:t>
                </w:r>
              </w:p>
            </w:tc>
          </w:sdtContent>
        </w:sdt>
        <w:sdt>
          <w:sdtPr>
            <w:rPr>
              <w:rStyle w:val="Char20"/>
              <w:rFonts w:hint="eastAsia"/>
            </w:rPr>
            <w:tag w:val="_PLD_e84ecb8c9e5146e8b4ede4a709c5ef5f"/>
            <w:id w:val="87351643"/>
            <w:lock w:val="sdtLocked"/>
          </w:sdtPr>
          <w:sdtEndPr>
            <w:rPr>
              <w:rStyle w:val="Char20"/>
            </w:rPr>
          </w:sdtEndPr>
          <w:sdtContent>
            <w:tc>
              <w:tcPr>
                <w:tcW w:w="754" w:type="pct"/>
                <w:vAlign w:val="center"/>
              </w:tcPr>
              <w:p w:rsidR="004A3868" w:rsidRDefault="003F1AB5">
                <w:pPr>
                  <w:pStyle w:val="afffb"/>
                  <w:rPr>
                    <w:rStyle w:val="Char20"/>
                  </w:rPr>
                </w:pPr>
                <w:r>
                  <w:rPr>
                    <w:rStyle w:val="Char20"/>
                    <w:rFonts w:hint="eastAsia"/>
                  </w:rPr>
                  <w:t>占应收账款和合同资产期末余额合计数的比例（</w:t>
                </w:r>
                <w:r>
                  <w:rPr>
                    <w:rStyle w:val="Char20"/>
                    <w:rFonts w:hint="eastAsia"/>
                  </w:rPr>
                  <w:t>%</w:t>
                </w:r>
                <w:r>
                  <w:rPr>
                    <w:rStyle w:val="Char20"/>
                    <w:rFonts w:hint="eastAsia"/>
                  </w:rPr>
                  <w:t>）</w:t>
                </w:r>
              </w:p>
            </w:tc>
          </w:sdtContent>
        </w:sdt>
        <w:sdt>
          <w:sdtPr>
            <w:rPr>
              <w:rStyle w:val="Char20"/>
              <w:rFonts w:hint="eastAsia"/>
            </w:rPr>
            <w:tag w:val="_PLD_da58e99405a342aa95b8ffb814c33752"/>
            <w:id w:val="-1051541220"/>
            <w:lock w:val="sdtLocked"/>
          </w:sdtPr>
          <w:sdtEndPr>
            <w:rPr>
              <w:rStyle w:val="Char20"/>
            </w:rPr>
          </w:sdtEndPr>
          <w:sdtContent>
            <w:tc>
              <w:tcPr>
                <w:tcW w:w="936" w:type="pct"/>
                <w:vAlign w:val="center"/>
              </w:tcPr>
              <w:p w:rsidR="004A3868" w:rsidRDefault="003F1AB5">
                <w:pPr>
                  <w:pStyle w:val="afffb"/>
                  <w:rPr>
                    <w:rStyle w:val="Char20"/>
                  </w:rPr>
                </w:pPr>
                <w:r>
                  <w:rPr>
                    <w:rStyle w:val="Char20"/>
                    <w:rFonts w:hint="eastAsia"/>
                  </w:rPr>
                  <w:t>坏账准备期末余额</w:t>
                </w:r>
              </w:p>
            </w:tc>
          </w:sdtContent>
        </w:sdt>
      </w:tr>
      <w:tr w:rsidR="004A3868">
        <w:trPr>
          <w:cantSplit/>
          <w:trHeight w:val="397"/>
          <w:jc w:val="center"/>
        </w:trPr>
        <w:tc>
          <w:tcPr>
            <w:tcW w:w="1042" w:type="pct"/>
          </w:tcPr>
          <w:p w:rsidR="004A3868" w:rsidRDefault="003F1AB5">
            <w:pPr>
              <w:pStyle w:val="afff9"/>
              <w:rPr>
                <w:rStyle w:val="Char20"/>
              </w:rPr>
            </w:pPr>
            <w:r>
              <w:rPr>
                <w:rStyle w:val="Char20"/>
                <w:rFonts w:hint="eastAsia"/>
              </w:rPr>
              <w:t>母公司应收账款余额前五单位</w:t>
            </w:r>
            <w:r>
              <w:rPr>
                <w:rStyle w:val="Char20"/>
              </w:rPr>
              <w:t>1</w:t>
            </w:r>
          </w:p>
        </w:tc>
        <w:tc>
          <w:tcPr>
            <w:tcW w:w="883" w:type="pct"/>
            <w:vAlign w:val="center"/>
          </w:tcPr>
          <w:p w:rsidR="004A3868" w:rsidRDefault="003F1AB5">
            <w:pPr>
              <w:pStyle w:val="afff7"/>
              <w:rPr>
                <w:rStyle w:val="Char20"/>
              </w:rPr>
            </w:pPr>
            <w:r>
              <w:rPr>
                <w:rStyle w:val="Char20"/>
              </w:rPr>
              <w:t>39,173,263.65</w:t>
            </w:r>
          </w:p>
        </w:tc>
        <w:tc>
          <w:tcPr>
            <w:tcW w:w="724" w:type="pct"/>
            <w:vAlign w:val="center"/>
          </w:tcPr>
          <w:p w:rsidR="004A3868" w:rsidRDefault="004A3868">
            <w:pPr>
              <w:pStyle w:val="afff7"/>
              <w:rPr>
                <w:rStyle w:val="Char20"/>
              </w:rPr>
            </w:pPr>
          </w:p>
        </w:tc>
        <w:tc>
          <w:tcPr>
            <w:tcW w:w="661" w:type="pct"/>
            <w:vAlign w:val="center"/>
          </w:tcPr>
          <w:p w:rsidR="004A3868" w:rsidRDefault="004A3868">
            <w:pPr>
              <w:pStyle w:val="afff7"/>
              <w:rPr>
                <w:rStyle w:val="Char20"/>
              </w:rPr>
            </w:pPr>
          </w:p>
        </w:tc>
        <w:tc>
          <w:tcPr>
            <w:tcW w:w="754" w:type="pct"/>
            <w:vAlign w:val="center"/>
          </w:tcPr>
          <w:p w:rsidR="004A3868" w:rsidRDefault="003F1AB5">
            <w:pPr>
              <w:pStyle w:val="afff7"/>
              <w:rPr>
                <w:rStyle w:val="Char20"/>
              </w:rPr>
            </w:pPr>
            <w:r>
              <w:rPr>
                <w:rStyle w:val="Char20"/>
              </w:rPr>
              <w:t>3.86</w:t>
            </w:r>
          </w:p>
        </w:tc>
        <w:tc>
          <w:tcPr>
            <w:tcW w:w="936" w:type="pct"/>
            <w:vAlign w:val="center"/>
          </w:tcPr>
          <w:p w:rsidR="004A3868" w:rsidRDefault="003F1AB5">
            <w:pPr>
              <w:pStyle w:val="afff7"/>
              <w:rPr>
                <w:rStyle w:val="Char20"/>
              </w:rPr>
            </w:pPr>
            <w:r>
              <w:rPr>
                <w:rStyle w:val="Char20"/>
              </w:rPr>
              <w:t>1,958,663.18</w:t>
            </w:r>
          </w:p>
        </w:tc>
      </w:tr>
      <w:tr w:rsidR="004A3868">
        <w:trPr>
          <w:cantSplit/>
          <w:trHeight w:val="397"/>
          <w:jc w:val="center"/>
        </w:trPr>
        <w:tc>
          <w:tcPr>
            <w:tcW w:w="1042" w:type="pct"/>
          </w:tcPr>
          <w:p w:rsidR="004A3868" w:rsidRDefault="003F1AB5">
            <w:pPr>
              <w:pStyle w:val="afff9"/>
              <w:rPr>
                <w:rStyle w:val="Char20"/>
              </w:rPr>
            </w:pPr>
            <w:r>
              <w:rPr>
                <w:rStyle w:val="Char20"/>
                <w:rFonts w:hint="eastAsia"/>
              </w:rPr>
              <w:t>母公司应收账款余额前五单位</w:t>
            </w:r>
            <w:r>
              <w:rPr>
                <w:rStyle w:val="Char20"/>
              </w:rPr>
              <w:t>2</w:t>
            </w:r>
          </w:p>
        </w:tc>
        <w:tc>
          <w:tcPr>
            <w:tcW w:w="883" w:type="pct"/>
            <w:vAlign w:val="center"/>
          </w:tcPr>
          <w:p w:rsidR="004A3868" w:rsidRDefault="003F1AB5">
            <w:pPr>
              <w:pStyle w:val="afff7"/>
              <w:rPr>
                <w:rStyle w:val="Char20"/>
              </w:rPr>
            </w:pPr>
            <w:r>
              <w:rPr>
                <w:rStyle w:val="Char20"/>
              </w:rPr>
              <w:t>18,211,116.73</w:t>
            </w:r>
          </w:p>
        </w:tc>
        <w:tc>
          <w:tcPr>
            <w:tcW w:w="724" w:type="pct"/>
            <w:vAlign w:val="center"/>
          </w:tcPr>
          <w:p w:rsidR="004A3868" w:rsidRDefault="004A3868">
            <w:pPr>
              <w:pStyle w:val="afff7"/>
              <w:rPr>
                <w:rStyle w:val="Char20"/>
              </w:rPr>
            </w:pPr>
          </w:p>
        </w:tc>
        <w:tc>
          <w:tcPr>
            <w:tcW w:w="661" w:type="pct"/>
            <w:vAlign w:val="center"/>
          </w:tcPr>
          <w:p w:rsidR="004A3868" w:rsidRDefault="004A3868">
            <w:pPr>
              <w:pStyle w:val="afff7"/>
              <w:rPr>
                <w:rStyle w:val="Char20"/>
              </w:rPr>
            </w:pPr>
          </w:p>
        </w:tc>
        <w:tc>
          <w:tcPr>
            <w:tcW w:w="754" w:type="pct"/>
            <w:vAlign w:val="center"/>
          </w:tcPr>
          <w:p w:rsidR="004A3868" w:rsidRDefault="003F1AB5">
            <w:pPr>
              <w:pStyle w:val="afff7"/>
              <w:rPr>
                <w:rStyle w:val="Char20"/>
              </w:rPr>
            </w:pPr>
            <w:r>
              <w:rPr>
                <w:rStyle w:val="Char20"/>
              </w:rPr>
              <w:t>1.80</w:t>
            </w:r>
          </w:p>
        </w:tc>
        <w:tc>
          <w:tcPr>
            <w:tcW w:w="936" w:type="pct"/>
            <w:vAlign w:val="center"/>
          </w:tcPr>
          <w:p w:rsidR="004A3868" w:rsidRDefault="003F1AB5">
            <w:pPr>
              <w:pStyle w:val="afff7"/>
              <w:rPr>
                <w:rStyle w:val="Char20"/>
              </w:rPr>
            </w:pPr>
            <w:r>
              <w:rPr>
                <w:rStyle w:val="Char20"/>
              </w:rPr>
              <w:t>1,669,924.35</w:t>
            </w:r>
          </w:p>
        </w:tc>
      </w:tr>
      <w:tr w:rsidR="004A3868">
        <w:trPr>
          <w:cantSplit/>
          <w:trHeight w:val="397"/>
          <w:jc w:val="center"/>
        </w:trPr>
        <w:tc>
          <w:tcPr>
            <w:tcW w:w="1042" w:type="pct"/>
          </w:tcPr>
          <w:p w:rsidR="004A3868" w:rsidRDefault="003F1AB5">
            <w:pPr>
              <w:pStyle w:val="afff9"/>
              <w:rPr>
                <w:rStyle w:val="Char20"/>
              </w:rPr>
            </w:pPr>
            <w:r>
              <w:rPr>
                <w:rStyle w:val="Char20"/>
                <w:rFonts w:hint="eastAsia"/>
              </w:rPr>
              <w:t>母公司应收账款余额前五单位</w:t>
            </w:r>
            <w:r>
              <w:rPr>
                <w:rStyle w:val="Char20"/>
              </w:rPr>
              <w:t>3</w:t>
            </w:r>
          </w:p>
        </w:tc>
        <w:tc>
          <w:tcPr>
            <w:tcW w:w="883" w:type="pct"/>
            <w:vAlign w:val="center"/>
          </w:tcPr>
          <w:p w:rsidR="004A3868" w:rsidRDefault="003F1AB5">
            <w:pPr>
              <w:pStyle w:val="afff7"/>
              <w:rPr>
                <w:rStyle w:val="Char20"/>
              </w:rPr>
            </w:pPr>
            <w:r>
              <w:rPr>
                <w:rStyle w:val="Char20"/>
              </w:rPr>
              <w:t>17,892,818.97</w:t>
            </w:r>
          </w:p>
        </w:tc>
        <w:tc>
          <w:tcPr>
            <w:tcW w:w="724" w:type="pct"/>
            <w:vAlign w:val="center"/>
          </w:tcPr>
          <w:p w:rsidR="004A3868" w:rsidRDefault="004A3868">
            <w:pPr>
              <w:pStyle w:val="afff7"/>
              <w:rPr>
                <w:rStyle w:val="Char20"/>
              </w:rPr>
            </w:pPr>
          </w:p>
        </w:tc>
        <w:tc>
          <w:tcPr>
            <w:tcW w:w="661" w:type="pct"/>
            <w:vAlign w:val="center"/>
          </w:tcPr>
          <w:p w:rsidR="004A3868" w:rsidRDefault="004A3868">
            <w:pPr>
              <w:pStyle w:val="afff7"/>
              <w:rPr>
                <w:rStyle w:val="Char20"/>
              </w:rPr>
            </w:pPr>
          </w:p>
        </w:tc>
        <w:tc>
          <w:tcPr>
            <w:tcW w:w="754" w:type="pct"/>
            <w:vAlign w:val="center"/>
          </w:tcPr>
          <w:p w:rsidR="004A3868" w:rsidRDefault="003F1AB5">
            <w:pPr>
              <w:pStyle w:val="afff7"/>
              <w:rPr>
                <w:rStyle w:val="Char20"/>
              </w:rPr>
            </w:pPr>
            <w:r>
              <w:rPr>
                <w:rStyle w:val="Char20"/>
              </w:rPr>
              <w:t>1.77</w:t>
            </w:r>
          </w:p>
        </w:tc>
        <w:tc>
          <w:tcPr>
            <w:tcW w:w="936" w:type="pct"/>
            <w:vAlign w:val="center"/>
          </w:tcPr>
          <w:p w:rsidR="004A3868" w:rsidRDefault="003F1AB5">
            <w:pPr>
              <w:pStyle w:val="afff7"/>
              <w:rPr>
                <w:rStyle w:val="Char20"/>
              </w:rPr>
            </w:pPr>
            <w:r>
              <w:rPr>
                <w:rStyle w:val="Char20"/>
              </w:rPr>
              <w:t>965,322.80</w:t>
            </w:r>
          </w:p>
        </w:tc>
      </w:tr>
      <w:tr w:rsidR="004A3868">
        <w:trPr>
          <w:cantSplit/>
          <w:trHeight w:val="397"/>
          <w:jc w:val="center"/>
        </w:trPr>
        <w:tc>
          <w:tcPr>
            <w:tcW w:w="1042" w:type="pct"/>
          </w:tcPr>
          <w:p w:rsidR="004A3868" w:rsidRDefault="003F1AB5">
            <w:pPr>
              <w:pStyle w:val="afff9"/>
              <w:rPr>
                <w:rStyle w:val="Char20"/>
              </w:rPr>
            </w:pPr>
            <w:r>
              <w:rPr>
                <w:rStyle w:val="Char20"/>
                <w:rFonts w:hint="eastAsia"/>
              </w:rPr>
              <w:t>母公司应收账款余额前五单位</w:t>
            </w:r>
            <w:r>
              <w:rPr>
                <w:rStyle w:val="Char20"/>
              </w:rPr>
              <w:t>4</w:t>
            </w:r>
          </w:p>
        </w:tc>
        <w:tc>
          <w:tcPr>
            <w:tcW w:w="883" w:type="pct"/>
            <w:vAlign w:val="center"/>
          </w:tcPr>
          <w:p w:rsidR="004A3868" w:rsidRDefault="003F1AB5">
            <w:pPr>
              <w:pStyle w:val="afff7"/>
              <w:rPr>
                <w:rStyle w:val="Char20"/>
              </w:rPr>
            </w:pPr>
            <w:r>
              <w:rPr>
                <w:rStyle w:val="Char20"/>
              </w:rPr>
              <w:t>16,681,795.90</w:t>
            </w:r>
          </w:p>
        </w:tc>
        <w:tc>
          <w:tcPr>
            <w:tcW w:w="724" w:type="pct"/>
            <w:vAlign w:val="center"/>
          </w:tcPr>
          <w:p w:rsidR="004A3868" w:rsidRDefault="004A3868">
            <w:pPr>
              <w:pStyle w:val="afff7"/>
              <w:rPr>
                <w:rStyle w:val="Char20"/>
              </w:rPr>
            </w:pPr>
          </w:p>
        </w:tc>
        <w:tc>
          <w:tcPr>
            <w:tcW w:w="661" w:type="pct"/>
            <w:vAlign w:val="center"/>
          </w:tcPr>
          <w:p w:rsidR="004A3868" w:rsidRDefault="004A3868">
            <w:pPr>
              <w:pStyle w:val="afff7"/>
              <w:rPr>
                <w:rStyle w:val="Char20"/>
              </w:rPr>
            </w:pPr>
          </w:p>
        </w:tc>
        <w:tc>
          <w:tcPr>
            <w:tcW w:w="754" w:type="pct"/>
            <w:vAlign w:val="center"/>
          </w:tcPr>
          <w:p w:rsidR="004A3868" w:rsidRDefault="003F1AB5">
            <w:pPr>
              <w:pStyle w:val="afff7"/>
              <w:rPr>
                <w:rStyle w:val="Char20"/>
              </w:rPr>
            </w:pPr>
            <w:r>
              <w:rPr>
                <w:rStyle w:val="Char20"/>
              </w:rPr>
              <w:t>1.65</w:t>
            </w:r>
          </w:p>
        </w:tc>
        <w:tc>
          <w:tcPr>
            <w:tcW w:w="936" w:type="pct"/>
            <w:vAlign w:val="center"/>
          </w:tcPr>
          <w:p w:rsidR="004A3868" w:rsidRDefault="003F1AB5">
            <w:pPr>
              <w:pStyle w:val="afff7"/>
              <w:rPr>
                <w:rStyle w:val="Char20"/>
              </w:rPr>
            </w:pPr>
            <w:r>
              <w:rPr>
                <w:rStyle w:val="Char20"/>
              </w:rPr>
              <w:t>1,326,979.40</w:t>
            </w:r>
          </w:p>
        </w:tc>
      </w:tr>
      <w:tr w:rsidR="004A3868">
        <w:trPr>
          <w:cantSplit/>
          <w:trHeight w:val="397"/>
          <w:jc w:val="center"/>
        </w:trPr>
        <w:tc>
          <w:tcPr>
            <w:tcW w:w="1042" w:type="pct"/>
          </w:tcPr>
          <w:p w:rsidR="004A3868" w:rsidRDefault="003F1AB5">
            <w:pPr>
              <w:pStyle w:val="afff9"/>
              <w:rPr>
                <w:rStyle w:val="Char20"/>
              </w:rPr>
            </w:pPr>
            <w:r>
              <w:rPr>
                <w:rStyle w:val="Char20"/>
                <w:rFonts w:hint="eastAsia"/>
              </w:rPr>
              <w:t>母公司应收账款余额前五单位</w:t>
            </w:r>
            <w:r>
              <w:rPr>
                <w:rStyle w:val="Char20"/>
              </w:rPr>
              <w:t>5</w:t>
            </w:r>
          </w:p>
        </w:tc>
        <w:tc>
          <w:tcPr>
            <w:tcW w:w="883" w:type="pct"/>
            <w:vAlign w:val="center"/>
          </w:tcPr>
          <w:p w:rsidR="004A3868" w:rsidRDefault="003F1AB5">
            <w:pPr>
              <w:pStyle w:val="afff7"/>
              <w:rPr>
                <w:rStyle w:val="Char20"/>
              </w:rPr>
            </w:pPr>
            <w:r>
              <w:rPr>
                <w:rStyle w:val="Char20"/>
              </w:rPr>
              <w:t>15,710,557.00</w:t>
            </w:r>
          </w:p>
        </w:tc>
        <w:tc>
          <w:tcPr>
            <w:tcW w:w="724" w:type="pct"/>
            <w:vAlign w:val="center"/>
          </w:tcPr>
          <w:p w:rsidR="004A3868" w:rsidRDefault="004A3868">
            <w:pPr>
              <w:pStyle w:val="afff7"/>
              <w:rPr>
                <w:rStyle w:val="Char20"/>
              </w:rPr>
            </w:pPr>
          </w:p>
        </w:tc>
        <w:tc>
          <w:tcPr>
            <w:tcW w:w="661" w:type="pct"/>
            <w:vAlign w:val="center"/>
          </w:tcPr>
          <w:p w:rsidR="004A3868" w:rsidRDefault="004A3868">
            <w:pPr>
              <w:pStyle w:val="afff7"/>
              <w:rPr>
                <w:rStyle w:val="Char20"/>
              </w:rPr>
            </w:pPr>
          </w:p>
        </w:tc>
        <w:tc>
          <w:tcPr>
            <w:tcW w:w="754" w:type="pct"/>
            <w:vAlign w:val="center"/>
          </w:tcPr>
          <w:p w:rsidR="004A3868" w:rsidRDefault="003F1AB5">
            <w:pPr>
              <w:pStyle w:val="afff7"/>
              <w:rPr>
                <w:rStyle w:val="Char20"/>
              </w:rPr>
            </w:pPr>
            <w:r>
              <w:rPr>
                <w:rStyle w:val="Char20"/>
              </w:rPr>
              <w:t>1.55</w:t>
            </w:r>
          </w:p>
        </w:tc>
        <w:tc>
          <w:tcPr>
            <w:tcW w:w="936" w:type="pct"/>
            <w:vAlign w:val="center"/>
          </w:tcPr>
          <w:p w:rsidR="004A3868" w:rsidRDefault="003F1AB5">
            <w:pPr>
              <w:pStyle w:val="afff7"/>
              <w:rPr>
                <w:rStyle w:val="Char20"/>
              </w:rPr>
            </w:pPr>
            <w:r>
              <w:rPr>
                <w:rStyle w:val="Char20"/>
              </w:rPr>
              <w:t>785,527.85</w:t>
            </w:r>
          </w:p>
        </w:tc>
      </w:tr>
      <w:tr w:rsidR="004A3868">
        <w:trPr>
          <w:cantSplit/>
          <w:trHeight w:val="397"/>
          <w:jc w:val="center"/>
        </w:trPr>
        <w:tc>
          <w:tcPr>
            <w:tcW w:w="1042" w:type="pct"/>
            <w:vAlign w:val="center"/>
          </w:tcPr>
          <w:p w:rsidR="004A3868" w:rsidRDefault="003F1AB5">
            <w:pPr>
              <w:pStyle w:val="afff9"/>
              <w:rPr>
                <w:rStyle w:val="Char20"/>
              </w:rPr>
            </w:pPr>
            <w:r>
              <w:rPr>
                <w:rStyle w:val="Char20"/>
                <w:rFonts w:hint="eastAsia"/>
              </w:rPr>
              <w:t>合计</w:t>
            </w:r>
          </w:p>
        </w:tc>
        <w:tc>
          <w:tcPr>
            <w:tcW w:w="883" w:type="pct"/>
            <w:vAlign w:val="center"/>
          </w:tcPr>
          <w:p w:rsidR="004A3868" w:rsidRDefault="003F1AB5">
            <w:pPr>
              <w:pStyle w:val="afff7"/>
              <w:rPr>
                <w:rStyle w:val="Char20"/>
              </w:rPr>
            </w:pPr>
            <w:r>
              <w:rPr>
                <w:rStyle w:val="Char20"/>
              </w:rPr>
              <w:t>107,669,552.25</w:t>
            </w:r>
          </w:p>
        </w:tc>
        <w:tc>
          <w:tcPr>
            <w:tcW w:w="724" w:type="pct"/>
            <w:vAlign w:val="center"/>
          </w:tcPr>
          <w:p w:rsidR="004A3868" w:rsidRDefault="004A3868">
            <w:pPr>
              <w:pStyle w:val="afff7"/>
              <w:rPr>
                <w:rStyle w:val="Char20"/>
              </w:rPr>
            </w:pPr>
          </w:p>
        </w:tc>
        <w:tc>
          <w:tcPr>
            <w:tcW w:w="661" w:type="pct"/>
            <w:vAlign w:val="center"/>
          </w:tcPr>
          <w:p w:rsidR="004A3868" w:rsidRDefault="004A3868">
            <w:pPr>
              <w:pStyle w:val="afff7"/>
              <w:rPr>
                <w:rStyle w:val="Char20"/>
              </w:rPr>
            </w:pPr>
          </w:p>
        </w:tc>
        <w:tc>
          <w:tcPr>
            <w:tcW w:w="754" w:type="pct"/>
            <w:vAlign w:val="center"/>
          </w:tcPr>
          <w:p w:rsidR="004A3868" w:rsidRDefault="003F1AB5">
            <w:pPr>
              <w:pStyle w:val="afff7"/>
              <w:rPr>
                <w:rStyle w:val="Char20"/>
              </w:rPr>
            </w:pPr>
            <w:r>
              <w:rPr>
                <w:rStyle w:val="Char20"/>
              </w:rPr>
              <w:t>10.63</w:t>
            </w:r>
          </w:p>
        </w:tc>
        <w:tc>
          <w:tcPr>
            <w:tcW w:w="936" w:type="pct"/>
            <w:vAlign w:val="center"/>
          </w:tcPr>
          <w:p w:rsidR="004A3868" w:rsidRDefault="003F1AB5">
            <w:pPr>
              <w:pStyle w:val="afff7"/>
              <w:rPr>
                <w:rStyle w:val="Char20"/>
              </w:rPr>
            </w:pPr>
            <w:r>
              <w:rPr>
                <w:rStyle w:val="Char20"/>
              </w:rPr>
              <w:t>6,706,417.58</w:t>
            </w:r>
          </w:p>
        </w:tc>
      </w:tr>
    </w:tbl>
    <w:p w:rsidR="004A3868" w:rsidRDefault="003F1AB5">
      <w:pPr>
        <w:pStyle w:val="Style842"/>
        <w:rPr>
          <w:rStyle w:val="Char20"/>
        </w:rPr>
      </w:pPr>
      <w:r>
        <w:rPr>
          <w:rStyle w:val="Char20"/>
          <w:rFonts w:hint="eastAsia"/>
        </w:rPr>
        <w:t>其他说明</w:t>
      </w:r>
    </w:p>
    <w:sdt>
      <w:sdtPr>
        <w:alias w:val="按欠款方归集的期末余额前五名的应收账款情况的说明"/>
        <w:tag w:val="_GBC_4233d26567cb46b2a0053fbc4949e5ad"/>
        <w:id w:val="-1091000460"/>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42"/>
            <w:rPr>
              <w:rStyle w:val="Char10"/>
            </w:rPr>
          </w:pPr>
          <w:r>
            <w:rPr>
              <w:rStyle w:val="Char10"/>
              <w:rFonts w:hint="eastAsia"/>
            </w:rPr>
            <w:t>无</w:t>
          </w:r>
        </w:p>
      </w:sdtContent>
    </w:sdt>
    <w:bookmarkEnd w:id="264"/>
    <w:bookmarkEnd w:id="263"/>
    <w:p w:rsidR="004A3868" w:rsidRDefault="003F1AB5">
      <w:pPr>
        <w:pStyle w:val="Style853"/>
        <w:rPr>
          <w:rStyle w:val="Char10"/>
        </w:rPr>
      </w:pPr>
      <w:r>
        <w:rPr>
          <w:rStyle w:val="Char10"/>
          <w:rFonts w:hint="eastAsia"/>
        </w:rPr>
        <w:t>其他</w:t>
      </w:r>
      <w:r>
        <w:rPr>
          <w:rStyle w:val="Char10"/>
        </w:rPr>
        <w:t>说明：</w:t>
      </w:r>
    </w:p>
    <w:sdt>
      <w:sdtPr>
        <w:rPr>
          <w:rStyle w:val="Char10"/>
        </w:rPr>
        <w:alias w:val="是否适用：母公司应收账款其他说明[双击切换]"/>
        <w:tag w:val="_GBC_4765684a53b9474f898fa6c2bd313427"/>
        <w:id w:val="1828863272"/>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
      <w:sdtPr>
        <w:rPr>
          <w:rStyle w:val="Char10"/>
          <w:rFonts w:hint="eastAsia"/>
        </w:rPr>
        <w:alias w:val="应收账款其他说明"/>
        <w:tag w:val="_GBC_050ad4436a034bc991ef13e9e868e8f8"/>
        <w:id w:val="1979108267"/>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p w:rsidR="004A3868" w:rsidRDefault="003F1AB5">
      <w:pPr>
        <w:pStyle w:val="Style955"/>
        <w:numPr>
          <w:ilvl w:val="0"/>
          <w:numId w:val="128"/>
        </w:numPr>
        <w:spacing w:before="120"/>
        <w:rPr>
          <w:rStyle w:val="Char10"/>
        </w:rPr>
      </w:pPr>
      <w:r>
        <w:rPr>
          <w:rStyle w:val="Char10"/>
          <w:rFonts w:hint="eastAsia"/>
        </w:rPr>
        <w:t>其他应收款</w:t>
      </w:r>
    </w:p>
    <w:p w:rsidR="004A3868" w:rsidRDefault="003F1AB5">
      <w:pPr>
        <w:pStyle w:val="Style956"/>
        <w:rPr>
          <w:rStyle w:val="Char10"/>
        </w:rPr>
      </w:pPr>
      <w:r>
        <w:rPr>
          <w:rStyle w:val="Char10"/>
          <w:rFonts w:hint="eastAsia"/>
        </w:rPr>
        <w:t>项目列示</w:t>
      </w:r>
    </w:p>
    <w:bookmarkStart w:id="265" w:name="_Hlk153789873" w:displacedByCustomXml="next"/>
    <w:bookmarkStart w:id="266" w:name="_Hlk533796954" w:displacedByCustomXml="next"/>
    <w:sdt>
      <w:sdtPr>
        <w:rPr>
          <w:rStyle w:val="Char10"/>
        </w:rPr>
        <w:alias w:val="是否适用：母公司其他应收款分类列示[双击切换]"/>
        <w:tag w:val="_GBC_eca97260629e4985b01404cfe0f9630b"/>
        <w:id w:val="-1152135757"/>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母公司其他应收款分类列示"/>
          <w:tag w:val="_GBC_3e648241a63447daac5dd00971efb146"/>
          <w:id w:val="-10963965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母公司其他应收款分类列示"/>
          <w:tag w:val="_GBC_c7b8206dd7dd44fcb02f4cced206c1b8"/>
          <w:id w:val="-6330243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113"/>
        <w:gridCol w:w="2862"/>
        <w:gridCol w:w="2848"/>
      </w:tblGrid>
      <w:tr w:rsidR="004A3868">
        <w:trPr>
          <w:cantSplit/>
          <w:trHeight w:val="397"/>
          <w:jc w:val="center"/>
        </w:trPr>
        <w:sdt>
          <w:sdtPr>
            <w:rPr>
              <w:rStyle w:val="Char10"/>
            </w:rPr>
            <w:tag w:val="_PLD_3fbe550dc0704e7ebed42463d474129d"/>
            <w:id w:val="-1781798397"/>
          </w:sdtPr>
          <w:sdtEndPr>
            <w:rPr>
              <w:rStyle w:val="Char10"/>
            </w:rPr>
          </w:sdtEndPr>
          <w:sdtContent>
            <w:tc>
              <w:tcPr>
                <w:tcW w:w="1764" w:type="pct"/>
                <w:vAlign w:val="center"/>
              </w:tcPr>
              <w:p w:rsidR="004A3868" w:rsidRDefault="003F1AB5">
                <w:pPr>
                  <w:pStyle w:val="afffb"/>
                  <w:rPr>
                    <w:rStyle w:val="Char10"/>
                  </w:rPr>
                </w:pPr>
                <w:r>
                  <w:rPr>
                    <w:rStyle w:val="Char10"/>
                    <w:rFonts w:hint="eastAsia"/>
                  </w:rPr>
                  <w:t>项目</w:t>
                </w:r>
              </w:p>
            </w:tc>
          </w:sdtContent>
        </w:sdt>
        <w:sdt>
          <w:sdtPr>
            <w:rPr>
              <w:rStyle w:val="Char10"/>
            </w:rPr>
            <w:tag w:val="_PLD_5161bba6c7a3460784316b0695f47487"/>
            <w:id w:val="-252597674"/>
          </w:sdtPr>
          <w:sdtEndPr>
            <w:rPr>
              <w:rStyle w:val="Char10"/>
            </w:rPr>
          </w:sdtEndPr>
          <w:sdtContent>
            <w:tc>
              <w:tcPr>
                <w:tcW w:w="1622" w:type="pct"/>
                <w:vAlign w:val="center"/>
              </w:tcPr>
              <w:p w:rsidR="004A3868" w:rsidRDefault="003F1AB5">
                <w:pPr>
                  <w:pStyle w:val="afffb"/>
                  <w:rPr>
                    <w:rStyle w:val="Char10"/>
                  </w:rPr>
                </w:pPr>
                <w:r>
                  <w:rPr>
                    <w:rStyle w:val="Char10"/>
                    <w:rFonts w:hint="eastAsia"/>
                  </w:rPr>
                  <w:t>期末余额</w:t>
                </w:r>
              </w:p>
            </w:tc>
          </w:sdtContent>
        </w:sdt>
        <w:sdt>
          <w:sdtPr>
            <w:rPr>
              <w:rStyle w:val="Char10"/>
            </w:rPr>
            <w:tag w:val="_PLD_54007dfc9bc24ec0b86bc4694efe4938"/>
            <w:id w:val="101620439"/>
          </w:sdtPr>
          <w:sdtEndPr>
            <w:rPr>
              <w:rStyle w:val="Char10"/>
            </w:rPr>
          </w:sdtEndPr>
          <w:sdtContent>
            <w:tc>
              <w:tcPr>
                <w:tcW w:w="1614" w:type="pct"/>
                <w:vAlign w:val="center"/>
              </w:tcPr>
              <w:p w:rsidR="004A3868" w:rsidRDefault="003F1AB5">
                <w:pPr>
                  <w:pStyle w:val="afffb"/>
                  <w:rPr>
                    <w:rStyle w:val="Char10"/>
                  </w:rPr>
                </w:pPr>
                <w:r>
                  <w:rPr>
                    <w:rStyle w:val="Char10"/>
                    <w:rFonts w:hint="eastAsia"/>
                  </w:rPr>
                  <w:t>期初余额</w:t>
                </w:r>
              </w:p>
            </w:tc>
          </w:sdtContent>
        </w:sdt>
      </w:tr>
      <w:tr w:rsidR="004A3868">
        <w:trPr>
          <w:cantSplit/>
          <w:trHeight w:val="397"/>
          <w:jc w:val="center"/>
        </w:trPr>
        <w:tc>
          <w:tcPr>
            <w:tcW w:w="1764" w:type="pct"/>
          </w:tcPr>
          <w:p w:rsidR="004A3868" w:rsidRDefault="003F1AB5">
            <w:pPr>
              <w:pStyle w:val="afff9"/>
              <w:rPr>
                <w:rStyle w:val="Char10"/>
              </w:rPr>
            </w:pPr>
            <w:r>
              <w:rPr>
                <w:rStyle w:val="Char10"/>
                <w:rFonts w:hint="eastAsia"/>
              </w:rPr>
              <w:t>其他应收款</w:t>
            </w:r>
          </w:p>
        </w:tc>
        <w:tc>
          <w:tcPr>
            <w:tcW w:w="1622" w:type="pct"/>
            <w:vAlign w:val="center"/>
          </w:tcPr>
          <w:p w:rsidR="004A3868" w:rsidRDefault="003F1AB5">
            <w:pPr>
              <w:pStyle w:val="afff7"/>
              <w:rPr>
                <w:rStyle w:val="Char10"/>
              </w:rPr>
            </w:pPr>
            <w:r>
              <w:rPr>
                <w:rStyle w:val="Char10"/>
              </w:rPr>
              <w:t>60,395,553.44</w:t>
            </w:r>
          </w:p>
        </w:tc>
        <w:tc>
          <w:tcPr>
            <w:tcW w:w="1614" w:type="pct"/>
            <w:vAlign w:val="center"/>
          </w:tcPr>
          <w:p w:rsidR="004A3868" w:rsidRDefault="003F1AB5">
            <w:pPr>
              <w:pStyle w:val="afff7"/>
              <w:rPr>
                <w:rStyle w:val="Char10"/>
              </w:rPr>
            </w:pPr>
            <w:r>
              <w:rPr>
                <w:rStyle w:val="Char10"/>
              </w:rPr>
              <w:t>97,046,657.77</w:t>
            </w:r>
          </w:p>
        </w:tc>
      </w:tr>
      <w:tr w:rsidR="004A3868">
        <w:trPr>
          <w:cantSplit/>
          <w:trHeight w:val="397"/>
          <w:jc w:val="center"/>
        </w:trPr>
        <w:tc>
          <w:tcPr>
            <w:tcW w:w="1764" w:type="pct"/>
          </w:tcPr>
          <w:p w:rsidR="004A3868" w:rsidRDefault="003F1AB5">
            <w:pPr>
              <w:pStyle w:val="afff9"/>
              <w:rPr>
                <w:rStyle w:val="Char10"/>
              </w:rPr>
            </w:pPr>
            <w:r>
              <w:rPr>
                <w:rStyle w:val="Char10"/>
                <w:rFonts w:hint="eastAsia"/>
              </w:rPr>
              <w:t>合计</w:t>
            </w:r>
          </w:p>
        </w:tc>
        <w:tc>
          <w:tcPr>
            <w:tcW w:w="1622" w:type="pct"/>
            <w:vAlign w:val="center"/>
          </w:tcPr>
          <w:p w:rsidR="004A3868" w:rsidRDefault="003F1AB5">
            <w:pPr>
              <w:pStyle w:val="afff7"/>
              <w:rPr>
                <w:rStyle w:val="Char10"/>
              </w:rPr>
            </w:pPr>
            <w:r>
              <w:rPr>
                <w:rStyle w:val="Char10"/>
              </w:rPr>
              <w:t>60,395,553.44</w:t>
            </w:r>
          </w:p>
        </w:tc>
        <w:tc>
          <w:tcPr>
            <w:tcW w:w="1614" w:type="pct"/>
            <w:vAlign w:val="center"/>
          </w:tcPr>
          <w:p w:rsidR="004A3868" w:rsidRDefault="003F1AB5">
            <w:pPr>
              <w:pStyle w:val="afff7"/>
              <w:rPr>
                <w:rStyle w:val="Char10"/>
              </w:rPr>
            </w:pPr>
            <w:r>
              <w:rPr>
                <w:rStyle w:val="Char10"/>
              </w:rPr>
              <w:t>97,046,657.77</w:t>
            </w:r>
          </w:p>
        </w:tc>
      </w:tr>
    </w:tbl>
    <w:bookmarkEnd w:id="265"/>
    <w:p w:rsidR="004A3868" w:rsidRDefault="003F1AB5">
      <w:pPr>
        <w:pStyle w:val="Style842"/>
        <w:rPr>
          <w:rStyle w:val="Char10"/>
        </w:rPr>
      </w:pPr>
      <w:r>
        <w:rPr>
          <w:rStyle w:val="Char10"/>
          <w:rFonts w:hint="eastAsia"/>
        </w:rPr>
        <w:t>其他说明：</w:t>
      </w:r>
    </w:p>
    <w:bookmarkEnd w:id="266" w:displacedByCustomXml="next"/>
    <w:bookmarkStart w:id="267" w:name="_Hlk533797002" w:displacedByCustomXml="next"/>
    <w:sdt>
      <w:sdtPr>
        <w:rPr>
          <w:rStyle w:val="Char10"/>
        </w:rPr>
        <w:alias w:val="是否适用：母公司其他应收款分类列示其他说明[双击切换]"/>
        <w:tag w:val="_GBC_17d0b67d20cb486dbc08e07c11e1224a"/>
        <w:id w:val="-2128156198"/>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67"/>
    <w:p w:rsidR="004A3868" w:rsidRDefault="003F1AB5">
      <w:pPr>
        <w:pStyle w:val="Style956"/>
        <w:rPr>
          <w:rStyle w:val="Char10"/>
        </w:rPr>
      </w:pPr>
      <w:r>
        <w:rPr>
          <w:rStyle w:val="Char10"/>
          <w:rFonts w:hint="eastAsia"/>
        </w:rPr>
        <w:t>应收利息</w:t>
      </w:r>
    </w:p>
    <w:p w:rsidR="004A3868" w:rsidRDefault="003F1AB5">
      <w:pPr>
        <w:pStyle w:val="Style957"/>
        <w:numPr>
          <w:ilvl w:val="0"/>
          <w:numId w:val="130"/>
        </w:numPr>
        <w:rPr>
          <w:rStyle w:val="Char10"/>
        </w:rPr>
      </w:pPr>
      <w:r>
        <w:rPr>
          <w:rStyle w:val="Char10"/>
          <w:rFonts w:hint="eastAsia"/>
        </w:rPr>
        <w:t>应收利息分类</w:t>
      </w:r>
    </w:p>
    <w:bookmarkStart w:id="268" w:name="_Hlk533797042" w:displacedByCustomXml="next"/>
    <w:sdt>
      <w:sdtPr>
        <w:rPr>
          <w:rStyle w:val="Char10"/>
        </w:rPr>
        <w:alias w:val="是否适用：母公司应收利息分类[双击切换]"/>
        <w:tag w:val="_GBC_5e0cba78d09b4764ada25ce89de1c4fd"/>
        <w:id w:val="-1446762742"/>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numPr>
          <w:ilvl w:val="0"/>
          <w:numId w:val="130"/>
        </w:numPr>
        <w:rPr>
          <w:rStyle w:val="Char10"/>
        </w:rPr>
      </w:pPr>
      <w:r>
        <w:rPr>
          <w:rStyle w:val="Char10"/>
          <w:rFonts w:hint="eastAsia"/>
        </w:rPr>
        <w:t>重要逾期利息</w:t>
      </w:r>
    </w:p>
    <w:bookmarkEnd w:id="268" w:displacedByCustomXml="next"/>
    <w:bookmarkStart w:id="269" w:name="_Hlk533797114" w:displacedByCustomXml="next"/>
    <w:sdt>
      <w:sdtPr>
        <w:rPr>
          <w:rStyle w:val="Char10"/>
        </w:rPr>
        <w:alias w:val="是否适用：母公司重要逾期利息[双击切换]"/>
        <w:tag w:val="_GBC_2d954f5af6a64a34941652eeb166dce8"/>
        <w:id w:val="-249897498"/>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numPr>
          <w:ilvl w:val="0"/>
          <w:numId w:val="130"/>
        </w:numPr>
        <w:rPr>
          <w:rStyle w:val="Char10"/>
        </w:rPr>
      </w:pPr>
      <w:r>
        <w:rPr>
          <w:rStyle w:val="Char10"/>
          <w:rFonts w:hint="eastAsia"/>
        </w:rPr>
        <w:t>按</w:t>
      </w:r>
      <w:r>
        <w:rPr>
          <w:rStyle w:val="Char10"/>
        </w:rPr>
        <w:t>坏账计提方法分类披露</w:t>
      </w:r>
    </w:p>
    <w:bookmarkStart w:id="270" w:name="_Hlk153789950" w:displacedByCustomXml="next"/>
    <w:bookmarkStart w:id="271" w:name="_Hlk154149455" w:displacedByCustomXml="next"/>
    <w:sdt>
      <w:sdtPr>
        <w:rPr>
          <w:rStyle w:val="Char10"/>
        </w:rPr>
        <w:alias w:val="是否适用：按坏账计提方法分类披露[双击切换]"/>
        <w:tag w:val="_GBC_fe4d472a766545fe91e93448a26e5403"/>
        <w:id w:val="586510561"/>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按单项计提坏账准备：</w:t>
      </w:r>
    </w:p>
    <w:sdt>
      <w:sdtPr>
        <w:rPr>
          <w:rStyle w:val="Char10"/>
        </w:rPr>
        <w:alias w:val="是否适用：母公司按单项计提坏账准备的详细情况[双击切换]"/>
        <w:tag w:val="_GBC_d06b9654dbc04fa7af49f1a5ad28f657"/>
        <w:id w:val="-788428805"/>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按单项计提坏账准备的说明：</w:t>
      </w:r>
    </w:p>
    <w:sdt>
      <w:sdtPr>
        <w:rPr>
          <w:rStyle w:val="Char10"/>
        </w:rPr>
        <w:alias w:val="是否适用：母公司按单项计提坏账准备的说明[双击切换]"/>
        <w:tag w:val="_GBC_7a6fa6b7c7de4c12942ac6477ec9ffb8"/>
        <w:id w:val="12713092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按组合计提坏账准备：</w:t>
      </w:r>
    </w:p>
    <w:sdt>
      <w:sdtPr>
        <w:rPr>
          <w:rStyle w:val="Char10"/>
        </w:rPr>
        <w:alias w:val="是否适用：母公司按组合计提坏账准备的详细情况[双击切换]"/>
        <w:tag w:val="_GBC_ce999ec0925c4191a03a5c3b162652e0"/>
        <w:id w:val="-2121606171"/>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70"/>
    <w:p w:rsidR="004A3868" w:rsidRDefault="003F1AB5">
      <w:pPr>
        <w:pStyle w:val="Style957"/>
        <w:numPr>
          <w:ilvl w:val="0"/>
          <w:numId w:val="130"/>
        </w:numPr>
        <w:rPr>
          <w:rStyle w:val="Char10"/>
        </w:rPr>
      </w:pPr>
      <w:r>
        <w:rPr>
          <w:rStyle w:val="Char10"/>
          <w:rFonts w:hint="eastAsia"/>
        </w:rPr>
        <w:t>按预期信用损失一般模型计提坏账准备</w:t>
      </w:r>
    </w:p>
    <w:bookmarkEnd w:id="271" w:displacedByCustomXml="next"/>
    <w:bookmarkEnd w:id="269" w:displacedByCustomXml="next"/>
    <w:sdt>
      <w:sdtPr>
        <w:rPr>
          <w:rStyle w:val="Char10"/>
        </w:rPr>
        <w:alias w:val="是否适用：母公司应收利息坏账准备调节表[双击切换]"/>
        <w:tag w:val="_GBC_f31c9323c5434941917fd7e42ea1fd1b"/>
        <w:id w:val="986595442"/>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各阶段划分依据和坏账准备计提比例</w:t>
      </w:r>
    </w:p>
    <w:sdt>
      <w:sdtPr>
        <w:rPr>
          <w:rStyle w:val="Char10"/>
        </w:rPr>
        <w:alias w:val="应收利息各阶段划分依据和坏账准备计提比例"/>
        <w:tag w:val="_GBC_b77aa29618704a4d96dead6a87509661"/>
        <w:id w:val="-1664004404"/>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p w:rsidR="004A3868" w:rsidRDefault="003F1AB5">
      <w:pPr>
        <w:pStyle w:val="Style180"/>
        <w:rPr>
          <w:rStyle w:val="Char10"/>
        </w:rPr>
      </w:pPr>
      <w:r>
        <w:rPr>
          <w:rStyle w:val="Char10"/>
          <w:rFonts w:hint="eastAsia"/>
        </w:rPr>
        <w:t>对本期发生损失准备变动的应收利息账面余额显著变动的情况说明：</w:t>
      </w:r>
    </w:p>
    <w:sdt>
      <w:sdtPr>
        <w:rPr>
          <w:rStyle w:val="Char10"/>
        </w:rPr>
        <w:alias w:val="是否适用：母公司应收利息本期发生损失准备变动且账面余额显著变动的情况说明[双击切换]"/>
        <w:tag w:val="_GBC_2798f4ad45d644a484ca2567cd62ed60"/>
        <w:id w:val="1046185678"/>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numPr>
          <w:ilvl w:val="0"/>
          <w:numId w:val="130"/>
        </w:numPr>
        <w:rPr>
          <w:rStyle w:val="Char10"/>
        </w:rPr>
      </w:pPr>
      <w:r>
        <w:rPr>
          <w:rStyle w:val="Char10"/>
          <w:rFonts w:hint="eastAsia"/>
        </w:rPr>
        <w:t>坏账准备的情况</w:t>
      </w:r>
    </w:p>
    <w:sdt>
      <w:sdtPr>
        <w:alias w:val="是否适用：母公司坏账准备情况[双击切换]"/>
        <w:tag w:val="_GBC_44a257b47fa748eca2cab9dd0877e841"/>
        <w:id w:val="-395979001"/>
        <w:lock w:val="sdtLocked"/>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其中本期坏账准备收回或转回金额重要的：</w:t>
      </w:r>
    </w:p>
    <w:sdt>
      <w:sdtPr>
        <w:rPr>
          <w:rStyle w:val="Char10"/>
        </w:rPr>
        <w:alias w:val="是否适用：本期坏账准备收回或转回金额重要的[双击切换]"/>
        <w:tag w:val="_GBC_dda1c249e9da4520abee515b8b42f5f4"/>
        <w:id w:val="-1780096787"/>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其他说明：</w:t>
      </w:r>
    </w:p>
    <w:sdt>
      <w:sdtPr>
        <w:rPr>
          <w:rStyle w:val="Char10"/>
        </w:rPr>
        <w:alias w:val="母公司坏账准备情况的说明"/>
        <w:tag w:val="_GBC_31b65196a31b451f9f81b4cd487599d5"/>
        <w:id w:val="1627354473"/>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p w:rsidR="004A3868" w:rsidRDefault="003F1AB5">
      <w:pPr>
        <w:pStyle w:val="Style957"/>
        <w:numPr>
          <w:ilvl w:val="0"/>
          <w:numId w:val="130"/>
        </w:numPr>
        <w:rPr>
          <w:rStyle w:val="Char10"/>
        </w:rPr>
      </w:pPr>
      <w:r>
        <w:rPr>
          <w:rStyle w:val="Char10"/>
        </w:rPr>
        <w:t>本期实际核销的应收</w:t>
      </w:r>
      <w:r>
        <w:rPr>
          <w:rStyle w:val="Char10"/>
          <w:rFonts w:hint="eastAsia"/>
        </w:rPr>
        <w:t>利息</w:t>
      </w:r>
      <w:r>
        <w:rPr>
          <w:rStyle w:val="Char10"/>
        </w:rPr>
        <w:t>情况</w:t>
      </w:r>
    </w:p>
    <w:sdt>
      <w:sdtPr>
        <w:rPr>
          <w:rStyle w:val="Char10"/>
        </w:rPr>
        <w:alias w:val="是否适用：实际核销的情况[双击切换]"/>
        <w:tag w:val="_GBC_078b310c81244c1d880a4059768019f1"/>
        <w:id w:val="-1584906768"/>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其中重要的应收利息核销情况</w:t>
      </w:r>
    </w:p>
    <w:sdt>
      <w:sdtPr>
        <w:rPr>
          <w:rStyle w:val="Char10"/>
          <w:rFonts w:hint="eastAsia"/>
        </w:rPr>
        <w:alias w:val="是否适用：母公司重要的核销情况[双击切换]"/>
        <w:tag w:val="_GBC_d68df6b80a1a45bcb388baf56df1b958"/>
        <w:id w:val="1636379968"/>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核销说明：</w:t>
      </w:r>
    </w:p>
    <w:sdt>
      <w:sdtPr>
        <w:rPr>
          <w:rStyle w:val="Char10"/>
        </w:rPr>
        <w:alias w:val="是否适用：母公司核销说明[双击切换]"/>
        <w:tag w:val="_GBC_dd0453ff96014cb191f4b96cd3787f15"/>
        <w:id w:val="1009340553"/>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其他说明：</w:t>
      </w:r>
    </w:p>
    <w:sdt>
      <w:sdtPr>
        <w:rPr>
          <w:rStyle w:val="Char10"/>
          <w:rFonts w:hint="eastAsia"/>
        </w:rPr>
        <w:alias w:val="是否适用：应收利息的说明[双击切换]"/>
        <w:tag w:val="_GBC_9a3e6e5b075544d3b90be42ae9d883ef"/>
        <w:id w:val="-59978544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rPr>
          <w:rStyle w:val="Char10"/>
        </w:rPr>
      </w:pPr>
      <w:r>
        <w:rPr>
          <w:rStyle w:val="Char10"/>
          <w:rFonts w:hint="eastAsia"/>
        </w:rPr>
        <w:lastRenderedPageBreak/>
        <w:t>应收股利</w:t>
      </w:r>
    </w:p>
    <w:p w:rsidR="004A3868" w:rsidRDefault="003F1AB5">
      <w:pPr>
        <w:pStyle w:val="Style957"/>
        <w:numPr>
          <w:ilvl w:val="0"/>
          <w:numId w:val="10"/>
        </w:numPr>
        <w:rPr>
          <w:rStyle w:val="Char10"/>
        </w:rPr>
      </w:pPr>
      <w:r>
        <w:rPr>
          <w:rStyle w:val="Char10"/>
          <w:rFonts w:hint="eastAsia"/>
        </w:rPr>
        <w:t>应收股利</w:t>
      </w:r>
    </w:p>
    <w:sdt>
      <w:sdtPr>
        <w:rPr>
          <w:rStyle w:val="Char10"/>
        </w:rPr>
        <w:alias w:val="是否适用：母公司应收股利[双击切换]"/>
        <w:tag w:val="_GBC_a52dcf5153694fbe9527781c61a5006e"/>
        <w:id w:val="1365629927"/>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重要的账龄超过</w:t>
      </w:r>
      <w:r>
        <w:rPr>
          <w:rStyle w:val="Char10"/>
          <w:rFonts w:hint="eastAsia"/>
        </w:rPr>
        <w:t>1</w:t>
      </w:r>
      <w:r>
        <w:rPr>
          <w:rStyle w:val="Char10"/>
          <w:rFonts w:hint="eastAsia"/>
        </w:rPr>
        <w:t>年的应收股利</w:t>
      </w:r>
    </w:p>
    <w:sdt>
      <w:sdtPr>
        <w:rPr>
          <w:rStyle w:val="Char10"/>
        </w:rPr>
        <w:alias w:val="是否适用：母公司重要的账龄超过1年的应收股利[双击切换]"/>
        <w:tag w:val="_GBC_70eb463d08894908bb104ae0b258e76e"/>
        <w:id w:val="-1742020114"/>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按</w:t>
      </w:r>
      <w:r>
        <w:rPr>
          <w:rStyle w:val="Char10"/>
        </w:rPr>
        <w:t>坏账计提方法分类披露</w:t>
      </w:r>
    </w:p>
    <w:sdt>
      <w:sdtPr>
        <w:rPr>
          <w:rStyle w:val="Char10"/>
        </w:rPr>
        <w:alias w:val="是否适用：母公司按坏账计提方法分类披露[双击切换]"/>
        <w:tag w:val="_GBC_3e6131bf64764260959e58957d1a923e"/>
        <w:id w:val="-856894810"/>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按单项计提坏账准备：</w:t>
      </w:r>
    </w:p>
    <w:sdt>
      <w:sdtPr>
        <w:rPr>
          <w:rStyle w:val="Char10"/>
        </w:rPr>
        <w:alias w:val="是否适用：母公司按单项计提坏账准备的详细情况[双击切换]"/>
        <w:tag w:val="_GBC_0bffd65beafa48e6aca929c5c2140787"/>
        <w:id w:val="-2070411892"/>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按单项计提坏账准备的说明：</w:t>
      </w:r>
    </w:p>
    <w:sdt>
      <w:sdtPr>
        <w:rPr>
          <w:rStyle w:val="Char10"/>
        </w:rPr>
        <w:alias w:val="是否适用：母公司按单项计提坏账准备的说明[双击切换]"/>
        <w:tag w:val="_GBC_3ff3367dda784192860c78e5be49cae0"/>
        <w:id w:val="641088997"/>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按组合计提坏账准备：</w:t>
      </w:r>
    </w:p>
    <w:sdt>
      <w:sdtPr>
        <w:rPr>
          <w:rStyle w:val="Char10"/>
        </w:rPr>
        <w:alias w:val="是否适用：母公司按组合计提坏账准备的详细情况[双击切换]"/>
        <w:tag w:val="_GBC_5b769fae73d0491bae227d3968699870"/>
        <w:id w:val="-564026708"/>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按预期信用损失一般模型计提坏账准备</w:t>
      </w:r>
    </w:p>
    <w:sdt>
      <w:sdtPr>
        <w:rPr>
          <w:rStyle w:val="Char10"/>
        </w:rPr>
        <w:alias w:val="是否适用：母公司应收股利坏账准备调节表[双击切换]"/>
        <w:tag w:val="_GBC_5cbd8c1c52fa42d19db26aadad6a74b8"/>
        <w:id w:val="-261309903"/>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各阶段划分依据和坏账准备计提比例</w:t>
      </w:r>
    </w:p>
    <w:sdt>
      <w:sdtPr>
        <w:rPr>
          <w:rStyle w:val="Char10"/>
        </w:rPr>
        <w:alias w:val="应收股利各阶段划分依据和坏账准备计提比例"/>
        <w:tag w:val="_GBC_add0117a614f4e33bfb451894481c309"/>
        <w:id w:val="1072313472"/>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p w:rsidR="004A3868" w:rsidRDefault="003F1AB5">
      <w:pPr>
        <w:pStyle w:val="Style180"/>
        <w:rPr>
          <w:rStyle w:val="Char10"/>
        </w:rPr>
      </w:pPr>
      <w:r>
        <w:rPr>
          <w:rStyle w:val="Char10"/>
          <w:rFonts w:hint="eastAsia"/>
        </w:rPr>
        <w:t>对本期发生损失准备变动的应收股利账面余额显著变动的情况说明：</w:t>
      </w:r>
    </w:p>
    <w:sdt>
      <w:sdtPr>
        <w:rPr>
          <w:rStyle w:val="Char10"/>
          <w:rFonts w:hint="eastAsia"/>
        </w:rPr>
        <w:alias w:val="是否适用：母公司应收股利本期发生损失准备变动且账面余额显著变动的情况说明[双击切换]"/>
        <w:tag w:val="_GBC_97e9fe7a49b947f79ce9d174eeaf0f5f"/>
        <w:id w:val="1363870795"/>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20"/>
        </w:rPr>
      </w:pPr>
      <w:r>
        <w:rPr>
          <w:rStyle w:val="Char20"/>
          <w:rFonts w:hint="eastAsia"/>
        </w:rPr>
        <w:t>坏账准备的情况</w:t>
      </w:r>
    </w:p>
    <w:sdt>
      <w:sdtPr>
        <w:rPr>
          <w:rStyle w:val="Char20"/>
        </w:rPr>
        <w:alias w:val="是否适用：母公司坏账准备情况[双击切换]"/>
        <w:tag w:val="_GBC_821565a30d3745e0bc44de118b7dee6f"/>
        <w:id w:val="81267225"/>
        <w:lock w:val="sdtLocked"/>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853"/>
        <w:rPr>
          <w:rStyle w:val="Char20"/>
        </w:rPr>
      </w:pPr>
      <w:r>
        <w:rPr>
          <w:rStyle w:val="Char20"/>
          <w:rFonts w:hint="eastAsia"/>
        </w:rPr>
        <w:t>其中本期坏账准备收回或转回金额重要的：</w:t>
      </w:r>
    </w:p>
    <w:sdt>
      <w:sdtPr>
        <w:rPr>
          <w:rStyle w:val="Char20"/>
        </w:rPr>
        <w:alias w:val="是否适用：母公司本期坏账准备收回或转回金额重要的[双击切换]"/>
        <w:tag w:val="_GBC_0d1ed1559d1344db8b219f59e8d21024"/>
        <w:id w:val="-1651503843"/>
        <w:lock w:val="sdtLocked"/>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853"/>
        <w:rPr>
          <w:rStyle w:val="Char20"/>
        </w:rPr>
      </w:pPr>
      <w:r>
        <w:rPr>
          <w:rStyle w:val="Char20"/>
          <w:rFonts w:hint="eastAsia"/>
        </w:rPr>
        <w:t>其他说明：</w:t>
      </w:r>
    </w:p>
    <w:sdt>
      <w:sdtPr>
        <w:rPr>
          <w:rStyle w:val="Char20"/>
        </w:rPr>
        <w:alias w:val="母公司坏账准备情况的说明"/>
        <w:tag w:val="_GBC_1ed1f4303f9641fba538e08ef13fe5e7"/>
        <w:id w:val="1504327507"/>
        <w:placeholder>
          <w:docPart w:val="GBC22222222222222222222222222222"/>
        </w:placeholder>
      </w:sdtPr>
      <w:sdtEndPr>
        <w:rPr>
          <w:rStyle w:val="Char20"/>
        </w:rPr>
      </w:sdtEndPr>
      <w:sdtContent>
        <w:p w:rsidR="004A3868" w:rsidRDefault="003F1AB5">
          <w:pPr>
            <w:pStyle w:val="Style842"/>
            <w:rPr>
              <w:rStyle w:val="Char20"/>
            </w:rPr>
          </w:pPr>
          <w:r>
            <w:rPr>
              <w:rStyle w:val="Char20"/>
              <w:rFonts w:hint="eastAsia"/>
            </w:rPr>
            <w:t>无</w:t>
          </w:r>
        </w:p>
      </w:sdtContent>
    </w:sdt>
    <w:p w:rsidR="004A3868" w:rsidRDefault="003F1AB5">
      <w:pPr>
        <w:pStyle w:val="Style957"/>
        <w:rPr>
          <w:rStyle w:val="Char20"/>
        </w:rPr>
      </w:pPr>
      <w:r>
        <w:rPr>
          <w:rStyle w:val="Char20"/>
        </w:rPr>
        <w:t>本期实际核销的应收</w:t>
      </w:r>
      <w:r>
        <w:rPr>
          <w:rStyle w:val="Char20"/>
          <w:rFonts w:hint="eastAsia"/>
        </w:rPr>
        <w:t>股利</w:t>
      </w:r>
      <w:r>
        <w:rPr>
          <w:rStyle w:val="Char20"/>
        </w:rPr>
        <w:t>情况</w:t>
      </w:r>
    </w:p>
    <w:sdt>
      <w:sdtPr>
        <w:rPr>
          <w:rStyle w:val="Char20"/>
        </w:rPr>
        <w:alias w:val="是否适用：母公司实际核销的情况[双击切换]"/>
        <w:tag w:val="_GBC_1b5ee2d7fd5a4b549b2a2bd673f1698a"/>
        <w:id w:val="-954484581"/>
        <w:lock w:val="sdtLocked"/>
        <w:placeholder>
          <w:docPart w:val="GBC22222222222222222222222222222"/>
        </w:placeholder>
      </w:sdtPr>
      <w:sdtEndPr>
        <w:rPr>
          <w:rStyle w:val="Char20"/>
        </w:rPr>
      </w:sdtEndPr>
      <w:sdtContent>
        <w:p w:rsidR="004A3868" w:rsidRDefault="003F1AB5">
          <w:pPr>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842"/>
        <w:rPr>
          <w:rStyle w:val="Char20"/>
        </w:rPr>
      </w:pPr>
      <w:r>
        <w:rPr>
          <w:rStyle w:val="Char20"/>
          <w:rFonts w:hint="eastAsia"/>
        </w:rPr>
        <w:t>其中重要的应收股利核销情况</w:t>
      </w:r>
    </w:p>
    <w:sdt>
      <w:sdtPr>
        <w:rPr>
          <w:rStyle w:val="Char20"/>
          <w:rFonts w:hint="eastAsia"/>
        </w:rPr>
        <w:alias w:val="是否适用：母公司重要的核销情况[双击切换]"/>
        <w:tag w:val="_GBC_2151c3ad65384379897352f370874db1"/>
        <w:id w:val="2093357469"/>
        <w:lock w:val="sdtLocked"/>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842"/>
        <w:rPr>
          <w:rStyle w:val="Char20"/>
        </w:rPr>
      </w:pPr>
      <w:r>
        <w:rPr>
          <w:rStyle w:val="Char20"/>
          <w:rFonts w:hint="eastAsia"/>
        </w:rPr>
        <w:t>核销说明：</w:t>
      </w:r>
    </w:p>
    <w:sdt>
      <w:sdtPr>
        <w:rPr>
          <w:rStyle w:val="Char20"/>
        </w:rPr>
        <w:alias w:val="是否适用：母公司核销说明[双击切换]"/>
        <w:tag w:val="_GBC_f8d1d851a8a641b3b3733ca0037885d1"/>
        <w:id w:val="-256136174"/>
        <w:lock w:val="sdtLocked"/>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842"/>
        <w:rPr>
          <w:rStyle w:val="Char20"/>
        </w:rPr>
      </w:pPr>
      <w:r>
        <w:rPr>
          <w:rStyle w:val="Char20"/>
          <w:rFonts w:hint="eastAsia"/>
        </w:rPr>
        <w:t>其他说明：</w:t>
      </w:r>
    </w:p>
    <w:sdt>
      <w:sdtPr>
        <w:rPr>
          <w:rStyle w:val="Char20"/>
        </w:rPr>
        <w:alias w:val="是否适用：母公司应收股利其他说明[双击切换]"/>
        <w:tag w:val="_GBC_75450c3c0332439986937f5dec59f65c"/>
        <w:id w:val="-1738089998"/>
        <w:lock w:val="sdtLocked"/>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Style956"/>
        <w:rPr>
          <w:rStyle w:val="Char20"/>
        </w:rPr>
      </w:pPr>
      <w:r>
        <w:rPr>
          <w:rStyle w:val="Char20"/>
          <w:rFonts w:hint="eastAsia"/>
        </w:rPr>
        <w:t>其他应收款</w:t>
      </w:r>
    </w:p>
    <w:p w:rsidR="004A3868" w:rsidRDefault="003F1AB5">
      <w:pPr>
        <w:pStyle w:val="Style957"/>
        <w:numPr>
          <w:ilvl w:val="0"/>
          <w:numId w:val="10"/>
        </w:numPr>
        <w:rPr>
          <w:rStyle w:val="Char20"/>
        </w:rPr>
      </w:pPr>
      <w:r>
        <w:rPr>
          <w:rStyle w:val="Char20"/>
          <w:rFonts w:hint="eastAsia"/>
        </w:rPr>
        <w:t>按账龄披露</w:t>
      </w:r>
    </w:p>
    <w:sdt>
      <w:sdtPr>
        <w:rPr>
          <w:rStyle w:val="Char20"/>
        </w:rPr>
        <w:alias w:val="是否适用：母公司其他应收款按账龄披露[双击切换]"/>
        <w:tag w:val="_GBC_5c11b96990fa439da812b87b47ed4c80"/>
        <w:id w:val="2112463549"/>
        <w:placeholder>
          <w:docPart w:val="GBC22222222222222222222222222222"/>
        </w:placeholder>
      </w:sdtPr>
      <w:sdtEndPr>
        <w:rPr>
          <w:rStyle w:val="Char20"/>
        </w:rPr>
      </w:sdtEndPr>
      <w:sdtContent>
        <w:p w:rsidR="004A3868" w:rsidRDefault="003F1AB5">
          <w:pPr>
            <w:pStyle w:val="Style842"/>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rPr>
          <w:rStyle w:val="Char20"/>
        </w:rPr>
      </w:pPr>
      <w:r>
        <w:rPr>
          <w:rStyle w:val="Char20"/>
          <w:rFonts w:hint="eastAsia"/>
        </w:rPr>
        <w:t>单位：</w:t>
      </w:r>
      <w:sdt>
        <w:sdtPr>
          <w:rPr>
            <w:rStyle w:val="Char20"/>
            <w:rFonts w:hint="eastAsia"/>
          </w:rPr>
          <w:alias w:val="单位：母公司其他应收款按账龄披露"/>
          <w:tag w:val="_GBC_41616ef98f834aa2b100f687773d3969"/>
          <w:id w:val="-19763696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其他应收款按账龄披露"/>
          <w:tag w:val="_GBC_5e3917487f6647c3bad62a8fb87ea91e"/>
          <w:id w:val="3368923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993"/>
        <w:gridCol w:w="2915"/>
        <w:gridCol w:w="2915"/>
      </w:tblGrid>
      <w:tr w:rsidR="004A3868">
        <w:trPr>
          <w:cantSplit/>
          <w:trHeight w:val="397"/>
          <w:jc w:val="center"/>
        </w:trPr>
        <w:sdt>
          <w:sdtPr>
            <w:rPr>
              <w:rStyle w:val="Char20"/>
            </w:rPr>
            <w:tag w:val="_PLD_e6b4d3ce2efb49849027845f309f652a"/>
            <w:id w:val="-515693027"/>
          </w:sdtPr>
          <w:sdtEndPr>
            <w:rPr>
              <w:rStyle w:val="Char20"/>
            </w:r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20"/>
                  </w:rPr>
                </w:pPr>
                <w:r>
                  <w:rPr>
                    <w:rStyle w:val="Char20"/>
                    <w:rFonts w:hint="eastAsia"/>
                  </w:rPr>
                  <w:t>账龄</w:t>
                </w:r>
              </w:p>
            </w:tc>
          </w:sdtContent>
        </w:sdt>
        <w:sdt>
          <w:sdtPr>
            <w:rPr>
              <w:rStyle w:val="Char20"/>
            </w:rPr>
            <w:tag w:val="_PLD_2a2524c4aa88497fa0bf73f43366d799"/>
            <w:id w:val="1686481562"/>
          </w:sdtPr>
          <w:sdtEndPr>
            <w:rPr>
              <w:rStyle w:val="Char20"/>
            </w:r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20"/>
                  </w:rPr>
                </w:pPr>
                <w:r>
                  <w:rPr>
                    <w:rStyle w:val="Char20"/>
                    <w:rFonts w:hint="eastAsia"/>
                  </w:rPr>
                  <w:t>期末账面余额</w:t>
                </w:r>
              </w:p>
            </w:tc>
          </w:sdtContent>
        </w:sdt>
        <w:tc>
          <w:tcPr>
            <w:tcW w:w="1652" w:type="pct"/>
            <w:tcBorders>
              <w:top w:val="single" w:sz="4" w:space="0" w:color="auto"/>
              <w:left w:val="single" w:sz="4" w:space="0" w:color="auto"/>
              <w:bottom w:val="single" w:sz="4" w:space="0" w:color="auto"/>
              <w:right w:val="single" w:sz="4" w:space="0" w:color="auto"/>
            </w:tcBorders>
            <w:vAlign w:val="center"/>
          </w:tcPr>
          <w:sdt>
            <w:sdtPr>
              <w:rPr>
                <w:rStyle w:val="Char20"/>
                <w:rFonts w:hint="eastAsia"/>
              </w:rPr>
              <w:tag w:val="_PLD_63769de747ae44d5b345aed18107390b"/>
              <w:id w:val="1109087759"/>
            </w:sdtPr>
            <w:sdtEndPr>
              <w:rPr>
                <w:rStyle w:val="Char20"/>
              </w:rPr>
            </w:sdtEndPr>
            <w:sdtContent>
              <w:p w:rsidR="004A3868" w:rsidRDefault="003F1AB5">
                <w:pPr>
                  <w:pStyle w:val="Style1226"/>
                  <w:rPr>
                    <w:rStyle w:val="Char20"/>
                  </w:rPr>
                </w:pPr>
                <w:r>
                  <w:rPr>
                    <w:rStyle w:val="Char20"/>
                    <w:rFonts w:hint="eastAsia"/>
                  </w:rPr>
                  <w:t>期初账面余额</w:t>
                </w:r>
              </w:p>
            </w:sdtContent>
          </w:sdt>
        </w:tc>
      </w:tr>
      <w:tr w:rsidR="004A3868">
        <w:trPr>
          <w:cantSplit/>
          <w:trHeight w:val="397"/>
          <w:jc w:val="center"/>
        </w:trPr>
        <w:sdt>
          <w:sdtPr>
            <w:rPr>
              <w:rStyle w:val="Char20"/>
            </w:rPr>
            <w:tag w:val="_PLD_c6695c49fd154f06a8c3e54859fa6317"/>
            <w:id w:val="-639034958"/>
          </w:sdtPr>
          <w:sdtEndPr>
            <w:rPr>
              <w:rStyle w:val="Char20"/>
            </w:rPr>
          </w:sdtEndPr>
          <w:sdtContent>
            <w:tc>
              <w:tcPr>
                <w:tcW w:w="5000" w:type="pct"/>
                <w:gridSpan w:val="3"/>
                <w:tcBorders>
                  <w:top w:val="single" w:sz="4" w:space="0" w:color="auto"/>
                  <w:left w:val="single" w:sz="4" w:space="0" w:color="auto"/>
                  <w:bottom w:val="single" w:sz="4" w:space="0" w:color="auto"/>
                  <w:right w:val="single" w:sz="4" w:space="0" w:color="auto"/>
                </w:tcBorders>
              </w:tcPr>
              <w:p w:rsidR="004A3868" w:rsidRDefault="003F1AB5">
                <w:pPr>
                  <w:pStyle w:val="Style1224"/>
                  <w:rPr>
                    <w:rStyle w:val="Char20"/>
                  </w:rPr>
                </w:pPr>
                <w:r>
                  <w:rPr>
                    <w:rStyle w:val="Char20"/>
                    <w:rFonts w:hint="eastAsia"/>
                  </w:rPr>
                  <w:t>1</w:t>
                </w:r>
                <w:r>
                  <w:rPr>
                    <w:rStyle w:val="Char20"/>
                    <w:rFonts w:hint="eastAsia"/>
                  </w:rPr>
                  <w:t>年以内</w:t>
                </w:r>
              </w:p>
            </w:tc>
          </w:sdtContent>
        </w:sdt>
      </w:tr>
      <w:tr w:rsidR="004A3868">
        <w:trPr>
          <w:cantSplit/>
          <w:trHeight w:val="397"/>
          <w:jc w:val="center"/>
        </w:trPr>
        <w:sdt>
          <w:sdtPr>
            <w:rPr>
              <w:rStyle w:val="Char20"/>
            </w:rPr>
            <w:tag w:val="_PLD_26deac0bdd35479bb09de6b9007dff6c"/>
            <w:id w:val="398794336"/>
          </w:sdtPr>
          <w:sdtEndPr>
            <w:rPr>
              <w:rStyle w:val="Char20"/>
            </w:rPr>
          </w:sdtEndPr>
          <w:sdtContent>
            <w:tc>
              <w:tcPr>
                <w:tcW w:w="5000" w:type="pct"/>
                <w:gridSpan w:val="3"/>
                <w:tcBorders>
                  <w:top w:val="single" w:sz="4" w:space="0" w:color="auto"/>
                  <w:left w:val="single" w:sz="4" w:space="0" w:color="auto"/>
                  <w:bottom w:val="single" w:sz="4" w:space="0" w:color="auto"/>
                  <w:right w:val="single" w:sz="4" w:space="0" w:color="auto"/>
                </w:tcBorders>
              </w:tcPr>
              <w:p w:rsidR="004A3868" w:rsidRDefault="003F1AB5">
                <w:pPr>
                  <w:pStyle w:val="Style1224"/>
                  <w:rPr>
                    <w:rStyle w:val="Char20"/>
                  </w:rPr>
                </w:pPr>
                <w:r>
                  <w:rPr>
                    <w:rStyle w:val="Char20"/>
                    <w:rFonts w:hint="eastAsia"/>
                  </w:rPr>
                  <w:t>其中：</w:t>
                </w:r>
                <w:r>
                  <w:rPr>
                    <w:rStyle w:val="Char20"/>
                    <w:rFonts w:hint="eastAsia"/>
                  </w:rPr>
                  <w:t>1</w:t>
                </w:r>
                <w:r>
                  <w:rPr>
                    <w:rStyle w:val="Char20"/>
                    <w:rFonts w:hint="eastAsia"/>
                  </w:rPr>
                  <w:t>年以内分项</w:t>
                </w:r>
              </w:p>
            </w:tc>
          </w:sdtContent>
        </w:sdt>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1</w:t>
            </w:r>
            <w:r>
              <w:rPr>
                <w:rStyle w:val="Char20"/>
                <w:rFonts w:hint="eastAsia"/>
              </w:rPr>
              <w:t>年以内</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57,107,249.90</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91,669,262.24</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4"/>
              <w:rPr>
                <w:rStyle w:val="Char20"/>
              </w:rPr>
            </w:pP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20"/>
              </w:rPr>
            </w:pP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20"/>
              </w:rPr>
            </w:pP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1</w:t>
            </w:r>
            <w:r>
              <w:rPr>
                <w:rStyle w:val="Char20"/>
                <w:rFonts w:hint="eastAsia"/>
              </w:rPr>
              <w:t>年以内小计</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57,107,249.90</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91,669,262.24</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1</w:t>
            </w:r>
            <w:r>
              <w:rPr>
                <w:rStyle w:val="Char20"/>
                <w:rFonts w:hint="eastAsia"/>
              </w:rPr>
              <w:t>至</w:t>
            </w:r>
            <w:r>
              <w:rPr>
                <w:rStyle w:val="Char20"/>
                <w:rFonts w:hint="eastAsia"/>
              </w:rPr>
              <w:t>2</w:t>
            </w:r>
            <w:r>
              <w:rPr>
                <w:rStyle w:val="Char20"/>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2,361,794.36</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3,580,403.15</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2</w:t>
            </w:r>
            <w:r>
              <w:rPr>
                <w:rStyle w:val="Char20"/>
                <w:rFonts w:hint="eastAsia"/>
              </w:rPr>
              <w:t>至</w:t>
            </w:r>
            <w:r>
              <w:rPr>
                <w:rStyle w:val="Char20"/>
                <w:rFonts w:hint="eastAsia"/>
              </w:rPr>
              <w:t>3</w:t>
            </w:r>
            <w:r>
              <w:rPr>
                <w:rStyle w:val="Char20"/>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799,363.70</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1,625,495.12</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3</w:t>
            </w:r>
            <w:r>
              <w:rPr>
                <w:rStyle w:val="Char20"/>
                <w:rFonts w:hint="eastAsia"/>
              </w:rPr>
              <w:t>年以上</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20"/>
              </w:rPr>
            </w:pP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20"/>
              </w:rPr>
            </w:pP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3</w:t>
            </w:r>
            <w:r>
              <w:rPr>
                <w:rStyle w:val="Char20"/>
                <w:rFonts w:hint="eastAsia"/>
              </w:rPr>
              <w:t>至</w:t>
            </w:r>
            <w:r>
              <w:rPr>
                <w:rStyle w:val="Char20"/>
                <w:rFonts w:hint="eastAsia"/>
              </w:rPr>
              <w:t>4</w:t>
            </w:r>
            <w:r>
              <w:rPr>
                <w:rStyle w:val="Char20"/>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675,132.92</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1,003,885.15</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4</w:t>
            </w:r>
            <w:r>
              <w:rPr>
                <w:rStyle w:val="Char20"/>
                <w:rFonts w:hint="eastAsia"/>
              </w:rPr>
              <w:t>至</w:t>
            </w:r>
            <w:r>
              <w:rPr>
                <w:rStyle w:val="Char20"/>
                <w:rFonts w:hint="eastAsia"/>
              </w:rPr>
              <w:t>5</w:t>
            </w:r>
            <w:r>
              <w:rPr>
                <w:rStyle w:val="Char20"/>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1,003,885.15</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500,000.00</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5</w:t>
            </w:r>
            <w:r>
              <w:rPr>
                <w:rStyle w:val="Char20"/>
                <w:rFonts w:hint="eastAsia"/>
              </w:rPr>
              <w:t>年以上</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330,000.00</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698,000.00</w:t>
            </w:r>
          </w:p>
        </w:tc>
      </w:tr>
      <w:tr w:rsidR="004A3868">
        <w:trPr>
          <w:cantSplit/>
          <w:trHeight w:val="397"/>
          <w:jc w:val="center"/>
        </w:trPr>
        <w:tc>
          <w:tcPr>
            <w:tcW w:w="169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4"/>
              <w:rPr>
                <w:rStyle w:val="Char20"/>
              </w:rPr>
            </w:pPr>
            <w:r>
              <w:rPr>
                <w:rStyle w:val="Char20"/>
                <w:rFonts w:hint="eastAsia"/>
              </w:rPr>
              <w:t>合计</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62,277,426.03</w:t>
            </w:r>
          </w:p>
        </w:tc>
        <w:tc>
          <w:tcPr>
            <w:tcW w:w="1652"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20"/>
              </w:rPr>
            </w:pPr>
            <w:r>
              <w:rPr>
                <w:rStyle w:val="Char20"/>
              </w:rPr>
              <w:t>99,077,045.66</w:t>
            </w:r>
          </w:p>
        </w:tc>
      </w:tr>
    </w:tbl>
    <w:p w:rsidR="004A3868" w:rsidRDefault="004A3868">
      <w:pPr>
        <w:pStyle w:val="Style853"/>
        <w:rPr>
          <w:rStyle w:val="Char20"/>
        </w:rPr>
      </w:pPr>
    </w:p>
    <w:p w:rsidR="004A3868" w:rsidRDefault="003F1AB5">
      <w:pPr>
        <w:pStyle w:val="Style957"/>
        <w:rPr>
          <w:rStyle w:val="Char20"/>
        </w:rPr>
      </w:pPr>
      <w:r>
        <w:rPr>
          <w:rStyle w:val="Char20"/>
          <w:rFonts w:hint="eastAsia"/>
        </w:rPr>
        <w:t>按款项性质分类情况</w:t>
      </w:r>
    </w:p>
    <w:p w:rsidR="004A3868" w:rsidRDefault="00B34370">
      <w:pPr>
        <w:pStyle w:val="Style853"/>
        <w:rPr>
          <w:rStyle w:val="Char20"/>
        </w:rPr>
      </w:pPr>
      <w:sdt>
        <w:sdtPr>
          <w:rPr>
            <w:rStyle w:val="Char20"/>
          </w:rPr>
          <w:alias w:val="是否适用：母公司其他应收款按款项性质分类情况[双击切换]"/>
          <w:tag w:val="_GBC_a5e5418d19394a1c8f8093184d9b360a"/>
          <w:id w:val="-1650210956"/>
          <w:placeholder>
            <w:docPart w:val="GBC22222222222222222222222222222"/>
          </w:placeholder>
        </w:sdtPr>
        <w:sdtEndPr>
          <w:rPr>
            <w:rStyle w:val="Char20"/>
          </w:rPr>
        </w:sdtEndPr>
        <w:sdtContent>
          <w:r w:rsidR="003F1AB5">
            <w:rPr>
              <w:rStyle w:val="Char20"/>
            </w:rPr>
            <w:fldChar w:fldCharType="begin"/>
          </w:r>
          <w:r w:rsidR="003F1AB5">
            <w:rPr>
              <w:rStyle w:val="Char20"/>
              <w:rFonts w:hint="eastAsia"/>
            </w:rPr>
            <w:instrText xml:space="preserve">MACROBUTTON  SnrToggleCheckbox </w:instrText>
          </w:r>
          <w:r w:rsidR="003F1AB5">
            <w:rPr>
              <w:rStyle w:val="Char20"/>
              <w:rFonts w:hint="eastAsia"/>
            </w:rPr>
            <w:instrText>√适用</w:instrText>
          </w:r>
          <w:r w:rsidR="003F1AB5">
            <w:rPr>
              <w:rStyle w:val="Char20"/>
              <w:rFonts w:hint="eastAsia"/>
            </w:rPr>
            <w:instrText xml:space="preserve"> </w:instrText>
          </w:r>
          <w:r w:rsidR="003F1AB5">
            <w:rPr>
              <w:rStyle w:val="Char20"/>
            </w:rPr>
            <w:fldChar w:fldCharType="end"/>
          </w:r>
          <w:r w:rsidR="003F1AB5">
            <w:rPr>
              <w:rStyle w:val="Char20"/>
            </w:rPr>
            <w:fldChar w:fldCharType="begin"/>
          </w:r>
          <w:r w:rsidR="003F1AB5">
            <w:rPr>
              <w:rStyle w:val="Char20"/>
            </w:rPr>
            <w:instrText xml:space="preserve"> MACROBUTTON  SnrToggleCheckbox □</w:instrText>
          </w:r>
          <w:r w:rsidR="003F1AB5">
            <w:rPr>
              <w:rStyle w:val="Char20"/>
            </w:rPr>
            <w:instrText>不适用</w:instrText>
          </w:r>
          <w:r w:rsidR="003F1AB5">
            <w:rPr>
              <w:rStyle w:val="Char20"/>
            </w:rPr>
            <w:instrText xml:space="preserve"> </w:instrText>
          </w:r>
          <w:r w:rsidR="003F1AB5">
            <w:rPr>
              <w:rStyle w:val="Char20"/>
            </w:rPr>
            <w:fldChar w:fldCharType="end"/>
          </w:r>
        </w:sdtContent>
      </w:sdt>
    </w:p>
    <w:p w:rsidR="004A3868" w:rsidRDefault="003F1AB5">
      <w:pPr>
        <w:pStyle w:val="affff"/>
        <w:rPr>
          <w:rStyle w:val="Char20"/>
        </w:rPr>
      </w:pPr>
      <w:r>
        <w:rPr>
          <w:rStyle w:val="Char20"/>
          <w:rFonts w:hint="eastAsia"/>
        </w:rPr>
        <w:t>单位：</w:t>
      </w:r>
      <w:sdt>
        <w:sdtPr>
          <w:rPr>
            <w:rStyle w:val="Char20"/>
            <w:rFonts w:hint="eastAsia"/>
          </w:rPr>
          <w:alias w:val="单位：财务附注：母公司其他应收款按款项性质分类情况"/>
          <w:tag w:val="_GBC_451485fc33dc4b2c9be5a44730242ca7"/>
          <w:id w:val="2689036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财务附注：母公司其他应收款按款项性质分类情况"/>
          <w:tag w:val="_GBC_f3e8ad411fc545a19718a43203281efd"/>
          <w:id w:val="6192735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3"/>
        <w:tblW w:w="5000" w:type="pct"/>
        <w:jc w:val="center"/>
        <w:tblInd w:w="0" w:type="dxa"/>
        <w:tblCellMar>
          <w:right w:w="28" w:type="dxa"/>
        </w:tblCellMar>
        <w:tblLook w:val="04A0" w:firstRow="1" w:lastRow="0" w:firstColumn="1" w:lastColumn="0" w:noHBand="0" w:noVBand="1"/>
      </w:tblPr>
      <w:tblGrid>
        <w:gridCol w:w="3000"/>
        <w:gridCol w:w="2906"/>
        <w:gridCol w:w="2917"/>
      </w:tblGrid>
      <w:tr w:rsidR="004A3868">
        <w:trPr>
          <w:trHeight w:val="397"/>
          <w:jc w:val="center"/>
        </w:trPr>
        <w:sdt>
          <w:sdtPr>
            <w:rPr>
              <w:rStyle w:val="Char20"/>
            </w:rPr>
            <w:tag w:val="_PLD_fa2a2127303b4deebb2bcaea193eb6d9"/>
            <w:id w:val="507651503"/>
            <w:lock w:val="sdtLocked"/>
          </w:sdtPr>
          <w:sdtEndPr>
            <w:rPr>
              <w:rStyle w:val="Char20"/>
            </w:rPr>
          </w:sdtEndPr>
          <w:sdtContent>
            <w:tc>
              <w:tcPr>
                <w:tcW w:w="1700" w:type="pct"/>
                <w:vAlign w:val="center"/>
              </w:tcPr>
              <w:p w:rsidR="004A3868" w:rsidRDefault="003F1AB5">
                <w:pPr>
                  <w:pStyle w:val="Style1226"/>
                  <w:rPr>
                    <w:rStyle w:val="Char20"/>
                  </w:rPr>
                </w:pPr>
                <w:r>
                  <w:rPr>
                    <w:rStyle w:val="Char20"/>
                    <w:rFonts w:hint="eastAsia"/>
                  </w:rPr>
                  <w:t>款项性质</w:t>
                </w:r>
              </w:p>
            </w:tc>
          </w:sdtContent>
        </w:sdt>
        <w:sdt>
          <w:sdtPr>
            <w:rPr>
              <w:rStyle w:val="Char20"/>
            </w:rPr>
            <w:tag w:val="_PLD_aa55d719329144e5a0eafd36222d0851"/>
            <w:id w:val="148099177"/>
            <w:lock w:val="sdtLocked"/>
          </w:sdtPr>
          <w:sdtEndPr>
            <w:rPr>
              <w:rStyle w:val="Char20"/>
            </w:rPr>
          </w:sdtEndPr>
          <w:sdtContent>
            <w:tc>
              <w:tcPr>
                <w:tcW w:w="1647" w:type="pct"/>
                <w:vAlign w:val="center"/>
              </w:tcPr>
              <w:p w:rsidR="004A3868" w:rsidRDefault="003F1AB5">
                <w:pPr>
                  <w:pStyle w:val="Style1226"/>
                  <w:rPr>
                    <w:rStyle w:val="Char20"/>
                  </w:rPr>
                </w:pPr>
                <w:r>
                  <w:rPr>
                    <w:rStyle w:val="Char20"/>
                    <w:rFonts w:hint="eastAsia"/>
                  </w:rPr>
                  <w:t>期末账面余额</w:t>
                </w:r>
              </w:p>
            </w:tc>
          </w:sdtContent>
        </w:sdt>
        <w:sdt>
          <w:sdtPr>
            <w:rPr>
              <w:rStyle w:val="Char20"/>
            </w:rPr>
            <w:tag w:val="_PLD_146282129b6a4b52a6963dad9647679a"/>
            <w:id w:val="-1426654887"/>
            <w:lock w:val="sdtLocked"/>
          </w:sdtPr>
          <w:sdtEndPr>
            <w:rPr>
              <w:rStyle w:val="Char20"/>
            </w:rPr>
          </w:sdtEndPr>
          <w:sdtContent>
            <w:tc>
              <w:tcPr>
                <w:tcW w:w="1653" w:type="pct"/>
                <w:vAlign w:val="center"/>
              </w:tcPr>
              <w:p w:rsidR="004A3868" w:rsidRDefault="003F1AB5">
                <w:pPr>
                  <w:pStyle w:val="Style1226"/>
                  <w:rPr>
                    <w:rStyle w:val="Char20"/>
                  </w:rPr>
                </w:pPr>
                <w:r>
                  <w:rPr>
                    <w:rStyle w:val="Char20"/>
                    <w:rFonts w:hint="eastAsia"/>
                  </w:rPr>
                  <w:t>期初账面余额</w:t>
                </w:r>
              </w:p>
            </w:tc>
          </w:sdtContent>
        </w:sdt>
      </w:tr>
      <w:tr w:rsidR="004A3868">
        <w:trPr>
          <w:trHeight w:val="397"/>
          <w:jc w:val="center"/>
        </w:trPr>
        <w:tc>
          <w:tcPr>
            <w:tcW w:w="1700" w:type="pct"/>
            <w:vAlign w:val="center"/>
          </w:tcPr>
          <w:p w:rsidR="004A3868" w:rsidRDefault="003F1AB5">
            <w:pPr>
              <w:pStyle w:val="Style1224"/>
              <w:rPr>
                <w:rStyle w:val="Char20"/>
                <w:highlight w:val="yellow"/>
              </w:rPr>
            </w:pPr>
            <w:r>
              <w:rPr>
                <w:rStyle w:val="Char20"/>
              </w:rPr>
              <w:t>保证金、押金</w:t>
            </w:r>
          </w:p>
        </w:tc>
        <w:tc>
          <w:tcPr>
            <w:tcW w:w="1647" w:type="pct"/>
            <w:vAlign w:val="center"/>
          </w:tcPr>
          <w:p w:rsidR="004A3868" w:rsidRDefault="003F1AB5">
            <w:pPr>
              <w:pStyle w:val="Style1222"/>
              <w:rPr>
                <w:rStyle w:val="Char20"/>
              </w:rPr>
            </w:pPr>
            <w:r>
              <w:rPr>
                <w:rStyle w:val="Char20"/>
              </w:rPr>
              <w:t>11,069,494.24</w:t>
            </w:r>
          </w:p>
        </w:tc>
        <w:tc>
          <w:tcPr>
            <w:tcW w:w="1653" w:type="pct"/>
            <w:vAlign w:val="center"/>
          </w:tcPr>
          <w:p w:rsidR="004A3868" w:rsidRDefault="003F1AB5">
            <w:pPr>
              <w:pStyle w:val="Style1222"/>
              <w:rPr>
                <w:rStyle w:val="Char20"/>
              </w:rPr>
            </w:pPr>
            <w:r>
              <w:rPr>
                <w:rStyle w:val="Char20"/>
              </w:rPr>
              <w:t>11,624,116.65</w:t>
            </w:r>
          </w:p>
        </w:tc>
      </w:tr>
      <w:tr w:rsidR="004A3868">
        <w:trPr>
          <w:trHeight w:val="397"/>
          <w:jc w:val="center"/>
        </w:trPr>
        <w:tc>
          <w:tcPr>
            <w:tcW w:w="1700" w:type="pct"/>
            <w:vAlign w:val="center"/>
          </w:tcPr>
          <w:p w:rsidR="004A3868" w:rsidRDefault="003F1AB5">
            <w:pPr>
              <w:pStyle w:val="Style1224"/>
              <w:rPr>
                <w:rStyle w:val="Char20"/>
                <w:highlight w:val="yellow"/>
              </w:rPr>
            </w:pPr>
            <w:r>
              <w:rPr>
                <w:rStyle w:val="Char20"/>
              </w:rPr>
              <w:t>并表内关联方款项</w:t>
            </w:r>
          </w:p>
        </w:tc>
        <w:tc>
          <w:tcPr>
            <w:tcW w:w="1647" w:type="pct"/>
            <w:vAlign w:val="center"/>
          </w:tcPr>
          <w:p w:rsidR="004A3868" w:rsidRDefault="003F1AB5">
            <w:pPr>
              <w:pStyle w:val="Style1222"/>
              <w:rPr>
                <w:rStyle w:val="Char20"/>
              </w:rPr>
            </w:pPr>
            <w:r>
              <w:rPr>
                <w:rStyle w:val="Char20"/>
              </w:rPr>
              <w:t>50,248,796.79</w:t>
            </w:r>
          </w:p>
        </w:tc>
        <w:tc>
          <w:tcPr>
            <w:tcW w:w="1653" w:type="pct"/>
            <w:vAlign w:val="center"/>
          </w:tcPr>
          <w:p w:rsidR="004A3868" w:rsidRDefault="003F1AB5">
            <w:pPr>
              <w:pStyle w:val="Style1222"/>
              <w:rPr>
                <w:rStyle w:val="Char20"/>
              </w:rPr>
            </w:pPr>
            <w:r>
              <w:rPr>
                <w:rStyle w:val="Char20"/>
              </w:rPr>
              <w:t>86,361,164.01</w:t>
            </w:r>
          </w:p>
        </w:tc>
      </w:tr>
      <w:tr w:rsidR="004A3868">
        <w:trPr>
          <w:trHeight w:val="397"/>
          <w:jc w:val="center"/>
        </w:trPr>
        <w:tc>
          <w:tcPr>
            <w:tcW w:w="1700" w:type="pct"/>
            <w:vAlign w:val="center"/>
          </w:tcPr>
          <w:p w:rsidR="004A3868" w:rsidRDefault="003F1AB5">
            <w:pPr>
              <w:pStyle w:val="Style1224"/>
              <w:rPr>
                <w:rStyle w:val="Char20"/>
                <w:highlight w:val="yellow"/>
              </w:rPr>
            </w:pPr>
            <w:r>
              <w:rPr>
                <w:rStyle w:val="Char20"/>
              </w:rPr>
              <w:t>往来及其他</w:t>
            </w:r>
          </w:p>
        </w:tc>
        <w:tc>
          <w:tcPr>
            <w:tcW w:w="1647" w:type="pct"/>
            <w:vAlign w:val="center"/>
          </w:tcPr>
          <w:p w:rsidR="004A3868" w:rsidRDefault="003F1AB5">
            <w:pPr>
              <w:pStyle w:val="Style1222"/>
              <w:rPr>
                <w:rStyle w:val="Char20"/>
              </w:rPr>
            </w:pPr>
            <w:r>
              <w:rPr>
                <w:rStyle w:val="Char20"/>
              </w:rPr>
              <w:t>959,135.00</w:t>
            </w:r>
          </w:p>
        </w:tc>
        <w:tc>
          <w:tcPr>
            <w:tcW w:w="1653" w:type="pct"/>
            <w:vAlign w:val="center"/>
          </w:tcPr>
          <w:p w:rsidR="004A3868" w:rsidRDefault="003F1AB5">
            <w:pPr>
              <w:pStyle w:val="Style1222"/>
              <w:rPr>
                <w:rStyle w:val="Char20"/>
              </w:rPr>
            </w:pPr>
            <w:r>
              <w:rPr>
                <w:rStyle w:val="Char20"/>
              </w:rPr>
              <w:t>1,091,765.00</w:t>
            </w:r>
          </w:p>
        </w:tc>
      </w:tr>
      <w:tr w:rsidR="004A3868">
        <w:trPr>
          <w:trHeight w:val="397"/>
          <w:jc w:val="center"/>
        </w:trPr>
        <w:tc>
          <w:tcPr>
            <w:tcW w:w="1700" w:type="pct"/>
            <w:vAlign w:val="center"/>
          </w:tcPr>
          <w:p w:rsidR="004A3868" w:rsidRDefault="003F1AB5">
            <w:pPr>
              <w:pStyle w:val="Style1224"/>
              <w:rPr>
                <w:rStyle w:val="Char20"/>
              </w:rPr>
            </w:pPr>
            <w:r>
              <w:rPr>
                <w:rStyle w:val="Char20"/>
              </w:rPr>
              <w:t>合计</w:t>
            </w:r>
          </w:p>
        </w:tc>
        <w:tc>
          <w:tcPr>
            <w:tcW w:w="1647" w:type="pct"/>
            <w:vAlign w:val="center"/>
          </w:tcPr>
          <w:p w:rsidR="004A3868" w:rsidRDefault="003F1AB5">
            <w:pPr>
              <w:pStyle w:val="Style1222"/>
              <w:rPr>
                <w:rStyle w:val="Char20"/>
              </w:rPr>
            </w:pPr>
            <w:r>
              <w:rPr>
                <w:rStyle w:val="Char20"/>
              </w:rPr>
              <w:t>62,277,426.03</w:t>
            </w:r>
          </w:p>
        </w:tc>
        <w:tc>
          <w:tcPr>
            <w:tcW w:w="1653" w:type="pct"/>
            <w:vAlign w:val="center"/>
          </w:tcPr>
          <w:p w:rsidR="004A3868" w:rsidRDefault="003F1AB5">
            <w:pPr>
              <w:pStyle w:val="Style1222"/>
              <w:rPr>
                <w:rStyle w:val="Char20"/>
              </w:rPr>
            </w:pPr>
            <w:r>
              <w:rPr>
                <w:rStyle w:val="Char20"/>
              </w:rPr>
              <w:t>99,077,045.66</w:t>
            </w:r>
          </w:p>
        </w:tc>
      </w:tr>
    </w:tbl>
    <w:p w:rsidR="004A3868" w:rsidRDefault="004A3868">
      <w:pPr>
        <w:pStyle w:val="Style853"/>
        <w:rPr>
          <w:rStyle w:val="Char20"/>
        </w:rPr>
      </w:pPr>
    </w:p>
    <w:p w:rsidR="004A3868" w:rsidRDefault="003F1AB5">
      <w:pPr>
        <w:pStyle w:val="Style957"/>
        <w:rPr>
          <w:rStyle w:val="Char20"/>
        </w:rPr>
      </w:pPr>
      <w:r>
        <w:rPr>
          <w:rStyle w:val="Char20"/>
          <w:rFonts w:hint="eastAsia"/>
        </w:rPr>
        <w:t>坏账准备计提情况</w:t>
      </w:r>
    </w:p>
    <w:sdt>
      <w:sdtPr>
        <w:rPr>
          <w:rStyle w:val="Char20"/>
        </w:rPr>
        <w:alias w:val="是否适用：母公司其他应收款坏账准备调节表[双击切换]"/>
        <w:tag w:val="_GBC_34d55fda2adc4508bb77a03583cd3d2d"/>
        <w:id w:val="1029454896"/>
        <w:placeholder>
          <w:docPart w:val="GBC22222222222222222222222222222"/>
        </w:placeholder>
      </w:sdtPr>
      <w:sdtEndPr>
        <w:rPr>
          <w:rStyle w:val="Char20"/>
        </w:rPr>
      </w:sdtEndPr>
      <w:sdtContent>
        <w:p w:rsidR="004A3868" w:rsidRDefault="003F1AB5">
          <w:pPr>
            <w:pStyle w:val="Style853"/>
            <w:rPr>
              <w:rStyle w:val="Char20"/>
            </w:rPr>
          </w:pPr>
          <w:r>
            <w:rPr>
              <w:rStyle w:val="Char20"/>
            </w:rPr>
            <w:fldChar w:fldCharType="begin"/>
          </w:r>
          <w:r>
            <w:rPr>
              <w:rStyle w:val="Char20"/>
            </w:rPr>
            <w:instrText xml:space="preserve"> MACROBUTTON  SnrToggleCheckbox √</w:instrText>
          </w:r>
          <w:r>
            <w:rPr>
              <w:rStyle w:val="Char20"/>
            </w:rPr>
            <w:instrText>适用</w:instrText>
          </w:r>
          <w:r>
            <w:rPr>
              <w:rStyle w:val="Char20"/>
            </w:rPr>
            <w:instrText xml:space="preserve"> </w:instrText>
          </w:r>
          <w:r>
            <w:rPr>
              <w:rStyle w:val="Char20"/>
            </w:rPr>
            <w:fldChar w:fldCharType="end"/>
          </w:r>
          <w:r>
            <w:rPr>
              <w:rStyle w:val="Char20"/>
            </w:rPr>
            <w:fldChar w:fldCharType="begin"/>
          </w:r>
          <w:r>
            <w:rPr>
              <w:rStyle w:val="Char20"/>
            </w:rPr>
            <w:instrText xml:space="preserve"> MACROBUTTON  SnrToggleCheckbox □</w:instrText>
          </w:r>
          <w:r>
            <w:rPr>
              <w:rStyle w:val="Char20"/>
            </w:rPr>
            <w:instrText>不适用</w:instrText>
          </w:r>
          <w:r>
            <w:rPr>
              <w:rStyle w:val="Char20"/>
            </w:rPr>
            <w:instrText xml:space="preserve"> </w:instrText>
          </w:r>
          <w:r>
            <w:rPr>
              <w:rStyle w:val="Char2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母公司其他应收款坏账准备调节表"/>
          <w:tag w:val="_GBC_b494dbb0c2794f39b9fb29a12fc478f8"/>
          <w:id w:val="10883431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母公司其他应收款坏账准备调节表"/>
          <w:tag w:val="_GBC_a5fe64b13e1448e3b1446e3cf0428cfc"/>
          <w:id w:val="-6031114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723"/>
        <w:gridCol w:w="1659"/>
        <w:gridCol w:w="1893"/>
        <w:gridCol w:w="1893"/>
        <w:gridCol w:w="1655"/>
      </w:tblGrid>
      <w:tr w:rsidR="004A3868">
        <w:trPr>
          <w:trHeight w:val="397"/>
          <w:jc w:val="center"/>
        </w:trPr>
        <w:sdt>
          <w:sdtPr>
            <w:rPr>
              <w:rStyle w:val="Char10"/>
            </w:rPr>
            <w:tag w:val="_PLD_21b2d66f9e3e44f9a3867e2f9fa483ea"/>
            <w:id w:val="1567692925"/>
          </w:sdtPr>
          <w:sdtEndPr>
            <w:rPr>
              <w:rStyle w:val="Char10"/>
            </w:rPr>
          </w:sdtEndPr>
          <w:sdtContent>
            <w:tc>
              <w:tcPr>
                <w:tcW w:w="976" w:type="pct"/>
                <w:vMerge w:val="restart"/>
                <w:vAlign w:val="center"/>
              </w:tcPr>
              <w:p w:rsidR="004A3868" w:rsidRDefault="003F1AB5">
                <w:pPr>
                  <w:pStyle w:val="Style1226"/>
                  <w:rPr>
                    <w:rStyle w:val="Char10"/>
                  </w:rPr>
                </w:pPr>
                <w:r>
                  <w:rPr>
                    <w:rStyle w:val="Char10"/>
                    <w:rFonts w:hint="eastAsia"/>
                  </w:rPr>
                  <w:t>坏账准备</w:t>
                </w:r>
              </w:p>
            </w:tc>
          </w:sdtContent>
        </w:sdt>
        <w:sdt>
          <w:sdtPr>
            <w:rPr>
              <w:rStyle w:val="Char10"/>
            </w:rPr>
            <w:tag w:val="_PLD_34b0b4bcbee6472f945ee1ca26e45970"/>
            <w:id w:val="-1355259279"/>
          </w:sdtPr>
          <w:sdtEndPr>
            <w:rPr>
              <w:rStyle w:val="Char10"/>
            </w:rPr>
          </w:sdtEndPr>
          <w:sdtContent>
            <w:tc>
              <w:tcPr>
                <w:tcW w:w="940" w:type="pct"/>
                <w:vAlign w:val="center"/>
              </w:tcPr>
              <w:p w:rsidR="004A3868" w:rsidRDefault="003F1AB5">
                <w:pPr>
                  <w:pStyle w:val="Style1226"/>
                  <w:rPr>
                    <w:rStyle w:val="Char10"/>
                  </w:rPr>
                </w:pPr>
                <w:r>
                  <w:rPr>
                    <w:rStyle w:val="Char10"/>
                    <w:rFonts w:hint="eastAsia"/>
                  </w:rPr>
                  <w:t>第一阶段</w:t>
                </w:r>
              </w:p>
            </w:tc>
          </w:sdtContent>
        </w:sdt>
        <w:sdt>
          <w:sdtPr>
            <w:rPr>
              <w:rStyle w:val="Char10"/>
            </w:rPr>
            <w:tag w:val="_PLD_aa89fd65169d424f824fd7e383c25916"/>
            <w:id w:val="-340083396"/>
          </w:sdtPr>
          <w:sdtEndPr>
            <w:rPr>
              <w:rStyle w:val="Char10"/>
            </w:rPr>
          </w:sdtEndPr>
          <w:sdtContent>
            <w:tc>
              <w:tcPr>
                <w:tcW w:w="1073" w:type="pct"/>
                <w:vAlign w:val="center"/>
              </w:tcPr>
              <w:p w:rsidR="004A3868" w:rsidRDefault="003F1AB5">
                <w:pPr>
                  <w:pStyle w:val="Style1226"/>
                  <w:rPr>
                    <w:rStyle w:val="Char10"/>
                  </w:rPr>
                </w:pPr>
                <w:r>
                  <w:rPr>
                    <w:rStyle w:val="Char10"/>
                    <w:rFonts w:hint="eastAsia"/>
                  </w:rPr>
                  <w:t>第二阶段</w:t>
                </w:r>
              </w:p>
            </w:tc>
          </w:sdtContent>
        </w:sdt>
        <w:sdt>
          <w:sdtPr>
            <w:rPr>
              <w:rStyle w:val="Char10"/>
            </w:rPr>
            <w:tag w:val="_PLD_12639a93161546c79f54a930c0ece668"/>
            <w:id w:val="137317684"/>
          </w:sdtPr>
          <w:sdtEndPr>
            <w:rPr>
              <w:rStyle w:val="Char10"/>
            </w:rPr>
          </w:sdtEndPr>
          <w:sdtContent>
            <w:tc>
              <w:tcPr>
                <w:tcW w:w="1073" w:type="pct"/>
                <w:vAlign w:val="center"/>
              </w:tcPr>
              <w:p w:rsidR="004A3868" w:rsidRDefault="003F1AB5">
                <w:pPr>
                  <w:pStyle w:val="Style1226"/>
                  <w:rPr>
                    <w:rStyle w:val="Char10"/>
                  </w:rPr>
                </w:pPr>
                <w:r>
                  <w:rPr>
                    <w:rStyle w:val="Char10"/>
                    <w:rFonts w:hint="eastAsia"/>
                  </w:rPr>
                  <w:t>第三阶段</w:t>
                </w:r>
              </w:p>
            </w:tc>
          </w:sdtContent>
        </w:sdt>
        <w:sdt>
          <w:sdtPr>
            <w:rPr>
              <w:rStyle w:val="Char10"/>
            </w:rPr>
            <w:tag w:val="_PLD_5a93d463a9c749a7a3988972a030308e"/>
            <w:id w:val="446736405"/>
          </w:sdtPr>
          <w:sdtEndPr>
            <w:rPr>
              <w:rStyle w:val="Char10"/>
            </w:rPr>
          </w:sdtEndPr>
          <w:sdtContent>
            <w:tc>
              <w:tcPr>
                <w:tcW w:w="938" w:type="pct"/>
                <w:vMerge w:val="restart"/>
                <w:vAlign w:val="center"/>
              </w:tcPr>
              <w:p w:rsidR="004A3868" w:rsidRDefault="003F1AB5">
                <w:pPr>
                  <w:pStyle w:val="Style1226"/>
                  <w:rPr>
                    <w:rStyle w:val="Char10"/>
                  </w:rPr>
                </w:pPr>
                <w:r>
                  <w:rPr>
                    <w:rStyle w:val="Char10"/>
                    <w:rFonts w:hint="eastAsia"/>
                  </w:rPr>
                  <w:t>合计</w:t>
                </w:r>
              </w:p>
            </w:tc>
          </w:sdtContent>
        </w:sdt>
      </w:tr>
      <w:tr w:rsidR="004A3868">
        <w:trPr>
          <w:trHeight w:val="397"/>
          <w:jc w:val="center"/>
        </w:trPr>
        <w:tc>
          <w:tcPr>
            <w:tcW w:w="976" w:type="pct"/>
            <w:vMerge/>
            <w:vAlign w:val="center"/>
          </w:tcPr>
          <w:p w:rsidR="004A3868" w:rsidRDefault="004A3868">
            <w:pPr>
              <w:pStyle w:val="Style842"/>
              <w:rPr>
                <w:rStyle w:val="Char10"/>
              </w:rPr>
            </w:pPr>
          </w:p>
        </w:tc>
        <w:sdt>
          <w:sdtPr>
            <w:rPr>
              <w:rStyle w:val="Char10"/>
            </w:rPr>
            <w:tag w:val="_PLD_6c31319b241149a587899b0690e3641d"/>
            <w:id w:val="-1658145408"/>
          </w:sdtPr>
          <w:sdtEndPr>
            <w:rPr>
              <w:rStyle w:val="Char10"/>
            </w:rPr>
          </w:sdtEndPr>
          <w:sdtContent>
            <w:tc>
              <w:tcPr>
                <w:tcW w:w="940" w:type="pct"/>
                <w:vAlign w:val="center"/>
              </w:tcPr>
              <w:p w:rsidR="004A3868" w:rsidRDefault="003F1AB5">
                <w:pPr>
                  <w:pStyle w:val="Style1226"/>
                  <w:rPr>
                    <w:rStyle w:val="Char10"/>
                  </w:rPr>
                </w:pPr>
                <w:r>
                  <w:rPr>
                    <w:rStyle w:val="Char10"/>
                    <w:rFonts w:hint="eastAsia"/>
                  </w:rPr>
                  <w:t>未来</w:t>
                </w:r>
                <w:r>
                  <w:rPr>
                    <w:rStyle w:val="Char10"/>
                    <w:rFonts w:hint="eastAsia"/>
                  </w:rPr>
                  <w:t>12</w:t>
                </w:r>
                <w:r>
                  <w:rPr>
                    <w:rStyle w:val="Char10"/>
                    <w:rFonts w:hint="eastAsia"/>
                  </w:rPr>
                  <w:t>个月预期信用损失</w:t>
                </w:r>
              </w:p>
            </w:tc>
          </w:sdtContent>
        </w:sdt>
        <w:sdt>
          <w:sdtPr>
            <w:rPr>
              <w:rStyle w:val="Char10"/>
            </w:rPr>
            <w:tag w:val="_PLD_4c23d250a4214769af939ed6c6506e15"/>
            <w:id w:val="1258716619"/>
          </w:sdtPr>
          <w:sdtEndPr>
            <w:rPr>
              <w:rStyle w:val="Char10"/>
            </w:rPr>
          </w:sdtEndPr>
          <w:sdtContent>
            <w:tc>
              <w:tcPr>
                <w:tcW w:w="1073" w:type="pct"/>
                <w:vAlign w:val="center"/>
              </w:tcPr>
              <w:p w:rsidR="004A3868" w:rsidRDefault="003F1AB5">
                <w:pPr>
                  <w:pStyle w:val="Style1226"/>
                  <w:rPr>
                    <w:rStyle w:val="Char10"/>
                  </w:rPr>
                </w:pPr>
                <w:r>
                  <w:rPr>
                    <w:rStyle w:val="Char10"/>
                    <w:rFonts w:hint="eastAsia"/>
                  </w:rPr>
                  <w:t>整个存续期预期信用损失</w:t>
                </w:r>
                <w:r>
                  <w:rPr>
                    <w:rStyle w:val="Char10"/>
                    <w:rFonts w:hint="eastAsia"/>
                  </w:rPr>
                  <w:t>(</w:t>
                </w:r>
                <w:r>
                  <w:rPr>
                    <w:rStyle w:val="Char10"/>
                    <w:rFonts w:hint="eastAsia"/>
                  </w:rPr>
                  <w:t>未发生信用减值</w:t>
                </w:r>
                <w:r>
                  <w:rPr>
                    <w:rStyle w:val="Char10"/>
                    <w:rFonts w:hint="eastAsia"/>
                  </w:rPr>
                  <w:t>)</w:t>
                </w:r>
              </w:p>
            </w:tc>
          </w:sdtContent>
        </w:sdt>
        <w:sdt>
          <w:sdtPr>
            <w:rPr>
              <w:rStyle w:val="Char10"/>
            </w:rPr>
            <w:tag w:val="_PLD_96f4d1ff5d1541a5bcedcc9d7d297735"/>
            <w:id w:val="914282042"/>
          </w:sdtPr>
          <w:sdtEndPr>
            <w:rPr>
              <w:rStyle w:val="Char10"/>
            </w:rPr>
          </w:sdtEndPr>
          <w:sdtContent>
            <w:tc>
              <w:tcPr>
                <w:tcW w:w="1073" w:type="pct"/>
                <w:vAlign w:val="center"/>
              </w:tcPr>
              <w:p w:rsidR="004A3868" w:rsidRDefault="003F1AB5">
                <w:pPr>
                  <w:pStyle w:val="Style1226"/>
                  <w:rPr>
                    <w:rStyle w:val="Char10"/>
                  </w:rPr>
                </w:pPr>
                <w:r>
                  <w:rPr>
                    <w:rStyle w:val="Char10"/>
                    <w:rFonts w:hint="eastAsia"/>
                  </w:rPr>
                  <w:t>整个存续期预期信用损失</w:t>
                </w:r>
                <w:r>
                  <w:rPr>
                    <w:rStyle w:val="Char10"/>
                    <w:rFonts w:hint="eastAsia"/>
                  </w:rPr>
                  <w:t>(</w:t>
                </w:r>
                <w:r>
                  <w:rPr>
                    <w:rStyle w:val="Char10"/>
                    <w:rFonts w:hint="eastAsia"/>
                  </w:rPr>
                  <w:t>已发生信用减值</w:t>
                </w:r>
                <w:r>
                  <w:rPr>
                    <w:rStyle w:val="Char10"/>
                    <w:rFonts w:hint="eastAsia"/>
                  </w:rPr>
                  <w:t>)</w:t>
                </w:r>
              </w:p>
            </w:tc>
          </w:sdtContent>
        </w:sdt>
        <w:tc>
          <w:tcPr>
            <w:tcW w:w="938" w:type="pct"/>
            <w:vMerge/>
            <w:vAlign w:val="center"/>
          </w:tcPr>
          <w:p w:rsidR="004A3868" w:rsidRDefault="004A3868">
            <w:pPr>
              <w:pStyle w:val="Style84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Pr>
              <w:t>2023</w:t>
            </w:r>
            <w:r>
              <w:rPr>
                <w:rStyle w:val="Char10"/>
              </w:rPr>
              <w:t>年</w:t>
            </w:r>
            <w:r>
              <w:rPr>
                <w:rStyle w:val="Char10"/>
                <w:rFonts w:hint="eastAsia"/>
              </w:rPr>
              <w:t>1</w:t>
            </w:r>
            <w:r>
              <w:rPr>
                <w:rStyle w:val="Char10"/>
                <w:rFonts w:hint="eastAsia"/>
              </w:rPr>
              <w:t>月</w:t>
            </w:r>
            <w:r>
              <w:rPr>
                <w:rStyle w:val="Char10"/>
                <w:rFonts w:hint="eastAsia"/>
              </w:rPr>
              <w:t>1</w:t>
            </w:r>
            <w:r>
              <w:rPr>
                <w:rStyle w:val="Char10"/>
                <w:rFonts w:hint="eastAsia"/>
              </w:rPr>
              <w:t>日余额</w:t>
            </w:r>
          </w:p>
        </w:tc>
        <w:tc>
          <w:tcPr>
            <w:tcW w:w="940" w:type="pct"/>
            <w:vAlign w:val="center"/>
          </w:tcPr>
          <w:p w:rsidR="004A3868" w:rsidRDefault="003F1AB5">
            <w:pPr>
              <w:pStyle w:val="Style1222"/>
              <w:rPr>
                <w:rStyle w:val="Char10"/>
              </w:rPr>
            </w:pPr>
            <w:r>
              <w:rPr>
                <w:rStyle w:val="Char10"/>
              </w:rPr>
              <w:t>1,361,327.89</w:t>
            </w:r>
          </w:p>
        </w:tc>
        <w:tc>
          <w:tcPr>
            <w:tcW w:w="1073" w:type="pct"/>
            <w:vAlign w:val="center"/>
          </w:tcPr>
          <w:p w:rsidR="004A3868" w:rsidRDefault="003F1AB5">
            <w:pPr>
              <w:pStyle w:val="Style1222"/>
              <w:rPr>
                <w:rStyle w:val="Char10"/>
              </w:rPr>
            </w:pPr>
            <w:r>
              <w:rPr>
                <w:rStyle w:val="Char10"/>
              </w:rPr>
              <w:t>41,060.00</w:t>
            </w:r>
          </w:p>
        </w:tc>
        <w:tc>
          <w:tcPr>
            <w:tcW w:w="1073" w:type="pct"/>
            <w:vAlign w:val="center"/>
          </w:tcPr>
          <w:p w:rsidR="004A3868" w:rsidRDefault="003F1AB5">
            <w:pPr>
              <w:pStyle w:val="Style1222"/>
              <w:rPr>
                <w:rStyle w:val="Char10"/>
              </w:rPr>
            </w:pPr>
            <w:r>
              <w:rPr>
                <w:rStyle w:val="Char10"/>
              </w:rPr>
              <w:t>628,000.00</w:t>
            </w:r>
          </w:p>
        </w:tc>
        <w:tc>
          <w:tcPr>
            <w:tcW w:w="938" w:type="pct"/>
            <w:vAlign w:val="center"/>
          </w:tcPr>
          <w:p w:rsidR="004A3868" w:rsidRDefault="003F1AB5">
            <w:pPr>
              <w:pStyle w:val="Style1222"/>
              <w:rPr>
                <w:rStyle w:val="Char10"/>
              </w:rPr>
            </w:pPr>
            <w:r>
              <w:rPr>
                <w:rStyle w:val="Char10"/>
              </w:rPr>
              <w:t>2,030,387.89</w:t>
            </w: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2023</w:t>
            </w:r>
            <w:r>
              <w:rPr>
                <w:rStyle w:val="Char10"/>
                <w:rFonts w:hint="eastAsia"/>
              </w:rPr>
              <w:t>年</w:t>
            </w:r>
            <w:r>
              <w:rPr>
                <w:rStyle w:val="Char10"/>
                <w:rFonts w:hint="eastAsia"/>
              </w:rPr>
              <w:t>1</w:t>
            </w:r>
            <w:r>
              <w:rPr>
                <w:rStyle w:val="Char10"/>
                <w:rFonts w:hint="eastAsia"/>
              </w:rPr>
              <w:t>月</w:t>
            </w:r>
            <w:r>
              <w:rPr>
                <w:rStyle w:val="Char10"/>
                <w:rFonts w:hint="eastAsia"/>
              </w:rPr>
              <w:t>1</w:t>
            </w:r>
            <w:r>
              <w:rPr>
                <w:rStyle w:val="Char10"/>
                <w:rFonts w:hint="eastAsia"/>
              </w:rPr>
              <w:t>日余额在本期</w:t>
            </w:r>
          </w:p>
        </w:tc>
        <w:tc>
          <w:tcPr>
            <w:tcW w:w="940"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938" w:type="pct"/>
            <w:vAlign w:val="center"/>
          </w:tcPr>
          <w:p w:rsidR="004A3868" w:rsidRDefault="004A3868">
            <w:pPr>
              <w:pStyle w:val="Style122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w:t>
            </w:r>
            <w:r>
              <w:rPr>
                <w:rStyle w:val="Char10"/>
                <w:rFonts w:hint="eastAsia"/>
              </w:rPr>
              <w:t>转入第二阶段</w:t>
            </w:r>
          </w:p>
        </w:tc>
        <w:tc>
          <w:tcPr>
            <w:tcW w:w="940" w:type="pct"/>
            <w:vAlign w:val="center"/>
          </w:tcPr>
          <w:p w:rsidR="004A3868" w:rsidRDefault="003F1AB5">
            <w:pPr>
              <w:pStyle w:val="Style1222"/>
              <w:rPr>
                <w:rStyle w:val="Char10"/>
              </w:rPr>
            </w:pPr>
            <w:r>
              <w:rPr>
                <w:rStyle w:val="Char10"/>
              </w:rPr>
              <w:t>-598,182.45</w:t>
            </w:r>
          </w:p>
        </w:tc>
        <w:tc>
          <w:tcPr>
            <w:tcW w:w="1073" w:type="pct"/>
            <w:vAlign w:val="center"/>
          </w:tcPr>
          <w:p w:rsidR="004A3868" w:rsidRDefault="003F1AB5">
            <w:pPr>
              <w:pStyle w:val="Style1222"/>
              <w:rPr>
                <w:rStyle w:val="Char10"/>
              </w:rPr>
            </w:pPr>
            <w:r>
              <w:rPr>
                <w:rStyle w:val="Char10"/>
              </w:rPr>
              <w:t>598,182.45</w:t>
            </w:r>
          </w:p>
        </w:tc>
        <w:tc>
          <w:tcPr>
            <w:tcW w:w="1073" w:type="pct"/>
            <w:vAlign w:val="center"/>
          </w:tcPr>
          <w:p w:rsidR="004A3868" w:rsidRDefault="004A3868">
            <w:pPr>
              <w:pStyle w:val="Style1222"/>
              <w:rPr>
                <w:rStyle w:val="Char10"/>
              </w:rPr>
            </w:pPr>
          </w:p>
        </w:tc>
        <w:tc>
          <w:tcPr>
            <w:tcW w:w="938" w:type="pct"/>
            <w:vAlign w:val="center"/>
          </w:tcPr>
          <w:p w:rsidR="004A3868" w:rsidRDefault="004A3868">
            <w:pPr>
              <w:pStyle w:val="Style122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w:t>
            </w:r>
            <w:r>
              <w:rPr>
                <w:rStyle w:val="Char10"/>
                <w:rFonts w:hint="eastAsia"/>
              </w:rPr>
              <w:t>转入第三阶段</w:t>
            </w:r>
          </w:p>
        </w:tc>
        <w:tc>
          <w:tcPr>
            <w:tcW w:w="940"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938" w:type="pct"/>
            <w:vAlign w:val="center"/>
          </w:tcPr>
          <w:p w:rsidR="004A3868" w:rsidRDefault="004A3868">
            <w:pPr>
              <w:pStyle w:val="Style122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w:t>
            </w:r>
            <w:r>
              <w:rPr>
                <w:rStyle w:val="Char10"/>
                <w:rFonts w:hint="eastAsia"/>
              </w:rPr>
              <w:t>转回第二阶段</w:t>
            </w:r>
          </w:p>
        </w:tc>
        <w:tc>
          <w:tcPr>
            <w:tcW w:w="940"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938" w:type="pct"/>
            <w:vAlign w:val="center"/>
          </w:tcPr>
          <w:p w:rsidR="004A3868" w:rsidRDefault="004A3868">
            <w:pPr>
              <w:pStyle w:val="Style122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w:t>
            </w:r>
            <w:r>
              <w:rPr>
                <w:rStyle w:val="Char10"/>
                <w:rFonts w:hint="eastAsia"/>
              </w:rPr>
              <w:t>转回第一阶段</w:t>
            </w:r>
          </w:p>
        </w:tc>
        <w:tc>
          <w:tcPr>
            <w:tcW w:w="940"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938" w:type="pct"/>
            <w:vAlign w:val="center"/>
          </w:tcPr>
          <w:p w:rsidR="004A3868" w:rsidRDefault="004A3868">
            <w:pPr>
              <w:pStyle w:val="Style122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本期计提</w:t>
            </w:r>
          </w:p>
        </w:tc>
        <w:tc>
          <w:tcPr>
            <w:tcW w:w="940" w:type="pct"/>
            <w:vAlign w:val="center"/>
          </w:tcPr>
          <w:p w:rsidR="004A3868" w:rsidRDefault="003F1AB5">
            <w:pPr>
              <w:pStyle w:val="Style1222"/>
              <w:rPr>
                <w:rStyle w:val="Char10"/>
              </w:rPr>
            </w:pPr>
            <w:r>
              <w:rPr>
                <w:rStyle w:val="Char10"/>
              </w:rPr>
              <w:t>190,544.70</w:t>
            </w:r>
          </w:p>
        </w:tc>
        <w:tc>
          <w:tcPr>
            <w:tcW w:w="1073" w:type="pct"/>
            <w:vAlign w:val="center"/>
          </w:tcPr>
          <w:p w:rsidR="004A3868" w:rsidRDefault="004A3868">
            <w:pPr>
              <w:pStyle w:val="Style1222"/>
              <w:rPr>
                <w:rStyle w:val="Char10"/>
              </w:rPr>
            </w:pPr>
          </w:p>
        </w:tc>
        <w:tc>
          <w:tcPr>
            <w:tcW w:w="1073" w:type="pct"/>
            <w:vAlign w:val="center"/>
          </w:tcPr>
          <w:p w:rsidR="004A3868" w:rsidRDefault="003F1AB5">
            <w:pPr>
              <w:pStyle w:val="Style1222"/>
              <w:rPr>
                <w:rStyle w:val="Char10"/>
              </w:rPr>
            </w:pPr>
            <w:r>
              <w:rPr>
                <w:rStyle w:val="Char10"/>
              </w:rPr>
              <w:t>40,000.00</w:t>
            </w:r>
          </w:p>
        </w:tc>
        <w:tc>
          <w:tcPr>
            <w:tcW w:w="938" w:type="pct"/>
            <w:vAlign w:val="center"/>
          </w:tcPr>
          <w:p w:rsidR="004A3868" w:rsidRDefault="003F1AB5">
            <w:pPr>
              <w:pStyle w:val="Style1222"/>
              <w:rPr>
                <w:rStyle w:val="Char10"/>
              </w:rPr>
            </w:pPr>
            <w:r>
              <w:rPr>
                <w:rStyle w:val="Char10"/>
              </w:rPr>
              <w:t>230,544.7</w:t>
            </w: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本期转回</w:t>
            </w:r>
          </w:p>
        </w:tc>
        <w:tc>
          <w:tcPr>
            <w:tcW w:w="940" w:type="pct"/>
            <w:vAlign w:val="center"/>
          </w:tcPr>
          <w:p w:rsidR="004A3868" w:rsidRDefault="004A3868">
            <w:pPr>
              <w:pStyle w:val="Style1222"/>
              <w:rPr>
                <w:rStyle w:val="Char10"/>
              </w:rPr>
            </w:pPr>
          </w:p>
        </w:tc>
        <w:tc>
          <w:tcPr>
            <w:tcW w:w="1073" w:type="pct"/>
            <w:vAlign w:val="center"/>
          </w:tcPr>
          <w:p w:rsidR="004A3868" w:rsidRDefault="003F1AB5">
            <w:pPr>
              <w:pStyle w:val="Style1222"/>
              <w:rPr>
                <w:rStyle w:val="Char10"/>
              </w:rPr>
            </w:pPr>
            <w:r>
              <w:rPr>
                <w:rStyle w:val="Char10"/>
              </w:rPr>
              <w:t>11,060.00</w:t>
            </w:r>
          </w:p>
        </w:tc>
        <w:tc>
          <w:tcPr>
            <w:tcW w:w="1073" w:type="pct"/>
            <w:vAlign w:val="center"/>
          </w:tcPr>
          <w:p w:rsidR="004A3868" w:rsidRDefault="003F1AB5">
            <w:pPr>
              <w:pStyle w:val="Style1222"/>
              <w:rPr>
                <w:rStyle w:val="Char10"/>
              </w:rPr>
            </w:pPr>
            <w:r>
              <w:rPr>
                <w:rStyle w:val="Char10"/>
              </w:rPr>
              <w:t>368,000.00</w:t>
            </w:r>
          </w:p>
        </w:tc>
        <w:tc>
          <w:tcPr>
            <w:tcW w:w="938" w:type="pct"/>
            <w:vAlign w:val="center"/>
          </w:tcPr>
          <w:p w:rsidR="004A3868" w:rsidRDefault="003F1AB5">
            <w:pPr>
              <w:pStyle w:val="Style1222"/>
              <w:rPr>
                <w:rStyle w:val="Char10"/>
              </w:rPr>
            </w:pPr>
            <w:r>
              <w:rPr>
                <w:rStyle w:val="Char10"/>
              </w:rPr>
              <w:t>379,060.00</w:t>
            </w: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lastRenderedPageBreak/>
              <w:t>本期转销</w:t>
            </w:r>
          </w:p>
        </w:tc>
        <w:tc>
          <w:tcPr>
            <w:tcW w:w="940"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938" w:type="pct"/>
            <w:vAlign w:val="center"/>
          </w:tcPr>
          <w:p w:rsidR="004A3868" w:rsidRDefault="004A3868">
            <w:pPr>
              <w:pStyle w:val="Style122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本期核销</w:t>
            </w:r>
          </w:p>
        </w:tc>
        <w:tc>
          <w:tcPr>
            <w:tcW w:w="940"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938" w:type="pct"/>
            <w:vAlign w:val="center"/>
          </w:tcPr>
          <w:p w:rsidR="004A3868" w:rsidRDefault="004A3868">
            <w:pPr>
              <w:pStyle w:val="Style122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Fonts w:hint="eastAsia"/>
              </w:rPr>
              <w:t>其他变动</w:t>
            </w:r>
          </w:p>
        </w:tc>
        <w:tc>
          <w:tcPr>
            <w:tcW w:w="940"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1073" w:type="pct"/>
            <w:vAlign w:val="center"/>
          </w:tcPr>
          <w:p w:rsidR="004A3868" w:rsidRDefault="004A3868">
            <w:pPr>
              <w:pStyle w:val="Style1222"/>
              <w:rPr>
                <w:rStyle w:val="Char10"/>
              </w:rPr>
            </w:pPr>
          </w:p>
        </w:tc>
        <w:tc>
          <w:tcPr>
            <w:tcW w:w="938" w:type="pct"/>
            <w:vAlign w:val="center"/>
          </w:tcPr>
          <w:p w:rsidR="004A3868" w:rsidRDefault="004A3868">
            <w:pPr>
              <w:pStyle w:val="Style1222"/>
              <w:rPr>
                <w:rStyle w:val="Char10"/>
              </w:rPr>
            </w:pPr>
          </w:p>
        </w:tc>
      </w:tr>
      <w:tr w:rsidR="004A3868">
        <w:trPr>
          <w:trHeight w:val="397"/>
          <w:jc w:val="center"/>
        </w:trPr>
        <w:tc>
          <w:tcPr>
            <w:tcW w:w="976" w:type="pct"/>
            <w:vAlign w:val="center"/>
          </w:tcPr>
          <w:p w:rsidR="004A3868" w:rsidRDefault="003F1AB5">
            <w:pPr>
              <w:pStyle w:val="Style1224"/>
              <w:rPr>
                <w:rStyle w:val="Char10"/>
              </w:rPr>
            </w:pPr>
            <w:r>
              <w:rPr>
                <w:rStyle w:val="Char10"/>
              </w:rPr>
              <w:t>2023</w:t>
            </w:r>
            <w:r>
              <w:rPr>
                <w:rStyle w:val="Char10"/>
              </w:rPr>
              <w:t>年</w:t>
            </w:r>
            <w:r>
              <w:rPr>
                <w:rStyle w:val="Char10"/>
              </w:rPr>
              <w:t>12</w:t>
            </w:r>
            <w:r>
              <w:rPr>
                <w:rStyle w:val="Char10"/>
              </w:rPr>
              <w:t>月</w:t>
            </w:r>
            <w:r>
              <w:rPr>
                <w:rStyle w:val="Char10"/>
              </w:rPr>
              <w:t>31</w:t>
            </w:r>
            <w:r>
              <w:rPr>
                <w:rStyle w:val="Char10"/>
              </w:rPr>
              <w:t>日</w:t>
            </w:r>
            <w:r>
              <w:rPr>
                <w:rStyle w:val="Char10"/>
                <w:rFonts w:hint="eastAsia"/>
              </w:rPr>
              <w:t>余额</w:t>
            </w:r>
          </w:p>
        </w:tc>
        <w:tc>
          <w:tcPr>
            <w:tcW w:w="940" w:type="pct"/>
            <w:vAlign w:val="center"/>
          </w:tcPr>
          <w:p w:rsidR="004A3868" w:rsidRDefault="003F1AB5">
            <w:pPr>
              <w:pStyle w:val="Style1222"/>
              <w:rPr>
                <w:rStyle w:val="Char10"/>
              </w:rPr>
            </w:pPr>
            <w:r>
              <w:rPr>
                <w:rStyle w:val="Char10"/>
              </w:rPr>
              <w:t>953,690.14</w:t>
            </w:r>
          </w:p>
        </w:tc>
        <w:tc>
          <w:tcPr>
            <w:tcW w:w="1073" w:type="pct"/>
            <w:vAlign w:val="center"/>
          </w:tcPr>
          <w:p w:rsidR="004A3868" w:rsidRDefault="003F1AB5">
            <w:pPr>
              <w:pStyle w:val="Style1222"/>
              <w:rPr>
                <w:rStyle w:val="Char10"/>
              </w:rPr>
            </w:pPr>
            <w:r>
              <w:rPr>
                <w:rStyle w:val="Char10"/>
              </w:rPr>
              <w:t>628,182.45</w:t>
            </w:r>
          </w:p>
        </w:tc>
        <w:tc>
          <w:tcPr>
            <w:tcW w:w="1073" w:type="pct"/>
            <w:vAlign w:val="center"/>
          </w:tcPr>
          <w:p w:rsidR="004A3868" w:rsidRDefault="003F1AB5">
            <w:pPr>
              <w:pStyle w:val="Style1222"/>
              <w:rPr>
                <w:rStyle w:val="Char10"/>
              </w:rPr>
            </w:pPr>
            <w:r>
              <w:rPr>
                <w:rStyle w:val="Char10"/>
              </w:rPr>
              <w:t>300,000.00</w:t>
            </w:r>
          </w:p>
        </w:tc>
        <w:tc>
          <w:tcPr>
            <w:tcW w:w="938" w:type="pct"/>
            <w:vAlign w:val="center"/>
          </w:tcPr>
          <w:p w:rsidR="004A3868" w:rsidRDefault="003F1AB5">
            <w:pPr>
              <w:pStyle w:val="Style1222"/>
              <w:rPr>
                <w:rStyle w:val="Char10"/>
              </w:rPr>
            </w:pPr>
            <w:r>
              <w:rPr>
                <w:rStyle w:val="Char10"/>
              </w:rPr>
              <w:t>1,881,872.59</w:t>
            </w:r>
          </w:p>
        </w:tc>
      </w:tr>
    </w:tbl>
    <w:p w:rsidR="004A3868" w:rsidRDefault="003F1AB5">
      <w:pPr>
        <w:pStyle w:val="Style842"/>
        <w:rPr>
          <w:rStyle w:val="Char10"/>
        </w:rPr>
      </w:pPr>
      <w:r>
        <w:rPr>
          <w:rStyle w:val="Char10"/>
          <w:rFonts w:hint="eastAsia"/>
        </w:rPr>
        <w:t>各阶段划分依据和坏账准备计提比例</w:t>
      </w:r>
    </w:p>
    <w:sdt>
      <w:sdtPr>
        <w:rPr>
          <w:rStyle w:val="Char10"/>
        </w:rPr>
        <w:alias w:val="其他应收款各阶段划分依据和坏账准备计提比例"/>
        <w:tag w:val="_GBC_3c3eb8d29e064b68909ad636fcd177ff"/>
        <w:id w:val="-735856422"/>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p w:rsidR="004A3868" w:rsidRDefault="003F1AB5">
      <w:pPr>
        <w:pStyle w:val="Style180"/>
        <w:rPr>
          <w:rStyle w:val="Char10"/>
        </w:rPr>
      </w:pPr>
      <w:r>
        <w:rPr>
          <w:rStyle w:val="Char10"/>
          <w:rFonts w:hint="eastAsia"/>
        </w:rPr>
        <w:t>对本期发生损失准备变动的其他应收款账面余额显著变动的情况说明：</w:t>
      </w:r>
    </w:p>
    <w:sdt>
      <w:sdtPr>
        <w:rPr>
          <w:rStyle w:val="Char10"/>
        </w:rPr>
        <w:alias w:val="是否适用：母公司其他应收款本期发生损失准备变动且账面余额显著变动的情况说明[双击切换]"/>
        <w:tag w:val="_GBC_ef54a1b6105d438ab26e495100db4163"/>
        <w:id w:val="-411695627"/>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本期坏账准备计提金额以及评估金融工具的信用风险是否显著增加的采用依据：</w:t>
      </w:r>
    </w:p>
    <w:sdt>
      <w:sdtPr>
        <w:rPr>
          <w:rStyle w:val="Char10"/>
        </w:rPr>
        <w:alias w:val="是否适用：母公司其他应收款坏账准备计提金额以及评估金融工具的信用风险是否显著增加的采用依据[双击切换]"/>
        <w:tag w:val="_GBC_4dddf1fe216a4414afb56ff70de3d722"/>
        <w:id w:val="-633104394"/>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坏账准备的情况</w:t>
      </w:r>
    </w:p>
    <w:bookmarkStart w:id="272" w:name="_Hlk533797618" w:displacedByCustomXml="next"/>
    <w:sdt>
      <w:sdtPr>
        <w:rPr>
          <w:rStyle w:val="Char10"/>
        </w:rPr>
        <w:alias w:val="是否适用：母公司其他应收款坏账准备情况[双击切换]"/>
        <w:tag w:val="_GBC_fe964b2b8e824335995eaad4df852022"/>
        <w:id w:val="712007280"/>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53"/>
        <w:rPr>
          <w:rStyle w:val="Char10"/>
        </w:rPr>
      </w:pPr>
      <w:r>
        <w:rPr>
          <w:rStyle w:val="Char10"/>
          <w:rFonts w:hint="eastAsia"/>
        </w:rPr>
        <w:t>其中本期坏账准备转回或收回金额重要的：</w:t>
      </w:r>
    </w:p>
    <w:sdt>
      <w:sdtPr>
        <w:rPr>
          <w:rStyle w:val="Char10"/>
        </w:rPr>
        <w:alias w:val="是否适用：母公司其他应收款坏账准备转回或收回金额重要的[双击切换]"/>
        <w:tag w:val="_GBC_f8ce6c07169e42188641fc1bc1ab86d4"/>
        <w:id w:val="1203912113"/>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72"/>
    <w:p w:rsidR="004A3868" w:rsidRDefault="003F1AB5">
      <w:pPr>
        <w:pStyle w:val="Style842"/>
        <w:rPr>
          <w:rStyle w:val="Char10"/>
        </w:rPr>
      </w:pPr>
      <w:r>
        <w:rPr>
          <w:rStyle w:val="Char10"/>
          <w:rFonts w:hint="eastAsia"/>
        </w:rPr>
        <w:t>其他说明</w:t>
      </w:r>
    </w:p>
    <w:bookmarkStart w:id="273" w:name="_Hlk153797908" w:displacedByCustomXml="next"/>
    <w:sdt>
      <w:sdtPr>
        <w:rPr>
          <w:rStyle w:val="Char10"/>
        </w:rPr>
        <w:alias w:val="其他应收款坏账准备情况的说明"/>
        <w:tag w:val="_GBC_66f33e1d4ef94cf78a5265ef0130e24d"/>
        <w:id w:val="339511231"/>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bookmarkEnd w:id="273"/>
    <w:p w:rsidR="004A3868" w:rsidRDefault="003F1AB5">
      <w:pPr>
        <w:pStyle w:val="Style957"/>
        <w:rPr>
          <w:rStyle w:val="Char10"/>
        </w:rPr>
      </w:pPr>
      <w:r>
        <w:rPr>
          <w:rStyle w:val="Char10"/>
          <w:rFonts w:hint="eastAsia"/>
        </w:rPr>
        <w:t>本期实际核销的其他应收款情况</w:t>
      </w:r>
    </w:p>
    <w:sdt>
      <w:sdtPr>
        <w:rPr>
          <w:rStyle w:val="Char10"/>
        </w:rPr>
        <w:alias w:val="是否适用：母公司本期实际核销的其他应收款情况[双击切换]"/>
        <w:tag w:val="_GBC_1513ed448adb4dda8e855e090428591f"/>
        <w:id w:val="150185669"/>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其中重要的其他应收款核销情况：</w:t>
      </w:r>
    </w:p>
    <w:sdt>
      <w:sdtPr>
        <w:rPr>
          <w:rStyle w:val="Char10"/>
        </w:rPr>
        <w:alias w:val="是否适用：母公司其中重要的其他应收款核销情况[双击切换]"/>
        <w:tag w:val="_GBC_9c869030965c44c2962f562c051ed47e"/>
        <w:id w:val="805052453"/>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其他应收款核销说明：</w:t>
      </w:r>
    </w:p>
    <w:sdt>
      <w:sdtPr>
        <w:rPr>
          <w:rFonts w:hint="eastAsia"/>
        </w:rPr>
        <w:alias w:val="是否适用：母公司其他应收款核销说明[双击切换]"/>
        <w:tag w:val="_GBC_a3327d4637ec4274aa83caff4b6e71fd"/>
        <w:id w:val="1997221069"/>
        <w:lock w:val="sdtLocked"/>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按欠款方归集的期末余额前五名的其他应收款情况</w:t>
      </w:r>
    </w:p>
    <w:bookmarkStart w:id="274" w:name="_Hlk153798048" w:displacedByCustomXml="next"/>
    <w:sdt>
      <w:sdtPr>
        <w:rPr>
          <w:rStyle w:val="Char10"/>
        </w:rPr>
        <w:alias w:val="是否适用：母公司按欠款方归集的期末余额前五名的其他应收款情况[双击切换]"/>
        <w:tag w:val="_GBC_40b667221c1442478b0cdaa57feca3d8"/>
        <w:id w:val="-120693971"/>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20"/>
        </w:rPr>
      </w:pPr>
      <w:r>
        <w:rPr>
          <w:rStyle w:val="Char20"/>
          <w:rFonts w:hint="eastAsia"/>
        </w:rPr>
        <w:t>单位：</w:t>
      </w:r>
      <w:sdt>
        <w:sdtPr>
          <w:rPr>
            <w:rStyle w:val="Char20"/>
            <w:rFonts w:hint="eastAsia"/>
          </w:rPr>
          <w:alias w:val="单位：母公司财务附注：其他应收账款前五名欠款情况"/>
          <w:tag w:val="_GBC_a5049697dafb47839070e9dec68636fd"/>
          <w:id w:val="6013112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财务附注：其他应收账款前五名欠款情况"/>
          <w:tag w:val="_GBC_6c4661b2d22f41aeb2f5a016fbe1a3ac"/>
          <w:id w:val="-20805929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696"/>
        <w:gridCol w:w="1844"/>
        <w:gridCol w:w="1332"/>
        <w:gridCol w:w="1219"/>
        <w:gridCol w:w="1276"/>
        <w:gridCol w:w="1456"/>
      </w:tblGrid>
      <w:tr w:rsidR="004A3868">
        <w:trPr>
          <w:cantSplit/>
          <w:trHeight w:val="397"/>
          <w:jc w:val="center"/>
        </w:trPr>
        <w:bookmarkEnd w:id="274" w:displacedByCustomXml="next"/>
        <w:sdt>
          <w:sdtPr>
            <w:rPr>
              <w:rStyle w:val="Char20"/>
            </w:rPr>
            <w:tag w:val="_PLD_97ae589741524eeaa277e2e3a81b13c6"/>
            <w:id w:val="-1703932408"/>
            <w:lock w:val="sdtLocked"/>
          </w:sdtPr>
          <w:sdtEndPr>
            <w:rPr>
              <w:rStyle w:val="Char20"/>
            </w:rPr>
          </w:sdtEndPr>
          <w:sdtContent>
            <w:tc>
              <w:tcPr>
                <w:tcW w:w="961" w:type="pct"/>
                <w:vAlign w:val="center"/>
              </w:tcPr>
              <w:p w:rsidR="004A3868" w:rsidRDefault="003F1AB5">
                <w:pPr>
                  <w:pStyle w:val="afffb"/>
                  <w:rPr>
                    <w:rStyle w:val="Char20"/>
                  </w:rPr>
                </w:pPr>
                <w:r>
                  <w:rPr>
                    <w:rStyle w:val="Char20"/>
                    <w:rFonts w:hint="eastAsia"/>
                  </w:rPr>
                  <w:t>单位名称</w:t>
                </w:r>
              </w:p>
            </w:tc>
          </w:sdtContent>
        </w:sdt>
        <w:sdt>
          <w:sdtPr>
            <w:rPr>
              <w:rStyle w:val="Char20"/>
            </w:rPr>
            <w:tag w:val="_PLD_c22b4ec5955348c988f93a834a184c51"/>
            <w:id w:val="-1763831855"/>
            <w:lock w:val="sdtLocked"/>
          </w:sdtPr>
          <w:sdtEndPr>
            <w:rPr>
              <w:rStyle w:val="Char20"/>
            </w:rPr>
          </w:sdtEndPr>
          <w:sdtContent>
            <w:tc>
              <w:tcPr>
                <w:tcW w:w="1045" w:type="pct"/>
                <w:vAlign w:val="center"/>
              </w:tcPr>
              <w:p w:rsidR="004A3868" w:rsidRDefault="003F1AB5">
                <w:pPr>
                  <w:pStyle w:val="afffb"/>
                  <w:rPr>
                    <w:rStyle w:val="Char20"/>
                  </w:rPr>
                </w:pPr>
                <w:r>
                  <w:rPr>
                    <w:rStyle w:val="Char20"/>
                    <w:rFonts w:hint="eastAsia"/>
                  </w:rPr>
                  <w:t>期末余额</w:t>
                </w:r>
              </w:p>
            </w:tc>
          </w:sdtContent>
        </w:sdt>
        <w:sdt>
          <w:sdtPr>
            <w:rPr>
              <w:rStyle w:val="Char20"/>
            </w:rPr>
            <w:tag w:val="_PLD_a49ad92f72864a62b0f46c5d7fa4a110"/>
            <w:id w:val="115184460"/>
            <w:lock w:val="sdtLocked"/>
          </w:sdtPr>
          <w:sdtEndPr>
            <w:rPr>
              <w:rStyle w:val="Char20"/>
            </w:rPr>
          </w:sdtEndPr>
          <w:sdtContent>
            <w:tc>
              <w:tcPr>
                <w:tcW w:w="755" w:type="pct"/>
                <w:vAlign w:val="center"/>
              </w:tcPr>
              <w:p w:rsidR="004A3868" w:rsidRDefault="003F1AB5">
                <w:pPr>
                  <w:pStyle w:val="afffb"/>
                  <w:rPr>
                    <w:rStyle w:val="Char20"/>
                  </w:rPr>
                </w:pPr>
                <w:r>
                  <w:rPr>
                    <w:rStyle w:val="Char20"/>
                    <w:rFonts w:hint="eastAsia"/>
                  </w:rPr>
                  <w:t>占其他应收款期末余额合计数的比例</w:t>
                </w:r>
                <w:r>
                  <w:rPr>
                    <w:rStyle w:val="Char20"/>
                    <w:rFonts w:hint="eastAsia"/>
                  </w:rPr>
                  <w:t>(</w:t>
                </w:r>
                <w:r>
                  <w:rPr>
                    <w:rStyle w:val="Char20"/>
                  </w:rPr>
                  <w:t>%)</w:t>
                </w:r>
              </w:p>
            </w:tc>
          </w:sdtContent>
        </w:sdt>
        <w:sdt>
          <w:sdtPr>
            <w:rPr>
              <w:rStyle w:val="Char20"/>
            </w:rPr>
            <w:tag w:val="_PLD_c8433b11194a41288fcd24feb3e7d527"/>
            <w:id w:val="461852889"/>
            <w:lock w:val="sdtLocked"/>
          </w:sdtPr>
          <w:sdtEndPr>
            <w:rPr>
              <w:rStyle w:val="Char20"/>
            </w:rPr>
          </w:sdtEndPr>
          <w:sdtContent>
            <w:tc>
              <w:tcPr>
                <w:tcW w:w="691" w:type="pct"/>
                <w:vAlign w:val="center"/>
              </w:tcPr>
              <w:p w:rsidR="004A3868" w:rsidRDefault="003F1AB5">
                <w:pPr>
                  <w:pStyle w:val="afffb"/>
                  <w:rPr>
                    <w:rStyle w:val="Char20"/>
                  </w:rPr>
                </w:pPr>
                <w:r>
                  <w:rPr>
                    <w:rStyle w:val="Char20"/>
                    <w:rFonts w:hint="eastAsia"/>
                  </w:rPr>
                  <w:t>款项的性质</w:t>
                </w:r>
              </w:p>
            </w:tc>
          </w:sdtContent>
        </w:sdt>
        <w:sdt>
          <w:sdtPr>
            <w:rPr>
              <w:rStyle w:val="Char20"/>
            </w:rPr>
            <w:tag w:val="_PLD_003c0f3b03b34c10880da6ddba3d0f8c"/>
            <w:id w:val="-236315729"/>
            <w:lock w:val="sdtLocked"/>
          </w:sdtPr>
          <w:sdtEndPr>
            <w:rPr>
              <w:rStyle w:val="Char20"/>
            </w:rPr>
          </w:sdtEndPr>
          <w:sdtContent>
            <w:tc>
              <w:tcPr>
                <w:tcW w:w="723" w:type="pct"/>
                <w:vAlign w:val="center"/>
              </w:tcPr>
              <w:p w:rsidR="004A3868" w:rsidRDefault="003F1AB5">
                <w:pPr>
                  <w:pStyle w:val="afffb"/>
                  <w:rPr>
                    <w:rStyle w:val="Char20"/>
                  </w:rPr>
                </w:pPr>
                <w:r>
                  <w:rPr>
                    <w:rStyle w:val="Char20"/>
                    <w:rFonts w:hint="eastAsia"/>
                  </w:rPr>
                  <w:t>账龄</w:t>
                </w:r>
              </w:p>
            </w:tc>
          </w:sdtContent>
        </w:sdt>
        <w:sdt>
          <w:sdtPr>
            <w:rPr>
              <w:rStyle w:val="Char20"/>
            </w:rPr>
            <w:tag w:val="_PLD_de96d0c3523e4231935073b8b7dd47be"/>
            <w:id w:val="1243524120"/>
            <w:lock w:val="sdtLocked"/>
          </w:sdtPr>
          <w:sdtEndPr>
            <w:rPr>
              <w:rStyle w:val="Char20"/>
            </w:rPr>
          </w:sdtEndPr>
          <w:sdtContent>
            <w:tc>
              <w:tcPr>
                <w:tcW w:w="825" w:type="pct"/>
                <w:vAlign w:val="center"/>
              </w:tcPr>
              <w:p w:rsidR="004A3868" w:rsidRDefault="003F1AB5">
                <w:pPr>
                  <w:pStyle w:val="afffb"/>
                  <w:rPr>
                    <w:rStyle w:val="Char20"/>
                  </w:rPr>
                </w:pPr>
                <w:r>
                  <w:rPr>
                    <w:rStyle w:val="Char20"/>
                    <w:rFonts w:hint="eastAsia"/>
                  </w:rPr>
                  <w:t>坏账准备</w:t>
                </w:r>
              </w:p>
              <w:p w:rsidR="004A3868" w:rsidRDefault="003F1AB5">
                <w:pPr>
                  <w:pStyle w:val="afffb"/>
                  <w:rPr>
                    <w:rStyle w:val="Char20"/>
                  </w:rPr>
                </w:pPr>
                <w:r>
                  <w:rPr>
                    <w:rStyle w:val="Char20"/>
                    <w:rFonts w:hint="eastAsia"/>
                  </w:rPr>
                  <w:t>期末余额</w:t>
                </w:r>
              </w:p>
            </w:tc>
          </w:sdtContent>
        </w:sdt>
      </w:tr>
      <w:tr w:rsidR="004A3868">
        <w:trPr>
          <w:cantSplit/>
          <w:trHeight w:val="397"/>
          <w:jc w:val="center"/>
        </w:trPr>
        <w:tc>
          <w:tcPr>
            <w:tcW w:w="961" w:type="pct"/>
            <w:vAlign w:val="center"/>
          </w:tcPr>
          <w:p w:rsidR="004A3868" w:rsidRDefault="003F1AB5">
            <w:pPr>
              <w:pStyle w:val="afff9"/>
            </w:pPr>
            <w:r>
              <w:rPr>
                <w:rFonts w:hint="eastAsia"/>
              </w:rPr>
              <w:t>母公司其他应收账款余额前五单位</w:t>
            </w:r>
            <w:r>
              <w:t>1</w:t>
            </w:r>
          </w:p>
        </w:tc>
        <w:tc>
          <w:tcPr>
            <w:tcW w:w="1045" w:type="pct"/>
            <w:vAlign w:val="center"/>
          </w:tcPr>
          <w:p w:rsidR="004A3868" w:rsidRDefault="003F1AB5">
            <w:pPr>
              <w:pStyle w:val="afff7"/>
            </w:pPr>
            <w:r>
              <w:t>828,287.15</w:t>
            </w:r>
          </w:p>
        </w:tc>
        <w:tc>
          <w:tcPr>
            <w:tcW w:w="755" w:type="pct"/>
            <w:vAlign w:val="center"/>
          </w:tcPr>
          <w:p w:rsidR="004A3868" w:rsidRDefault="003F1AB5">
            <w:pPr>
              <w:pStyle w:val="afff7"/>
            </w:pPr>
            <w:r>
              <w:t>1.33</w:t>
            </w:r>
          </w:p>
        </w:tc>
        <w:tc>
          <w:tcPr>
            <w:tcW w:w="691" w:type="pct"/>
            <w:vAlign w:val="center"/>
          </w:tcPr>
          <w:p w:rsidR="004A3868" w:rsidRDefault="003F1AB5">
            <w:pPr>
              <w:pStyle w:val="afff9"/>
            </w:pPr>
            <w:r>
              <w:t>保证金、押金</w:t>
            </w:r>
          </w:p>
        </w:tc>
        <w:tc>
          <w:tcPr>
            <w:tcW w:w="723" w:type="pct"/>
            <w:vAlign w:val="center"/>
          </w:tcPr>
          <w:p w:rsidR="004A3868" w:rsidRDefault="003F1AB5">
            <w:pPr>
              <w:pStyle w:val="afff9"/>
            </w:pPr>
            <w:r>
              <w:t>4-5</w:t>
            </w:r>
            <w:r>
              <w:t>年</w:t>
            </w:r>
          </w:p>
        </w:tc>
        <w:tc>
          <w:tcPr>
            <w:tcW w:w="825" w:type="pct"/>
            <w:vAlign w:val="center"/>
          </w:tcPr>
          <w:p w:rsidR="004A3868" w:rsidRDefault="003F1AB5">
            <w:pPr>
              <w:pStyle w:val="afff7"/>
            </w:pPr>
            <w:r>
              <w:t>414,143.58</w:t>
            </w:r>
          </w:p>
        </w:tc>
      </w:tr>
      <w:tr w:rsidR="004A3868">
        <w:trPr>
          <w:cantSplit/>
          <w:trHeight w:val="397"/>
          <w:jc w:val="center"/>
        </w:trPr>
        <w:tc>
          <w:tcPr>
            <w:tcW w:w="961" w:type="pct"/>
            <w:vAlign w:val="center"/>
          </w:tcPr>
          <w:p w:rsidR="004A3868" w:rsidRDefault="003F1AB5">
            <w:pPr>
              <w:pStyle w:val="afff9"/>
            </w:pPr>
            <w:r>
              <w:rPr>
                <w:rFonts w:hint="eastAsia"/>
              </w:rPr>
              <w:t>母公司其他应收账款余额前五单位</w:t>
            </w:r>
            <w:r>
              <w:t>2</w:t>
            </w:r>
          </w:p>
        </w:tc>
        <w:tc>
          <w:tcPr>
            <w:tcW w:w="1045" w:type="pct"/>
            <w:vAlign w:val="center"/>
          </w:tcPr>
          <w:p w:rsidR="004A3868" w:rsidRDefault="003F1AB5">
            <w:pPr>
              <w:pStyle w:val="afff7"/>
            </w:pPr>
            <w:r>
              <w:t>791,023.00</w:t>
            </w:r>
          </w:p>
        </w:tc>
        <w:tc>
          <w:tcPr>
            <w:tcW w:w="755" w:type="pct"/>
            <w:vAlign w:val="center"/>
          </w:tcPr>
          <w:p w:rsidR="004A3868" w:rsidRDefault="003F1AB5">
            <w:pPr>
              <w:pStyle w:val="afff7"/>
            </w:pPr>
            <w:r>
              <w:t>1.27</w:t>
            </w:r>
          </w:p>
        </w:tc>
        <w:tc>
          <w:tcPr>
            <w:tcW w:w="691" w:type="pct"/>
            <w:vAlign w:val="center"/>
          </w:tcPr>
          <w:p w:rsidR="004A3868" w:rsidRDefault="003F1AB5">
            <w:pPr>
              <w:pStyle w:val="afff9"/>
            </w:pPr>
            <w:r>
              <w:t>保证金、押金</w:t>
            </w:r>
          </w:p>
        </w:tc>
        <w:tc>
          <w:tcPr>
            <w:tcW w:w="723" w:type="pct"/>
            <w:vAlign w:val="center"/>
          </w:tcPr>
          <w:p w:rsidR="004A3868" w:rsidRDefault="003F1AB5">
            <w:pPr>
              <w:pStyle w:val="afff9"/>
            </w:pPr>
            <w:r>
              <w:t>1</w:t>
            </w:r>
            <w:r>
              <w:t>年以内</w:t>
            </w:r>
          </w:p>
        </w:tc>
        <w:tc>
          <w:tcPr>
            <w:tcW w:w="825" w:type="pct"/>
            <w:vAlign w:val="center"/>
          </w:tcPr>
          <w:p w:rsidR="004A3868" w:rsidRDefault="003F1AB5">
            <w:pPr>
              <w:pStyle w:val="afff7"/>
            </w:pPr>
            <w:r>
              <w:t>39,551.15</w:t>
            </w:r>
          </w:p>
        </w:tc>
      </w:tr>
      <w:tr w:rsidR="004A3868">
        <w:trPr>
          <w:cantSplit/>
          <w:trHeight w:val="397"/>
          <w:jc w:val="center"/>
        </w:trPr>
        <w:tc>
          <w:tcPr>
            <w:tcW w:w="961" w:type="pct"/>
            <w:vAlign w:val="center"/>
          </w:tcPr>
          <w:p w:rsidR="004A3868" w:rsidRDefault="003F1AB5">
            <w:pPr>
              <w:pStyle w:val="afff9"/>
            </w:pPr>
            <w:r>
              <w:rPr>
                <w:rFonts w:hint="eastAsia"/>
              </w:rPr>
              <w:t>母公司其他应收账款余额前五单位</w:t>
            </w:r>
            <w:r>
              <w:t>3</w:t>
            </w:r>
          </w:p>
        </w:tc>
        <w:tc>
          <w:tcPr>
            <w:tcW w:w="1045" w:type="pct"/>
            <w:vAlign w:val="center"/>
          </w:tcPr>
          <w:p w:rsidR="004A3868" w:rsidRDefault="003F1AB5">
            <w:pPr>
              <w:pStyle w:val="afff7"/>
            </w:pPr>
            <w:r>
              <w:t>600,000.00</w:t>
            </w:r>
          </w:p>
        </w:tc>
        <w:tc>
          <w:tcPr>
            <w:tcW w:w="755" w:type="pct"/>
            <w:vAlign w:val="center"/>
          </w:tcPr>
          <w:p w:rsidR="004A3868" w:rsidRDefault="003F1AB5">
            <w:pPr>
              <w:pStyle w:val="afff7"/>
            </w:pPr>
            <w:r>
              <w:t>0.96</w:t>
            </w:r>
          </w:p>
        </w:tc>
        <w:tc>
          <w:tcPr>
            <w:tcW w:w="691" w:type="pct"/>
            <w:vAlign w:val="center"/>
          </w:tcPr>
          <w:p w:rsidR="004A3868" w:rsidRDefault="003F1AB5">
            <w:pPr>
              <w:pStyle w:val="afff9"/>
            </w:pPr>
            <w:r>
              <w:t>保证金、押金</w:t>
            </w:r>
          </w:p>
        </w:tc>
        <w:tc>
          <w:tcPr>
            <w:tcW w:w="723" w:type="pct"/>
            <w:vAlign w:val="center"/>
          </w:tcPr>
          <w:p w:rsidR="004A3868" w:rsidRDefault="003F1AB5">
            <w:pPr>
              <w:pStyle w:val="afff9"/>
            </w:pPr>
            <w:r>
              <w:t>1</w:t>
            </w:r>
            <w:r>
              <w:t>年以内</w:t>
            </w:r>
          </w:p>
        </w:tc>
        <w:tc>
          <w:tcPr>
            <w:tcW w:w="825" w:type="pct"/>
            <w:vAlign w:val="center"/>
          </w:tcPr>
          <w:p w:rsidR="004A3868" w:rsidRDefault="003F1AB5">
            <w:pPr>
              <w:pStyle w:val="afff7"/>
            </w:pPr>
            <w:r>
              <w:t>30,000.00</w:t>
            </w:r>
          </w:p>
        </w:tc>
      </w:tr>
      <w:tr w:rsidR="004A3868">
        <w:trPr>
          <w:cantSplit/>
          <w:trHeight w:val="397"/>
          <w:jc w:val="center"/>
        </w:trPr>
        <w:tc>
          <w:tcPr>
            <w:tcW w:w="961" w:type="pct"/>
            <w:vAlign w:val="center"/>
          </w:tcPr>
          <w:p w:rsidR="004A3868" w:rsidRDefault="003F1AB5">
            <w:pPr>
              <w:pStyle w:val="afff9"/>
            </w:pPr>
            <w:r>
              <w:rPr>
                <w:rFonts w:hint="eastAsia"/>
              </w:rPr>
              <w:t>母公司其他应收账款余额前五单位</w:t>
            </w:r>
            <w:r>
              <w:t>4</w:t>
            </w:r>
          </w:p>
        </w:tc>
        <w:tc>
          <w:tcPr>
            <w:tcW w:w="1045" w:type="pct"/>
            <w:vAlign w:val="center"/>
          </w:tcPr>
          <w:p w:rsidR="004A3868" w:rsidRDefault="003F1AB5">
            <w:pPr>
              <w:pStyle w:val="afff7"/>
            </w:pPr>
            <w:r>
              <w:t>530,000.00</w:t>
            </w:r>
          </w:p>
        </w:tc>
        <w:tc>
          <w:tcPr>
            <w:tcW w:w="755" w:type="pct"/>
            <w:vAlign w:val="center"/>
          </w:tcPr>
          <w:p w:rsidR="004A3868" w:rsidRDefault="003F1AB5">
            <w:pPr>
              <w:pStyle w:val="afff7"/>
            </w:pPr>
            <w:r>
              <w:t>0.85</w:t>
            </w:r>
          </w:p>
        </w:tc>
        <w:tc>
          <w:tcPr>
            <w:tcW w:w="691" w:type="pct"/>
            <w:vAlign w:val="center"/>
          </w:tcPr>
          <w:p w:rsidR="004A3868" w:rsidRDefault="003F1AB5">
            <w:pPr>
              <w:pStyle w:val="afff9"/>
            </w:pPr>
            <w:r>
              <w:t>保证金、押金</w:t>
            </w:r>
          </w:p>
        </w:tc>
        <w:tc>
          <w:tcPr>
            <w:tcW w:w="723" w:type="pct"/>
            <w:vAlign w:val="center"/>
          </w:tcPr>
          <w:p w:rsidR="004A3868" w:rsidRDefault="003F1AB5">
            <w:pPr>
              <w:pStyle w:val="afff9"/>
            </w:pPr>
            <w:r>
              <w:t>1</w:t>
            </w:r>
            <w:r>
              <w:t>年以内</w:t>
            </w:r>
          </w:p>
        </w:tc>
        <w:tc>
          <w:tcPr>
            <w:tcW w:w="825" w:type="pct"/>
            <w:vAlign w:val="center"/>
          </w:tcPr>
          <w:p w:rsidR="004A3868" w:rsidRDefault="003F1AB5">
            <w:pPr>
              <w:pStyle w:val="afff7"/>
            </w:pPr>
            <w:r>
              <w:t>26,500.00</w:t>
            </w:r>
          </w:p>
        </w:tc>
      </w:tr>
      <w:tr w:rsidR="004A3868">
        <w:trPr>
          <w:cantSplit/>
          <w:trHeight w:val="397"/>
          <w:jc w:val="center"/>
        </w:trPr>
        <w:tc>
          <w:tcPr>
            <w:tcW w:w="961" w:type="pct"/>
            <w:vMerge w:val="restart"/>
            <w:vAlign w:val="center"/>
          </w:tcPr>
          <w:p w:rsidR="004A3868" w:rsidRDefault="003F1AB5">
            <w:pPr>
              <w:pStyle w:val="afff9"/>
            </w:pPr>
            <w:r>
              <w:rPr>
                <w:rFonts w:hint="eastAsia"/>
              </w:rPr>
              <w:t>母公司其他应收账款余额前五单</w:t>
            </w:r>
            <w:r>
              <w:rPr>
                <w:rFonts w:hint="eastAsia"/>
              </w:rPr>
              <w:lastRenderedPageBreak/>
              <w:t>位</w:t>
            </w:r>
            <w:r>
              <w:t>5</w:t>
            </w:r>
          </w:p>
        </w:tc>
        <w:tc>
          <w:tcPr>
            <w:tcW w:w="1045" w:type="pct"/>
            <w:vAlign w:val="center"/>
          </w:tcPr>
          <w:p w:rsidR="004A3868" w:rsidRDefault="003F1AB5">
            <w:pPr>
              <w:pStyle w:val="afff7"/>
            </w:pPr>
            <w:r>
              <w:lastRenderedPageBreak/>
              <w:t>62,500.00</w:t>
            </w:r>
          </w:p>
        </w:tc>
        <w:tc>
          <w:tcPr>
            <w:tcW w:w="755" w:type="pct"/>
            <w:vAlign w:val="center"/>
          </w:tcPr>
          <w:p w:rsidR="004A3868" w:rsidRDefault="003F1AB5">
            <w:pPr>
              <w:pStyle w:val="afff7"/>
            </w:pPr>
            <w:r>
              <w:t>0.10</w:t>
            </w:r>
          </w:p>
        </w:tc>
        <w:tc>
          <w:tcPr>
            <w:tcW w:w="691" w:type="pct"/>
            <w:vAlign w:val="center"/>
          </w:tcPr>
          <w:p w:rsidR="004A3868" w:rsidRDefault="003F1AB5">
            <w:pPr>
              <w:pStyle w:val="afff9"/>
            </w:pPr>
            <w:r>
              <w:t>保证金、押金</w:t>
            </w:r>
          </w:p>
        </w:tc>
        <w:tc>
          <w:tcPr>
            <w:tcW w:w="723" w:type="pct"/>
            <w:vAlign w:val="center"/>
          </w:tcPr>
          <w:p w:rsidR="004A3868" w:rsidRDefault="003F1AB5">
            <w:pPr>
              <w:pStyle w:val="afff9"/>
            </w:pPr>
            <w:r>
              <w:t>2-3</w:t>
            </w:r>
            <w:r>
              <w:t>年</w:t>
            </w:r>
          </w:p>
        </w:tc>
        <w:tc>
          <w:tcPr>
            <w:tcW w:w="825" w:type="pct"/>
            <w:vMerge w:val="restart"/>
            <w:vAlign w:val="center"/>
          </w:tcPr>
          <w:p w:rsidR="004A3868" w:rsidRDefault="003F1AB5">
            <w:pPr>
              <w:pStyle w:val="afff7"/>
            </w:pPr>
            <w:r>
              <w:t>184,038.88</w:t>
            </w:r>
          </w:p>
        </w:tc>
      </w:tr>
      <w:tr w:rsidR="004A3868">
        <w:trPr>
          <w:cantSplit/>
          <w:trHeight w:val="397"/>
          <w:jc w:val="center"/>
        </w:trPr>
        <w:tc>
          <w:tcPr>
            <w:tcW w:w="961" w:type="pct"/>
            <w:vMerge/>
            <w:vAlign w:val="center"/>
          </w:tcPr>
          <w:p w:rsidR="004A3868" w:rsidRDefault="004A3868">
            <w:pPr>
              <w:pStyle w:val="afff9"/>
            </w:pPr>
          </w:p>
        </w:tc>
        <w:tc>
          <w:tcPr>
            <w:tcW w:w="1045" w:type="pct"/>
            <w:vAlign w:val="center"/>
          </w:tcPr>
          <w:p w:rsidR="004A3868" w:rsidRDefault="003F1AB5">
            <w:pPr>
              <w:pStyle w:val="afff7"/>
            </w:pPr>
            <w:r>
              <w:t>279,132.92</w:t>
            </w:r>
          </w:p>
        </w:tc>
        <w:tc>
          <w:tcPr>
            <w:tcW w:w="755" w:type="pct"/>
            <w:vAlign w:val="center"/>
          </w:tcPr>
          <w:p w:rsidR="004A3868" w:rsidRDefault="003F1AB5">
            <w:pPr>
              <w:pStyle w:val="afff7"/>
            </w:pPr>
            <w:r>
              <w:t>0.45</w:t>
            </w:r>
          </w:p>
        </w:tc>
        <w:tc>
          <w:tcPr>
            <w:tcW w:w="691" w:type="pct"/>
            <w:vAlign w:val="center"/>
          </w:tcPr>
          <w:p w:rsidR="004A3868" w:rsidRDefault="003F1AB5">
            <w:pPr>
              <w:pStyle w:val="afff9"/>
            </w:pPr>
            <w:r>
              <w:t>保证金、押金</w:t>
            </w:r>
          </w:p>
        </w:tc>
        <w:tc>
          <w:tcPr>
            <w:tcW w:w="723" w:type="pct"/>
            <w:vAlign w:val="center"/>
          </w:tcPr>
          <w:p w:rsidR="004A3868" w:rsidRDefault="003F1AB5">
            <w:pPr>
              <w:pStyle w:val="afff9"/>
            </w:pPr>
            <w:r>
              <w:t>3-4</w:t>
            </w:r>
            <w:r>
              <w:t>年</w:t>
            </w:r>
          </w:p>
        </w:tc>
        <w:tc>
          <w:tcPr>
            <w:tcW w:w="825" w:type="pct"/>
            <w:vMerge/>
            <w:vAlign w:val="center"/>
          </w:tcPr>
          <w:p w:rsidR="004A3868" w:rsidRDefault="004A3868">
            <w:pPr>
              <w:pStyle w:val="afff7"/>
            </w:pPr>
          </w:p>
        </w:tc>
      </w:tr>
      <w:tr w:rsidR="004A3868">
        <w:trPr>
          <w:cantSplit/>
          <w:trHeight w:val="397"/>
          <w:jc w:val="center"/>
        </w:trPr>
        <w:tc>
          <w:tcPr>
            <w:tcW w:w="961" w:type="pct"/>
            <w:vMerge/>
            <w:vAlign w:val="center"/>
          </w:tcPr>
          <w:p w:rsidR="004A3868" w:rsidRDefault="004A3868">
            <w:pPr>
              <w:pStyle w:val="afff9"/>
            </w:pPr>
          </w:p>
        </w:tc>
        <w:tc>
          <w:tcPr>
            <w:tcW w:w="1045" w:type="pct"/>
            <w:vAlign w:val="center"/>
          </w:tcPr>
          <w:p w:rsidR="004A3868" w:rsidRDefault="003F1AB5">
            <w:pPr>
              <w:pStyle w:val="afff7"/>
            </w:pPr>
            <w:r>
              <w:t>175,598.00</w:t>
            </w:r>
          </w:p>
        </w:tc>
        <w:tc>
          <w:tcPr>
            <w:tcW w:w="755" w:type="pct"/>
            <w:vAlign w:val="center"/>
          </w:tcPr>
          <w:p w:rsidR="004A3868" w:rsidRDefault="003F1AB5">
            <w:pPr>
              <w:pStyle w:val="afff7"/>
            </w:pPr>
            <w:r>
              <w:t>0.28</w:t>
            </w:r>
          </w:p>
        </w:tc>
        <w:tc>
          <w:tcPr>
            <w:tcW w:w="691" w:type="pct"/>
            <w:vAlign w:val="center"/>
          </w:tcPr>
          <w:p w:rsidR="004A3868" w:rsidRDefault="003F1AB5">
            <w:pPr>
              <w:pStyle w:val="afff9"/>
            </w:pPr>
            <w:r>
              <w:t>保证金、押金</w:t>
            </w:r>
          </w:p>
        </w:tc>
        <w:tc>
          <w:tcPr>
            <w:tcW w:w="723" w:type="pct"/>
            <w:vAlign w:val="center"/>
          </w:tcPr>
          <w:p w:rsidR="004A3868" w:rsidRDefault="003F1AB5">
            <w:pPr>
              <w:pStyle w:val="afff9"/>
            </w:pPr>
            <w:r>
              <w:t>4-5</w:t>
            </w:r>
            <w:r>
              <w:t>年</w:t>
            </w:r>
          </w:p>
        </w:tc>
        <w:tc>
          <w:tcPr>
            <w:tcW w:w="825" w:type="pct"/>
            <w:vMerge/>
            <w:vAlign w:val="center"/>
          </w:tcPr>
          <w:p w:rsidR="004A3868" w:rsidRDefault="004A3868">
            <w:pPr>
              <w:pStyle w:val="afff7"/>
            </w:pPr>
          </w:p>
        </w:tc>
      </w:tr>
      <w:tr w:rsidR="004A3868">
        <w:trPr>
          <w:cantSplit/>
          <w:trHeight w:val="397"/>
          <w:jc w:val="center"/>
        </w:trPr>
        <w:tc>
          <w:tcPr>
            <w:tcW w:w="961" w:type="pct"/>
            <w:vAlign w:val="center"/>
          </w:tcPr>
          <w:p w:rsidR="004A3868" w:rsidRDefault="003F1AB5">
            <w:pPr>
              <w:pStyle w:val="afff9"/>
            </w:pPr>
            <w:r>
              <w:rPr>
                <w:rFonts w:hint="eastAsia"/>
              </w:rPr>
              <w:t>合计</w:t>
            </w:r>
          </w:p>
        </w:tc>
        <w:tc>
          <w:tcPr>
            <w:tcW w:w="1045" w:type="pct"/>
            <w:vAlign w:val="center"/>
          </w:tcPr>
          <w:p w:rsidR="004A3868" w:rsidRDefault="003F1AB5">
            <w:pPr>
              <w:pStyle w:val="afff7"/>
            </w:pPr>
            <w:r>
              <w:t>3,266,541.07</w:t>
            </w:r>
          </w:p>
        </w:tc>
        <w:tc>
          <w:tcPr>
            <w:tcW w:w="755" w:type="pct"/>
            <w:vAlign w:val="center"/>
          </w:tcPr>
          <w:p w:rsidR="004A3868" w:rsidRDefault="003F1AB5">
            <w:pPr>
              <w:pStyle w:val="afff7"/>
            </w:pPr>
            <w:r>
              <w:t>5.24</w:t>
            </w:r>
          </w:p>
        </w:tc>
        <w:tc>
          <w:tcPr>
            <w:tcW w:w="691" w:type="pct"/>
            <w:vAlign w:val="center"/>
          </w:tcPr>
          <w:p w:rsidR="004A3868" w:rsidRDefault="004A3868">
            <w:pPr>
              <w:pStyle w:val="afff9"/>
            </w:pPr>
          </w:p>
        </w:tc>
        <w:tc>
          <w:tcPr>
            <w:tcW w:w="723" w:type="pct"/>
            <w:vAlign w:val="center"/>
          </w:tcPr>
          <w:p w:rsidR="004A3868" w:rsidRDefault="004A3868">
            <w:pPr>
              <w:pStyle w:val="afff9"/>
            </w:pPr>
          </w:p>
        </w:tc>
        <w:tc>
          <w:tcPr>
            <w:tcW w:w="825" w:type="pct"/>
            <w:vAlign w:val="center"/>
          </w:tcPr>
          <w:p w:rsidR="004A3868" w:rsidRDefault="003F1AB5">
            <w:pPr>
              <w:pStyle w:val="afff7"/>
            </w:pPr>
            <w:r>
              <w:t>694,233.61</w:t>
            </w:r>
          </w:p>
        </w:tc>
      </w:tr>
    </w:tbl>
    <w:p w:rsidR="004A3868" w:rsidRDefault="004A3868">
      <w:pPr>
        <w:pStyle w:val="afff7"/>
      </w:pPr>
    </w:p>
    <w:p w:rsidR="004A3868" w:rsidRDefault="003F1AB5">
      <w:pPr>
        <w:pStyle w:val="Style957"/>
        <w:rPr>
          <w:rStyle w:val="Char10"/>
        </w:rPr>
      </w:pPr>
      <w:r>
        <w:rPr>
          <w:rStyle w:val="Char10"/>
        </w:rPr>
        <w:t>因资金集中管理而列报于其他应收款</w:t>
      </w:r>
    </w:p>
    <w:bookmarkStart w:id="275" w:name="_Hlk153798113" w:displacedByCustomXml="next"/>
    <w:sdt>
      <w:sdtPr>
        <w:rPr>
          <w:rStyle w:val="Char10"/>
        </w:rPr>
        <w:alias w:val="是否适用：母公司因资金集中管理而列报于其他应收款[双击切换]"/>
        <w:tag w:val="_GBC_618dc514c72c4f30836fe51ef5fc4589"/>
        <w:id w:val="1793552190"/>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75"/>
    <w:p w:rsidR="004A3868" w:rsidRDefault="003F1AB5">
      <w:pPr>
        <w:pStyle w:val="Style853"/>
        <w:rPr>
          <w:rStyle w:val="Char10"/>
        </w:rPr>
      </w:pPr>
      <w:r>
        <w:rPr>
          <w:rStyle w:val="Char10"/>
          <w:rFonts w:hint="eastAsia"/>
        </w:rPr>
        <w:t>其他</w:t>
      </w:r>
      <w:r>
        <w:rPr>
          <w:rStyle w:val="Char10"/>
        </w:rPr>
        <w:t>说明：</w:t>
      </w:r>
    </w:p>
    <w:sdt>
      <w:sdtPr>
        <w:rPr>
          <w:rStyle w:val="Char10"/>
          <w:rFonts w:hint="eastAsia"/>
        </w:rPr>
        <w:alias w:val="是否适用：母公司其他应收款的其他说明[双击切换]"/>
        <w:tag w:val="_GBC_479bc9ed241548c695a3905f38eb23fd"/>
        <w:id w:val="-106510989"/>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28"/>
        </w:numPr>
        <w:spacing w:before="120"/>
        <w:rPr>
          <w:rStyle w:val="Char10"/>
        </w:rPr>
      </w:pPr>
      <w:r>
        <w:rPr>
          <w:rStyle w:val="Char10"/>
          <w:rFonts w:hint="eastAsia"/>
        </w:rPr>
        <w:t>长期股权投资</w:t>
      </w:r>
    </w:p>
    <w:sdt>
      <w:sdtPr>
        <w:alias w:val="是否适用：母公司长期股权投资[双击切换]"/>
        <w:tag w:val="_GBC_57a2f87498c64eab83308bdf3afc6268"/>
        <w:id w:val="547651501"/>
        <w:placeholder>
          <w:docPart w:val="GBC22222222222222222222222222222"/>
        </w:placeholder>
      </w:sdtPr>
      <w:sdtEndPr/>
      <w:sdtContent>
        <w:p w:rsidR="004A3868" w:rsidRDefault="003F1AB5">
          <w:pPr>
            <w:pStyle w:val="Style853"/>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5"/>
        <w:rPr>
          <w:rStyle w:val="Char20"/>
        </w:rPr>
      </w:pPr>
      <w:r>
        <w:rPr>
          <w:rStyle w:val="Char20"/>
          <w:rFonts w:hint="eastAsia"/>
        </w:rPr>
        <w:t>单位：</w:t>
      </w:r>
      <w:sdt>
        <w:sdtPr>
          <w:rPr>
            <w:rStyle w:val="Char20"/>
            <w:rFonts w:hint="eastAsia"/>
          </w:rPr>
          <w:alias w:val="单位：母公司财务附注：长期股权投资"/>
          <w:tag w:val="_GBC_9d11e81055cb4017a0055a75ae95ae64"/>
          <w:id w:val="17384366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财务附注：长期股权投资"/>
          <w:tag w:val="_GBC_fbeeb4a7e8254b6dbbd1030f26dad505"/>
          <w:id w:val="-12232884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14"/>
        <w:gridCol w:w="1703"/>
        <w:gridCol w:w="566"/>
        <w:gridCol w:w="1560"/>
        <w:gridCol w:w="1558"/>
        <w:gridCol w:w="566"/>
        <w:gridCol w:w="1456"/>
      </w:tblGrid>
      <w:tr w:rsidR="004A3868">
        <w:trPr>
          <w:cantSplit/>
          <w:trHeight w:val="397"/>
          <w:jc w:val="center"/>
        </w:trPr>
        <w:sdt>
          <w:sdtPr>
            <w:tag w:val="_PLD_0747ffd7336145fcb6d5e622fab54966"/>
            <w:id w:val="-1365515493"/>
          </w:sdtPr>
          <w:sdtEndPr/>
          <w:sdtContent>
            <w:tc>
              <w:tcPr>
                <w:tcW w:w="801" w:type="pct"/>
                <w:vMerge w:val="restart"/>
                <w:shd w:val="clear" w:color="auto" w:fill="auto"/>
                <w:vAlign w:val="center"/>
              </w:tcPr>
              <w:p w:rsidR="004A3868" w:rsidRDefault="003F1AB5">
                <w:pPr>
                  <w:pStyle w:val="afffb"/>
                </w:pPr>
                <w:r>
                  <w:rPr>
                    <w:rFonts w:hint="eastAsia"/>
                  </w:rPr>
                  <w:t>项目</w:t>
                </w:r>
              </w:p>
            </w:tc>
          </w:sdtContent>
        </w:sdt>
        <w:sdt>
          <w:sdtPr>
            <w:tag w:val="_PLD_0b9f6f6d89c44029bf1de3ed5f6a4aa0"/>
            <w:id w:val="1522287308"/>
          </w:sdtPr>
          <w:sdtEndPr/>
          <w:sdtContent>
            <w:tc>
              <w:tcPr>
                <w:tcW w:w="2169" w:type="pct"/>
                <w:gridSpan w:val="3"/>
                <w:shd w:val="clear" w:color="auto" w:fill="auto"/>
                <w:vAlign w:val="center"/>
              </w:tcPr>
              <w:p w:rsidR="004A3868" w:rsidRDefault="003F1AB5">
                <w:pPr>
                  <w:pStyle w:val="afffb"/>
                </w:pPr>
                <w:r>
                  <w:rPr>
                    <w:rFonts w:hint="eastAsia"/>
                  </w:rPr>
                  <w:t>期末余额</w:t>
                </w:r>
              </w:p>
            </w:tc>
          </w:sdtContent>
        </w:sdt>
        <w:sdt>
          <w:sdtPr>
            <w:tag w:val="_PLD_d1ebeae29ff34029a10a8e0c447a171b"/>
            <w:id w:val="-829756404"/>
          </w:sdtPr>
          <w:sdtEndPr/>
          <w:sdtContent>
            <w:tc>
              <w:tcPr>
                <w:tcW w:w="2030" w:type="pct"/>
                <w:gridSpan w:val="3"/>
                <w:shd w:val="clear" w:color="auto" w:fill="auto"/>
                <w:vAlign w:val="center"/>
              </w:tcPr>
              <w:p w:rsidR="004A3868" w:rsidRDefault="003F1AB5">
                <w:pPr>
                  <w:pStyle w:val="afffb"/>
                </w:pPr>
                <w:r>
                  <w:rPr>
                    <w:rFonts w:hint="eastAsia"/>
                  </w:rPr>
                  <w:t>期初余额</w:t>
                </w:r>
              </w:p>
            </w:tc>
          </w:sdtContent>
        </w:sdt>
      </w:tr>
      <w:tr w:rsidR="004A3868">
        <w:trPr>
          <w:cantSplit/>
          <w:trHeight w:val="397"/>
          <w:jc w:val="center"/>
        </w:trPr>
        <w:tc>
          <w:tcPr>
            <w:tcW w:w="801" w:type="pct"/>
            <w:vMerge/>
            <w:shd w:val="clear" w:color="auto" w:fill="auto"/>
            <w:vAlign w:val="center"/>
          </w:tcPr>
          <w:p w:rsidR="004A3868" w:rsidRDefault="004A3868">
            <w:pPr>
              <w:pStyle w:val="afffb"/>
            </w:pPr>
          </w:p>
        </w:tc>
        <w:sdt>
          <w:sdtPr>
            <w:tag w:val="_PLD_dd00c7deeb1e4ede9c3e40d64760a230"/>
            <w:id w:val="-460273321"/>
          </w:sdtPr>
          <w:sdtEndPr/>
          <w:sdtContent>
            <w:tc>
              <w:tcPr>
                <w:tcW w:w="965" w:type="pct"/>
                <w:shd w:val="clear" w:color="auto" w:fill="auto"/>
                <w:vAlign w:val="center"/>
              </w:tcPr>
              <w:p w:rsidR="004A3868" w:rsidRDefault="003F1AB5">
                <w:pPr>
                  <w:pStyle w:val="afffb"/>
                </w:pPr>
                <w:r>
                  <w:rPr>
                    <w:rFonts w:hint="eastAsia"/>
                  </w:rPr>
                  <w:t>账面余额</w:t>
                </w:r>
              </w:p>
            </w:tc>
          </w:sdtContent>
        </w:sdt>
        <w:sdt>
          <w:sdtPr>
            <w:tag w:val="_PLD_dc4e6ed6511949b7a546924cafae2546"/>
            <w:id w:val="-2057223096"/>
          </w:sdtPr>
          <w:sdtEndPr/>
          <w:sdtContent>
            <w:tc>
              <w:tcPr>
                <w:tcW w:w="321" w:type="pct"/>
                <w:shd w:val="clear" w:color="auto" w:fill="auto"/>
                <w:vAlign w:val="center"/>
              </w:tcPr>
              <w:p w:rsidR="004A3868" w:rsidRDefault="003F1AB5">
                <w:pPr>
                  <w:pStyle w:val="afffb"/>
                </w:pPr>
                <w:r>
                  <w:rPr>
                    <w:rFonts w:hint="eastAsia"/>
                  </w:rPr>
                  <w:t>减值准备</w:t>
                </w:r>
              </w:p>
            </w:tc>
          </w:sdtContent>
        </w:sdt>
        <w:sdt>
          <w:sdtPr>
            <w:tag w:val="_PLD_1d7bbdc4e6144c95a3fcb7369904bea6"/>
            <w:id w:val="-1071034382"/>
          </w:sdtPr>
          <w:sdtEndPr/>
          <w:sdtContent>
            <w:tc>
              <w:tcPr>
                <w:tcW w:w="884" w:type="pct"/>
                <w:shd w:val="clear" w:color="auto" w:fill="auto"/>
                <w:vAlign w:val="center"/>
              </w:tcPr>
              <w:p w:rsidR="004A3868" w:rsidRDefault="003F1AB5">
                <w:pPr>
                  <w:pStyle w:val="afffb"/>
                </w:pPr>
                <w:r>
                  <w:rPr>
                    <w:rFonts w:hint="eastAsia"/>
                  </w:rPr>
                  <w:t>账面价值</w:t>
                </w:r>
              </w:p>
            </w:tc>
          </w:sdtContent>
        </w:sdt>
        <w:sdt>
          <w:sdtPr>
            <w:tag w:val="_PLD_bd8a9c944702423e9ff20ddba1c4b3aa"/>
            <w:id w:val="1550494226"/>
          </w:sdtPr>
          <w:sdtEndPr/>
          <w:sdtContent>
            <w:tc>
              <w:tcPr>
                <w:tcW w:w="883" w:type="pct"/>
                <w:shd w:val="clear" w:color="auto" w:fill="auto"/>
                <w:vAlign w:val="center"/>
              </w:tcPr>
              <w:p w:rsidR="004A3868" w:rsidRDefault="003F1AB5">
                <w:pPr>
                  <w:pStyle w:val="afffb"/>
                </w:pPr>
                <w:r>
                  <w:rPr>
                    <w:rFonts w:hint="eastAsia"/>
                  </w:rPr>
                  <w:t>账面余额</w:t>
                </w:r>
              </w:p>
            </w:tc>
          </w:sdtContent>
        </w:sdt>
        <w:sdt>
          <w:sdtPr>
            <w:tag w:val="_PLD_708c7153bc9a48c792e109da0ba5f2f8"/>
            <w:id w:val="-587010328"/>
          </w:sdtPr>
          <w:sdtEndPr/>
          <w:sdtContent>
            <w:tc>
              <w:tcPr>
                <w:tcW w:w="321" w:type="pct"/>
                <w:shd w:val="clear" w:color="auto" w:fill="auto"/>
                <w:vAlign w:val="center"/>
              </w:tcPr>
              <w:p w:rsidR="004A3868" w:rsidRDefault="003F1AB5">
                <w:pPr>
                  <w:pStyle w:val="afffb"/>
                </w:pPr>
                <w:r>
                  <w:rPr>
                    <w:rFonts w:hint="eastAsia"/>
                  </w:rPr>
                  <w:t>减值准备</w:t>
                </w:r>
              </w:p>
            </w:tc>
          </w:sdtContent>
        </w:sdt>
        <w:sdt>
          <w:sdtPr>
            <w:tag w:val="_PLD_1516e7000a9747a28074e3f321fa96a7"/>
            <w:id w:val="-1660526607"/>
          </w:sdtPr>
          <w:sdtEndPr/>
          <w:sdtContent>
            <w:tc>
              <w:tcPr>
                <w:tcW w:w="826" w:type="pct"/>
                <w:shd w:val="clear" w:color="auto" w:fill="auto"/>
                <w:vAlign w:val="center"/>
              </w:tcPr>
              <w:p w:rsidR="004A3868" w:rsidRDefault="003F1AB5">
                <w:pPr>
                  <w:pStyle w:val="afffb"/>
                </w:pPr>
                <w:r>
                  <w:rPr>
                    <w:rFonts w:hint="eastAsia"/>
                  </w:rPr>
                  <w:t>账面价值</w:t>
                </w:r>
              </w:p>
            </w:tc>
          </w:sdtContent>
        </w:sdt>
      </w:tr>
      <w:tr w:rsidR="004A3868">
        <w:trPr>
          <w:cantSplit/>
          <w:trHeight w:val="397"/>
          <w:jc w:val="center"/>
        </w:trPr>
        <w:tc>
          <w:tcPr>
            <w:tcW w:w="801" w:type="pct"/>
            <w:shd w:val="clear" w:color="auto" w:fill="auto"/>
            <w:vAlign w:val="center"/>
          </w:tcPr>
          <w:p w:rsidR="004A3868" w:rsidRDefault="003F1AB5">
            <w:pPr>
              <w:pStyle w:val="afff9"/>
            </w:pPr>
            <w:r>
              <w:rPr>
                <w:rFonts w:hint="eastAsia"/>
              </w:rPr>
              <w:t>对子公司投资</w:t>
            </w:r>
          </w:p>
        </w:tc>
        <w:tc>
          <w:tcPr>
            <w:tcW w:w="965" w:type="pct"/>
            <w:shd w:val="clear" w:color="auto" w:fill="auto"/>
            <w:vAlign w:val="center"/>
          </w:tcPr>
          <w:p w:rsidR="004A3868" w:rsidRDefault="003F1AB5">
            <w:pPr>
              <w:pStyle w:val="afff7"/>
            </w:pPr>
            <w:r>
              <w:t>100,608,706.9</w:t>
            </w:r>
          </w:p>
        </w:tc>
        <w:tc>
          <w:tcPr>
            <w:tcW w:w="321" w:type="pct"/>
            <w:shd w:val="clear" w:color="auto" w:fill="auto"/>
            <w:vAlign w:val="center"/>
          </w:tcPr>
          <w:p w:rsidR="004A3868" w:rsidRDefault="004A3868">
            <w:pPr>
              <w:pStyle w:val="afff7"/>
            </w:pPr>
          </w:p>
        </w:tc>
        <w:tc>
          <w:tcPr>
            <w:tcW w:w="884" w:type="pct"/>
            <w:shd w:val="clear" w:color="auto" w:fill="auto"/>
            <w:vAlign w:val="center"/>
          </w:tcPr>
          <w:p w:rsidR="004A3868" w:rsidRDefault="003F1AB5">
            <w:pPr>
              <w:pStyle w:val="afff7"/>
            </w:pPr>
            <w:r>
              <w:t>100,608,706.9</w:t>
            </w:r>
          </w:p>
        </w:tc>
        <w:tc>
          <w:tcPr>
            <w:tcW w:w="883" w:type="pct"/>
            <w:shd w:val="clear" w:color="auto" w:fill="auto"/>
            <w:vAlign w:val="center"/>
          </w:tcPr>
          <w:p w:rsidR="004A3868" w:rsidRDefault="003F1AB5">
            <w:pPr>
              <w:pStyle w:val="afff7"/>
            </w:pPr>
            <w:r>
              <w:t>18,080,786.90</w:t>
            </w:r>
          </w:p>
        </w:tc>
        <w:tc>
          <w:tcPr>
            <w:tcW w:w="321" w:type="pct"/>
            <w:shd w:val="clear" w:color="auto" w:fill="auto"/>
            <w:vAlign w:val="center"/>
          </w:tcPr>
          <w:p w:rsidR="004A3868" w:rsidRDefault="004A3868">
            <w:pPr>
              <w:pStyle w:val="afff7"/>
            </w:pPr>
          </w:p>
        </w:tc>
        <w:tc>
          <w:tcPr>
            <w:tcW w:w="826" w:type="pct"/>
            <w:shd w:val="clear" w:color="auto" w:fill="auto"/>
            <w:vAlign w:val="center"/>
          </w:tcPr>
          <w:p w:rsidR="004A3868" w:rsidRDefault="003F1AB5">
            <w:pPr>
              <w:pStyle w:val="afff7"/>
            </w:pPr>
            <w:r>
              <w:t>18,080,786.90</w:t>
            </w:r>
          </w:p>
        </w:tc>
      </w:tr>
      <w:tr w:rsidR="004A3868">
        <w:trPr>
          <w:cantSplit/>
          <w:trHeight w:val="397"/>
          <w:jc w:val="center"/>
        </w:trPr>
        <w:tc>
          <w:tcPr>
            <w:tcW w:w="801" w:type="pct"/>
            <w:shd w:val="clear" w:color="auto" w:fill="auto"/>
            <w:vAlign w:val="center"/>
          </w:tcPr>
          <w:p w:rsidR="004A3868" w:rsidRDefault="003F1AB5">
            <w:pPr>
              <w:pStyle w:val="afff9"/>
            </w:pPr>
            <w:r>
              <w:rPr>
                <w:rFonts w:hint="eastAsia"/>
              </w:rPr>
              <w:t>对联营、合营企业投资</w:t>
            </w:r>
          </w:p>
        </w:tc>
        <w:tc>
          <w:tcPr>
            <w:tcW w:w="965" w:type="pct"/>
            <w:shd w:val="clear" w:color="auto" w:fill="auto"/>
            <w:vAlign w:val="center"/>
          </w:tcPr>
          <w:p w:rsidR="004A3868" w:rsidRDefault="003F1AB5">
            <w:pPr>
              <w:pStyle w:val="afff7"/>
            </w:pPr>
            <w:r>
              <w:t>15,534,673.57</w:t>
            </w:r>
          </w:p>
        </w:tc>
        <w:tc>
          <w:tcPr>
            <w:tcW w:w="321" w:type="pct"/>
            <w:shd w:val="clear" w:color="auto" w:fill="auto"/>
            <w:vAlign w:val="center"/>
          </w:tcPr>
          <w:p w:rsidR="004A3868" w:rsidRDefault="004A3868">
            <w:pPr>
              <w:pStyle w:val="afff7"/>
            </w:pPr>
          </w:p>
        </w:tc>
        <w:tc>
          <w:tcPr>
            <w:tcW w:w="884" w:type="pct"/>
            <w:shd w:val="clear" w:color="auto" w:fill="auto"/>
            <w:vAlign w:val="center"/>
          </w:tcPr>
          <w:p w:rsidR="004A3868" w:rsidRDefault="003F1AB5">
            <w:pPr>
              <w:pStyle w:val="afff7"/>
            </w:pPr>
            <w:r>
              <w:t>15,534,673.57</w:t>
            </w:r>
          </w:p>
        </w:tc>
        <w:tc>
          <w:tcPr>
            <w:tcW w:w="883" w:type="pct"/>
            <w:shd w:val="clear" w:color="auto" w:fill="auto"/>
            <w:vAlign w:val="center"/>
          </w:tcPr>
          <w:p w:rsidR="004A3868" w:rsidRDefault="003F1AB5">
            <w:pPr>
              <w:pStyle w:val="afff7"/>
            </w:pPr>
            <w:r>
              <w:t>16,014,232.96</w:t>
            </w:r>
          </w:p>
        </w:tc>
        <w:tc>
          <w:tcPr>
            <w:tcW w:w="321" w:type="pct"/>
            <w:shd w:val="clear" w:color="auto" w:fill="auto"/>
            <w:vAlign w:val="center"/>
          </w:tcPr>
          <w:p w:rsidR="004A3868" w:rsidRDefault="004A3868">
            <w:pPr>
              <w:pStyle w:val="afff7"/>
            </w:pPr>
          </w:p>
        </w:tc>
        <w:tc>
          <w:tcPr>
            <w:tcW w:w="826" w:type="pct"/>
            <w:shd w:val="clear" w:color="auto" w:fill="auto"/>
            <w:vAlign w:val="center"/>
          </w:tcPr>
          <w:p w:rsidR="004A3868" w:rsidRDefault="003F1AB5">
            <w:pPr>
              <w:pStyle w:val="afff7"/>
            </w:pPr>
            <w:r>
              <w:t>16,014,232.96</w:t>
            </w:r>
          </w:p>
        </w:tc>
      </w:tr>
      <w:tr w:rsidR="004A3868">
        <w:trPr>
          <w:cantSplit/>
          <w:trHeight w:val="397"/>
          <w:jc w:val="center"/>
        </w:trPr>
        <w:tc>
          <w:tcPr>
            <w:tcW w:w="801" w:type="pct"/>
            <w:shd w:val="clear" w:color="auto" w:fill="auto"/>
            <w:vAlign w:val="center"/>
          </w:tcPr>
          <w:p w:rsidR="004A3868" w:rsidRDefault="003F1AB5">
            <w:pPr>
              <w:pStyle w:val="afff9"/>
            </w:pPr>
            <w:r>
              <w:rPr>
                <w:rFonts w:hint="eastAsia"/>
              </w:rPr>
              <w:t>合计</w:t>
            </w:r>
          </w:p>
        </w:tc>
        <w:tc>
          <w:tcPr>
            <w:tcW w:w="965" w:type="pct"/>
            <w:shd w:val="clear" w:color="auto" w:fill="auto"/>
            <w:vAlign w:val="center"/>
          </w:tcPr>
          <w:p w:rsidR="004A3868" w:rsidRDefault="003F1AB5">
            <w:pPr>
              <w:pStyle w:val="afff7"/>
            </w:pPr>
            <w:r>
              <w:t>116,143,380.47</w:t>
            </w:r>
          </w:p>
        </w:tc>
        <w:tc>
          <w:tcPr>
            <w:tcW w:w="321" w:type="pct"/>
            <w:shd w:val="clear" w:color="auto" w:fill="auto"/>
            <w:vAlign w:val="center"/>
          </w:tcPr>
          <w:p w:rsidR="004A3868" w:rsidRDefault="004A3868">
            <w:pPr>
              <w:pStyle w:val="afff7"/>
            </w:pPr>
          </w:p>
        </w:tc>
        <w:tc>
          <w:tcPr>
            <w:tcW w:w="884" w:type="pct"/>
            <w:shd w:val="clear" w:color="auto" w:fill="auto"/>
            <w:vAlign w:val="center"/>
          </w:tcPr>
          <w:p w:rsidR="004A3868" w:rsidRDefault="003F1AB5">
            <w:pPr>
              <w:pStyle w:val="afff7"/>
            </w:pPr>
            <w:r>
              <w:t>116,143,380.47</w:t>
            </w:r>
          </w:p>
        </w:tc>
        <w:tc>
          <w:tcPr>
            <w:tcW w:w="883" w:type="pct"/>
            <w:shd w:val="clear" w:color="auto" w:fill="auto"/>
            <w:vAlign w:val="center"/>
          </w:tcPr>
          <w:p w:rsidR="004A3868" w:rsidRDefault="003F1AB5">
            <w:pPr>
              <w:pStyle w:val="afff7"/>
            </w:pPr>
            <w:r>
              <w:t>34,095,019.86</w:t>
            </w:r>
          </w:p>
        </w:tc>
        <w:tc>
          <w:tcPr>
            <w:tcW w:w="321" w:type="pct"/>
            <w:shd w:val="clear" w:color="auto" w:fill="auto"/>
            <w:vAlign w:val="center"/>
          </w:tcPr>
          <w:p w:rsidR="004A3868" w:rsidRDefault="004A3868">
            <w:pPr>
              <w:pStyle w:val="afff7"/>
            </w:pPr>
          </w:p>
        </w:tc>
        <w:tc>
          <w:tcPr>
            <w:tcW w:w="826" w:type="pct"/>
            <w:shd w:val="clear" w:color="auto" w:fill="auto"/>
            <w:vAlign w:val="center"/>
          </w:tcPr>
          <w:p w:rsidR="004A3868" w:rsidRDefault="003F1AB5">
            <w:pPr>
              <w:pStyle w:val="afff7"/>
            </w:pPr>
            <w:r>
              <w:t>34,095,019.86</w:t>
            </w:r>
          </w:p>
        </w:tc>
      </w:tr>
    </w:tbl>
    <w:p w:rsidR="004A3868" w:rsidRDefault="004A3868">
      <w:pPr>
        <w:pStyle w:val="Style842"/>
      </w:pPr>
    </w:p>
    <w:p w:rsidR="004A3868" w:rsidRDefault="003F1AB5">
      <w:pPr>
        <w:pStyle w:val="Style956"/>
        <w:numPr>
          <w:ilvl w:val="0"/>
          <w:numId w:val="131"/>
        </w:numPr>
        <w:rPr>
          <w:rStyle w:val="Char10"/>
        </w:rPr>
      </w:pPr>
      <w:r>
        <w:rPr>
          <w:rStyle w:val="Char10"/>
          <w:rFonts w:hint="eastAsia"/>
        </w:rPr>
        <w:t>对子公司投资</w:t>
      </w:r>
    </w:p>
    <w:sdt>
      <w:sdtPr>
        <w:rPr>
          <w:rStyle w:val="Char10"/>
        </w:rPr>
        <w:alias w:val="是否适用：母公司对子公司投资[双击切换]"/>
        <w:tag w:val="_GBC_db6ca6099b0a42bca0cbba7ead69557f"/>
        <w:id w:val="-106427127"/>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5"/>
        <w:rPr>
          <w:rStyle w:val="Char10"/>
        </w:rPr>
      </w:pPr>
      <w:r>
        <w:rPr>
          <w:rStyle w:val="Char10"/>
          <w:rFonts w:hint="eastAsia"/>
        </w:rPr>
        <w:t>单位：</w:t>
      </w:r>
      <w:sdt>
        <w:sdtPr>
          <w:rPr>
            <w:rStyle w:val="Char10"/>
            <w:rFonts w:hint="eastAsia"/>
          </w:rPr>
          <w:alias w:val="单位：母公司财务附注：对子公司投资"/>
          <w:tag w:val="_GBC_744810ff600d4176af7d45c0bf0b7978"/>
          <w:id w:val="15047843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母公司财务附注：对子公司投资"/>
          <w:tag w:val="_GBC_d2f8249dd813484db8850cd3e6e60609"/>
          <w:id w:val="2161740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492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1414"/>
        <w:gridCol w:w="1842"/>
        <w:gridCol w:w="1700"/>
        <w:gridCol w:w="565"/>
        <w:gridCol w:w="1844"/>
        <w:gridCol w:w="623"/>
        <w:gridCol w:w="710"/>
      </w:tblGrid>
      <w:tr w:rsidR="004A3868">
        <w:trPr>
          <w:trHeight w:val="397"/>
          <w:jc w:val="center"/>
        </w:trPr>
        <w:sdt>
          <w:sdtPr>
            <w:rPr>
              <w:rStyle w:val="Char10"/>
            </w:rPr>
            <w:tag w:val="_PLD_43f5c326f4e64acb83b7062be90601f4"/>
            <w:id w:val="-534570304"/>
            <w:lock w:val="sdtLocked"/>
          </w:sdtPr>
          <w:sdtEndPr>
            <w:rPr>
              <w:rStyle w:val="Char10"/>
            </w:rPr>
          </w:sdtEndPr>
          <w:sdtContent>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rStyle w:val="Char10"/>
                  </w:rPr>
                </w:pPr>
                <w:r>
                  <w:rPr>
                    <w:rStyle w:val="Char10"/>
                    <w:rFonts w:hint="eastAsia"/>
                  </w:rPr>
                  <w:t>被投资单位</w:t>
                </w:r>
              </w:p>
            </w:tc>
          </w:sdtContent>
        </w:sdt>
        <w:sdt>
          <w:sdtPr>
            <w:rPr>
              <w:rStyle w:val="Char10"/>
            </w:rPr>
            <w:tag w:val="_PLD_bfc01ff1dea540d68a163c0b4f2658e7"/>
            <w:id w:val="-2077653074"/>
            <w:lock w:val="sdtLocked"/>
          </w:sdtPr>
          <w:sdtEndPr>
            <w:rPr>
              <w:rStyle w:val="Char10"/>
            </w:rPr>
          </w:sdtEndPr>
          <w:sdtContent>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rStyle w:val="Char10"/>
                  </w:rPr>
                </w:pPr>
                <w:r>
                  <w:rPr>
                    <w:rStyle w:val="Char10"/>
                    <w:rFonts w:hint="eastAsia"/>
                  </w:rPr>
                  <w:t>期初余额</w:t>
                </w:r>
              </w:p>
            </w:tc>
          </w:sdtContent>
        </w:sdt>
        <w:sdt>
          <w:sdtPr>
            <w:rPr>
              <w:rStyle w:val="Char10"/>
            </w:rPr>
            <w:tag w:val="_PLD_2868730cdc514c8c888f9e5fbbf1861b"/>
            <w:id w:val="-1904677941"/>
            <w:lock w:val="sdtLocked"/>
          </w:sdtPr>
          <w:sdtEndPr>
            <w:rPr>
              <w:rStyle w:val="Char10"/>
            </w:rPr>
          </w:sdtEndPr>
          <w:sdtContent>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rStyle w:val="Char10"/>
                  </w:rPr>
                </w:pPr>
                <w:r>
                  <w:rPr>
                    <w:rStyle w:val="Char10"/>
                    <w:rFonts w:hint="eastAsia"/>
                  </w:rPr>
                  <w:t>本期增加</w:t>
                </w:r>
              </w:p>
            </w:tc>
          </w:sdtContent>
        </w:sdt>
        <w:sdt>
          <w:sdtPr>
            <w:rPr>
              <w:rStyle w:val="Char10"/>
            </w:rPr>
            <w:tag w:val="_PLD_53aab3e541434694890e1daaef86892e"/>
            <w:id w:val="968858982"/>
            <w:lock w:val="sdtLocked"/>
          </w:sdtPr>
          <w:sdtEndPr>
            <w:rPr>
              <w:rStyle w:val="Char10"/>
            </w:rPr>
          </w:sdtEndPr>
          <w:sdtContent>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rStyle w:val="Char10"/>
                  </w:rPr>
                </w:pPr>
                <w:r>
                  <w:rPr>
                    <w:rStyle w:val="Char10"/>
                    <w:rFonts w:hint="eastAsia"/>
                  </w:rPr>
                  <w:t>本期减少</w:t>
                </w:r>
              </w:p>
            </w:tc>
          </w:sdtContent>
        </w:sdt>
        <w:sdt>
          <w:sdtPr>
            <w:rPr>
              <w:rStyle w:val="Char10"/>
            </w:rPr>
            <w:tag w:val="_PLD_eeaa6cf867964b44953ca6fa9f1417b3"/>
            <w:id w:val="-1027488682"/>
            <w:lock w:val="sdtLocked"/>
          </w:sdtPr>
          <w:sdtEndPr>
            <w:rPr>
              <w:rStyle w:val="Char10"/>
            </w:rPr>
          </w:sdtEndPr>
          <w:sdtContent>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rStyle w:val="Char10"/>
                  </w:rPr>
                </w:pPr>
                <w:r>
                  <w:rPr>
                    <w:rStyle w:val="Char10"/>
                    <w:rFonts w:hint="eastAsia"/>
                  </w:rPr>
                  <w:t>期末余额</w:t>
                </w:r>
              </w:p>
            </w:tc>
          </w:sdtContent>
        </w:sdt>
        <w:sdt>
          <w:sdtPr>
            <w:rPr>
              <w:rStyle w:val="Char10"/>
            </w:rPr>
            <w:tag w:val="_PLD_4365562ff41a4c1fbb543509a4ea61f6"/>
            <w:id w:val="1950736929"/>
            <w:lock w:val="sdtLocked"/>
          </w:sdtPr>
          <w:sdtEndPr>
            <w:rPr>
              <w:rStyle w:val="Char10"/>
            </w:r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rStyle w:val="Char10"/>
                  </w:rPr>
                </w:pPr>
                <w:r>
                  <w:rPr>
                    <w:rStyle w:val="Char10"/>
                    <w:rFonts w:hint="eastAsia"/>
                  </w:rPr>
                  <w:t>本期计提减值准备</w:t>
                </w:r>
              </w:p>
            </w:tc>
          </w:sdtContent>
        </w:sdt>
        <w:sdt>
          <w:sdtPr>
            <w:rPr>
              <w:rStyle w:val="Char10"/>
            </w:rPr>
            <w:tag w:val="_PLD_1d05d35b40794516842b0264b05f0a95"/>
            <w:id w:val="1900090129"/>
            <w:lock w:val="sdtLocked"/>
          </w:sdtPr>
          <w:sdtEndPr>
            <w:rPr>
              <w:rStyle w:val="Char10"/>
            </w:r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rPr>
                    <w:rStyle w:val="Char10"/>
                  </w:rPr>
                </w:pPr>
                <w:r>
                  <w:rPr>
                    <w:rStyle w:val="Char10"/>
                    <w:rFonts w:hint="eastAsia"/>
                  </w:rPr>
                  <w:t>减值准备期末余额</w:t>
                </w:r>
              </w:p>
            </w:tc>
          </w:sdtContent>
        </w:sdt>
      </w:tr>
      <w:tr w:rsidR="004A3868">
        <w:trPr>
          <w:trHeight w:val="397"/>
          <w:jc w:val="center"/>
        </w:trPr>
        <w:tc>
          <w:tcPr>
            <w:tcW w:w="8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黔南望江变压器有限公司</w:t>
            </w:r>
          </w:p>
        </w:tc>
        <w:tc>
          <w:tcPr>
            <w:tcW w:w="10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7,622,282.24</w:t>
            </w:r>
          </w:p>
        </w:tc>
        <w:tc>
          <w:tcPr>
            <w:tcW w:w="97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52,804,920.00</w:t>
            </w:r>
          </w:p>
        </w:tc>
        <w:tc>
          <w:tcPr>
            <w:tcW w:w="325"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10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60,427,202.24</w:t>
            </w:r>
          </w:p>
        </w:tc>
        <w:tc>
          <w:tcPr>
            <w:tcW w:w="35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40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10"/>
              </w:rPr>
            </w:pPr>
          </w:p>
        </w:tc>
      </w:tr>
      <w:tr w:rsidR="004A3868">
        <w:trPr>
          <w:trHeight w:val="397"/>
          <w:jc w:val="center"/>
        </w:trPr>
        <w:tc>
          <w:tcPr>
            <w:tcW w:w="8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Pr>
              <w:t>重庆惠泽电器有限公司</w:t>
            </w:r>
          </w:p>
        </w:tc>
        <w:tc>
          <w:tcPr>
            <w:tcW w:w="10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10,458,504.66</w:t>
            </w:r>
          </w:p>
        </w:tc>
        <w:tc>
          <w:tcPr>
            <w:tcW w:w="97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29,723,000.00</w:t>
            </w:r>
          </w:p>
        </w:tc>
        <w:tc>
          <w:tcPr>
            <w:tcW w:w="325"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10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40,181,504.66</w:t>
            </w:r>
          </w:p>
        </w:tc>
        <w:tc>
          <w:tcPr>
            <w:tcW w:w="35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40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10"/>
              </w:rPr>
            </w:pPr>
          </w:p>
        </w:tc>
      </w:tr>
      <w:tr w:rsidR="004A3868">
        <w:trPr>
          <w:trHeight w:val="397"/>
          <w:jc w:val="center"/>
        </w:trPr>
        <w:tc>
          <w:tcPr>
            <w:tcW w:w="813"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9"/>
              <w:rPr>
                <w:rStyle w:val="Char10"/>
              </w:rPr>
            </w:pPr>
            <w:r>
              <w:rPr>
                <w:rStyle w:val="Char10"/>
                <w:rFonts w:hint="eastAsia"/>
              </w:rPr>
              <w:t>合计</w:t>
            </w:r>
          </w:p>
        </w:tc>
        <w:tc>
          <w:tcPr>
            <w:tcW w:w="1059"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18,080,786.90</w:t>
            </w:r>
          </w:p>
        </w:tc>
        <w:tc>
          <w:tcPr>
            <w:tcW w:w="97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82,527,920.00</w:t>
            </w:r>
          </w:p>
        </w:tc>
        <w:tc>
          <w:tcPr>
            <w:tcW w:w="325"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1060"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100,608,706.90</w:t>
            </w:r>
          </w:p>
        </w:tc>
        <w:tc>
          <w:tcPr>
            <w:tcW w:w="35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afff7"/>
              <w:rPr>
                <w:rStyle w:val="Char10"/>
              </w:rPr>
            </w:pPr>
          </w:p>
        </w:tc>
        <w:tc>
          <w:tcPr>
            <w:tcW w:w="408" w:type="pct"/>
            <w:tcBorders>
              <w:top w:val="single" w:sz="4" w:space="0" w:color="auto"/>
              <w:left w:val="single" w:sz="4" w:space="0" w:color="auto"/>
              <w:bottom w:val="single" w:sz="4" w:space="0" w:color="auto"/>
              <w:right w:val="single" w:sz="4" w:space="0" w:color="auto"/>
            </w:tcBorders>
            <w:vAlign w:val="center"/>
          </w:tcPr>
          <w:p w:rsidR="004A3868" w:rsidRDefault="004A3868">
            <w:pPr>
              <w:pStyle w:val="Style1222"/>
              <w:rPr>
                <w:rStyle w:val="Char10"/>
              </w:rPr>
            </w:pPr>
          </w:p>
        </w:tc>
      </w:tr>
    </w:tbl>
    <w:p w:rsidR="004A3868" w:rsidRDefault="004A3868">
      <w:pPr>
        <w:pStyle w:val="Style853"/>
        <w:rPr>
          <w:rStyle w:val="Char10"/>
        </w:rPr>
      </w:pPr>
    </w:p>
    <w:p w:rsidR="004A3868" w:rsidRDefault="003F1AB5">
      <w:pPr>
        <w:pStyle w:val="Style956"/>
        <w:numPr>
          <w:ilvl w:val="0"/>
          <w:numId w:val="131"/>
        </w:numPr>
        <w:rPr>
          <w:rStyle w:val="Char10"/>
        </w:rPr>
      </w:pPr>
      <w:r>
        <w:rPr>
          <w:rStyle w:val="Char10"/>
          <w:rFonts w:hint="eastAsia"/>
        </w:rPr>
        <w:t>对联营、合营企业投资</w:t>
      </w:r>
    </w:p>
    <w:sdt>
      <w:sdtPr>
        <w:rPr>
          <w:rStyle w:val="Char10"/>
        </w:rPr>
        <w:alias w:val="是否适用：母公司对联营、合营企业投资[双击切换]"/>
        <w:tag w:val="_GBC_2e4760cb979247e69579530b3868e897"/>
        <w:id w:val="-821888269"/>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20"/>
        </w:rPr>
      </w:pPr>
      <w:r>
        <w:rPr>
          <w:rStyle w:val="Char20"/>
          <w:rFonts w:hint="eastAsia"/>
        </w:rPr>
        <w:t>单位：</w:t>
      </w:r>
      <w:sdt>
        <w:sdtPr>
          <w:rPr>
            <w:rStyle w:val="Char20"/>
            <w:rFonts w:hint="eastAsia"/>
          </w:rPr>
          <w:alias w:val="单位：母公司财务附注：对联营、合营企业投资"/>
          <w:tag w:val="_GBC_ccad125c53784121bdbf82967e585280"/>
          <w:id w:val="-11036524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财务附注：对联营、合营企业投资"/>
          <w:tag w:val="_GBC_f572fc517d504bef8d5942b395a68d39"/>
          <w:id w:val="9690945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499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480"/>
        <w:gridCol w:w="1588"/>
        <w:gridCol w:w="412"/>
        <w:gridCol w:w="328"/>
        <w:gridCol w:w="1228"/>
        <w:gridCol w:w="363"/>
        <w:gridCol w:w="367"/>
        <w:gridCol w:w="1228"/>
        <w:gridCol w:w="430"/>
        <w:gridCol w:w="412"/>
        <w:gridCol w:w="1588"/>
        <w:gridCol w:w="388"/>
      </w:tblGrid>
      <w:tr w:rsidR="004A3868">
        <w:trPr>
          <w:trHeight w:val="397"/>
          <w:jc w:val="center"/>
        </w:trPr>
        <w:sdt>
          <w:sdtPr>
            <w:tag w:val="_PLD_cddf860d624b41069bef0850b92b7db2"/>
            <w:id w:val="-647210071"/>
          </w:sdtPr>
          <w:sdtEndPr/>
          <w:sdtContent>
            <w:tc>
              <w:tcPr>
                <w:tcW w:w="272"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投资</w:t>
                </w:r>
              </w:p>
              <w:p w:rsidR="004A3868" w:rsidRDefault="003F1AB5">
                <w:pPr>
                  <w:pStyle w:val="afffb"/>
                </w:pPr>
                <w:r>
                  <w:rPr>
                    <w:rFonts w:hint="eastAsia"/>
                  </w:rPr>
                  <w:t>单位</w:t>
                </w:r>
              </w:p>
            </w:tc>
          </w:sdtContent>
        </w:sdt>
        <w:sdt>
          <w:sdtPr>
            <w:tag w:val="_PLD_1e9893e3e3854470a87271f1c7db6cdb"/>
            <w:id w:val="-1007908411"/>
          </w:sdtPr>
          <w:sdtEndPr/>
          <w:sdtContent>
            <w:tc>
              <w:tcPr>
                <w:tcW w:w="901"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期初</w:t>
                </w:r>
              </w:p>
              <w:p w:rsidR="004A3868" w:rsidRDefault="003F1AB5">
                <w:pPr>
                  <w:pStyle w:val="afffb"/>
                </w:pPr>
                <w:r>
                  <w:rPr>
                    <w:rFonts w:hint="eastAsia"/>
                  </w:rPr>
                  <w:t>余额</w:t>
                </w:r>
              </w:p>
            </w:tc>
          </w:sdtContent>
        </w:sdt>
        <w:sdt>
          <w:sdtPr>
            <w:tag w:val="_PLD_51e202fa7d4541e8b1073ad1aab00e23"/>
            <w:id w:val="-1528718262"/>
          </w:sdtPr>
          <w:sdtEndPr/>
          <w:sdtContent>
            <w:tc>
              <w:tcPr>
                <w:tcW w:w="270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本期增减变动</w:t>
                </w:r>
              </w:p>
            </w:tc>
          </w:sdtContent>
        </w:sdt>
        <w:sdt>
          <w:sdtPr>
            <w:tag w:val="_PLD_fb68ab3bfe254cb4ac4728b9c324a1ea"/>
            <w:id w:val="885683552"/>
          </w:sdtPr>
          <w:sdtEndPr/>
          <w:sdtContent>
            <w:tc>
              <w:tcPr>
                <w:tcW w:w="901"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期末</w:t>
                </w:r>
              </w:p>
              <w:p w:rsidR="004A3868" w:rsidRDefault="003F1AB5">
                <w:pPr>
                  <w:pStyle w:val="afffb"/>
                </w:pPr>
                <w:r>
                  <w:rPr>
                    <w:rFonts w:hint="eastAsia"/>
                  </w:rPr>
                  <w:t>余额</w:t>
                </w:r>
              </w:p>
            </w:tc>
          </w:sdtContent>
        </w:sdt>
        <w:sdt>
          <w:sdtPr>
            <w:tag w:val="_PLD_79ea6426597c4707b961bbd96c8cf19f"/>
            <w:id w:val="1241905152"/>
          </w:sdtPr>
          <w:sdtEndPr/>
          <w:sdtContent>
            <w:tc>
              <w:tcPr>
                <w:tcW w:w="221"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减值准备期末余额</w:t>
                </w:r>
              </w:p>
            </w:tc>
          </w:sdtContent>
        </w:sdt>
      </w:tr>
      <w:tr w:rsidR="004A3868">
        <w:trPr>
          <w:trHeight w:val="397"/>
          <w:jc w:val="center"/>
        </w:trPr>
        <w:tc>
          <w:tcPr>
            <w:tcW w:w="272" w:type="pct"/>
            <w:vMerge/>
            <w:tcBorders>
              <w:left w:val="single" w:sz="4" w:space="0" w:color="auto"/>
              <w:bottom w:val="single" w:sz="4" w:space="0" w:color="auto"/>
              <w:right w:val="single" w:sz="4" w:space="0" w:color="auto"/>
            </w:tcBorders>
            <w:shd w:val="clear" w:color="auto" w:fill="auto"/>
          </w:tcPr>
          <w:p w:rsidR="004A3868" w:rsidRDefault="004A3868">
            <w:pPr>
              <w:pStyle w:val="Style842"/>
            </w:pPr>
          </w:p>
        </w:tc>
        <w:tc>
          <w:tcPr>
            <w:tcW w:w="901" w:type="pct"/>
            <w:vMerge/>
            <w:tcBorders>
              <w:left w:val="single" w:sz="4" w:space="0" w:color="auto"/>
              <w:bottom w:val="single" w:sz="4" w:space="0" w:color="auto"/>
              <w:right w:val="single" w:sz="4" w:space="0" w:color="auto"/>
            </w:tcBorders>
            <w:shd w:val="clear" w:color="auto" w:fill="auto"/>
          </w:tcPr>
          <w:p w:rsidR="004A3868" w:rsidRDefault="004A3868">
            <w:pPr>
              <w:pStyle w:val="Style842"/>
            </w:pPr>
          </w:p>
        </w:tc>
        <w:sdt>
          <w:sdtPr>
            <w:tag w:val="_PLD_759fe0f59b6046308988b932a5f90e06"/>
            <w:id w:val="2124961495"/>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追加投资</w:t>
                </w:r>
              </w:p>
            </w:tc>
          </w:sdtContent>
        </w:sdt>
        <w:sdt>
          <w:sdtPr>
            <w:tag w:val="_PLD_6f033bedb79a4bd7bc36dc52845a5ea0"/>
            <w:id w:val="-731378898"/>
          </w:sdtPr>
          <w:sdtEndPr/>
          <w:sdtContent>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减少投资</w:t>
                </w:r>
              </w:p>
            </w:tc>
          </w:sdtContent>
        </w:sdt>
        <w:sdt>
          <w:sdtPr>
            <w:tag w:val="_PLD_67e4baac3d05451d940d328c18f19014"/>
            <w:id w:val="812836262"/>
          </w:sdtPr>
          <w:sdtEndPr/>
          <w:sdtContent>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权益法下确认的投资损益</w:t>
                </w:r>
              </w:p>
            </w:tc>
          </w:sdtContent>
        </w:sdt>
        <w:sdt>
          <w:sdtPr>
            <w:tag w:val="_PLD_700419003e5b4596b973710043374374"/>
            <w:id w:val="-2026624633"/>
          </w:sdtPr>
          <w:sdtEndPr/>
          <w:sdtContent>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其他综合收益调整</w:t>
                </w:r>
              </w:p>
            </w:tc>
          </w:sdtContent>
        </w:sdt>
        <w:sdt>
          <w:sdtPr>
            <w:tag w:val="_PLD_9318c7f257d249e0a0b9bf70263601d5"/>
            <w:id w:val="1569225002"/>
          </w:sdtPr>
          <w:sdtEndPr/>
          <w:sdtContent>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其他权益变动</w:t>
                </w:r>
              </w:p>
            </w:tc>
          </w:sdtContent>
        </w:sdt>
        <w:sdt>
          <w:sdtPr>
            <w:tag w:val="_PLD_efb3a8c8f6b64ad1a5fbb4cf67eb4c96"/>
            <w:id w:val="-1981523387"/>
          </w:sdtPr>
          <w:sdtEndPr/>
          <w:sdtContent>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宣告发放现金股利或利润</w:t>
                </w:r>
              </w:p>
            </w:tc>
          </w:sdtContent>
        </w:sdt>
        <w:sdt>
          <w:sdtPr>
            <w:tag w:val="_PLD_2cc45ca82119420bb4d261a3eb788ba0"/>
            <w:id w:val="1474478714"/>
          </w:sdtPr>
          <w:sdtEndPr/>
          <w:sdtContent>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计提减值准备</w:t>
                </w:r>
              </w:p>
            </w:tc>
          </w:sdtContent>
        </w:sdt>
        <w:sdt>
          <w:sdtPr>
            <w:tag w:val="_PLD_85d3aa0f514447b38d92097f7a30e385"/>
            <w:id w:val="668446103"/>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其他</w:t>
                </w:r>
              </w:p>
            </w:tc>
          </w:sdtContent>
        </w:sdt>
        <w:tc>
          <w:tcPr>
            <w:tcW w:w="901" w:type="pct"/>
            <w:vMerge/>
            <w:tcBorders>
              <w:left w:val="single" w:sz="4" w:space="0" w:color="auto"/>
              <w:bottom w:val="single" w:sz="4" w:space="0" w:color="auto"/>
              <w:right w:val="single" w:sz="4" w:space="0" w:color="auto"/>
            </w:tcBorders>
            <w:shd w:val="clear" w:color="auto" w:fill="auto"/>
          </w:tcPr>
          <w:p w:rsidR="004A3868" w:rsidRDefault="004A3868">
            <w:pPr>
              <w:pStyle w:val="Style842"/>
            </w:pPr>
          </w:p>
        </w:tc>
        <w:tc>
          <w:tcPr>
            <w:tcW w:w="221" w:type="pct"/>
            <w:vMerge/>
            <w:tcBorders>
              <w:left w:val="single" w:sz="4" w:space="0" w:color="auto"/>
              <w:bottom w:val="single" w:sz="4" w:space="0" w:color="auto"/>
              <w:right w:val="single" w:sz="4" w:space="0" w:color="auto"/>
            </w:tcBorders>
            <w:shd w:val="clear" w:color="auto" w:fill="auto"/>
          </w:tcPr>
          <w:p w:rsidR="004A3868" w:rsidRDefault="004A3868">
            <w:pPr>
              <w:pStyle w:val="Style842"/>
            </w:pPr>
          </w:p>
        </w:tc>
      </w:tr>
      <w:tr w:rsidR="004A3868">
        <w:trPr>
          <w:trHeight w:val="397"/>
          <w:jc w:val="center"/>
        </w:trPr>
        <w:sdt>
          <w:sdtPr>
            <w:tag w:val="_PLD_b5de7a3b12554dad8d8701df843651f7"/>
            <w:id w:val="-569662221"/>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Style842"/>
                </w:pPr>
                <w:r>
                  <w:rPr>
                    <w:rStyle w:val="afffa"/>
                    <w:rFonts w:hint="eastAsia"/>
                  </w:rPr>
                  <w:t>一、合营企业</w:t>
                </w:r>
              </w:p>
            </w:tc>
          </w:sdtContent>
        </w:sdt>
      </w:tr>
      <w:tr w:rsidR="004A3868">
        <w:trPr>
          <w:trHeight w:val="397"/>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r>
      <w:tr w:rsidR="004A3868">
        <w:trPr>
          <w:trHeight w:val="397"/>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小计</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r>
      <w:tr w:rsidR="004A3868">
        <w:trPr>
          <w:trHeight w:val="397"/>
          <w:jc w:val="center"/>
        </w:trPr>
        <w:sdt>
          <w:sdtPr>
            <w:tag w:val="_PLD_473021cffa734643a0c35649ee4b5043"/>
            <w:id w:val="1918052254"/>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二、联营企业</w:t>
                </w:r>
              </w:p>
            </w:tc>
          </w:sdtContent>
        </w:sdt>
      </w:tr>
      <w:tr w:rsidR="004A3868">
        <w:trPr>
          <w:trHeight w:val="397"/>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t>重庆能投长寿经开区售电有限公司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16,014,232.96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323,689.95</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803,249.34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15,534,673.57</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r>
      <w:tr w:rsidR="004A3868">
        <w:trPr>
          <w:trHeight w:val="397"/>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小计</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16,014,232.96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323,689.95</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803,249.34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15,534,673.57</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r>
      <w:tr w:rsidR="004A3868">
        <w:trPr>
          <w:trHeight w:val="397"/>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16,014,232.96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323,689.95</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803,249.34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afff7"/>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15,534,673.57</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4A3868">
            <w:pPr>
              <w:pStyle w:val="Style842"/>
            </w:pPr>
          </w:p>
        </w:tc>
      </w:tr>
    </w:tbl>
    <w:p w:rsidR="004A3868" w:rsidRDefault="004A3868">
      <w:pPr>
        <w:pStyle w:val="Style842"/>
      </w:pPr>
    </w:p>
    <w:p w:rsidR="004A3868" w:rsidRDefault="003F1AB5">
      <w:pPr>
        <w:pStyle w:val="Style956"/>
        <w:numPr>
          <w:ilvl w:val="0"/>
          <w:numId w:val="76"/>
        </w:numPr>
        <w:rPr>
          <w:rStyle w:val="Char10"/>
        </w:rPr>
      </w:pPr>
      <w:bookmarkStart w:id="276" w:name="_Hlk155165896"/>
      <w:r>
        <w:rPr>
          <w:rStyle w:val="Char10"/>
          <w:rFonts w:hint="eastAsia"/>
        </w:rPr>
        <w:t>长期股权投资的减值测试情况</w:t>
      </w:r>
    </w:p>
    <w:sdt>
      <w:sdtPr>
        <w:rPr>
          <w:rStyle w:val="Char10"/>
        </w:rPr>
        <w:alias w:val="是否适用：减值测试情况[双击切换]"/>
        <w:tag w:val="_GBC_99f575f7d43c4e27846e49ee35c9e10f"/>
        <w:id w:val="784459138"/>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可收回金额按公允价值减去处置费用后的净额确定</w:t>
      </w:r>
    </w:p>
    <w:sdt>
      <w:sdtPr>
        <w:rPr>
          <w:rStyle w:val="Char10"/>
        </w:rPr>
        <w:alias w:val="是否适用：可收回金额按公允价值减去处置费用后的净额确定[双击切换]"/>
        <w:tag w:val="_GBC_1e4c298436b84268bd53a11e6ec0ad36"/>
        <w:id w:val="199988341"/>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可收回金额按预计未来现金流量的现值确定</w:t>
      </w:r>
    </w:p>
    <w:sdt>
      <w:sdtPr>
        <w:rPr>
          <w:rStyle w:val="Char10"/>
          <w:rFonts w:hint="eastAsia"/>
        </w:rPr>
        <w:alias w:val="是否适用：可收回金额按预计未来现金流量的现值确定[双击切换]"/>
        <w:tag w:val="_GBC_271b01d0e06e40fabc5be463f9de3cce"/>
        <w:id w:val="-1295984992"/>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前述信息与以前年度减值测试采用的信息或外部信息明显不一致的差异原因</w:t>
      </w:r>
    </w:p>
    <w:sdt>
      <w:sdtPr>
        <w:rPr>
          <w:rStyle w:val="Char10"/>
        </w:rPr>
        <w:alias w:val="是否适用：前述信息与以前年度减值测试采用的信息或外部信息明显不一致的差异原因[双击切换]"/>
        <w:tag w:val="_GBC_d9549a4ed5ec400489bfd3af34b5cb60"/>
        <w:id w:val="273989548"/>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7"/>
        <w:rPr>
          <w:rStyle w:val="Char10"/>
        </w:rPr>
      </w:pPr>
      <w:r>
        <w:rPr>
          <w:rStyle w:val="Char10"/>
          <w:rFonts w:hint="eastAsia"/>
        </w:rPr>
        <w:t>公司以前年度减值测试采用信息与当年实际情况明显不一致的差异原因</w:t>
      </w:r>
    </w:p>
    <w:sdt>
      <w:sdtPr>
        <w:rPr>
          <w:rStyle w:val="Char10"/>
        </w:rPr>
        <w:alias w:val="是否适用：公司以前年度减值测试采用信息与当年实际情况明显不一致的差异原因[双击切换]"/>
        <w:tag w:val="_GBC_d913df9d09e241d291d4fdd93faa93b4"/>
        <w:id w:val="-2073108720"/>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76"/>
    <w:p w:rsidR="004A3868" w:rsidRDefault="003F1AB5">
      <w:pPr>
        <w:pStyle w:val="Style842"/>
        <w:rPr>
          <w:rStyle w:val="Char10"/>
        </w:rPr>
      </w:pPr>
      <w:r>
        <w:rPr>
          <w:rStyle w:val="Char10"/>
          <w:rFonts w:hint="eastAsia"/>
        </w:rPr>
        <w:t>其他说明：</w:t>
      </w:r>
    </w:p>
    <w:sdt>
      <w:sdtPr>
        <w:rPr>
          <w:rFonts w:hint="eastAsia"/>
        </w:rPr>
        <w:alias w:val="长期股权投资的说明"/>
        <w:tag w:val="_GBC_938f2ac679ca480c83553ff73f8b80b6"/>
        <w:id w:val="-777245824"/>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42"/>
            <w:rPr>
              <w:rStyle w:val="Char10"/>
            </w:rPr>
          </w:pPr>
          <w:r>
            <w:rPr>
              <w:rStyle w:val="Char10"/>
              <w:rFonts w:hint="eastAsia"/>
            </w:rPr>
            <w:t>无</w:t>
          </w:r>
        </w:p>
      </w:sdtContent>
    </w:sdt>
    <w:p w:rsidR="004A3868" w:rsidRDefault="003F1AB5">
      <w:pPr>
        <w:pStyle w:val="Style955"/>
        <w:numPr>
          <w:ilvl w:val="0"/>
          <w:numId w:val="128"/>
        </w:numPr>
        <w:spacing w:before="120"/>
        <w:rPr>
          <w:rStyle w:val="Char10"/>
        </w:rPr>
      </w:pPr>
      <w:r>
        <w:rPr>
          <w:rStyle w:val="Char10"/>
          <w:rFonts w:hint="eastAsia"/>
        </w:rPr>
        <w:t>营业收入和营业成本</w:t>
      </w:r>
    </w:p>
    <w:p w:rsidR="004A3868" w:rsidRDefault="003F1AB5">
      <w:pPr>
        <w:pStyle w:val="Style956"/>
        <w:numPr>
          <w:ilvl w:val="0"/>
          <w:numId w:val="132"/>
        </w:numPr>
        <w:rPr>
          <w:rStyle w:val="Char10"/>
        </w:rPr>
      </w:pPr>
      <w:r>
        <w:rPr>
          <w:rStyle w:val="Char10"/>
          <w:rFonts w:hint="eastAsia"/>
        </w:rPr>
        <w:t>营业收入和营业成本情况</w:t>
      </w:r>
    </w:p>
    <w:sdt>
      <w:sdtPr>
        <w:rPr>
          <w:rStyle w:val="Char10"/>
          <w:rFonts w:hint="eastAsia"/>
        </w:rPr>
        <w:alias w:val="是否适用：母公司营业收入和营业成本[双击切换]"/>
        <w:tag w:val="_GBC_3cf10265cb614c79a538bd06daf8da74"/>
        <w:id w:val="335274578"/>
        <w:placeholder>
          <w:docPart w:val="GBC22222222222222222222222222222"/>
        </w:placeholder>
      </w:sdtPr>
      <w:sdtEndPr>
        <w:rPr>
          <w:rStyle w:val="Char10"/>
        </w:rPr>
      </w:sdtEndPr>
      <w:sdtContent>
        <w:p w:rsidR="004A3868" w:rsidRDefault="003F1AB5">
          <w:pPr>
            <w:pStyle w:val="Style152"/>
            <w:rPr>
              <w:rStyle w:val="Char10"/>
            </w:rPr>
          </w:pPr>
          <w:r>
            <w:rPr>
              <w:rStyle w:val="Char10"/>
            </w:rPr>
            <w:fldChar w:fldCharType="begin"/>
          </w:r>
          <w:r>
            <w:rPr>
              <w:rStyle w:val="Char10"/>
            </w:rPr>
            <w:instrText xml:space="preserve"> </w:instrText>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20"/>
        </w:rPr>
      </w:pPr>
      <w:r>
        <w:rPr>
          <w:rStyle w:val="Char20"/>
          <w:rFonts w:hint="eastAsia"/>
        </w:rPr>
        <w:t>单位：</w:t>
      </w:r>
      <w:sdt>
        <w:sdtPr>
          <w:rPr>
            <w:rStyle w:val="Char20"/>
            <w:rFonts w:hint="eastAsia"/>
          </w:rPr>
          <w:alias w:val="单位：母公司财务附注：营业收入"/>
          <w:tag w:val="_GBC_5e6e6011a00b4111b618be40fba11dc1"/>
          <w:id w:val="-6988541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20"/>
          </w:rPr>
        </w:sdtEndPr>
        <w:sdtContent>
          <w:r>
            <w:rPr>
              <w:rStyle w:val="Char20"/>
              <w:rFonts w:hint="eastAsia"/>
            </w:rPr>
            <w:t>元</w:t>
          </w:r>
        </w:sdtContent>
      </w:sdt>
      <w:r>
        <w:rPr>
          <w:rStyle w:val="Char20"/>
          <w:rFonts w:hint="eastAsia"/>
        </w:rPr>
        <w:t xml:space="preserve">  </w:t>
      </w:r>
      <w:r>
        <w:rPr>
          <w:rStyle w:val="Char20"/>
          <w:rFonts w:hint="eastAsia"/>
        </w:rPr>
        <w:t>币种：</w:t>
      </w:r>
      <w:sdt>
        <w:sdtPr>
          <w:rPr>
            <w:rStyle w:val="Char20"/>
            <w:rFonts w:hint="eastAsia"/>
          </w:rPr>
          <w:alias w:val="币种：母公司财务附注：营业收入"/>
          <w:tag w:val="_GBC_5940d445dfb6426f97376a89f3df08e7"/>
          <w:id w:val="18197609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20"/>
          </w:rPr>
        </w:sdtEndPr>
        <w:sdtContent>
          <w:r>
            <w:rPr>
              <w:rStyle w:val="Char2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986"/>
        <w:gridCol w:w="1959"/>
        <w:gridCol w:w="2012"/>
        <w:gridCol w:w="1906"/>
        <w:gridCol w:w="1960"/>
      </w:tblGrid>
      <w:tr w:rsidR="004A3868">
        <w:trPr>
          <w:trHeight w:val="397"/>
          <w:jc w:val="center"/>
        </w:trPr>
        <w:sdt>
          <w:sdtPr>
            <w:tag w:val="_PLD_03d52d676cf8435a8f7a530f92cd7617"/>
            <w:id w:val="1856456433"/>
          </w:sdtPr>
          <w:sdtEndPr/>
          <w:sdtContent>
            <w:tc>
              <w:tcPr>
                <w:tcW w:w="559"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afffb"/>
                </w:pPr>
                <w:r>
                  <w:rPr>
                    <w:rFonts w:hint="eastAsia"/>
                  </w:rPr>
                  <w:t>项目</w:t>
                </w:r>
              </w:p>
            </w:tc>
          </w:sdtContent>
        </w:sdt>
        <w:sdt>
          <w:sdtPr>
            <w:tag w:val="_PLD_32b5faadfe0b45d19044be5526af3c2d"/>
            <w:id w:val="-560245490"/>
          </w:sdtPr>
          <w:sdtEndPr/>
          <w:sdtContent>
            <w:tc>
              <w:tcPr>
                <w:tcW w:w="22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本期发生额</w:t>
                </w:r>
              </w:p>
            </w:tc>
          </w:sdtContent>
        </w:sdt>
        <w:sdt>
          <w:sdtPr>
            <w:tag w:val="_PLD_5e3b95dc7e564cbabd77bf88c8a43781"/>
            <w:id w:val="1664354083"/>
          </w:sdtPr>
          <w:sdtEndPr/>
          <w:sdtContent>
            <w:tc>
              <w:tcPr>
                <w:tcW w:w="2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上期发生额</w:t>
                </w:r>
              </w:p>
            </w:tc>
          </w:sdtContent>
        </w:sdt>
      </w:tr>
      <w:tr w:rsidR="004A3868">
        <w:trPr>
          <w:trHeight w:val="397"/>
          <w:jc w:val="center"/>
        </w:trPr>
        <w:tc>
          <w:tcPr>
            <w:tcW w:w="559" w:type="pct"/>
            <w:vMerge/>
            <w:tcBorders>
              <w:left w:val="single" w:sz="4" w:space="0" w:color="auto"/>
              <w:bottom w:val="single" w:sz="4" w:space="0" w:color="auto"/>
              <w:right w:val="single" w:sz="4" w:space="0" w:color="auto"/>
            </w:tcBorders>
            <w:shd w:val="clear" w:color="auto" w:fill="auto"/>
            <w:vAlign w:val="center"/>
          </w:tcPr>
          <w:p w:rsidR="004A3868" w:rsidRDefault="004A3868">
            <w:pPr>
              <w:pStyle w:val="afffb"/>
            </w:pPr>
          </w:p>
        </w:tc>
        <w:sdt>
          <w:sdtPr>
            <w:tag w:val="_PLD_35d68e9def174e9fb111f9c26dc6e586"/>
            <w:id w:val="26231494"/>
          </w:sdtPr>
          <w:sdtEndPr/>
          <w:sdtContent>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收入</w:t>
                </w:r>
              </w:p>
            </w:tc>
          </w:sdtContent>
        </w:sdt>
        <w:sdt>
          <w:sdtPr>
            <w:tag w:val="_PLD_bca4c40811a6455bb6f684093a6c0c7d"/>
            <w:id w:val="23984355"/>
          </w:sdtPr>
          <w:sdtEndPr/>
          <w:sdtContent>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成本</w:t>
                </w:r>
              </w:p>
            </w:tc>
          </w:sdtContent>
        </w:sdt>
        <w:sdt>
          <w:sdtPr>
            <w:tag w:val="_PLD_913bf231029842ff9aedaf2297b238c1"/>
            <w:id w:val="-1858113283"/>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收入</w:t>
                </w:r>
              </w:p>
            </w:tc>
          </w:sdtContent>
        </w:sdt>
        <w:sdt>
          <w:sdtPr>
            <w:tag w:val="_PLD_f626f406150145439510a3b7f1a71e39"/>
            <w:id w:val="41179303"/>
          </w:sdtPr>
          <w:sdtEndPr/>
          <w:sdtContent>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b"/>
                </w:pPr>
                <w:r>
                  <w:rPr>
                    <w:rFonts w:hint="eastAsia"/>
                  </w:rPr>
                  <w:t>成本</w:t>
                </w:r>
              </w:p>
            </w:tc>
          </w:sdtContent>
        </w:sdt>
      </w:tr>
      <w:tr w:rsidR="004A3868">
        <w:trPr>
          <w:trHeight w:val="397"/>
          <w:jc w:val="center"/>
        </w:trPr>
        <w:tc>
          <w:tcPr>
            <w:tcW w:w="55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主营业务</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2,589,223,891.98</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2,142,132,447.21</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2,431,474,085.23 </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1,934,843,447.37 </w:t>
            </w:r>
          </w:p>
        </w:tc>
      </w:tr>
      <w:tr w:rsidR="004A3868">
        <w:trPr>
          <w:trHeight w:val="397"/>
          <w:jc w:val="center"/>
        </w:trPr>
        <w:tc>
          <w:tcPr>
            <w:tcW w:w="559"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afff9"/>
            </w:pPr>
            <w:r>
              <w:rPr>
                <w:rFonts w:hint="eastAsia"/>
              </w:rPr>
              <w:t>其他业务</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75,567,364.62</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67,371,529.32</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62,018,896.33 </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54,168,922.91 </w:t>
            </w:r>
          </w:p>
        </w:tc>
      </w:tr>
      <w:tr w:rsidR="004A3868">
        <w:trPr>
          <w:trHeight w:val="397"/>
          <w:jc w:val="center"/>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9"/>
            </w:pPr>
            <w:r>
              <w:rPr>
                <w:rFonts w:hint="eastAsia"/>
              </w:rPr>
              <w:t>合计</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2,664,791,256.60</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2,209,503,976.53</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2,493,492,981.56 </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4A3868" w:rsidRDefault="003F1AB5">
            <w:pPr>
              <w:pStyle w:val="afff7"/>
            </w:pPr>
            <w:r>
              <w:t xml:space="preserve">1,989,012,370.28 </w:t>
            </w:r>
          </w:p>
        </w:tc>
      </w:tr>
    </w:tbl>
    <w:p w:rsidR="004A3868" w:rsidRDefault="004A3868">
      <w:pPr>
        <w:pStyle w:val="Style853"/>
        <w:rPr>
          <w:rStyle w:val="Char10"/>
        </w:rPr>
      </w:pPr>
    </w:p>
    <w:bookmarkStart w:id="277" w:name="_Hlk533798810" w:displacedByCustomXml="next"/>
    <w:sdt>
      <w:sdtPr>
        <w:rPr>
          <w:rStyle w:val="Char10"/>
          <w:rFonts w:eastAsia="宋体" w:cs="宋体" w:hint="eastAsia"/>
          <w:b w:val="0"/>
          <w:bCs w:val="0"/>
        </w:rPr>
        <w:alias w:val="模块:合同产生的收入的情况"/>
        <w:tag w:val="_SEC_37411609543c494ea4ff0d898d351419"/>
        <w:id w:val="-1825898898"/>
        <w:lock w:val="sdtLocked"/>
        <w:placeholder>
          <w:docPart w:val="GBC22222222222222222222222222222"/>
        </w:placeholder>
      </w:sdtPr>
      <w:sdtEndPr>
        <w:rPr>
          <w:rStyle w:val="Char10"/>
          <w:rFonts w:hint="default"/>
        </w:rPr>
      </w:sdtEndPr>
      <w:sdtContent>
        <w:p w:rsidR="004A3868" w:rsidRDefault="003F1AB5">
          <w:pPr>
            <w:pStyle w:val="Style956"/>
            <w:numPr>
              <w:ilvl w:val="0"/>
              <w:numId w:val="132"/>
            </w:numPr>
            <w:rPr>
              <w:rStyle w:val="Char10"/>
            </w:rPr>
          </w:pPr>
          <w:r>
            <w:rPr>
              <w:rStyle w:val="Char10"/>
              <w:rFonts w:hint="eastAsia"/>
            </w:rPr>
            <w:t>营业收入、营业成本的分解信息</w:t>
          </w:r>
          <w:r>
            <w:rPr>
              <w:rStyle w:val="Char10"/>
            </w:rPr>
            <w:t xml:space="preserve"> </w:t>
          </w:r>
        </w:p>
        <w:sdt>
          <w:sdtPr>
            <w:alias w:val="是否适用：母公司营业收入、营业成本的分解信息 [双击切换]"/>
            <w:tag w:val="_GBC_ebb0bd28b90c4b2b9a1a99758f2ade01"/>
            <w:id w:val="1149091541"/>
            <w:lock w:val="sdtLocked"/>
            <w:placeholder>
              <w:docPart w:val="GBC22222222222222222222222222222"/>
            </w:placeholder>
          </w:sdtPr>
          <w:sdtEndPr/>
          <w:sdtContent>
            <w:p w:rsidR="004A3868" w:rsidRDefault="003F1AB5">
              <w:pPr>
                <w:pStyle w:val="Style152"/>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rsidR="004A3868" w:rsidRDefault="003F1AB5">
          <w:pPr>
            <w:pStyle w:val="affff"/>
            <w:rPr>
              <w:rStyle w:val="Char10"/>
            </w:rPr>
          </w:pPr>
          <w:r>
            <w:rPr>
              <w:rStyle w:val="Char10"/>
              <w:rFonts w:hint="eastAsia"/>
            </w:rPr>
            <w:lastRenderedPageBreak/>
            <w:t>单位：</w:t>
          </w:r>
          <w:sdt>
            <w:sdtPr>
              <w:rPr>
                <w:rStyle w:val="Char10"/>
                <w:rFonts w:hint="eastAsia"/>
              </w:rPr>
              <w:alias w:val="单位：母公司营业收入、营业成本的分解信息 "/>
              <w:tag w:val="_GBC_3db418a3b87d48a88125df45d69873a5"/>
              <w:id w:val="1641310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Fonts w:hint="eastAsia"/>
            </w:rPr>
            <w:t xml:space="preserve">  </w:t>
          </w:r>
          <w:r>
            <w:rPr>
              <w:rStyle w:val="Char10"/>
              <w:rFonts w:hint="eastAsia"/>
            </w:rPr>
            <w:t>币种：</w:t>
          </w:r>
          <w:sdt>
            <w:sdtPr>
              <w:rPr>
                <w:rStyle w:val="Char10"/>
                <w:rFonts w:hint="eastAsia"/>
              </w:rPr>
              <w:alias w:val="币种：母公司营业收入、营业成本的分解信息 "/>
              <w:tag w:val="_GBC_4b099cda1a9e49e6b317322bdc1e1e9a"/>
              <w:id w:val="1522667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2869"/>
            <w:gridCol w:w="2977"/>
            <w:gridCol w:w="2977"/>
          </w:tblGrid>
          <w:tr w:rsidR="004A3868">
            <w:trPr>
              <w:trHeight w:val="397"/>
              <w:jc w:val="center"/>
            </w:trPr>
            <w:sdt>
              <w:sdtPr>
                <w:rPr>
                  <w:rStyle w:val="Char10"/>
                  <w:rFonts w:hint="eastAsia"/>
                </w:rPr>
                <w:tag w:val="_PLD_4744d45860a74eb7b15a1f53d0ba8f57"/>
                <w:id w:val="1839268094"/>
                <w:lock w:val="sdtLocked"/>
              </w:sdtPr>
              <w:sdtEndPr>
                <w:rPr>
                  <w:rStyle w:val="Char10"/>
                </w:rPr>
              </w:sdtEndPr>
              <w:sdtContent>
                <w:tc>
                  <w:tcPr>
                    <w:tcW w:w="1626" w:type="pct"/>
                    <w:vMerge w:val="restart"/>
                    <w:tcBorders>
                      <w:top w:val="single" w:sz="4" w:space="0" w:color="auto"/>
                      <w:left w:val="single" w:sz="4" w:space="0" w:color="auto"/>
                      <w:right w:val="single" w:sz="4" w:space="0" w:color="auto"/>
                    </w:tcBorders>
                    <w:shd w:val="clear" w:color="auto" w:fill="auto"/>
                    <w:vAlign w:val="center"/>
                  </w:tcPr>
                  <w:p w:rsidR="004A3868" w:rsidRDefault="003F1AB5">
                    <w:pPr>
                      <w:pStyle w:val="Style1226"/>
                      <w:rPr>
                        <w:rStyle w:val="Char10"/>
                      </w:rPr>
                    </w:pPr>
                    <w:r>
                      <w:rPr>
                        <w:rStyle w:val="Char10"/>
                        <w:rFonts w:hint="eastAsia"/>
                      </w:rPr>
                      <w:t>合同分类</w:t>
                    </w:r>
                  </w:p>
                </w:tc>
              </w:sdtContent>
            </w:sdt>
            <w:sdt>
              <w:sdtPr>
                <w:rPr>
                  <w:rStyle w:val="Char10"/>
                  <w:rFonts w:hint="eastAsia"/>
                </w:rPr>
                <w:tag w:val="_PLD_3ace98fa65b74494a468291f479f75b5"/>
                <w:id w:val="1266730880"/>
                <w:lock w:val="sdtLocked"/>
              </w:sdtPr>
              <w:sdtEndPr>
                <w:rPr>
                  <w:rStyle w:val="Char10"/>
                </w:rPr>
              </w:sdtEndPr>
              <w:sdtContent>
                <w:tc>
                  <w:tcPr>
                    <w:tcW w:w="3374"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Fonts w:hint="eastAsia"/>
                      </w:rPr>
                      <w:t>合计</w:t>
                    </w:r>
                  </w:p>
                </w:tc>
              </w:sdtContent>
            </w:sdt>
          </w:tr>
          <w:tr w:rsidR="004A3868">
            <w:trPr>
              <w:trHeight w:val="397"/>
              <w:jc w:val="center"/>
            </w:trPr>
            <w:tc>
              <w:tcPr>
                <w:tcW w:w="1626" w:type="pct"/>
                <w:vMerge/>
                <w:tcBorders>
                  <w:left w:val="single" w:sz="4" w:space="0" w:color="auto"/>
                  <w:bottom w:val="single" w:sz="4" w:space="0" w:color="auto"/>
                  <w:right w:val="single" w:sz="4" w:space="0" w:color="auto"/>
                </w:tcBorders>
                <w:shd w:val="clear" w:color="auto" w:fill="auto"/>
                <w:vAlign w:val="center"/>
              </w:tcPr>
              <w:p w:rsidR="004A3868" w:rsidRDefault="004A3868">
                <w:pPr>
                  <w:pStyle w:val="Style1226"/>
                  <w:rPr>
                    <w:rStyle w:val="Char10"/>
                  </w:rPr>
                </w:pPr>
              </w:p>
            </w:tc>
            <w:sdt>
              <w:sdtPr>
                <w:rPr>
                  <w:rStyle w:val="Char10"/>
                  <w:rFonts w:hint="eastAsia"/>
                </w:rPr>
                <w:tag w:val="_PLD_a673f735c227445596d721043ded24e6"/>
                <w:id w:val="-316187406"/>
                <w:lock w:val="sdtLocked"/>
              </w:sdtPr>
              <w:sdtEndPr>
                <w:rPr>
                  <w:rStyle w:val="Char10"/>
                </w:rPr>
              </w:sdtEndPr>
              <w:sdtContent>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Fonts w:hint="eastAsia"/>
                      </w:rPr>
                      <w:t>营业收入</w:t>
                    </w:r>
                  </w:p>
                </w:tc>
              </w:sdtContent>
            </w:sdt>
            <w:sdt>
              <w:sdtPr>
                <w:rPr>
                  <w:rStyle w:val="Char10"/>
                  <w:rFonts w:hint="eastAsia"/>
                </w:rPr>
                <w:tag w:val="_PLD_dcb83a108df94ca4a331174deb896cdd"/>
                <w:id w:val="161209029"/>
                <w:lock w:val="sdtLocked"/>
              </w:sdtPr>
              <w:sdtEndPr>
                <w:rPr>
                  <w:rStyle w:val="Char10"/>
                </w:rPr>
              </w:sdtEndPr>
              <w:sdtContent>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Fonts w:hint="eastAsia"/>
                      </w:rPr>
                      <w:t>营业成本</w:t>
                    </w:r>
                  </w:p>
                </w:tc>
              </w:sdtContent>
            </w:sdt>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商品类型</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2,664,791,256.58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2,209,503,976.50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rStyle w:val="Char10"/>
                  </w:rPr>
                </w:pPr>
                <w:r>
                  <w:rPr>
                    <w:rStyle w:val="Char10"/>
                    <w:rFonts w:hint="eastAsia"/>
                  </w:rPr>
                  <w:t> </w:t>
                </w:r>
                <w:r>
                  <w:rPr>
                    <w:rStyle w:val="Char10"/>
                    <w:rFonts w:hint="eastAsia"/>
                  </w:rPr>
                  <w:t>取向硅钢</w:t>
                </w:r>
                <w:r>
                  <w:rPr>
                    <w:rStyle w:val="Char10"/>
                    <w:rFonts w:hint="eastAsia"/>
                  </w:rPr>
                  <w:t>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1,313,821,143.19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1,058,531,894.61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rStyle w:val="Char10"/>
                  </w:rPr>
                </w:pPr>
                <w:r>
                  <w:rPr>
                    <w:rStyle w:val="Char10"/>
                    <w:rFonts w:hint="eastAsia"/>
                  </w:rPr>
                  <w:t> </w:t>
                </w:r>
                <w:r>
                  <w:rPr>
                    <w:rStyle w:val="Char10"/>
                    <w:rFonts w:hint="eastAsia"/>
                  </w:rPr>
                  <w:t>输配电及控制设备</w:t>
                </w:r>
                <w:r>
                  <w:rPr>
                    <w:rStyle w:val="Char10"/>
                    <w:rFonts w:hint="eastAsia"/>
                  </w:rPr>
                  <w:t>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1,275,402,748.89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1,083,600,549.37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rStyle w:val="Char10"/>
                  </w:rPr>
                </w:pPr>
                <w:r>
                  <w:rPr>
                    <w:rStyle w:val="Char10"/>
                    <w:rFonts w:hint="eastAsia"/>
                  </w:rPr>
                  <w:t> </w:t>
                </w:r>
                <w:r>
                  <w:rPr>
                    <w:rStyle w:val="Char10"/>
                    <w:rFonts w:hint="eastAsia"/>
                  </w:rPr>
                  <w:t>其他</w:t>
                </w:r>
                <w:r>
                  <w:rPr>
                    <w:rStyle w:val="Char10"/>
                    <w:rFonts w:hint="eastAsia"/>
                  </w:rPr>
                  <w:t>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75,567,364.50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67,371,532.52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按经营地区分类</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市场或客户类型</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合同类型</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按商品转让的时间分类</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2,664,791,256.58</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2,209,503,976.50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在某一时点转让</w:t>
                </w:r>
                <w:r>
                  <w:rPr>
                    <w:rStyle w:val="Char10"/>
                    <w:rFonts w:hint="eastAsia"/>
                  </w:rPr>
                  <w:t xml:space="preserve">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2,664,791,256.58</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2,209,503,976.50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按合同期限分类</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Fonts w:hint="eastAsia"/>
                  </w:rPr>
                  <w:t xml:space="preserve">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按销售渠道分类</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2,664,791,256.58</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2,209,503,976.50</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rStyle w:val="Char10"/>
                  </w:rPr>
                </w:pPr>
                <w:r>
                  <w:rPr>
                    <w:rStyle w:val="Char10"/>
                    <w:rFonts w:hint="eastAsia"/>
                  </w:rPr>
                  <w:t> </w:t>
                </w:r>
                <w:r>
                  <w:rPr>
                    <w:rStyle w:val="Char10"/>
                    <w:rFonts w:hint="eastAsia"/>
                  </w:rPr>
                  <w:t>直销</w:t>
                </w:r>
                <w:r>
                  <w:rPr>
                    <w:rStyle w:val="Char10"/>
                    <w:rFonts w:hint="eastAsia"/>
                  </w:rPr>
                  <w:t>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2,064,720,905.85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1,741,935,653.42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rPr>
                    <w:rStyle w:val="Char10"/>
                  </w:rPr>
                </w:pPr>
                <w:r>
                  <w:rPr>
                    <w:rStyle w:val="Char10"/>
                    <w:rFonts w:hint="eastAsia"/>
                  </w:rPr>
                  <w:t> </w:t>
                </w:r>
                <w:r>
                  <w:rPr>
                    <w:rStyle w:val="Char10"/>
                    <w:rFonts w:hint="eastAsia"/>
                  </w:rPr>
                  <w:t>贸易商</w:t>
                </w:r>
                <w:r>
                  <w:rPr>
                    <w:rStyle w:val="Char10"/>
                    <w:rFonts w:hint="eastAsia"/>
                  </w:rPr>
                  <w:t>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600,070,350.73 </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 xml:space="preserve"> 467,568,323.08 </w:t>
                </w:r>
              </w:p>
            </w:tc>
          </w:tr>
          <w:tr w:rsidR="004A3868">
            <w:trPr>
              <w:trHeight w:val="397"/>
              <w:jc w:val="center"/>
            </w:trPr>
            <w:tc>
              <w:tcPr>
                <w:tcW w:w="1626" w:type="pct"/>
                <w:tcBorders>
                  <w:top w:val="single" w:sz="4" w:space="0" w:color="auto"/>
                  <w:left w:val="single" w:sz="4" w:space="0" w:color="auto"/>
                  <w:bottom w:val="single" w:sz="4" w:space="0" w:color="auto"/>
                  <w:right w:val="single" w:sz="4" w:space="0" w:color="auto"/>
                </w:tcBorders>
                <w:shd w:val="clear" w:color="auto" w:fill="auto"/>
              </w:tcPr>
              <w:p w:rsidR="004A3868" w:rsidRDefault="003F1AB5">
                <w:pPr>
                  <w:pStyle w:val="Style842"/>
                  <w:rPr>
                    <w:rStyle w:val="Char10"/>
                  </w:rPr>
                </w:pPr>
                <w:r>
                  <w:rPr>
                    <w:rStyle w:val="Char10"/>
                    <w:rFonts w:hint="eastAsia"/>
                  </w:rPr>
                  <w:t>合计</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2,664,791,256.58</w:t>
                </w:r>
              </w:p>
            </w:tc>
            <w:tc>
              <w:tcPr>
                <w:tcW w:w="16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afff7"/>
                  <w:rPr>
                    <w:rStyle w:val="Char10"/>
                  </w:rPr>
                </w:pPr>
                <w:r>
                  <w:rPr>
                    <w:rStyle w:val="Char10"/>
                  </w:rPr>
                  <w:t>2,205,373,446.05</w:t>
                </w:r>
              </w:p>
            </w:tc>
          </w:tr>
        </w:tbl>
        <w:p w:rsidR="004A3868" w:rsidRDefault="003F1AB5">
          <w:pPr>
            <w:pStyle w:val="Style853"/>
            <w:rPr>
              <w:rStyle w:val="Char10"/>
            </w:rPr>
          </w:pPr>
          <w:r>
            <w:rPr>
              <w:rStyle w:val="Char10"/>
              <w:rFonts w:hint="eastAsia"/>
            </w:rPr>
            <w:t>其他说明</w:t>
          </w:r>
        </w:p>
        <w:sdt>
          <w:sdtPr>
            <w:rPr>
              <w:rStyle w:val="Char10"/>
            </w:rPr>
            <w:alias w:val="是否适用：母公司营业收入、营业成本的分解信息说明 [双击切换]"/>
            <w:tag w:val="_GBC_579e9b003cbd4b94a5da57be65a206f7"/>
            <w:id w:val="337040045"/>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dtContent>
    </w:sdt>
    <w:p w:rsidR="004A3868" w:rsidRDefault="003F1AB5">
      <w:pPr>
        <w:pStyle w:val="Style956"/>
        <w:numPr>
          <w:ilvl w:val="0"/>
          <w:numId w:val="132"/>
        </w:numPr>
        <w:rPr>
          <w:rStyle w:val="Char10"/>
        </w:rPr>
      </w:pPr>
      <w:r>
        <w:rPr>
          <w:rStyle w:val="Char10"/>
          <w:rFonts w:hint="eastAsia"/>
        </w:rPr>
        <w:t>履约义务的说明</w:t>
      </w:r>
    </w:p>
    <w:bookmarkStart w:id="278" w:name="_Hlk155961563" w:displacedByCustomXml="next"/>
    <w:sdt>
      <w:sdtPr>
        <w:rPr>
          <w:rStyle w:val="Char10"/>
        </w:rPr>
        <w:alias w:val="是否适用：履约义务的说明[双击切换]"/>
        <w:tag w:val="_GBC_0b818a1fe50c41248e0bae7b16db682e"/>
        <w:id w:val="877585166"/>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6"/>
        <w:numPr>
          <w:ilvl w:val="0"/>
          <w:numId w:val="132"/>
        </w:numPr>
        <w:rPr>
          <w:rStyle w:val="Char10"/>
        </w:rPr>
      </w:pPr>
      <w:r>
        <w:rPr>
          <w:rStyle w:val="Char10"/>
          <w:rFonts w:hint="eastAsia"/>
        </w:rPr>
        <w:t>分摊至剩余履约义务的说明</w:t>
      </w:r>
    </w:p>
    <w:bookmarkEnd w:id="278" w:displacedByCustomXml="next"/>
    <w:bookmarkEnd w:id="277" w:displacedByCustomXml="next"/>
    <w:bookmarkStart w:id="279" w:name="_Hlk533798958" w:displacedByCustomXml="next"/>
    <w:sdt>
      <w:sdtPr>
        <w:rPr>
          <w:rStyle w:val="Char10"/>
        </w:rPr>
        <w:alias w:val="是否适用：母公司分摊至剩余履约义务的说明[双击切换]"/>
        <w:tag w:val="_GBC_7f0a9adae5ea4624a849a396f1ce90b1"/>
        <w:id w:val="-281653986"/>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79"/>
    <w:p w:rsidR="004A3868" w:rsidRDefault="003F1AB5">
      <w:pPr>
        <w:pStyle w:val="Style956"/>
        <w:numPr>
          <w:ilvl w:val="0"/>
          <w:numId w:val="132"/>
        </w:numPr>
        <w:rPr>
          <w:rStyle w:val="Char10"/>
        </w:rPr>
      </w:pPr>
      <w:r>
        <w:rPr>
          <w:rStyle w:val="Char10"/>
          <w:rFonts w:hint="eastAsia"/>
        </w:rPr>
        <w:t>重大合同变更或重大交易价格调整</w:t>
      </w:r>
    </w:p>
    <w:bookmarkStart w:id="280" w:name="_Hlk153798573" w:displacedByCustomXml="next"/>
    <w:sdt>
      <w:sdtPr>
        <w:rPr>
          <w:rStyle w:val="Char10"/>
        </w:rPr>
        <w:alias w:val="是否适用：母公司重大合同变更或重大交易价格调整[双击切换]"/>
        <w:tag w:val="_GBC_df0026b6a6ff4f0a99c85462586d2446"/>
        <w:id w:val="-682972822"/>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bookmarkEnd w:id="280"/>
    <w:p w:rsidR="004A3868" w:rsidRDefault="003F1AB5">
      <w:pPr>
        <w:pStyle w:val="Style842"/>
        <w:rPr>
          <w:rStyle w:val="Char10"/>
        </w:rPr>
      </w:pPr>
      <w:r>
        <w:rPr>
          <w:rStyle w:val="Char10"/>
          <w:rFonts w:hint="eastAsia"/>
        </w:rPr>
        <w:t>其他说明：</w:t>
      </w:r>
    </w:p>
    <w:bookmarkStart w:id="281" w:name="_Hlk533798751"/>
    <w:p w:rsidR="004A3868" w:rsidRDefault="00B34370">
      <w:pPr>
        <w:pStyle w:val="Style842"/>
        <w:rPr>
          <w:rStyle w:val="Char10"/>
        </w:rPr>
      </w:pPr>
      <w:sdt>
        <w:sdtPr>
          <w:rPr>
            <w:rStyle w:val="Char10"/>
          </w:rPr>
          <w:alias w:val="主营业务说明"/>
          <w:tag w:val="_GBC_fd583c7468404a3e83de872adae134a2"/>
          <w:id w:val="-1214956356"/>
          <w:placeholder>
            <w:docPart w:val="GBC22222222222222222222222222222"/>
          </w:placeholder>
        </w:sdtPr>
        <w:sdtEndPr>
          <w:rPr>
            <w:rStyle w:val="Char10"/>
          </w:rPr>
        </w:sdtEndPr>
        <w:sdtContent>
          <w:r w:rsidR="003F1AB5">
            <w:rPr>
              <w:rStyle w:val="Char10"/>
              <w:rFonts w:hint="eastAsia"/>
            </w:rPr>
            <w:t>无</w:t>
          </w:r>
        </w:sdtContent>
      </w:sdt>
      <w:bookmarkEnd w:id="281"/>
    </w:p>
    <w:p w:rsidR="004A3868" w:rsidRDefault="003F1AB5">
      <w:pPr>
        <w:pStyle w:val="Style955"/>
        <w:numPr>
          <w:ilvl w:val="0"/>
          <w:numId w:val="128"/>
        </w:numPr>
        <w:spacing w:before="120"/>
        <w:rPr>
          <w:rStyle w:val="Char10"/>
        </w:rPr>
      </w:pPr>
      <w:r>
        <w:rPr>
          <w:rStyle w:val="Char10"/>
          <w:rFonts w:hint="eastAsia"/>
        </w:rPr>
        <w:t>投资收益</w:t>
      </w:r>
    </w:p>
    <w:bookmarkStart w:id="282" w:name="_Hlk24031063" w:displacedByCustomXml="next"/>
    <w:sdt>
      <w:sdtPr>
        <w:rPr>
          <w:rStyle w:val="Char10"/>
        </w:rPr>
        <w:alias w:val="是否适用：母公司投资收益[双击切换]"/>
        <w:tag w:val="_GBC_c2bb46ec06e343088b38ac6340f45fb2"/>
        <w:id w:val="1571309132"/>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Pr>
        <w:t>单位</w:t>
      </w:r>
      <w:r>
        <w:rPr>
          <w:rStyle w:val="Char10"/>
          <w:rFonts w:hint="eastAsia"/>
        </w:rPr>
        <w:t>：</w:t>
      </w:r>
      <w:sdt>
        <w:sdtPr>
          <w:rPr>
            <w:rStyle w:val="Char10"/>
            <w:rFonts w:hint="eastAsia"/>
          </w:rPr>
          <w:alias w:val="单位：财务附注：会计报表中的投资收益项目增加"/>
          <w:tag w:val="_GBC_12c9db09bbc645b69cfb011197b5e700"/>
          <w:id w:val="4236872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元</w:t>
          </w:r>
        </w:sdtContent>
      </w:sdt>
      <w:r>
        <w:rPr>
          <w:rStyle w:val="Char10"/>
        </w:rPr>
        <w:t xml:space="preserve">  </w:t>
      </w:r>
      <w:r>
        <w:rPr>
          <w:rStyle w:val="Char10"/>
        </w:rPr>
        <w:t>币种</w:t>
      </w:r>
      <w:r>
        <w:rPr>
          <w:rStyle w:val="Char10"/>
          <w:rFonts w:hint="eastAsia"/>
        </w:rPr>
        <w:t>：</w:t>
      </w:r>
      <w:sdt>
        <w:sdtPr>
          <w:rPr>
            <w:rStyle w:val="Char10"/>
            <w:rFonts w:hint="eastAsia"/>
          </w:rPr>
          <w:alias w:val="币种：财务附注：会计报表中的投资收益项目增加"/>
          <w:tag w:val="_GBC_4090bf40cd1647838a8c5908dbc544c5"/>
          <w:id w:val="21143227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4A0" w:firstRow="1" w:lastRow="0" w:firstColumn="1" w:lastColumn="0" w:noHBand="0" w:noVBand="1"/>
      </w:tblPr>
      <w:tblGrid>
        <w:gridCol w:w="3561"/>
        <w:gridCol w:w="2626"/>
        <w:gridCol w:w="2636"/>
      </w:tblGrid>
      <w:tr w:rsidR="004A3868">
        <w:trPr>
          <w:trHeight w:val="397"/>
          <w:jc w:val="center"/>
        </w:trPr>
        <w:bookmarkStart w:id="283" w:name="_Hlk24031106" w:displacedByCustomXml="next"/>
        <w:sdt>
          <w:sdtPr>
            <w:rPr>
              <w:rStyle w:val="Char10"/>
            </w:rPr>
            <w:tag w:val="_PLD_507ed5c985ab48c59a18c2d57dd68c9c"/>
            <w:id w:val="1825927940"/>
          </w:sdtPr>
          <w:sdtEndPr>
            <w:rPr>
              <w:rStyle w:val="Char10"/>
            </w:rPr>
          </w:sdtEndPr>
          <w:sdtContent>
            <w:tc>
              <w:tcPr>
                <w:tcW w:w="2018" w:type="pct"/>
                <w:vAlign w:val="center"/>
              </w:tcPr>
              <w:p w:rsidR="004A3868" w:rsidRDefault="003F1AB5">
                <w:pPr>
                  <w:pStyle w:val="Style1226"/>
                  <w:rPr>
                    <w:rStyle w:val="Char10"/>
                  </w:rPr>
                </w:pPr>
                <w:r>
                  <w:rPr>
                    <w:rStyle w:val="Char10"/>
                    <w:rFonts w:hint="eastAsia"/>
                  </w:rPr>
                  <w:t>项目</w:t>
                </w:r>
              </w:p>
            </w:tc>
          </w:sdtContent>
        </w:sdt>
        <w:sdt>
          <w:sdtPr>
            <w:rPr>
              <w:rStyle w:val="Char10"/>
            </w:rPr>
            <w:tag w:val="_PLD_47187d04b5814de2ac4d8e7ab7f3dcf5"/>
            <w:id w:val="-1047298146"/>
          </w:sdtPr>
          <w:sdtEndPr>
            <w:rPr>
              <w:rStyle w:val="Char10"/>
            </w:rPr>
          </w:sdtEndPr>
          <w:sdtContent>
            <w:tc>
              <w:tcPr>
                <w:tcW w:w="1488" w:type="pct"/>
                <w:vAlign w:val="center"/>
              </w:tcPr>
              <w:p w:rsidR="004A3868" w:rsidRDefault="003F1AB5">
                <w:pPr>
                  <w:pStyle w:val="Style1226"/>
                  <w:rPr>
                    <w:rStyle w:val="Char10"/>
                  </w:rPr>
                </w:pPr>
                <w:r>
                  <w:rPr>
                    <w:rStyle w:val="Char10"/>
                    <w:rFonts w:hint="eastAsia"/>
                  </w:rPr>
                  <w:t>本期发生额</w:t>
                </w:r>
              </w:p>
            </w:tc>
          </w:sdtContent>
        </w:sdt>
        <w:sdt>
          <w:sdtPr>
            <w:rPr>
              <w:rStyle w:val="Char10"/>
            </w:rPr>
            <w:tag w:val="_PLD_9b38c11702ff453c93beb78507ab4be2"/>
            <w:id w:val="861709385"/>
          </w:sdtPr>
          <w:sdtEndPr>
            <w:rPr>
              <w:rStyle w:val="Char10"/>
            </w:rPr>
          </w:sdtEndPr>
          <w:sdtContent>
            <w:tc>
              <w:tcPr>
                <w:tcW w:w="1494" w:type="pct"/>
                <w:vAlign w:val="center"/>
              </w:tcPr>
              <w:p w:rsidR="004A3868" w:rsidRDefault="003F1AB5">
                <w:pPr>
                  <w:pStyle w:val="Style1226"/>
                  <w:rPr>
                    <w:rStyle w:val="Char10"/>
                  </w:rPr>
                </w:pPr>
                <w:r>
                  <w:rPr>
                    <w:rStyle w:val="Char10"/>
                    <w:rFonts w:hint="eastAsia"/>
                  </w:rPr>
                  <w:t>上期发生额</w:t>
                </w:r>
              </w:p>
            </w:tc>
          </w:sdtContent>
        </w:sdt>
      </w:tr>
      <w:tr w:rsidR="004A3868">
        <w:trPr>
          <w:trHeight w:val="397"/>
          <w:jc w:val="center"/>
        </w:trPr>
        <w:tc>
          <w:tcPr>
            <w:tcW w:w="2018" w:type="pct"/>
          </w:tcPr>
          <w:p w:rsidR="004A3868" w:rsidRDefault="003F1AB5">
            <w:pPr>
              <w:pStyle w:val="Style1224"/>
              <w:rPr>
                <w:rStyle w:val="Char10"/>
              </w:rPr>
            </w:pPr>
            <w:r>
              <w:rPr>
                <w:rStyle w:val="Char10"/>
              </w:rPr>
              <w:t>成本法核算的长期股权投资收益</w:t>
            </w:r>
          </w:p>
        </w:tc>
        <w:tc>
          <w:tcPr>
            <w:tcW w:w="1488" w:type="pct"/>
          </w:tcPr>
          <w:p w:rsidR="004A3868" w:rsidRDefault="004A3868">
            <w:pPr>
              <w:pStyle w:val="Style842"/>
              <w:rPr>
                <w:rStyle w:val="Char10"/>
              </w:rPr>
            </w:pPr>
          </w:p>
        </w:tc>
        <w:tc>
          <w:tcPr>
            <w:tcW w:w="1494" w:type="pct"/>
          </w:tcPr>
          <w:p w:rsidR="004A3868" w:rsidRDefault="004A3868">
            <w:pPr>
              <w:pStyle w:val="Style84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t>权益法核算的长期股权投资收益</w:t>
            </w:r>
          </w:p>
        </w:tc>
        <w:tc>
          <w:tcPr>
            <w:tcW w:w="1488" w:type="pct"/>
            <w:vAlign w:val="center"/>
          </w:tcPr>
          <w:p w:rsidR="004A3868" w:rsidRDefault="003F1AB5">
            <w:pPr>
              <w:pStyle w:val="Style1222"/>
              <w:rPr>
                <w:rStyle w:val="Char10"/>
              </w:rPr>
            </w:pPr>
            <w:r>
              <w:rPr>
                <w:rStyle w:val="Char10"/>
              </w:rPr>
              <w:t>323,689.95</w:t>
            </w:r>
          </w:p>
        </w:tc>
        <w:tc>
          <w:tcPr>
            <w:tcW w:w="1494" w:type="pct"/>
            <w:vAlign w:val="center"/>
          </w:tcPr>
          <w:p w:rsidR="004A3868" w:rsidRDefault="003F1AB5">
            <w:pPr>
              <w:pStyle w:val="Style1222"/>
              <w:rPr>
                <w:rStyle w:val="Char10"/>
              </w:rPr>
            </w:pPr>
            <w:r>
              <w:rPr>
                <w:rStyle w:val="Char10"/>
              </w:rPr>
              <w:t>971,512.67</w:t>
            </w:r>
          </w:p>
        </w:tc>
      </w:tr>
      <w:tr w:rsidR="004A3868">
        <w:trPr>
          <w:trHeight w:val="397"/>
          <w:jc w:val="center"/>
        </w:trPr>
        <w:tc>
          <w:tcPr>
            <w:tcW w:w="2018" w:type="pct"/>
          </w:tcPr>
          <w:p w:rsidR="004A3868" w:rsidRDefault="003F1AB5">
            <w:pPr>
              <w:pStyle w:val="Style1224"/>
              <w:rPr>
                <w:rStyle w:val="Char10"/>
              </w:rPr>
            </w:pPr>
            <w:r>
              <w:rPr>
                <w:rStyle w:val="Char10"/>
                <w:rFonts w:hint="eastAsia"/>
              </w:rPr>
              <w:t>处置长期股权投资产生的投资收益</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t>交易性金融资产在持有期间的投资收益</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lastRenderedPageBreak/>
              <w:t>其他权益工具投资在持有期间取得的股利收入</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t>债权投资在持有期间取得的利息收入</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t>其他债权投资在持有期间取得的利息收入</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t>处置交易性金融资产取得的投资收益</w:t>
            </w:r>
          </w:p>
        </w:tc>
        <w:tc>
          <w:tcPr>
            <w:tcW w:w="1488" w:type="pct"/>
            <w:vAlign w:val="center"/>
          </w:tcPr>
          <w:p w:rsidR="004A3868" w:rsidRDefault="003F1AB5">
            <w:pPr>
              <w:pStyle w:val="Style1222"/>
              <w:rPr>
                <w:rStyle w:val="Char10"/>
              </w:rPr>
            </w:pPr>
            <w:r>
              <w:rPr>
                <w:rStyle w:val="Char10"/>
              </w:rPr>
              <w:t>80,361.86</w:t>
            </w:r>
          </w:p>
        </w:tc>
        <w:tc>
          <w:tcPr>
            <w:tcW w:w="1494" w:type="pct"/>
            <w:vAlign w:val="center"/>
          </w:tcPr>
          <w:p w:rsidR="004A3868" w:rsidRDefault="003F1AB5">
            <w:pPr>
              <w:pStyle w:val="Style1222"/>
              <w:rPr>
                <w:rStyle w:val="Char10"/>
              </w:rPr>
            </w:pPr>
            <w:r>
              <w:rPr>
                <w:rStyle w:val="Char10"/>
              </w:rPr>
              <w:t>893,535.54</w:t>
            </w:r>
          </w:p>
        </w:tc>
      </w:tr>
      <w:tr w:rsidR="004A3868">
        <w:trPr>
          <w:trHeight w:val="397"/>
          <w:jc w:val="center"/>
        </w:trPr>
        <w:tc>
          <w:tcPr>
            <w:tcW w:w="2018" w:type="pct"/>
          </w:tcPr>
          <w:p w:rsidR="004A3868" w:rsidRDefault="003F1AB5">
            <w:pPr>
              <w:pStyle w:val="Style1224"/>
              <w:rPr>
                <w:rStyle w:val="Char10"/>
              </w:rPr>
            </w:pPr>
            <w:r>
              <w:rPr>
                <w:rStyle w:val="Char10"/>
                <w:rFonts w:hint="eastAsia"/>
              </w:rPr>
              <w:t>处置其他权益工具投资取得的投资收益</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t>处置债权投资取得的投资收益</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t>处置其他债权投资取得的投资收益</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tcPr>
          <w:p w:rsidR="004A3868" w:rsidRDefault="003F1AB5">
            <w:pPr>
              <w:pStyle w:val="Style1224"/>
              <w:rPr>
                <w:rStyle w:val="Char10"/>
              </w:rPr>
            </w:pPr>
            <w:r>
              <w:rPr>
                <w:rStyle w:val="Char10"/>
                <w:rFonts w:hint="eastAsia"/>
              </w:rPr>
              <w:t>债务重组收益</w:t>
            </w:r>
          </w:p>
        </w:tc>
        <w:tc>
          <w:tcPr>
            <w:tcW w:w="1488" w:type="pct"/>
            <w:vAlign w:val="center"/>
          </w:tcPr>
          <w:p w:rsidR="004A3868" w:rsidRDefault="004A3868">
            <w:pPr>
              <w:pStyle w:val="Style1222"/>
              <w:rPr>
                <w:rStyle w:val="Char10"/>
              </w:rPr>
            </w:pPr>
          </w:p>
        </w:tc>
        <w:tc>
          <w:tcPr>
            <w:tcW w:w="1494" w:type="pct"/>
            <w:vAlign w:val="center"/>
          </w:tcPr>
          <w:p w:rsidR="004A3868" w:rsidRDefault="004A3868">
            <w:pPr>
              <w:pStyle w:val="Style1222"/>
              <w:rPr>
                <w:rStyle w:val="Char10"/>
              </w:rPr>
            </w:pPr>
          </w:p>
        </w:tc>
      </w:tr>
      <w:tr w:rsidR="004A3868">
        <w:trPr>
          <w:trHeight w:val="397"/>
          <w:jc w:val="center"/>
        </w:trPr>
        <w:tc>
          <w:tcPr>
            <w:tcW w:w="2018" w:type="pct"/>
            <w:vAlign w:val="center"/>
          </w:tcPr>
          <w:p w:rsidR="004A3868" w:rsidRDefault="003F1AB5">
            <w:pPr>
              <w:pStyle w:val="Style1224"/>
              <w:rPr>
                <w:rStyle w:val="Char10"/>
              </w:rPr>
            </w:pPr>
            <w:r>
              <w:rPr>
                <w:rStyle w:val="Char10"/>
                <w:rFonts w:hint="eastAsia"/>
              </w:rPr>
              <w:t>合计</w:t>
            </w:r>
          </w:p>
        </w:tc>
        <w:tc>
          <w:tcPr>
            <w:tcW w:w="1488" w:type="pct"/>
            <w:vAlign w:val="center"/>
          </w:tcPr>
          <w:p w:rsidR="004A3868" w:rsidRDefault="003F1AB5">
            <w:pPr>
              <w:pStyle w:val="Style1222"/>
              <w:rPr>
                <w:rStyle w:val="Char10"/>
              </w:rPr>
            </w:pPr>
            <w:r>
              <w:rPr>
                <w:rStyle w:val="Char10"/>
              </w:rPr>
              <w:t>404,051.81</w:t>
            </w:r>
          </w:p>
        </w:tc>
        <w:tc>
          <w:tcPr>
            <w:tcW w:w="1494" w:type="pct"/>
            <w:vAlign w:val="center"/>
          </w:tcPr>
          <w:p w:rsidR="004A3868" w:rsidRDefault="003F1AB5">
            <w:pPr>
              <w:pStyle w:val="Style1222"/>
              <w:rPr>
                <w:rStyle w:val="Char10"/>
              </w:rPr>
            </w:pPr>
            <w:r>
              <w:rPr>
                <w:rStyle w:val="Char10"/>
              </w:rPr>
              <w:t>1,865,048.21</w:t>
            </w:r>
          </w:p>
        </w:tc>
      </w:tr>
    </w:tbl>
    <w:p w:rsidR="004A3868" w:rsidRDefault="003F1AB5">
      <w:pPr>
        <w:pStyle w:val="Style842"/>
        <w:rPr>
          <w:rStyle w:val="Char10"/>
        </w:rPr>
      </w:pPr>
      <w:bookmarkStart w:id="284" w:name="_Hlk10720480"/>
      <w:bookmarkEnd w:id="283"/>
      <w:r>
        <w:rPr>
          <w:rStyle w:val="Char10"/>
          <w:rFonts w:hint="eastAsia"/>
        </w:rPr>
        <w:t>其他说明：</w:t>
      </w:r>
      <w:bookmarkEnd w:id="284"/>
    </w:p>
    <w:sdt>
      <w:sdtPr>
        <w:rPr>
          <w:rStyle w:val="Char10"/>
        </w:rPr>
        <w:alias w:val="投资收益说明"/>
        <w:tag w:val="_GBC_003661b91b5144cfbf329a4aeb060fe6"/>
        <w:id w:val="-484157694"/>
        <w:placeholder>
          <w:docPart w:val="GBC22222222222222222222222222222"/>
        </w:placeholder>
      </w:sdtPr>
      <w:sdtEndPr>
        <w:rPr>
          <w:rStyle w:val="Char10"/>
        </w:rPr>
      </w:sdtEndPr>
      <w:sdtContent>
        <w:p w:rsidR="004A3868" w:rsidRDefault="003F1AB5">
          <w:pPr>
            <w:pStyle w:val="Style842"/>
            <w:rPr>
              <w:rStyle w:val="Char10"/>
            </w:rPr>
          </w:pPr>
          <w:r>
            <w:rPr>
              <w:rStyle w:val="Char10"/>
              <w:rFonts w:hint="eastAsia"/>
            </w:rPr>
            <w:t>无</w:t>
          </w:r>
        </w:p>
      </w:sdtContent>
    </w:sdt>
    <w:bookmarkEnd w:id="282"/>
    <w:p w:rsidR="004A3868" w:rsidRDefault="003F1AB5">
      <w:pPr>
        <w:pStyle w:val="Style955"/>
        <w:numPr>
          <w:ilvl w:val="0"/>
          <w:numId w:val="128"/>
        </w:numPr>
        <w:spacing w:before="120"/>
        <w:rPr>
          <w:rStyle w:val="Char10"/>
        </w:rPr>
      </w:pPr>
      <w:r>
        <w:rPr>
          <w:rStyle w:val="Char10"/>
          <w:rFonts w:hint="eastAsia"/>
        </w:rPr>
        <w:t>其他</w:t>
      </w:r>
    </w:p>
    <w:sdt>
      <w:sdtPr>
        <w:rPr>
          <w:rStyle w:val="Char10"/>
          <w:rFonts w:hint="eastAsia"/>
        </w:rPr>
        <w:alias w:val="是否适用：母公司会计报表附注的其他说明事项[双击切换]"/>
        <w:tag w:val="_GBC_da1bbbf487cd4e98b945920735517f12"/>
        <w:id w:val="744770691"/>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4"/>
        <w:rPr>
          <w:rStyle w:val="Char10"/>
        </w:rPr>
      </w:pPr>
      <w:r>
        <w:rPr>
          <w:rStyle w:val="Char10"/>
          <w:rFonts w:hint="eastAsia"/>
        </w:rPr>
        <w:t>补充资料</w:t>
      </w:r>
    </w:p>
    <w:p w:rsidR="004A3868" w:rsidRDefault="003F1AB5">
      <w:pPr>
        <w:pStyle w:val="Style955"/>
        <w:numPr>
          <w:ilvl w:val="0"/>
          <w:numId w:val="133"/>
        </w:numPr>
        <w:spacing w:before="120"/>
        <w:rPr>
          <w:rStyle w:val="Char10"/>
        </w:rPr>
      </w:pPr>
      <w:r>
        <w:rPr>
          <w:rStyle w:val="Char10"/>
          <w:rFonts w:hint="eastAsia"/>
        </w:rPr>
        <w:t>当期非经常性损益明细表</w:t>
      </w:r>
    </w:p>
    <w:bookmarkStart w:id="285" w:name="_Hlk152579827" w:displacedByCustomXml="next"/>
    <w:bookmarkStart w:id="286" w:name="_Hlk535584690" w:displacedByCustomXml="next"/>
    <w:sdt>
      <w:sdtPr>
        <w:rPr>
          <w:rStyle w:val="Char10"/>
        </w:rPr>
        <w:alias w:val="是否适用：当期非经常性损益明细表[双击切换]"/>
        <w:tag w:val="_GBC_b3c7aec730db408a9d46da725d5662b4"/>
        <w:id w:val="-2121141592"/>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affff"/>
        <w:rPr>
          <w:rStyle w:val="Char10"/>
        </w:rPr>
      </w:pPr>
      <w:r>
        <w:rPr>
          <w:rStyle w:val="Char10"/>
          <w:rFonts w:hint="eastAsia"/>
        </w:rPr>
        <w:t>单位：</w:t>
      </w:r>
      <w:sdt>
        <w:sdtPr>
          <w:rPr>
            <w:rStyle w:val="Char10"/>
            <w:rFonts w:hint="eastAsia"/>
          </w:rPr>
          <w:alias w:val="单位：扣除非经常性损益项目和金额"/>
          <w:tag w:val="_GBC_63d386bc1f1d45a9803caa6346ef271f"/>
          <w:id w:val="-2144263358"/>
          <w:placeholder>
            <w:docPart w:val="GBC22222222222222222222222222222"/>
          </w:placeholder>
          <w:dataBinding w:prefixMappings="xmlns:clcid-ci-ar='clcid-ci-ar'" w:xpath="/*/clcid-ci-ar:DanWeiKouChuFeiJingChangXingSunYiXiangMuHeJinE[not(@periodRef)]" w:storeItemID="{89EBAB94-44A0-46A2-B712-30D997D04A6D}"/>
          <w:comboBox w:lastValue="10000">
            <w:listItem w:displayText="元" w:value="1"/>
            <w:listItem w:displayText="千元" w:value="1000"/>
            <w:listItem w:displayText="万元" w:value="10000"/>
            <w:listItem w:displayText="百万元" w:value="1000000"/>
            <w:listItem w:displayText="亿元" w:value="100000000"/>
          </w:comboBox>
        </w:sdtPr>
        <w:sdtEndPr>
          <w:rPr>
            <w:rStyle w:val="Char10"/>
          </w:rPr>
        </w:sdtEndPr>
        <w:sdtContent>
          <w:r>
            <w:rPr>
              <w:rStyle w:val="Char10"/>
              <w:rFonts w:hint="eastAsia"/>
            </w:rPr>
            <w:t>万元</w:t>
          </w:r>
        </w:sdtContent>
      </w:sdt>
      <w:r>
        <w:rPr>
          <w:rStyle w:val="Char10"/>
          <w:rFonts w:hint="eastAsia"/>
        </w:rPr>
        <w:t xml:space="preserve">  </w:t>
      </w:r>
      <w:r>
        <w:rPr>
          <w:rStyle w:val="Char10"/>
          <w:rFonts w:hint="eastAsia"/>
        </w:rPr>
        <w:t>币种：</w:t>
      </w:r>
      <w:sdt>
        <w:sdtPr>
          <w:rPr>
            <w:rStyle w:val="Char10"/>
            <w:rFonts w:hint="eastAsia"/>
          </w:rPr>
          <w:alias w:val="币种：扣除非经常性损益项目和金额"/>
          <w:tag w:val="_GBC_fb530451edb743d2bcc0dacb892d672d"/>
          <w:id w:val="-284880807"/>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Style w:val="Char10"/>
          </w:rPr>
        </w:sdtEndPr>
        <w:sdtContent>
          <w:r>
            <w:rPr>
              <w:rStyle w:val="Char10"/>
              <w:rFonts w:hint="eastAsia"/>
            </w:rPr>
            <w:t>人民币</w:t>
          </w:r>
        </w:sdtContent>
      </w:sdt>
    </w:p>
    <w:tbl>
      <w:tblPr>
        <w:tblStyle w:val="g33"/>
        <w:tblW w:w="5000" w:type="pct"/>
        <w:jc w:val="center"/>
        <w:tblInd w:w="0" w:type="dxa"/>
        <w:tblLayout w:type="fixed"/>
        <w:tblCellMar>
          <w:right w:w="28" w:type="dxa"/>
        </w:tblCellMar>
        <w:tblLook w:val="04A0" w:firstRow="1" w:lastRow="0" w:firstColumn="1" w:lastColumn="0" w:noHBand="0" w:noVBand="1"/>
      </w:tblPr>
      <w:tblGrid>
        <w:gridCol w:w="4369"/>
        <w:gridCol w:w="2135"/>
        <w:gridCol w:w="2319"/>
      </w:tblGrid>
      <w:tr w:rsidR="004A3868">
        <w:trPr>
          <w:trHeight w:val="397"/>
          <w:jc w:val="center"/>
        </w:trPr>
        <w:bookmarkEnd w:id="285" w:displacedByCustomXml="next"/>
        <w:bookmarkEnd w:id="286" w:displacedByCustomXml="next"/>
        <w:sdt>
          <w:sdtPr>
            <w:rPr>
              <w:rStyle w:val="Char10"/>
            </w:rPr>
            <w:tag w:val="_PLD_f2882777d10a4346880b6d11ab006214"/>
            <w:id w:val="1877658612"/>
            <w:lock w:val="sdtLocked"/>
          </w:sdtPr>
          <w:sdtEndPr>
            <w:rPr>
              <w:rStyle w:val="Char10"/>
            </w:rPr>
          </w:sdtEndPr>
          <w:sdtContent>
            <w:tc>
              <w:tcPr>
                <w:tcW w:w="2476" w:type="pct"/>
                <w:vAlign w:val="center"/>
              </w:tcPr>
              <w:p w:rsidR="004A3868" w:rsidRDefault="003F1AB5">
                <w:pPr>
                  <w:pStyle w:val="Style1226"/>
                  <w:rPr>
                    <w:rStyle w:val="Char10"/>
                  </w:rPr>
                </w:pPr>
                <w:r>
                  <w:rPr>
                    <w:rStyle w:val="Char10"/>
                    <w:rFonts w:hint="eastAsia"/>
                  </w:rPr>
                  <w:t>项目</w:t>
                </w:r>
              </w:p>
            </w:tc>
          </w:sdtContent>
        </w:sdt>
        <w:sdt>
          <w:sdtPr>
            <w:rPr>
              <w:rStyle w:val="Char10"/>
            </w:rPr>
            <w:tag w:val="_PLD_1f5c769dc7ea434a90d739329712e1ed"/>
            <w:id w:val="-1443363759"/>
            <w:lock w:val="sdtLocked"/>
          </w:sdtPr>
          <w:sdtEndPr>
            <w:rPr>
              <w:rStyle w:val="Char10"/>
            </w:rPr>
          </w:sdtEndPr>
          <w:sdtContent>
            <w:tc>
              <w:tcPr>
                <w:tcW w:w="1210" w:type="pct"/>
                <w:vAlign w:val="center"/>
              </w:tcPr>
              <w:p w:rsidR="004A3868" w:rsidRDefault="003F1AB5">
                <w:pPr>
                  <w:pStyle w:val="Style1226"/>
                  <w:rPr>
                    <w:rStyle w:val="Char10"/>
                  </w:rPr>
                </w:pPr>
                <w:r>
                  <w:rPr>
                    <w:rStyle w:val="Char10"/>
                    <w:rFonts w:hint="eastAsia"/>
                  </w:rPr>
                  <w:t>金额</w:t>
                </w:r>
              </w:p>
            </w:tc>
          </w:sdtContent>
        </w:sdt>
        <w:sdt>
          <w:sdtPr>
            <w:rPr>
              <w:rStyle w:val="Char10"/>
            </w:rPr>
            <w:tag w:val="_PLD_e78492b22a7c4b8aa4989eb26eb4c98c"/>
            <w:id w:val="-521631192"/>
            <w:lock w:val="sdtLocked"/>
          </w:sdtPr>
          <w:sdtEndPr>
            <w:rPr>
              <w:rStyle w:val="Char10"/>
            </w:rPr>
          </w:sdtEndPr>
          <w:sdtContent>
            <w:tc>
              <w:tcPr>
                <w:tcW w:w="1314" w:type="pct"/>
                <w:vAlign w:val="center"/>
              </w:tcPr>
              <w:p w:rsidR="004A3868" w:rsidRDefault="003F1AB5">
                <w:pPr>
                  <w:pStyle w:val="Style1226"/>
                  <w:rPr>
                    <w:rStyle w:val="Char10"/>
                  </w:rPr>
                </w:pPr>
                <w:r>
                  <w:rPr>
                    <w:rStyle w:val="Char10"/>
                    <w:rFonts w:hint="eastAsia"/>
                  </w:rPr>
                  <w:t>说明</w:t>
                </w:r>
              </w:p>
            </w:tc>
          </w:sdtContent>
        </w:sdt>
      </w:tr>
      <w:tr w:rsidR="004A3868">
        <w:trPr>
          <w:trHeight w:val="397"/>
          <w:jc w:val="center"/>
        </w:trPr>
        <w:tc>
          <w:tcPr>
            <w:tcW w:w="2476" w:type="pct"/>
            <w:vAlign w:val="center"/>
          </w:tcPr>
          <w:p w:rsidR="004A3868" w:rsidRDefault="003F1AB5">
            <w:pPr>
              <w:pStyle w:val="Style1224"/>
              <w:rPr>
                <w:rStyle w:val="Char10"/>
              </w:rPr>
            </w:pPr>
            <w:r>
              <w:rPr>
                <w:rStyle w:val="Char10"/>
              </w:rPr>
              <w:t>非流动</w:t>
            </w:r>
            <w:r>
              <w:rPr>
                <w:rStyle w:val="Char10"/>
                <w:rFonts w:hint="eastAsia"/>
              </w:rPr>
              <w:t>性</w:t>
            </w:r>
            <w:r>
              <w:rPr>
                <w:rStyle w:val="Char10"/>
              </w:rPr>
              <w:t>资产处置损益</w:t>
            </w:r>
            <w:r>
              <w:rPr>
                <w:rStyle w:val="Char10"/>
                <w:rFonts w:hint="eastAsia"/>
              </w:rPr>
              <w:t>，包括已计提资产减值准备的冲销部分</w:t>
            </w:r>
          </w:p>
        </w:tc>
        <w:tc>
          <w:tcPr>
            <w:tcW w:w="1210" w:type="pct"/>
            <w:vAlign w:val="center"/>
          </w:tcPr>
          <w:p w:rsidR="004A3868" w:rsidRDefault="003F1AB5">
            <w:pPr>
              <w:pStyle w:val="Style1222"/>
              <w:rPr>
                <w:rStyle w:val="Char10"/>
              </w:rPr>
            </w:pPr>
            <w:r>
              <w:rPr>
                <w:rStyle w:val="Char10"/>
              </w:rPr>
              <w:t xml:space="preserve"> -75.74 </w:t>
            </w:r>
          </w:p>
        </w:tc>
        <w:tc>
          <w:tcPr>
            <w:tcW w:w="1314" w:type="pct"/>
            <w:vAlign w:val="center"/>
          </w:tcPr>
          <w:p w:rsidR="004A3868" w:rsidRDefault="003F1AB5">
            <w:pPr>
              <w:pStyle w:val="Style1222"/>
              <w:rPr>
                <w:rStyle w:val="Char10"/>
              </w:rPr>
            </w:pPr>
            <w:r>
              <w:rPr>
                <w:rStyle w:val="Char10"/>
                <w:rFonts w:hint="eastAsia"/>
              </w:rPr>
              <w:t xml:space="preserve">　</w:t>
            </w:r>
          </w:p>
        </w:tc>
      </w:tr>
      <w:tr w:rsidR="004A3868">
        <w:trPr>
          <w:trHeight w:val="397"/>
          <w:jc w:val="center"/>
        </w:trPr>
        <w:tc>
          <w:tcPr>
            <w:tcW w:w="2476" w:type="pct"/>
            <w:vAlign w:val="center"/>
          </w:tcPr>
          <w:p w:rsidR="004A3868" w:rsidRDefault="003F1AB5">
            <w:pPr>
              <w:pStyle w:val="Style1224"/>
              <w:rPr>
                <w:rStyle w:val="Char10"/>
              </w:rPr>
            </w:pPr>
            <w:r>
              <w:rPr>
                <w:rStyle w:val="Char10"/>
              </w:rPr>
              <w:t>计入当期损益的政府补助</w:t>
            </w:r>
            <w:r>
              <w:rPr>
                <w:rStyle w:val="Char10"/>
                <w:rFonts w:hint="eastAsia"/>
              </w:rPr>
              <w:t>，但与公司正常经营业务密切相关、符合国家政策规定、按照确定的标准享有、对公司损益产生持续影响的政府补助除外</w:t>
            </w:r>
          </w:p>
        </w:tc>
        <w:tc>
          <w:tcPr>
            <w:tcW w:w="1210" w:type="pct"/>
            <w:vAlign w:val="center"/>
          </w:tcPr>
          <w:p w:rsidR="004A3868" w:rsidRDefault="003F1AB5">
            <w:pPr>
              <w:pStyle w:val="Style1222"/>
              <w:rPr>
                <w:rStyle w:val="Char10"/>
              </w:rPr>
            </w:pPr>
            <w:r>
              <w:rPr>
                <w:rStyle w:val="Char10"/>
              </w:rPr>
              <w:t xml:space="preserve"> 1,169.12 </w:t>
            </w:r>
          </w:p>
        </w:tc>
        <w:tc>
          <w:tcPr>
            <w:tcW w:w="1314" w:type="pct"/>
            <w:vAlign w:val="center"/>
          </w:tcPr>
          <w:p w:rsidR="004A3868" w:rsidRDefault="003F1AB5">
            <w:pPr>
              <w:pStyle w:val="Style1222"/>
              <w:rPr>
                <w:rStyle w:val="Char10"/>
              </w:rPr>
            </w:pPr>
            <w:r>
              <w:rPr>
                <w:rStyle w:val="Char10"/>
                <w:rFonts w:hint="eastAsia"/>
              </w:rPr>
              <w:t xml:space="preserve">　</w:t>
            </w:r>
          </w:p>
        </w:tc>
      </w:tr>
      <w:tr w:rsidR="004A3868">
        <w:trPr>
          <w:trHeight w:val="397"/>
          <w:jc w:val="center"/>
        </w:trPr>
        <w:tc>
          <w:tcPr>
            <w:tcW w:w="2476" w:type="pct"/>
            <w:vAlign w:val="center"/>
          </w:tcPr>
          <w:p w:rsidR="004A3868" w:rsidRDefault="003F1AB5">
            <w:pPr>
              <w:pStyle w:val="Style1224"/>
              <w:rPr>
                <w:rStyle w:val="Char10"/>
              </w:rPr>
            </w:pPr>
            <w:r>
              <w:rPr>
                <w:rStyle w:val="Char10"/>
                <w:rFonts w:hint="eastAsia"/>
              </w:rPr>
              <w:t>除同公司正常经营业务相关的有效套期保值业务外，</w:t>
            </w:r>
            <w:r>
              <w:rPr>
                <w:rStyle w:val="Char10"/>
              </w:rPr>
              <w:t>非金融企业持有金融资产和金融负债产生的公允价值变动损益以及处置金融资产和金融负债产生的损益</w:t>
            </w:r>
          </w:p>
        </w:tc>
        <w:tc>
          <w:tcPr>
            <w:tcW w:w="1210" w:type="pct"/>
            <w:vAlign w:val="center"/>
          </w:tcPr>
          <w:p w:rsidR="004A3868" w:rsidRDefault="003F1AB5">
            <w:pPr>
              <w:pStyle w:val="Style1222"/>
              <w:rPr>
                <w:rStyle w:val="Char10"/>
              </w:rPr>
            </w:pPr>
            <w:r>
              <w:rPr>
                <w:rStyle w:val="Char10"/>
              </w:rPr>
              <w:t xml:space="preserve"> 8.04 </w:t>
            </w:r>
          </w:p>
        </w:tc>
        <w:tc>
          <w:tcPr>
            <w:tcW w:w="1314" w:type="pct"/>
            <w:vAlign w:val="center"/>
          </w:tcPr>
          <w:p w:rsidR="004A3868" w:rsidRDefault="003F1AB5">
            <w:pPr>
              <w:pStyle w:val="Style1222"/>
              <w:rPr>
                <w:rStyle w:val="Char10"/>
              </w:rPr>
            </w:pPr>
            <w:r>
              <w:rPr>
                <w:rStyle w:val="Char10"/>
                <w:rFonts w:hint="eastAsia"/>
              </w:rPr>
              <w:t xml:space="preserve">　</w:t>
            </w:r>
          </w:p>
        </w:tc>
      </w:tr>
      <w:tr w:rsidR="004A3868">
        <w:trPr>
          <w:trHeight w:val="397"/>
          <w:jc w:val="center"/>
        </w:trPr>
        <w:tc>
          <w:tcPr>
            <w:tcW w:w="2476" w:type="pct"/>
            <w:vAlign w:val="center"/>
          </w:tcPr>
          <w:p w:rsidR="004A3868" w:rsidRDefault="003F1AB5">
            <w:pPr>
              <w:pStyle w:val="Style1224"/>
              <w:rPr>
                <w:rStyle w:val="Char10"/>
              </w:rPr>
            </w:pPr>
            <w:r>
              <w:rPr>
                <w:rStyle w:val="Char10"/>
                <w:rFonts w:hint="eastAsia"/>
              </w:rPr>
              <w:t>单独进行减值测试的应收款项减值准备转回</w:t>
            </w:r>
          </w:p>
        </w:tc>
        <w:tc>
          <w:tcPr>
            <w:tcW w:w="1210" w:type="pct"/>
            <w:vAlign w:val="center"/>
          </w:tcPr>
          <w:p w:rsidR="004A3868" w:rsidRDefault="003F1AB5">
            <w:pPr>
              <w:pStyle w:val="Style1222"/>
              <w:rPr>
                <w:rStyle w:val="Char10"/>
              </w:rPr>
            </w:pPr>
            <w:r>
              <w:rPr>
                <w:rStyle w:val="Char10"/>
              </w:rPr>
              <w:t xml:space="preserve"> 304.35 </w:t>
            </w:r>
          </w:p>
        </w:tc>
        <w:tc>
          <w:tcPr>
            <w:tcW w:w="1314" w:type="pct"/>
            <w:vAlign w:val="center"/>
          </w:tcPr>
          <w:p w:rsidR="004A3868" w:rsidRDefault="003F1AB5">
            <w:pPr>
              <w:pStyle w:val="Style1222"/>
              <w:rPr>
                <w:rStyle w:val="Char10"/>
              </w:rPr>
            </w:pPr>
            <w:r>
              <w:rPr>
                <w:rStyle w:val="Char10"/>
                <w:rFonts w:hint="eastAsia"/>
              </w:rPr>
              <w:t xml:space="preserve">　</w:t>
            </w:r>
          </w:p>
        </w:tc>
      </w:tr>
      <w:tr w:rsidR="004A3868">
        <w:trPr>
          <w:trHeight w:val="397"/>
          <w:jc w:val="center"/>
        </w:trPr>
        <w:tc>
          <w:tcPr>
            <w:tcW w:w="2476" w:type="pct"/>
            <w:vAlign w:val="center"/>
          </w:tcPr>
          <w:p w:rsidR="004A3868" w:rsidRDefault="003F1AB5">
            <w:pPr>
              <w:pStyle w:val="Style1224"/>
              <w:rPr>
                <w:rStyle w:val="Char10"/>
              </w:rPr>
            </w:pPr>
            <w:r>
              <w:rPr>
                <w:rStyle w:val="Char10"/>
              </w:rPr>
              <w:t>除上述各项之外的其他营业外收入和支出</w:t>
            </w:r>
          </w:p>
        </w:tc>
        <w:tc>
          <w:tcPr>
            <w:tcW w:w="1210" w:type="pct"/>
            <w:vAlign w:val="center"/>
          </w:tcPr>
          <w:p w:rsidR="004A3868" w:rsidRDefault="003F1AB5">
            <w:pPr>
              <w:pStyle w:val="Style1222"/>
              <w:rPr>
                <w:rStyle w:val="Char10"/>
              </w:rPr>
            </w:pPr>
            <w:r>
              <w:rPr>
                <w:rStyle w:val="Char10"/>
              </w:rPr>
              <w:t xml:space="preserve"> -278.03 </w:t>
            </w:r>
          </w:p>
        </w:tc>
        <w:tc>
          <w:tcPr>
            <w:tcW w:w="1314" w:type="pct"/>
            <w:vAlign w:val="center"/>
          </w:tcPr>
          <w:p w:rsidR="004A3868" w:rsidRDefault="003F1AB5">
            <w:pPr>
              <w:pStyle w:val="Style1222"/>
              <w:rPr>
                <w:rStyle w:val="Char10"/>
              </w:rPr>
            </w:pPr>
            <w:r>
              <w:rPr>
                <w:rStyle w:val="Char10"/>
                <w:rFonts w:hint="eastAsia"/>
              </w:rPr>
              <w:t xml:space="preserve">　</w:t>
            </w:r>
          </w:p>
        </w:tc>
      </w:tr>
      <w:tr w:rsidR="004A3868">
        <w:trPr>
          <w:trHeight w:val="397"/>
          <w:jc w:val="center"/>
        </w:trPr>
        <w:tc>
          <w:tcPr>
            <w:tcW w:w="2476" w:type="pct"/>
            <w:vAlign w:val="center"/>
          </w:tcPr>
          <w:p w:rsidR="004A3868" w:rsidRDefault="003F1AB5">
            <w:pPr>
              <w:pStyle w:val="Style1224"/>
              <w:rPr>
                <w:rStyle w:val="Char10"/>
              </w:rPr>
            </w:pPr>
            <w:r>
              <w:rPr>
                <w:rStyle w:val="Char10"/>
              </w:rPr>
              <w:t>其他符合非经常性损益定义的损益项目</w:t>
            </w:r>
          </w:p>
        </w:tc>
        <w:tc>
          <w:tcPr>
            <w:tcW w:w="1210" w:type="pct"/>
            <w:vAlign w:val="center"/>
          </w:tcPr>
          <w:p w:rsidR="004A3868" w:rsidRDefault="003F1AB5">
            <w:pPr>
              <w:pStyle w:val="Style1222"/>
              <w:rPr>
                <w:rStyle w:val="Char10"/>
              </w:rPr>
            </w:pPr>
            <w:r>
              <w:rPr>
                <w:rStyle w:val="Char10"/>
              </w:rPr>
              <w:t xml:space="preserve">9.00 </w:t>
            </w:r>
          </w:p>
        </w:tc>
        <w:tc>
          <w:tcPr>
            <w:tcW w:w="1314" w:type="pct"/>
            <w:vAlign w:val="center"/>
          </w:tcPr>
          <w:p w:rsidR="004A3868" w:rsidRDefault="003F1AB5">
            <w:pPr>
              <w:pStyle w:val="Style1222"/>
              <w:rPr>
                <w:rStyle w:val="Char10"/>
              </w:rPr>
            </w:pPr>
            <w:r>
              <w:rPr>
                <w:rStyle w:val="Char10"/>
                <w:rFonts w:hint="eastAsia"/>
              </w:rPr>
              <w:t xml:space="preserve">　</w:t>
            </w:r>
          </w:p>
        </w:tc>
      </w:tr>
      <w:tr w:rsidR="004A3868">
        <w:trPr>
          <w:trHeight w:val="397"/>
          <w:jc w:val="center"/>
        </w:trPr>
        <w:tc>
          <w:tcPr>
            <w:tcW w:w="2476" w:type="pct"/>
            <w:vAlign w:val="center"/>
          </w:tcPr>
          <w:p w:rsidR="004A3868" w:rsidRDefault="003F1AB5">
            <w:pPr>
              <w:pStyle w:val="Style1224"/>
              <w:rPr>
                <w:rStyle w:val="Char10"/>
              </w:rPr>
            </w:pPr>
            <w:r>
              <w:rPr>
                <w:rStyle w:val="Char10"/>
                <w:rFonts w:hint="eastAsia"/>
              </w:rPr>
              <w:t>减：</w:t>
            </w:r>
            <w:r>
              <w:rPr>
                <w:rStyle w:val="Char10"/>
              </w:rPr>
              <w:t>所得税影响额</w:t>
            </w:r>
          </w:p>
        </w:tc>
        <w:tc>
          <w:tcPr>
            <w:tcW w:w="1210" w:type="pct"/>
            <w:vAlign w:val="center"/>
          </w:tcPr>
          <w:p w:rsidR="004A3868" w:rsidRDefault="003F1AB5">
            <w:pPr>
              <w:pStyle w:val="Style1222"/>
              <w:rPr>
                <w:rStyle w:val="Char10"/>
              </w:rPr>
            </w:pPr>
            <w:r>
              <w:rPr>
                <w:rStyle w:val="Char10"/>
              </w:rPr>
              <w:t xml:space="preserve">165.65 </w:t>
            </w:r>
          </w:p>
        </w:tc>
        <w:tc>
          <w:tcPr>
            <w:tcW w:w="1314" w:type="pct"/>
            <w:vAlign w:val="center"/>
          </w:tcPr>
          <w:p w:rsidR="004A3868" w:rsidRDefault="003F1AB5">
            <w:pPr>
              <w:pStyle w:val="Style1222"/>
              <w:rPr>
                <w:rStyle w:val="Char10"/>
              </w:rPr>
            </w:pPr>
            <w:r>
              <w:rPr>
                <w:rStyle w:val="Char10"/>
                <w:rFonts w:hint="eastAsia"/>
              </w:rPr>
              <w:t xml:space="preserve">　</w:t>
            </w:r>
          </w:p>
        </w:tc>
      </w:tr>
      <w:tr w:rsidR="004A3868">
        <w:trPr>
          <w:trHeight w:val="397"/>
          <w:jc w:val="center"/>
        </w:trPr>
        <w:tc>
          <w:tcPr>
            <w:tcW w:w="2476" w:type="pct"/>
            <w:vAlign w:val="center"/>
          </w:tcPr>
          <w:p w:rsidR="004A3868" w:rsidRDefault="003F1AB5">
            <w:pPr>
              <w:pStyle w:val="Style1224"/>
              <w:rPr>
                <w:rStyle w:val="Char10"/>
              </w:rPr>
            </w:pPr>
            <w:r>
              <w:rPr>
                <w:rStyle w:val="Char10"/>
              </w:rPr>
              <w:t>少数股东权益影响额</w:t>
            </w:r>
            <w:r>
              <w:rPr>
                <w:rStyle w:val="Char10"/>
                <w:rFonts w:hint="eastAsia"/>
              </w:rPr>
              <w:t>（税后）</w:t>
            </w:r>
          </w:p>
        </w:tc>
        <w:tc>
          <w:tcPr>
            <w:tcW w:w="1210" w:type="pct"/>
            <w:vAlign w:val="center"/>
          </w:tcPr>
          <w:p w:rsidR="004A3868" w:rsidRDefault="003F1AB5">
            <w:pPr>
              <w:pStyle w:val="Style1222"/>
              <w:rPr>
                <w:rStyle w:val="Char10"/>
              </w:rPr>
            </w:pPr>
            <w:r>
              <w:rPr>
                <w:rStyle w:val="Char10"/>
              </w:rPr>
              <w:t xml:space="preserve"> 25.03 </w:t>
            </w:r>
          </w:p>
        </w:tc>
        <w:tc>
          <w:tcPr>
            <w:tcW w:w="1314" w:type="pct"/>
            <w:vAlign w:val="center"/>
          </w:tcPr>
          <w:p w:rsidR="004A3868" w:rsidRDefault="003F1AB5">
            <w:pPr>
              <w:pStyle w:val="Style1222"/>
              <w:rPr>
                <w:rStyle w:val="Char10"/>
              </w:rPr>
            </w:pPr>
            <w:r>
              <w:rPr>
                <w:rStyle w:val="Char10"/>
                <w:rFonts w:hint="eastAsia"/>
              </w:rPr>
              <w:t xml:space="preserve">　</w:t>
            </w:r>
          </w:p>
        </w:tc>
      </w:tr>
      <w:tr w:rsidR="004A3868">
        <w:trPr>
          <w:trHeight w:val="397"/>
          <w:jc w:val="center"/>
        </w:trPr>
        <w:tc>
          <w:tcPr>
            <w:tcW w:w="2476" w:type="pct"/>
            <w:vAlign w:val="center"/>
          </w:tcPr>
          <w:p w:rsidR="004A3868" w:rsidRDefault="003F1AB5">
            <w:pPr>
              <w:pStyle w:val="Style1224"/>
              <w:rPr>
                <w:rStyle w:val="Char10"/>
              </w:rPr>
            </w:pPr>
            <w:r>
              <w:rPr>
                <w:rStyle w:val="Char10"/>
              </w:rPr>
              <w:t>合计</w:t>
            </w:r>
          </w:p>
        </w:tc>
        <w:tc>
          <w:tcPr>
            <w:tcW w:w="1210" w:type="pct"/>
            <w:vAlign w:val="center"/>
          </w:tcPr>
          <w:p w:rsidR="004A3868" w:rsidRDefault="003F1AB5">
            <w:pPr>
              <w:pStyle w:val="Style1222"/>
              <w:rPr>
                <w:rStyle w:val="Char10"/>
              </w:rPr>
            </w:pPr>
            <w:r>
              <w:rPr>
                <w:rStyle w:val="Char10"/>
              </w:rPr>
              <w:t xml:space="preserve">946.05 </w:t>
            </w:r>
          </w:p>
        </w:tc>
        <w:tc>
          <w:tcPr>
            <w:tcW w:w="1314" w:type="pct"/>
            <w:vAlign w:val="center"/>
          </w:tcPr>
          <w:p w:rsidR="004A3868" w:rsidRDefault="003F1AB5">
            <w:pPr>
              <w:pStyle w:val="Style1222"/>
              <w:rPr>
                <w:rStyle w:val="Char10"/>
              </w:rPr>
            </w:pPr>
            <w:r>
              <w:rPr>
                <w:rStyle w:val="Char10"/>
                <w:rFonts w:hint="eastAsia"/>
              </w:rPr>
              <w:t xml:space="preserve">　</w:t>
            </w:r>
          </w:p>
        </w:tc>
      </w:tr>
    </w:tbl>
    <w:p w:rsidR="004A3868" w:rsidRDefault="004A3868">
      <w:pPr>
        <w:pStyle w:val="Style853"/>
      </w:pPr>
    </w:p>
    <w:p w:rsidR="004A3868" w:rsidRDefault="003F1AB5">
      <w:pPr>
        <w:pStyle w:val="Style1215"/>
      </w:pPr>
      <w:r>
        <w:rPr>
          <w:rFonts w:hint="eastAsia"/>
        </w:rPr>
        <w:t>对公司将《公开发行证券的公司信息披露解释性公告第</w:t>
      </w:r>
      <w:r>
        <w:t>1号——非经常性损益》未列举的项目认定为的非经常性损益项目且金额重大的，以及将《公开发行证券的公司信息披露解释性公告</w:t>
      </w:r>
      <w:r>
        <w:lastRenderedPageBreak/>
        <w:t>第1号——非经常性损益》中列举的非经常性损益项目界定为经常性损益的项目，应说明原因。</w:t>
      </w:r>
    </w:p>
    <w:bookmarkStart w:id="287" w:name="_Hlk154752626" w:displacedByCustomXml="next"/>
    <w:sdt>
      <w:sdtPr>
        <w:alias w:val="是否适用：将非经常性损益项目界定为经常性损益项目[双击切换]"/>
        <w:tag w:val="_GBC_a967cba183d54f83a4f652d6d31302c3"/>
        <w:id w:val="2041393443"/>
        <w:lock w:val="sdtLocked"/>
        <w:placeholder>
          <w:docPart w:val="GBC22222222222222222222222222222"/>
        </w:placeholder>
      </w:sdtPr>
      <w:sdtEndPr>
        <w:rPr>
          <w:rStyle w:val="Char10"/>
          <w:rFonts w:ascii="Times New Roman" w:hAnsi="Times New Roman"/>
          <w:kern w:val="2"/>
          <w:sz w:val="21"/>
          <w:szCs w:val="21"/>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842"/>
        <w:rPr>
          <w:rStyle w:val="Char10"/>
        </w:rPr>
      </w:pPr>
      <w:r>
        <w:rPr>
          <w:rStyle w:val="Char10"/>
          <w:rFonts w:hint="eastAsia"/>
        </w:rPr>
        <w:t>其他说明</w:t>
      </w:r>
    </w:p>
    <w:sdt>
      <w:sdtPr>
        <w:rPr>
          <w:rStyle w:val="Char10"/>
        </w:rPr>
        <w:alias w:val="是否适用：非经常性损益的其他说明[双击切换]"/>
        <w:tag w:val="_GBC_02aa469151f448ef8b478dba20a7d811"/>
        <w:id w:val="1869031121"/>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33"/>
        </w:numPr>
        <w:spacing w:before="120"/>
        <w:rPr>
          <w:rStyle w:val="Char10"/>
        </w:rPr>
      </w:pPr>
      <w:r>
        <w:rPr>
          <w:rStyle w:val="Char10"/>
          <w:rFonts w:hint="eastAsia"/>
        </w:rPr>
        <w:t>净资产收益率及每股收益</w:t>
      </w:r>
    </w:p>
    <w:bookmarkEnd w:id="287" w:displacedByCustomXml="next"/>
    <w:sdt>
      <w:sdtPr>
        <w:rPr>
          <w:rStyle w:val="Char10"/>
        </w:rPr>
        <w:alias w:val="是否适用：净资产收益率及每股收益[双击切换]"/>
        <w:tag w:val="_GBC_c0f530bdf9ee48239f470eda08b303d7"/>
        <w:id w:val="1621875865"/>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Fonts w:hint="eastAsia"/>
            </w:rPr>
            <w:instrText xml:space="preserve">MACROBUTTON  SnrToggleCheckbox </w:instrText>
          </w:r>
          <w:r>
            <w:rPr>
              <w:rStyle w:val="Char10"/>
              <w:rFonts w:hint="eastAsia"/>
            </w:rPr>
            <w:instrText>√适用</w:instrText>
          </w:r>
          <w:r>
            <w:rPr>
              <w:rStyle w:val="Char10"/>
              <w:rFonts w:hint="eastAsia"/>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tbl>
      <w:tblPr>
        <w:tblStyle w:val="g31"/>
        <w:tblW w:w="5000" w:type="pct"/>
        <w:jc w:val="center"/>
        <w:tblInd w:w="0" w:type="dxa"/>
        <w:tblBorders>
          <w:top w:val="single" w:sz="4" w:space="0" w:color="auto"/>
          <w:left w:val="single" w:sz="4" w:space="0" w:color="auto"/>
          <w:bottom w:val="single" w:sz="4" w:space="0" w:color="auto"/>
          <w:right w:val="single" w:sz="4" w:space="0" w:color="auto"/>
        </w:tblBorders>
        <w:tblLayout w:type="fixed"/>
        <w:tblCellMar>
          <w:left w:w="0" w:type="dxa"/>
          <w:right w:w="28" w:type="dxa"/>
        </w:tblCellMar>
        <w:tblLook w:val="04A0" w:firstRow="1" w:lastRow="0" w:firstColumn="1" w:lastColumn="0" w:noHBand="0" w:noVBand="1"/>
      </w:tblPr>
      <w:tblGrid>
        <w:gridCol w:w="2840"/>
        <w:gridCol w:w="1795"/>
        <w:gridCol w:w="2093"/>
        <w:gridCol w:w="2095"/>
      </w:tblGrid>
      <w:tr w:rsidR="004A3868">
        <w:trPr>
          <w:trHeight w:val="397"/>
          <w:jc w:val="center"/>
        </w:trPr>
        <w:sdt>
          <w:sdtPr>
            <w:rPr>
              <w:rStyle w:val="Char10"/>
            </w:rPr>
            <w:tag w:val="_PLD_85d9a7abc9cd45768b2b5f99afa4a4ef"/>
            <w:id w:val="834574715"/>
          </w:sdtPr>
          <w:sdtEndPr>
            <w:rPr>
              <w:rStyle w:val="Char10"/>
            </w:rPr>
          </w:sdtEndPr>
          <w:sdtContent>
            <w:tc>
              <w:tcPr>
                <w:tcW w:w="1609" w:type="pct"/>
                <w:vMerge w:val="restar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报告期利润</w:t>
                </w:r>
              </w:p>
            </w:tc>
          </w:sdtContent>
        </w:sdt>
        <w:sdt>
          <w:sdtPr>
            <w:rPr>
              <w:rStyle w:val="Char10"/>
            </w:rPr>
            <w:tag w:val="_PLD_7f5ad103cbb04f7d904001b07266bf41"/>
            <w:id w:val="1904105783"/>
          </w:sdtPr>
          <w:sdtEndPr>
            <w:rPr>
              <w:rStyle w:val="Char10"/>
            </w:rPr>
          </w:sdtEndPr>
          <w:sdtContent>
            <w:tc>
              <w:tcPr>
                <w:tcW w:w="1017" w:type="pct"/>
                <w:vMerge w:val="restart"/>
                <w:tcBorders>
                  <w:top w:val="single" w:sz="4" w:space="0" w:color="auto"/>
                  <w:left w:val="single" w:sz="4" w:space="0" w:color="auto"/>
                  <w:right w:val="single" w:sz="4" w:space="0" w:color="auto"/>
                </w:tcBorders>
                <w:vAlign w:val="center"/>
              </w:tcPr>
              <w:p w:rsidR="004A3868" w:rsidRDefault="003F1AB5">
                <w:pPr>
                  <w:pStyle w:val="Style1226"/>
                  <w:rPr>
                    <w:rStyle w:val="Char10"/>
                  </w:rPr>
                </w:pPr>
                <w:r>
                  <w:rPr>
                    <w:rStyle w:val="Char10"/>
                  </w:rPr>
                  <w:t>加权平均净资产收益率（</w:t>
                </w:r>
                <w:r>
                  <w:rPr>
                    <w:rStyle w:val="Char10"/>
                  </w:rPr>
                  <w:t>%</w:t>
                </w:r>
                <w:r>
                  <w:rPr>
                    <w:rStyle w:val="Char10"/>
                  </w:rPr>
                  <w:t>）</w:t>
                </w:r>
              </w:p>
            </w:tc>
          </w:sdtContent>
        </w:sdt>
        <w:sdt>
          <w:sdtPr>
            <w:rPr>
              <w:rStyle w:val="Char10"/>
            </w:rPr>
            <w:tag w:val="_PLD_adaa515ff68f455d8bcd75e516da3040"/>
            <w:id w:val="-148061136"/>
          </w:sdtPr>
          <w:sdtEndPr>
            <w:rPr>
              <w:rStyle w:val="Char10"/>
            </w:r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每股收益</w:t>
                </w:r>
              </w:p>
            </w:tc>
          </w:sdtContent>
        </w:sdt>
      </w:tr>
      <w:tr w:rsidR="004A3868">
        <w:trPr>
          <w:trHeight w:val="397"/>
          <w:jc w:val="center"/>
        </w:trPr>
        <w:tc>
          <w:tcPr>
            <w:tcW w:w="1609" w:type="pct"/>
            <w:vMerge/>
            <w:tcBorders>
              <w:top w:val="single" w:sz="4" w:space="0" w:color="auto"/>
              <w:left w:val="single" w:sz="4" w:space="0" w:color="auto"/>
              <w:bottom w:val="single" w:sz="4" w:space="0" w:color="auto"/>
              <w:right w:val="single" w:sz="4" w:space="0" w:color="auto"/>
            </w:tcBorders>
            <w:vAlign w:val="center"/>
          </w:tcPr>
          <w:p w:rsidR="004A3868" w:rsidRDefault="004A3868">
            <w:pPr>
              <w:pStyle w:val="Style1226"/>
              <w:rPr>
                <w:rStyle w:val="Char10"/>
              </w:rPr>
            </w:pPr>
          </w:p>
        </w:tc>
        <w:tc>
          <w:tcPr>
            <w:tcW w:w="1017" w:type="pct"/>
            <w:vMerge/>
            <w:tcBorders>
              <w:left w:val="single" w:sz="4" w:space="0" w:color="auto"/>
              <w:bottom w:val="single" w:sz="4" w:space="0" w:color="auto"/>
              <w:right w:val="single" w:sz="4" w:space="0" w:color="auto"/>
            </w:tcBorders>
            <w:vAlign w:val="center"/>
          </w:tcPr>
          <w:p w:rsidR="004A3868" w:rsidRDefault="004A3868">
            <w:pPr>
              <w:pStyle w:val="Style1226"/>
              <w:rPr>
                <w:rStyle w:val="Char10"/>
              </w:rPr>
            </w:pPr>
          </w:p>
        </w:tc>
        <w:sdt>
          <w:sdtPr>
            <w:rPr>
              <w:rStyle w:val="Char10"/>
            </w:rPr>
            <w:tag w:val="_PLD_503a9e353572491fb64751c75881b5ac"/>
            <w:id w:val="-1171948687"/>
          </w:sdtPr>
          <w:sdtEndPr>
            <w:rPr>
              <w:rStyle w:val="Char10"/>
            </w:r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基本每股收益</w:t>
                </w:r>
              </w:p>
            </w:tc>
          </w:sdtContent>
        </w:sdt>
        <w:sdt>
          <w:sdtPr>
            <w:rPr>
              <w:rStyle w:val="Char10"/>
            </w:rPr>
            <w:tag w:val="_PLD_b57959d0e3714f2590eb4529892e5c18"/>
            <w:id w:val="-248276093"/>
          </w:sdtPr>
          <w:sdtEndPr>
            <w:rPr>
              <w:rStyle w:val="Char10"/>
            </w:r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6"/>
                  <w:rPr>
                    <w:rStyle w:val="Char10"/>
                  </w:rPr>
                </w:pPr>
                <w:r>
                  <w:rPr>
                    <w:rStyle w:val="Char10"/>
                  </w:rPr>
                  <w:t>稀释每股收益</w:t>
                </w:r>
              </w:p>
            </w:tc>
          </w:sdtContent>
        </w:sdt>
      </w:tr>
      <w:tr w:rsidR="004A3868">
        <w:trPr>
          <w:trHeight w:val="397"/>
          <w:jc w:val="center"/>
        </w:trPr>
        <w:tc>
          <w:tcPr>
            <w:tcW w:w="1609" w:type="pct"/>
            <w:tcBorders>
              <w:top w:val="single" w:sz="4" w:space="0" w:color="auto"/>
              <w:left w:val="single" w:sz="4" w:space="0" w:color="auto"/>
              <w:bottom w:val="single" w:sz="4" w:space="0" w:color="auto"/>
              <w:right w:val="single" w:sz="4" w:space="0" w:color="auto"/>
            </w:tcBorders>
          </w:tcPr>
          <w:p w:rsidR="004A3868" w:rsidRDefault="003F1AB5">
            <w:pPr>
              <w:pStyle w:val="Style1224"/>
              <w:rPr>
                <w:rStyle w:val="Char10"/>
              </w:rPr>
            </w:pPr>
            <w:r>
              <w:rPr>
                <w:rStyle w:val="Char10"/>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10.02</w:t>
            </w:r>
          </w:p>
        </w:tc>
        <w:tc>
          <w:tcPr>
            <w:tcW w:w="11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0.70</w:t>
            </w:r>
          </w:p>
        </w:tc>
        <w:tc>
          <w:tcPr>
            <w:tcW w:w="11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0.70</w:t>
            </w:r>
          </w:p>
        </w:tc>
      </w:tr>
      <w:tr w:rsidR="004A3868">
        <w:trPr>
          <w:trHeight w:val="397"/>
          <w:jc w:val="center"/>
        </w:trPr>
        <w:tc>
          <w:tcPr>
            <w:tcW w:w="1609" w:type="pct"/>
            <w:tcBorders>
              <w:top w:val="single" w:sz="4" w:space="0" w:color="auto"/>
              <w:left w:val="single" w:sz="4" w:space="0" w:color="auto"/>
              <w:bottom w:val="single" w:sz="4" w:space="0" w:color="auto"/>
              <w:right w:val="single" w:sz="4" w:space="0" w:color="auto"/>
            </w:tcBorders>
          </w:tcPr>
          <w:p w:rsidR="004A3868" w:rsidRDefault="003F1AB5">
            <w:pPr>
              <w:pStyle w:val="Style1224"/>
              <w:rPr>
                <w:rStyle w:val="Char10"/>
              </w:rPr>
            </w:pPr>
            <w:r>
              <w:rPr>
                <w:rStyle w:val="Char10"/>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9.62</w:t>
            </w:r>
          </w:p>
        </w:tc>
        <w:tc>
          <w:tcPr>
            <w:tcW w:w="1186"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0.68</w:t>
            </w:r>
          </w:p>
        </w:tc>
        <w:tc>
          <w:tcPr>
            <w:tcW w:w="1187" w:type="pct"/>
            <w:tcBorders>
              <w:top w:val="single" w:sz="4" w:space="0" w:color="auto"/>
              <w:left w:val="single" w:sz="4" w:space="0" w:color="auto"/>
              <w:bottom w:val="single" w:sz="4" w:space="0" w:color="auto"/>
              <w:right w:val="single" w:sz="4" w:space="0" w:color="auto"/>
            </w:tcBorders>
            <w:vAlign w:val="center"/>
          </w:tcPr>
          <w:p w:rsidR="004A3868" w:rsidRDefault="003F1AB5">
            <w:pPr>
              <w:pStyle w:val="Style1222"/>
              <w:rPr>
                <w:rStyle w:val="Char10"/>
              </w:rPr>
            </w:pPr>
            <w:r>
              <w:rPr>
                <w:rStyle w:val="Char10"/>
              </w:rPr>
              <w:t>0.68</w:t>
            </w:r>
          </w:p>
        </w:tc>
      </w:tr>
    </w:tbl>
    <w:p w:rsidR="004A3868" w:rsidRDefault="004A3868">
      <w:pPr>
        <w:pStyle w:val="Style842"/>
        <w:rPr>
          <w:rStyle w:val="Char10"/>
        </w:rPr>
      </w:pPr>
    </w:p>
    <w:p w:rsidR="004A3868" w:rsidRDefault="003F1AB5">
      <w:pPr>
        <w:pStyle w:val="Style955"/>
        <w:numPr>
          <w:ilvl w:val="0"/>
          <w:numId w:val="133"/>
        </w:numPr>
        <w:spacing w:before="120"/>
        <w:rPr>
          <w:rStyle w:val="Char10"/>
        </w:rPr>
      </w:pPr>
      <w:r>
        <w:rPr>
          <w:rStyle w:val="Char10"/>
          <w:rFonts w:hint="eastAsia"/>
        </w:rPr>
        <w:t>境内外会计准则下会计数据差异</w:t>
      </w:r>
    </w:p>
    <w:sdt>
      <w:sdtPr>
        <w:rPr>
          <w:rStyle w:val="Char10"/>
        </w:rPr>
        <w:alias w:val="是否适用：境内外会计准则下会计数据差异[双击切换]"/>
        <w:tag w:val="_GBC_256af937a96e4869ba07cb19341957bb"/>
        <w:id w:val="1543860623"/>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1152"/>
        <w:rPr>
          <w:rStyle w:val="Char10"/>
        </w:rPr>
      </w:pPr>
      <w:r>
        <w:rPr>
          <w:rStyle w:val="Char10"/>
          <w:rFonts w:hint="eastAsia"/>
        </w:rPr>
        <w:t>同时按照国际会计准则与按中国会计准则披露的财务报告中净利润和净资产差异情况</w:t>
      </w:r>
    </w:p>
    <w:sdt>
      <w:sdtPr>
        <w:rPr>
          <w:rStyle w:val="Char10"/>
          <w:rFonts w:hint="eastAsia"/>
        </w:rPr>
        <w:alias w:val="是否适用：同时按照国际会计准则与按中国会计准则披露的财务报告中净利润和净资产差异情况[双击切换]"/>
        <w:tag w:val="_GBC_d4b99094c68c4643b25e25a564d131d1"/>
        <w:id w:val="-530491550"/>
        <w:lock w:val="sdtLocked"/>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1152"/>
        <w:rPr>
          <w:rStyle w:val="Char10"/>
        </w:rPr>
      </w:pPr>
      <w:r>
        <w:rPr>
          <w:rStyle w:val="Char10"/>
          <w:rFonts w:hint="eastAsia"/>
        </w:rPr>
        <w:t>同时按照境外会计准则与按中国会计准则披露的财务报告中净利润和净资产差异情况</w:t>
      </w:r>
    </w:p>
    <w:sdt>
      <w:sdtPr>
        <w:rPr>
          <w:rStyle w:val="Char10"/>
        </w:rPr>
        <w:alias w:val="是否适用：同时按照境外会计准则与按中国会计准则披露的财务报告中净利润和净资产差异情况[双击切换]"/>
        <w:tag w:val="_GBC_843a3e6ff7b04c838cebdbe1b6b920a2"/>
        <w:id w:val="-1463185496"/>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1152"/>
        <w:rPr>
          <w:rStyle w:val="Char10"/>
        </w:rPr>
      </w:pPr>
      <w:r>
        <w:rPr>
          <w:rStyle w:val="Char10"/>
          <w:rFonts w:hint="eastAsia"/>
        </w:rPr>
        <w:t>境内外会计准则下会计数据差异说明，对已经境外审计机构审计的数据进行差异调节的，应注明该境外机构的名称</w:t>
      </w:r>
    </w:p>
    <w:sdt>
      <w:sdtPr>
        <w:rPr>
          <w:rStyle w:val="Char10"/>
          <w:rFonts w:hint="eastAsia"/>
        </w:rPr>
        <w:alias w:val="是否适用：境内外会计准则下会计数据差异说明[双击切换]"/>
        <w:tag w:val="_GBC_a497ab3028c94c17bbc010bcee842739"/>
        <w:id w:val="-1875462379"/>
        <w:lock w:val="sdtLocked"/>
        <w:placeholder>
          <w:docPart w:val="GBC22222222222222222222222222222"/>
        </w:placeholder>
      </w:sdtPr>
      <w:sdtEndPr>
        <w:rPr>
          <w:rStyle w:val="Char10"/>
        </w:rPr>
      </w:sdtEndPr>
      <w:sdtContent>
        <w:p w:rsidR="004A3868" w:rsidRDefault="003F1AB5">
          <w:pPr>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pStyle w:val="Style955"/>
        <w:numPr>
          <w:ilvl w:val="0"/>
          <w:numId w:val="133"/>
        </w:numPr>
        <w:spacing w:before="120"/>
        <w:rPr>
          <w:rStyle w:val="Char10"/>
        </w:rPr>
      </w:pPr>
      <w:r>
        <w:rPr>
          <w:rStyle w:val="Char10"/>
          <w:rFonts w:hint="eastAsia"/>
        </w:rPr>
        <w:t>其他</w:t>
      </w:r>
    </w:p>
    <w:sdt>
      <w:sdtPr>
        <w:rPr>
          <w:rStyle w:val="Char10"/>
          <w:rFonts w:hint="eastAsia"/>
        </w:rPr>
        <w:alias w:val="是否适用：补充资料其他说明事项[双击切换]"/>
        <w:tag w:val="_GBC_96c49cb17ab64891ac1d396be649be3c"/>
        <w:id w:val="264048598"/>
        <w:lock w:val="sdtLocked"/>
        <w:placeholder>
          <w:docPart w:val="GBC22222222222222222222222222222"/>
        </w:placeholder>
      </w:sdtPr>
      <w:sdtEndPr>
        <w:rPr>
          <w:rStyle w:val="Char10"/>
        </w:rPr>
      </w:sdtEndPr>
      <w:sdtContent>
        <w:p w:rsidR="004A3868" w:rsidRDefault="003F1AB5">
          <w:pPr>
            <w:pStyle w:val="Style842"/>
            <w:rPr>
              <w:rStyle w:val="Char10"/>
            </w:rPr>
          </w:pPr>
          <w:r>
            <w:rPr>
              <w:rStyle w:val="Char10"/>
            </w:rPr>
            <w:fldChar w:fldCharType="begin"/>
          </w:r>
          <w:r>
            <w:rPr>
              <w:rStyle w:val="Char10"/>
            </w:rPr>
            <w:instrText xml:space="preserve"> 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p w:rsidR="004A3868" w:rsidRDefault="003F1AB5">
      <w:pPr>
        <w:jc w:val="right"/>
        <w:rPr>
          <w:rStyle w:val="Char10"/>
        </w:rPr>
      </w:pPr>
      <w:r>
        <w:rPr>
          <w:rStyle w:val="Char10"/>
        </w:rPr>
        <w:t>董事长：</w:t>
      </w:r>
      <w:sdt>
        <w:sdtPr>
          <w:rPr>
            <w:rStyle w:val="Char10"/>
          </w:rPr>
          <w:alias w:val="报告发布人"/>
          <w:tag w:val="_GBC_728ad6dff57942a69e22fcccc1f10a3c"/>
          <w:id w:val="-1065717369"/>
          <w:placeholder>
            <w:docPart w:val="GBC22222222222222222222222222222"/>
          </w:placeholder>
        </w:sdtPr>
        <w:sdtEndPr>
          <w:rPr>
            <w:rStyle w:val="Char10"/>
          </w:rPr>
        </w:sdtEndPr>
        <w:sdtContent>
          <w:r>
            <w:rPr>
              <w:rStyle w:val="Char10"/>
              <w:rFonts w:hint="eastAsia"/>
            </w:rPr>
            <w:t>杨泽民</w:t>
          </w:r>
        </w:sdtContent>
      </w:sdt>
      <w:r>
        <w:rPr>
          <w:rStyle w:val="Char10"/>
          <w:rFonts w:hint="eastAsia"/>
        </w:rPr>
        <w:t xml:space="preserve"> </w:t>
      </w:r>
    </w:p>
    <w:p w:rsidR="004A3868" w:rsidRDefault="003F1AB5">
      <w:pPr>
        <w:pStyle w:val="Style842"/>
        <w:jc w:val="right"/>
        <w:rPr>
          <w:rStyle w:val="Char10"/>
        </w:rPr>
      </w:pPr>
      <w:r>
        <w:rPr>
          <w:rStyle w:val="Char10"/>
        </w:rPr>
        <w:t>董事会批准报送日期：</w:t>
      </w:r>
      <w:sdt>
        <w:sdtPr>
          <w:rPr>
            <w:rStyle w:val="Char10"/>
          </w:rPr>
          <w:alias w:val="报告董事会批准报送日期"/>
          <w:tag w:val="_GBC_7b8c4a7926dc47299591537f5943936d"/>
          <w:id w:val="-1830289810"/>
          <w:placeholder>
            <w:docPart w:val="GBC22222222222222222222222222222"/>
          </w:placeholder>
          <w:date w:fullDate="2024-04-24T00:00:00Z">
            <w:dateFormat w:val="yyyy'年'M'月'd'日'"/>
            <w:lid w:val="zh-CN"/>
            <w:storeMappedDataAs w:val="dateTime"/>
            <w:calendar w:val="gregorian"/>
          </w:date>
        </w:sdtPr>
        <w:sdtEndPr>
          <w:rPr>
            <w:rStyle w:val="Char10"/>
          </w:rPr>
        </w:sdtEndPr>
        <w:sdtContent>
          <w:r>
            <w:rPr>
              <w:rStyle w:val="Char10"/>
              <w:rFonts w:hint="eastAsia"/>
            </w:rPr>
            <w:t>2024</w:t>
          </w:r>
          <w:r>
            <w:rPr>
              <w:rStyle w:val="Char10"/>
              <w:rFonts w:hint="eastAsia"/>
            </w:rPr>
            <w:t>年</w:t>
          </w:r>
          <w:r>
            <w:rPr>
              <w:rStyle w:val="Char10"/>
              <w:rFonts w:hint="eastAsia"/>
            </w:rPr>
            <w:t>4</w:t>
          </w:r>
          <w:r>
            <w:rPr>
              <w:rStyle w:val="Char10"/>
              <w:rFonts w:hint="eastAsia"/>
            </w:rPr>
            <w:t>月</w:t>
          </w:r>
          <w:r>
            <w:rPr>
              <w:rStyle w:val="Char10"/>
              <w:rFonts w:hint="eastAsia"/>
            </w:rPr>
            <w:t>24</w:t>
          </w:r>
          <w:r>
            <w:rPr>
              <w:rStyle w:val="Char10"/>
              <w:rFonts w:hint="eastAsia"/>
            </w:rPr>
            <w:t>日</w:t>
          </w:r>
        </w:sdtContent>
      </w:sdt>
      <w:r>
        <w:rPr>
          <w:rStyle w:val="Char10"/>
          <w:rFonts w:hint="eastAsia"/>
        </w:rPr>
        <w:t xml:space="preserve"> </w:t>
      </w:r>
    </w:p>
    <w:p w:rsidR="004A3868" w:rsidRDefault="003F1AB5">
      <w:pPr>
        <w:pStyle w:val="Style842"/>
        <w:rPr>
          <w:rStyle w:val="Char10"/>
        </w:rPr>
      </w:pPr>
      <w:r>
        <w:rPr>
          <w:rStyle w:val="Char10"/>
        </w:rPr>
        <w:t>修订信息</w:t>
      </w:r>
    </w:p>
    <w:sdt>
      <w:sdtPr>
        <w:rPr>
          <w:rStyle w:val="Char10"/>
        </w:rPr>
        <w:alias w:val="是否适用：修订信息表[双击切换]"/>
        <w:tag w:val="_GBC_888e757d42a24d3a87b71f50b0589b0a"/>
        <w:id w:val="1043486347"/>
        <w:placeholder>
          <w:docPart w:val="GBC22222222222222222222222222222"/>
        </w:placeholder>
      </w:sdtPr>
      <w:sdtEndPr>
        <w:rPr>
          <w:rStyle w:val="Char10"/>
        </w:rPr>
      </w:sdtEndPr>
      <w:sdtContent>
        <w:p w:rsidR="004A3868" w:rsidRDefault="003F1AB5">
          <w:pPr>
            <w:pStyle w:val="Style853"/>
            <w:rPr>
              <w:rStyle w:val="Char10"/>
            </w:rPr>
          </w:pPr>
          <w:r>
            <w:rPr>
              <w:rStyle w:val="Char10"/>
            </w:rPr>
            <w:fldChar w:fldCharType="begin"/>
          </w:r>
          <w:r>
            <w:rPr>
              <w:rStyle w:val="Char10"/>
            </w:rPr>
            <w:instrText>MACROBUTTON  SnrToggleCheckbox □</w:instrText>
          </w:r>
          <w:r>
            <w:rPr>
              <w:rStyle w:val="Char10"/>
            </w:rPr>
            <w:instrText>适用</w:instrText>
          </w:r>
          <w:r>
            <w:rPr>
              <w:rStyle w:val="Char10"/>
            </w:rPr>
            <w:instrText xml:space="preserve"> </w:instrText>
          </w:r>
          <w:r>
            <w:rPr>
              <w:rStyle w:val="Char10"/>
            </w:rPr>
            <w:fldChar w:fldCharType="end"/>
          </w:r>
          <w:r>
            <w:rPr>
              <w:rStyle w:val="Char10"/>
            </w:rPr>
            <w:fldChar w:fldCharType="begin"/>
          </w:r>
          <w:r>
            <w:rPr>
              <w:rStyle w:val="Char10"/>
            </w:rPr>
            <w:instrText xml:space="preserve"> MACROBUTTON  SnrToggleCheckbox √</w:instrText>
          </w:r>
          <w:r>
            <w:rPr>
              <w:rStyle w:val="Char10"/>
            </w:rPr>
            <w:instrText>不适用</w:instrText>
          </w:r>
          <w:r>
            <w:rPr>
              <w:rStyle w:val="Char10"/>
            </w:rPr>
            <w:instrText xml:space="preserve"> </w:instrText>
          </w:r>
          <w:r>
            <w:rPr>
              <w:rStyle w:val="Char10"/>
            </w:rPr>
            <w:fldChar w:fldCharType="end"/>
          </w:r>
        </w:p>
      </w:sdtContent>
    </w:sdt>
    <w:sectPr w:rsidR="004A3868">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370" w:rsidRDefault="00B34370">
      <w:pPr>
        <w:spacing w:line="240" w:lineRule="auto"/>
      </w:pPr>
      <w:r>
        <w:separator/>
      </w:r>
    </w:p>
  </w:endnote>
  <w:endnote w:type="continuationSeparator" w:id="0">
    <w:p w:rsidR="00B34370" w:rsidRDefault="00B343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257460"/>
    </w:sdtPr>
    <w:sdtEndPr/>
    <w:sdtContent>
      <w:sdt>
        <w:sdtPr>
          <w:id w:val="1728636285"/>
        </w:sdtPr>
        <w:sdtEndPr/>
        <w:sdtContent>
          <w:p w:rsidR="004A3868" w:rsidRDefault="003F1AB5">
            <w:pPr>
              <w:pStyle w:val="af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002ED">
              <w:rPr>
                <w:b/>
                <w:bCs/>
                <w:noProof/>
              </w:rPr>
              <w:t>70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002ED">
              <w:rPr>
                <w:b/>
                <w:bCs/>
                <w:noProof/>
              </w:rPr>
              <w:t>302</w:t>
            </w:r>
            <w:r>
              <w:rPr>
                <w:b/>
                <w:bCs/>
                <w:sz w:val="24"/>
                <w:szCs w:val="24"/>
              </w:rPr>
              <w:fldChar w:fldCharType="end"/>
            </w:r>
          </w:p>
        </w:sdtContent>
      </w:sdt>
    </w:sdtContent>
  </w:sdt>
  <w:p w:rsidR="004A3868" w:rsidRDefault="004A386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370" w:rsidRDefault="00B34370">
      <w:r>
        <w:separator/>
      </w:r>
    </w:p>
  </w:footnote>
  <w:footnote w:type="continuationSeparator" w:id="0">
    <w:p w:rsidR="00B34370" w:rsidRDefault="00B34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868" w:rsidRDefault="003F1AB5">
    <w:pPr>
      <w:pStyle w:val="afb"/>
      <w:rPr>
        <w:b/>
      </w:rPr>
    </w:pPr>
    <w:r>
      <w:rPr>
        <w:rFonts w:hint="eastAsia"/>
      </w:rPr>
      <w:t>2023</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20F16AB"/>
    <w:multiLevelType w:val="multilevel"/>
    <w:tmpl w:val="020F16AB"/>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2" w15:restartNumberingAfterBreak="0">
    <w:nsid w:val="02E66CBA"/>
    <w:multiLevelType w:val="multilevel"/>
    <w:tmpl w:val="02E66CBA"/>
    <w:lvl w:ilvl="0">
      <w:start w:val="1"/>
      <w:numFmt w:val="chineseCountingThousand"/>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3B7239C"/>
    <w:multiLevelType w:val="multilevel"/>
    <w:tmpl w:val="03B7239C"/>
    <w:lvl w:ilvl="0">
      <w:start w:val="1"/>
      <w:numFmt w:val="chineseCountingThousand"/>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4364DD5"/>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5BF2AD3"/>
    <w:multiLevelType w:val="multilevel"/>
    <w:tmpl w:val="05BF2A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A353DC"/>
    <w:multiLevelType w:val="multilevel"/>
    <w:tmpl w:val="06A353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76A22C6"/>
    <w:multiLevelType w:val="multilevel"/>
    <w:tmpl w:val="076A22C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DC97DB7"/>
    <w:multiLevelType w:val="multilevel"/>
    <w:tmpl w:val="0DC97DB7"/>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E939DD"/>
    <w:multiLevelType w:val="multilevel"/>
    <w:tmpl w:val="0EE939DD"/>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2D079A4"/>
    <w:multiLevelType w:val="multilevel"/>
    <w:tmpl w:val="12D079A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51215BB"/>
    <w:multiLevelType w:val="multilevel"/>
    <w:tmpl w:val="151215BB"/>
    <w:lvl w:ilvl="0">
      <w:start w:val="1"/>
      <w:numFmt w:val="decimal"/>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8A52FB9"/>
    <w:multiLevelType w:val="multilevel"/>
    <w:tmpl w:val="18A52FB9"/>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9B61093"/>
    <w:multiLevelType w:val="multilevel"/>
    <w:tmpl w:val="19B61093"/>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A876789"/>
    <w:multiLevelType w:val="multilevel"/>
    <w:tmpl w:val="1A876789"/>
    <w:lvl w:ilvl="0">
      <w:start w:val="1"/>
      <w:numFmt w:val="decimal"/>
      <w:lvlText w:val="%1."/>
      <w:lvlJc w:val="left"/>
      <w:pPr>
        <w:ind w:left="420" w:hanging="420"/>
      </w:pPr>
      <w:rPr>
        <w:rFonts w:asciiTheme="minorEastAsia" w:eastAsiaTheme="minorEastAsia" w:hAnsiTheme="minor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1B4D17D1"/>
    <w:multiLevelType w:val="multilevel"/>
    <w:tmpl w:val="1B4D17D1"/>
    <w:lvl w:ilvl="0">
      <w:start w:val="1"/>
      <w:numFmt w:val="decimal"/>
      <w:pStyle w:val="Style1353"/>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25" w15:restartNumberingAfterBreak="0">
    <w:nsid w:val="1BCF0D86"/>
    <w:multiLevelType w:val="multilevel"/>
    <w:tmpl w:val="1BCF0D86"/>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C0A5E4B"/>
    <w:multiLevelType w:val="multilevel"/>
    <w:tmpl w:val="1C0A5E4B"/>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1CEC30BF"/>
    <w:multiLevelType w:val="multilevel"/>
    <w:tmpl w:val="1CEC30B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E235F8B"/>
    <w:multiLevelType w:val="multilevel"/>
    <w:tmpl w:val="1E235F8B"/>
    <w:lvl w:ilvl="0">
      <w:start w:val="1"/>
      <w:numFmt w:val="chineseCountingThousand"/>
      <w:pStyle w:val="1"/>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1F4131F6"/>
    <w:multiLevelType w:val="multilevel"/>
    <w:tmpl w:val="1F4131F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decimal"/>
      <w:pStyle w:val="Style12711"/>
      <w:lvlText w:val="%2."/>
      <w:lvlJc w:val="left"/>
      <w:pPr>
        <w:ind w:left="0"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2052160B"/>
    <w:multiLevelType w:val="multilevel"/>
    <w:tmpl w:val="205216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17F3B1B"/>
    <w:multiLevelType w:val="multilevel"/>
    <w:tmpl w:val="217F3B1B"/>
    <w:lvl w:ilvl="0">
      <w:start w:val="1"/>
      <w:numFmt w:val="decimal"/>
      <w:pStyle w:val="Style1496"/>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1A7388C"/>
    <w:multiLevelType w:val="multilevel"/>
    <w:tmpl w:val="21A7388C"/>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28F0FB9"/>
    <w:multiLevelType w:val="multilevel"/>
    <w:tmpl w:val="228F0FB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2C6B4F40"/>
    <w:multiLevelType w:val="multilevel"/>
    <w:tmpl w:val="2C6B4F40"/>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6" w15:restartNumberingAfterBreak="0">
    <w:nsid w:val="2C6C7566"/>
    <w:multiLevelType w:val="multilevel"/>
    <w:tmpl w:val="2C6C7566"/>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7"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D223BC3"/>
    <w:multiLevelType w:val="multilevel"/>
    <w:tmpl w:val="2D223BC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2DE55932"/>
    <w:multiLevelType w:val="multilevel"/>
    <w:tmpl w:val="2DE55932"/>
    <w:lvl w:ilvl="0">
      <w:start w:val="1"/>
      <w:numFmt w:val="chineseCountingThousand"/>
      <w:pStyle w:val="2"/>
      <w:suff w:val="nothing"/>
      <w:lvlText w:val="%1、"/>
      <w:lvlJc w:val="left"/>
      <w:pPr>
        <w:ind w:left="420" w:hanging="420"/>
      </w:pPr>
      <w:rPr>
        <w:rFonts w:ascii="宋体" w:eastAsia="宋体" w:hAnsi="宋体" w:cs="宋体" w:hint="eastAsia"/>
        <w:b/>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15:restartNumberingAfterBreak="0">
    <w:nsid w:val="304B6811"/>
    <w:multiLevelType w:val="multilevel"/>
    <w:tmpl w:val="304B6811"/>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2" w15:restartNumberingAfterBreak="0">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15:restartNumberingAfterBreak="0">
    <w:nsid w:val="322A2C22"/>
    <w:multiLevelType w:val="multilevel"/>
    <w:tmpl w:val="322A2C22"/>
    <w:lvl w:ilvl="0">
      <w:start w:val="1"/>
      <w:numFmt w:val="decimal"/>
      <w:pStyle w:val="Style829"/>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346B3069"/>
    <w:multiLevelType w:val="multilevel"/>
    <w:tmpl w:val="346B3069"/>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6"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7C3610E"/>
    <w:multiLevelType w:val="multilevel"/>
    <w:tmpl w:val="37C3610E"/>
    <w:lvl w:ilvl="0">
      <w:start w:val="1"/>
      <w:numFmt w:val="chineseCountingThousand"/>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91941CF"/>
    <w:multiLevelType w:val="multilevel"/>
    <w:tmpl w:val="391941CF"/>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9" w15:restartNumberingAfterBreak="0">
    <w:nsid w:val="3D2B6D0A"/>
    <w:multiLevelType w:val="multilevel"/>
    <w:tmpl w:val="3D2B6D0A"/>
    <w:lvl w:ilvl="0">
      <w:start w:val="1"/>
      <w:numFmt w:val="chineseCountingThousand"/>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3D411AC0"/>
    <w:multiLevelType w:val="multilevel"/>
    <w:tmpl w:val="3D411AC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3DC039A2"/>
    <w:multiLevelType w:val="multilevel"/>
    <w:tmpl w:val="3DC039A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15:restartNumberingAfterBreak="0">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15:restartNumberingAfterBreak="0">
    <w:nsid w:val="3F1C5616"/>
    <w:multiLevelType w:val="multilevel"/>
    <w:tmpl w:val="3F1C5616"/>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6" w15:restartNumberingAfterBreak="0">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15:restartNumberingAfterBreak="0">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15:restartNumberingAfterBreak="0">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15:restartNumberingAfterBreak="0">
    <w:nsid w:val="452D24C2"/>
    <w:multiLevelType w:val="multilevel"/>
    <w:tmpl w:val="452D24C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15:restartNumberingAfterBreak="0">
    <w:nsid w:val="45EE0604"/>
    <w:multiLevelType w:val="multilevel"/>
    <w:tmpl w:val="45EE0604"/>
    <w:lvl w:ilvl="0">
      <w:start w:val="1"/>
      <w:numFmt w:val="japaneseCounting"/>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2" w15:restartNumberingAfterBreak="0">
    <w:nsid w:val="463E0B3C"/>
    <w:multiLevelType w:val="multilevel"/>
    <w:tmpl w:val="463E0B3C"/>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47B412BD"/>
    <w:multiLevelType w:val="multilevel"/>
    <w:tmpl w:val="47B412B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4A125FEF"/>
    <w:multiLevelType w:val="multilevel"/>
    <w:tmpl w:val="4A125FE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4AC23DB8"/>
    <w:multiLevelType w:val="multilevel"/>
    <w:tmpl w:val="4AC23DB8"/>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15:restartNumberingAfterBreak="0">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50AC1563"/>
    <w:multiLevelType w:val="multilevel"/>
    <w:tmpl w:val="50AC1563"/>
    <w:lvl w:ilvl="0">
      <w:start w:val="1"/>
      <w:numFmt w:val="decimal"/>
      <w:pStyle w:val="Style1548"/>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15:restartNumberingAfterBreak="0">
    <w:nsid w:val="51265863"/>
    <w:multiLevelType w:val="multilevel"/>
    <w:tmpl w:val="51265863"/>
    <w:lvl w:ilvl="0">
      <w:start w:val="1"/>
      <w:numFmt w:val="chineseCountingThousand"/>
      <w:pStyle w:val="Style1351"/>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520C604D"/>
    <w:multiLevelType w:val="multilevel"/>
    <w:tmpl w:val="520C604D"/>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59EF7C0F"/>
    <w:multiLevelType w:val="multilevel"/>
    <w:tmpl w:val="59EF7C0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15:restartNumberingAfterBreak="0">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15:restartNumberingAfterBreak="0">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15:restartNumberingAfterBreak="0">
    <w:nsid w:val="5CD053AE"/>
    <w:multiLevelType w:val="multilevel"/>
    <w:tmpl w:val="5CD053AE"/>
    <w:lvl w:ilvl="0">
      <w:start w:val="1"/>
      <w:numFmt w:val="japaneseCounting"/>
      <w:pStyle w:val="Style1286"/>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3" w15:restartNumberingAfterBreak="0">
    <w:nsid w:val="5CED316C"/>
    <w:multiLevelType w:val="multilevel"/>
    <w:tmpl w:val="5CED31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5D9A1F7E"/>
    <w:multiLevelType w:val="multilevel"/>
    <w:tmpl w:val="5D9A1F7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6" w15:restartNumberingAfterBreak="0">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15:restartNumberingAfterBreak="0">
    <w:nsid w:val="5DED1C0B"/>
    <w:multiLevelType w:val="multilevel"/>
    <w:tmpl w:val="5DED1C0B"/>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98" w15:restartNumberingAfterBreak="0">
    <w:nsid w:val="5F405219"/>
    <w:multiLevelType w:val="multilevel"/>
    <w:tmpl w:val="5F405219"/>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9" w15:restartNumberingAfterBreak="0">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15:restartNumberingAfterBreak="0">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608931A6"/>
    <w:multiLevelType w:val="multilevel"/>
    <w:tmpl w:val="608931A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Style1243"/>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15:restartNumberingAfterBreak="0">
    <w:nsid w:val="63C5513C"/>
    <w:multiLevelType w:val="multilevel"/>
    <w:tmpl w:val="63C5513C"/>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3" w15:restartNumberingAfterBreak="0">
    <w:nsid w:val="650F40B7"/>
    <w:multiLevelType w:val="multilevel"/>
    <w:tmpl w:val="650F40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7183EE7"/>
    <w:multiLevelType w:val="multilevel"/>
    <w:tmpl w:val="67183E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 w15:restartNumberingAfterBreak="0">
    <w:nsid w:val="672E1A48"/>
    <w:multiLevelType w:val="multilevel"/>
    <w:tmpl w:val="672E1A4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6" w15:restartNumberingAfterBreak="0">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15:restartNumberingAfterBreak="0">
    <w:nsid w:val="69BA4BB7"/>
    <w:multiLevelType w:val="multilevel"/>
    <w:tmpl w:val="69BA4BB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15:restartNumberingAfterBreak="0">
    <w:nsid w:val="6B96254F"/>
    <w:multiLevelType w:val="multilevel"/>
    <w:tmpl w:val="6B96254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6E7E2E78"/>
    <w:multiLevelType w:val="multilevel"/>
    <w:tmpl w:val="6E7E2E78"/>
    <w:lvl w:ilvl="0">
      <w:start w:val="1"/>
      <w:numFmt w:val="chineseCountingThousand"/>
      <w:pStyle w:val="Style127"/>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6E97785F"/>
    <w:multiLevelType w:val="multilevel"/>
    <w:tmpl w:val="6E97785F"/>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15:restartNumberingAfterBreak="0">
    <w:nsid w:val="70A4034A"/>
    <w:multiLevelType w:val="multilevel"/>
    <w:tmpl w:val="70A4034A"/>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4" w15:restartNumberingAfterBreak="0">
    <w:nsid w:val="728231A6"/>
    <w:multiLevelType w:val="multilevel"/>
    <w:tmpl w:val="728231A6"/>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15:restartNumberingAfterBreak="0">
    <w:nsid w:val="7405377B"/>
    <w:multiLevelType w:val="multilevel"/>
    <w:tmpl w:val="7405377B"/>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8" w15:restartNumberingAfterBreak="0">
    <w:nsid w:val="76DD5C82"/>
    <w:multiLevelType w:val="multilevel"/>
    <w:tmpl w:val="76DD5C8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9" w15:restartNumberingAfterBreak="0">
    <w:nsid w:val="77111D1D"/>
    <w:multiLevelType w:val="multilevel"/>
    <w:tmpl w:val="77111D1D"/>
    <w:lvl w:ilvl="0">
      <w:start w:val="1"/>
      <w:numFmt w:val="chineseCountingThousand"/>
      <w:pStyle w:val="Style954"/>
      <w:lvlText w:val="%1、"/>
      <w:lvlJc w:val="left"/>
      <w:pPr>
        <w:ind w:left="709"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15:restartNumberingAfterBreak="0">
    <w:nsid w:val="772B7E65"/>
    <w:multiLevelType w:val="multilevel"/>
    <w:tmpl w:val="772B7E65"/>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2"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15:restartNumberingAfterBreak="0">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15:restartNumberingAfterBreak="0">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5"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15:restartNumberingAfterBreak="0">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9"/>
  </w:num>
  <w:num w:numId="2">
    <w:abstractNumId w:val="49"/>
  </w:num>
  <w:num w:numId="3">
    <w:abstractNumId w:val="109"/>
  </w:num>
  <w:num w:numId="4">
    <w:abstractNumId w:val="33"/>
  </w:num>
  <w:num w:numId="5">
    <w:abstractNumId w:val="53"/>
  </w:num>
  <w:num w:numId="6">
    <w:abstractNumId w:val="119"/>
  </w:num>
  <w:num w:numId="7">
    <w:abstractNumId w:val="101"/>
  </w:num>
  <w:num w:numId="8">
    <w:abstractNumId w:val="92"/>
  </w:num>
  <w:num w:numId="9">
    <w:abstractNumId w:val="83"/>
  </w:num>
  <w:num w:numId="10">
    <w:abstractNumId w:val="24"/>
  </w:num>
  <w:num w:numId="11">
    <w:abstractNumId w:val="36"/>
  </w:num>
  <w:num w:numId="12">
    <w:abstractNumId w:val="81"/>
  </w:num>
  <w:num w:numId="13">
    <w:abstractNumId w:val="57"/>
  </w:num>
  <w:num w:numId="14">
    <w:abstractNumId w:val="4"/>
  </w:num>
  <w:num w:numId="15">
    <w:abstractNumId w:val="39"/>
  </w:num>
  <w:num w:numId="16">
    <w:abstractNumId w:val="59"/>
  </w:num>
  <w:num w:numId="17">
    <w:abstractNumId w:val="28"/>
  </w:num>
  <w:num w:numId="18">
    <w:abstractNumId w:val="114"/>
  </w:num>
  <w:num w:numId="19">
    <w:abstractNumId w:val="60"/>
  </w:num>
  <w:num w:numId="20">
    <w:abstractNumId w:val="95"/>
  </w:num>
  <w:num w:numId="21">
    <w:abstractNumId w:val="89"/>
  </w:num>
  <w:num w:numId="22">
    <w:abstractNumId w:val="64"/>
  </w:num>
  <w:num w:numId="23">
    <w:abstractNumId w:val="22"/>
  </w:num>
  <w:num w:numId="24">
    <w:abstractNumId w:val="72"/>
  </w:num>
  <w:num w:numId="25">
    <w:abstractNumId w:val="71"/>
  </w:num>
  <w:num w:numId="26">
    <w:abstractNumId w:val="27"/>
  </w:num>
  <w:num w:numId="27">
    <w:abstractNumId w:val="20"/>
  </w:num>
  <w:num w:numId="28">
    <w:abstractNumId w:val="41"/>
  </w:num>
  <w:num w:numId="29">
    <w:abstractNumId w:val="107"/>
  </w:num>
  <w:num w:numId="30">
    <w:abstractNumId w:val="5"/>
  </w:num>
  <w:num w:numId="31">
    <w:abstractNumId w:val="48"/>
  </w:num>
  <w:num w:numId="32">
    <w:abstractNumId w:val="10"/>
  </w:num>
  <w:num w:numId="33">
    <w:abstractNumId w:val="52"/>
  </w:num>
  <w:num w:numId="34">
    <w:abstractNumId w:val="32"/>
  </w:num>
  <w:num w:numId="35">
    <w:abstractNumId w:val="112"/>
  </w:num>
  <w:num w:numId="36">
    <w:abstractNumId w:val="2"/>
  </w:num>
  <w:num w:numId="37">
    <w:abstractNumId w:val="70"/>
  </w:num>
  <w:num w:numId="38">
    <w:abstractNumId w:val="124"/>
  </w:num>
  <w:num w:numId="39">
    <w:abstractNumId w:val="86"/>
  </w:num>
  <w:num w:numId="40">
    <w:abstractNumId w:val="61"/>
  </w:num>
  <w:num w:numId="41">
    <w:abstractNumId w:val="38"/>
  </w:num>
  <w:num w:numId="42">
    <w:abstractNumId w:val="77"/>
  </w:num>
  <w:num w:numId="43">
    <w:abstractNumId w:val="76"/>
  </w:num>
  <w:num w:numId="44">
    <w:abstractNumId w:val="108"/>
  </w:num>
  <w:num w:numId="45">
    <w:abstractNumId w:val="84"/>
  </w:num>
  <w:num w:numId="46">
    <w:abstractNumId w:val="25"/>
  </w:num>
  <w:num w:numId="47">
    <w:abstractNumId w:val="121"/>
  </w:num>
  <w:num w:numId="48">
    <w:abstractNumId w:val="104"/>
  </w:num>
  <w:num w:numId="49">
    <w:abstractNumId w:val="42"/>
  </w:num>
  <w:num w:numId="50">
    <w:abstractNumId w:val="113"/>
  </w:num>
  <w:num w:numId="51">
    <w:abstractNumId w:val="91"/>
  </w:num>
  <w:num w:numId="52">
    <w:abstractNumId w:val="37"/>
  </w:num>
  <w:num w:numId="53">
    <w:abstractNumId w:val="17"/>
  </w:num>
  <w:num w:numId="54">
    <w:abstractNumId w:val="116"/>
  </w:num>
  <w:num w:numId="55">
    <w:abstractNumId w:val="30"/>
  </w:num>
  <w:num w:numId="56">
    <w:abstractNumId w:val="69"/>
  </w:num>
  <w:num w:numId="57">
    <w:abstractNumId w:val="21"/>
  </w:num>
  <w:num w:numId="58">
    <w:abstractNumId w:val="62"/>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num>
  <w:num w:numId="61">
    <w:abstractNumId w:val="111"/>
  </w:num>
  <w:num w:numId="62">
    <w:abstractNumId w:val="19"/>
  </w:num>
  <w:num w:numId="63">
    <w:abstractNumId w:val="50"/>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num>
  <w:num w:numId="67">
    <w:abstractNumId w:val="120"/>
  </w:num>
  <w:num w:numId="68">
    <w:abstractNumId w:val="102"/>
  </w:num>
  <w:num w:numId="69">
    <w:abstractNumId w:val="73"/>
  </w:num>
  <w:num w:numId="70">
    <w:abstractNumId w:val="51"/>
  </w:num>
  <w:num w:numId="71">
    <w:abstractNumId w:val="66"/>
  </w:num>
  <w:num w:numId="72">
    <w:abstractNumId w:val="1"/>
  </w:num>
  <w:num w:numId="73">
    <w:abstractNumId w:val="128"/>
  </w:num>
  <w:num w:numId="74">
    <w:abstractNumId w:val="129"/>
  </w:num>
  <w:num w:numId="75">
    <w:abstractNumId w:val="40"/>
  </w:num>
  <w:num w:numId="76">
    <w:abstractNumId w:val="98"/>
  </w:num>
  <w:num w:numId="77">
    <w:abstractNumId w:val="13"/>
  </w:num>
  <w:num w:numId="78">
    <w:abstractNumId w:val="74"/>
  </w:num>
  <w:num w:numId="79">
    <w:abstractNumId w:val="55"/>
  </w:num>
  <w:num w:numId="80">
    <w:abstractNumId w:val="97"/>
  </w:num>
  <w:num w:numId="81">
    <w:abstractNumId w:val="90"/>
  </w:num>
  <w:num w:numId="82">
    <w:abstractNumId w:val="103"/>
  </w:num>
  <w:num w:numId="83">
    <w:abstractNumId w:val="34"/>
  </w:num>
  <w:num w:numId="84">
    <w:abstractNumId w:val="75"/>
  </w:num>
  <w:num w:numId="85">
    <w:abstractNumId w:val="68"/>
  </w:num>
  <w:num w:numId="86">
    <w:abstractNumId w:val="122"/>
  </w:num>
  <w:num w:numId="87">
    <w:abstractNumId w:val="31"/>
  </w:num>
  <w:num w:numId="88">
    <w:abstractNumId w:val="78"/>
  </w:num>
  <w:num w:numId="89">
    <w:abstractNumId w:val="126"/>
  </w:num>
  <w:num w:numId="90">
    <w:abstractNumId w:val="43"/>
  </w:num>
  <w:num w:numId="91">
    <w:abstractNumId w:val="125"/>
  </w:num>
  <w:num w:numId="92">
    <w:abstractNumId w:val="94"/>
  </w:num>
  <w:num w:numId="93">
    <w:abstractNumId w:val="26"/>
  </w:num>
  <w:num w:numId="94">
    <w:abstractNumId w:val="127"/>
  </w:num>
  <w:num w:numId="95">
    <w:abstractNumId w:val="14"/>
  </w:num>
  <w:num w:numId="96">
    <w:abstractNumId w:val="110"/>
  </w:num>
  <w:num w:numId="97">
    <w:abstractNumId w:val="80"/>
  </w:num>
  <w:num w:numId="98">
    <w:abstractNumId w:val="56"/>
  </w:num>
  <w:num w:numId="99">
    <w:abstractNumId w:val="3"/>
  </w:num>
  <w:num w:numId="100">
    <w:abstractNumId w:val="8"/>
  </w:num>
  <w:num w:numId="101">
    <w:abstractNumId w:val="9"/>
  </w:num>
  <w:num w:numId="102">
    <w:abstractNumId w:val="118"/>
  </w:num>
  <w:num w:numId="103">
    <w:abstractNumId w:val="16"/>
  </w:num>
  <w:num w:numId="104">
    <w:abstractNumId w:val="100"/>
  </w:num>
  <w:num w:numId="105">
    <w:abstractNumId w:val="15"/>
  </w:num>
  <w:num w:numId="106">
    <w:abstractNumId w:val="105"/>
  </w:num>
  <w:num w:numId="107">
    <w:abstractNumId w:val="79"/>
  </w:num>
  <w:num w:numId="108">
    <w:abstractNumId w:val="82"/>
  </w:num>
  <w:num w:numId="109">
    <w:abstractNumId w:val="7"/>
  </w:num>
  <w:num w:numId="110">
    <w:abstractNumId w:val="115"/>
  </w:num>
  <w:num w:numId="111">
    <w:abstractNumId w:val="12"/>
  </w:num>
  <w:num w:numId="112">
    <w:abstractNumId w:val="46"/>
  </w:num>
  <w:num w:numId="113">
    <w:abstractNumId w:val="93"/>
  </w:num>
  <w:num w:numId="114">
    <w:abstractNumId w:val="6"/>
  </w:num>
  <w:num w:numId="115">
    <w:abstractNumId w:val="54"/>
  </w:num>
  <w:num w:numId="116">
    <w:abstractNumId w:val="11"/>
  </w:num>
  <w:num w:numId="117">
    <w:abstractNumId w:val="67"/>
  </w:num>
  <w:num w:numId="118">
    <w:abstractNumId w:val="85"/>
  </w:num>
  <w:num w:numId="119">
    <w:abstractNumId w:val="63"/>
  </w:num>
  <w:num w:numId="120">
    <w:abstractNumId w:val="87"/>
  </w:num>
  <w:num w:numId="121">
    <w:abstractNumId w:val="96"/>
  </w:num>
  <w:num w:numId="122">
    <w:abstractNumId w:val="45"/>
  </w:num>
  <w:num w:numId="123">
    <w:abstractNumId w:val="44"/>
  </w:num>
  <w:num w:numId="124">
    <w:abstractNumId w:val="88"/>
  </w:num>
  <w:num w:numId="125">
    <w:abstractNumId w:val="99"/>
  </w:num>
  <w:num w:numId="126">
    <w:abstractNumId w:val="23"/>
  </w:num>
  <w:num w:numId="127">
    <w:abstractNumId w:val="65"/>
  </w:num>
  <w:num w:numId="128">
    <w:abstractNumId w:val="0"/>
  </w:num>
  <w:num w:numId="129">
    <w:abstractNumId w:val="123"/>
  </w:num>
  <w:num w:numId="130">
    <w:abstractNumId w:val="58"/>
  </w:num>
  <w:num w:numId="131">
    <w:abstractNumId w:val="106"/>
  </w:num>
  <w:num w:numId="132">
    <w:abstractNumId w:val="117"/>
  </w:num>
  <w:num w:numId="133">
    <w:abstractNumId w:val="4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attachedTemplate r:id="rId1"/>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zZmRmZDMxMjkwMDE2NTk0ZWQ1ZWYwMzRmYjVhNmUifQ=="/>
    <w:docVar w:name="Disclosure_Version" w:val="true"/>
    <w:docVar w:name="RemovedBindingXPath" w:val="true"/>
  </w:docVars>
  <w:rsids>
    <w:rsidRoot w:val="00DD256F"/>
    <w:rsid w:val="000005A6"/>
    <w:rsid w:val="00000ADC"/>
    <w:rsid w:val="0000102D"/>
    <w:rsid w:val="00001263"/>
    <w:rsid w:val="00001469"/>
    <w:rsid w:val="000014FF"/>
    <w:rsid w:val="000018A3"/>
    <w:rsid w:val="000018FD"/>
    <w:rsid w:val="00001B33"/>
    <w:rsid w:val="00001E8C"/>
    <w:rsid w:val="00002075"/>
    <w:rsid w:val="0000230E"/>
    <w:rsid w:val="00002431"/>
    <w:rsid w:val="000028BC"/>
    <w:rsid w:val="0000290C"/>
    <w:rsid w:val="00002973"/>
    <w:rsid w:val="00002D77"/>
    <w:rsid w:val="00002F7D"/>
    <w:rsid w:val="000033A6"/>
    <w:rsid w:val="00003442"/>
    <w:rsid w:val="0000372D"/>
    <w:rsid w:val="00003C39"/>
    <w:rsid w:val="00003F0A"/>
    <w:rsid w:val="000048B5"/>
    <w:rsid w:val="00004A92"/>
    <w:rsid w:val="00004ADF"/>
    <w:rsid w:val="00004BC5"/>
    <w:rsid w:val="00004BD6"/>
    <w:rsid w:val="00004D9D"/>
    <w:rsid w:val="00004DB4"/>
    <w:rsid w:val="00004E58"/>
    <w:rsid w:val="00005071"/>
    <w:rsid w:val="00005409"/>
    <w:rsid w:val="0000568D"/>
    <w:rsid w:val="000061CF"/>
    <w:rsid w:val="000064FC"/>
    <w:rsid w:val="000065EC"/>
    <w:rsid w:val="000069AE"/>
    <w:rsid w:val="00007207"/>
    <w:rsid w:val="000072B9"/>
    <w:rsid w:val="000076BF"/>
    <w:rsid w:val="00007BBD"/>
    <w:rsid w:val="00010147"/>
    <w:rsid w:val="0001033D"/>
    <w:rsid w:val="0001046B"/>
    <w:rsid w:val="00010481"/>
    <w:rsid w:val="000109C4"/>
    <w:rsid w:val="00010A47"/>
    <w:rsid w:val="00010B7F"/>
    <w:rsid w:val="00010E18"/>
    <w:rsid w:val="00011A25"/>
    <w:rsid w:val="000121BF"/>
    <w:rsid w:val="000122EE"/>
    <w:rsid w:val="00012AFC"/>
    <w:rsid w:val="00012FE2"/>
    <w:rsid w:val="000130AF"/>
    <w:rsid w:val="000136FC"/>
    <w:rsid w:val="000139E7"/>
    <w:rsid w:val="00013AF8"/>
    <w:rsid w:val="00013FF0"/>
    <w:rsid w:val="0001405F"/>
    <w:rsid w:val="000140AF"/>
    <w:rsid w:val="00014263"/>
    <w:rsid w:val="000145FD"/>
    <w:rsid w:val="00014691"/>
    <w:rsid w:val="00014850"/>
    <w:rsid w:val="0001497A"/>
    <w:rsid w:val="00014DF5"/>
    <w:rsid w:val="000155A0"/>
    <w:rsid w:val="000155D2"/>
    <w:rsid w:val="000157AA"/>
    <w:rsid w:val="000158A1"/>
    <w:rsid w:val="00015DD2"/>
    <w:rsid w:val="00015DF7"/>
    <w:rsid w:val="00016321"/>
    <w:rsid w:val="0001644E"/>
    <w:rsid w:val="00016B1C"/>
    <w:rsid w:val="00016D21"/>
    <w:rsid w:val="00016F6C"/>
    <w:rsid w:val="00016FD1"/>
    <w:rsid w:val="00017658"/>
    <w:rsid w:val="000176B6"/>
    <w:rsid w:val="00017D54"/>
    <w:rsid w:val="00017F7D"/>
    <w:rsid w:val="00020074"/>
    <w:rsid w:val="00020300"/>
    <w:rsid w:val="000203A5"/>
    <w:rsid w:val="00020728"/>
    <w:rsid w:val="00020766"/>
    <w:rsid w:val="00020C59"/>
    <w:rsid w:val="00020D46"/>
    <w:rsid w:val="00020DB9"/>
    <w:rsid w:val="00020F79"/>
    <w:rsid w:val="0002110B"/>
    <w:rsid w:val="00021213"/>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323"/>
    <w:rsid w:val="00024562"/>
    <w:rsid w:val="0002472C"/>
    <w:rsid w:val="0002476D"/>
    <w:rsid w:val="00024820"/>
    <w:rsid w:val="00024BEF"/>
    <w:rsid w:val="00025255"/>
    <w:rsid w:val="00025A7B"/>
    <w:rsid w:val="00025DD8"/>
    <w:rsid w:val="00025E29"/>
    <w:rsid w:val="00025EAF"/>
    <w:rsid w:val="0002612F"/>
    <w:rsid w:val="000264F8"/>
    <w:rsid w:val="00026A17"/>
    <w:rsid w:val="00027208"/>
    <w:rsid w:val="00027348"/>
    <w:rsid w:val="0002752F"/>
    <w:rsid w:val="000275C9"/>
    <w:rsid w:val="000279AA"/>
    <w:rsid w:val="00027C89"/>
    <w:rsid w:val="0003068A"/>
    <w:rsid w:val="00030D13"/>
    <w:rsid w:val="000312FA"/>
    <w:rsid w:val="00031700"/>
    <w:rsid w:val="000317A1"/>
    <w:rsid w:val="000317CB"/>
    <w:rsid w:val="000317E9"/>
    <w:rsid w:val="000317FB"/>
    <w:rsid w:val="0003186E"/>
    <w:rsid w:val="00031B72"/>
    <w:rsid w:val="0003201F"/>
    <w:rsid w:val="0003243D"/>
    <w:rsid w:val="00032450"/>
    <w:rsid w:val="0003260A"/>
    <w:rsid w:val="000326A4"/>
    <w:rsid w:val="00032BA9"/>
    <w:rsid w:val="0003308E"/>
    <w:rsid w:val="000330A8"/>
    <w:rsid w:val="000333F3"/>
    <w:rsid w:val="000335B6"/>
    <w:rsid w:val="00033956"/>
    <w:rsid w:val="00033EBB"/>
    <w:rsid w:val="00034064"/>
    <w:rsid w:val="0003408C"/>
    <w:rsid w:val="000343F2"/>
    <w:rsid w:val="0003468B"/>
    <w:rsid w:val="000348E9"/>
    <w:rsid w:val="00034BDE"/>
    <w:rsid w:val="00034C0D"/>
    <w:rsid w:val="00035352"/>
    <w:rsid w:val="00035415"/>
    <w:rsid w:val="00035464"/>
    <w:rsid w:val="00035EB9"/>
    <w:rsid w:val="0003626E"/>
    <w:rsid w:val="00036357"/>
    <w:rsid w:val="00036813"/>
    <w:rsid w:val="000369A7"/>
    <w:rsid w:val="000369DC"/>
    <w:rsid w:val="00036C1D"/>
    <w:rsid w:val="00036CE0"/>
    <w:rsid w:val="00037116"/>
    <w:rsid w:val="0003717B"/>
    <w:rsid w:val="00037220"/>
    <w:rsid w:val="000379B9"/>
    <w:rsid w:val="00037CFF"/>
    <w:rsid w:val="00037DB8"/>
    <w:rsid w:val="000407A5"/>
    <w:rsid w:val="000407DE"/>
    <w:rsid w:val="000408DA"/>
    <w:rsid w:val="00040E55"/>
    <w:rsid w:val="0004102B"/>
    <w:rsid w:val="000411AF"/>
    <w:rsid w:val="0004146D"/>
    <w:rsid w:val="00041525"/>
    <w:rsid w:val="00041800"/>
    <w:rsid w:val="00041ABB"/>
    <w:rsid w:val="00041AC3"/>
    <w:rsid w:val="00041D4C"/>
    <w:rsid w:val="00041E02"/>
    <w:rsid w:val="00042140"/>
    <w:rsid w:val="00042574"/>
    <w:rsid w:val="0004259D"/>
    <w:rsid w:val="000429ED"/>
    <w:rsid w:val="00042C3F"/>
    <w:rsid w:val="00043335"/>
    <w:rsid w:val="000436FE"/>
    <w:rsid w:val="000438A3"/>
    <w:rsid w:val="00043C00"/>
    <w:rsid w:val="00043E96"/>
    <w:rsid w:val="00043EED"/>
    <w:rsid w:val="00043EEE"/>
    <w:rsid w:val="00044368"/>
    <w:rsid w:val="000444AA"/>
    <w:rsid w:val="000444F4"/>
    <w:rsid w:val="00044579"/>
    <w:rsid w:val="000446C9"/>
    <w:rsid w:val="00044D01"/>
    <w:rsid w:val="00044D1E"/>
    <w:rsid w:val="00044DDC"/>
    <w:rsid w:val="00044E3B"/>
    <w:rsid w:val="00044FE0"/>
    <w:rsid w:val="000451ED"/>
    <w:rsid w:val="000453DC"/>
    <w:rsid w:val="000456AD"/>
    <w:rsid w:val="000458BA"/>
    <w:rsid w:val="00045D1C"/>
    <w:rsid w:val="00045DCB"/>
    <w:rsid w:val="00045F39"/>
    <w:rsid w:val="0004659D"/>
    <w:rsid w:val="000465A1"/>
    <w:rsid w:val="000466E6"/>
    <w:rsid w:val="00046849"/>
    <w:rsid w:val="000468DA"/>
    <w:rsid w:val="00046B18"/>
    <w:rsid w:val="00046BF9"/>
    <w:rsid w:val="00046C3E"/>
    <w:rsid w:val="00046C4A"/>
    <w:rsid w:val="00046CA9"/>
    <w:rsid w:val="00046CF9"/>
    <w:rsid w:val="00046DD2"/>
    <w:rsid w:val="00046E32"/>
    <w:rsid w:val="000470F8"/>
    <w:rsid w:val="000474F7"/>
    <w:rsid w:val="00047621"/>
    <w:rsid w:val="00047708"/>
    <w:rsid w:val="0004793F"/>
    <w:rsid w:val="00047D25"/>
    <w:rsid w:val="00050004"/>
    <w:rsid w:val="000500C7"/>
    <w:rsid w:val="000500E7"/>
    <w:rsid w:val="000501F1"/>
    <w:rsid w:val="00050236"/>
    <w:rsid w:val="00050420"/>
    <w:rsid w:val="0005074F"/>
    <w:rsid w:val="000507F5"/>
    <w:rsid w:val="00050A8A"/>
    <w:rsid w:val="00050C12"/>
    <w:rsid w:val="00050DB9"/>
    <w:rsid w:val="000510E3"/>
    <w:rsid w:val="0005154F"/>
    <w:rsid w:val="000515B0"/>
    <w:rsid w:val="000517E2"/>
    <w:rsid w:val="00051BE5"/>
    <w:rsid w:val="00052B89"/>
    <w:rsid w:val="00052D38"/>
    <w:rsid w:val="000539E4"/>
    <w:rsid w:val="00053A0D"/>
    <w:rsid w:val="00053E2E"/>
    <w:rsid w:val="00053F3F"/>
    <w:rsid w:val="000543F4"/>
    <w:rsid w:val="00054612"/>
    <w:rsid w:val="00054860"/>
    <w:rsid w:val="0005486C"/>
    <w:rsid w:val="00054C31"/>
    <w:rsid w:val="00054D34"/>
    <w:rsid w:val="00054E96"/>
    <w:rsid w:val="00055089"/>
    <w:rsid w:val="00055307"/>
    <w:rsid w:val="00055445"/>
    <w:rsid w:val="00055534"/>
    <w:rsid w:val="00055816"/>
    <w:rsid w:val="00055C3F"/>
    <w:rsid w:val="000561D7"/>
    <w:rsid w:val="000562C7"/>
    <w:rsid w:val="0005654E"/>
    <w:rsid w:val="000569CC"/>
    <w:rsid w:val="00056AA5"/>
    <w:rsid w:val="00057032"/>
    <w:rsid w:val="000578C2"/>
    <w:rsid w:val="00057AD2"/>
    <w:rsid w:val="00057C64"/>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456"/>
    <w:rsid w:val="000636DE"/>
    <w:rsid w:val="00063893"/>
    <w:rsid w:val="0006390A"/>
    <w:rsid w:val="00063987"/>
    <w:rsid w:val="000639D3"/>
    <w:rsid w:val="00063A04"/>
    <w:rsid w:val="00063BD0"/>
    <w:rsid w:val="00063EE6"/>
    <w:rsid w:val="0006463F"/>
    <w:rsid w:val="00064ADF"/>
    <w:rsid w:val="0006504C"/>
    <w:rsid w:val="0006528F"/>
    <w:rsid w:val="00065635"/>
    <w:rsid w:val="00065914"/>
    <w:rsid w:val="00065B7B"/>
    <w:rsid w:val="00065D51"/>
    <w:rsid w:val="000665B9"/>
    <w:rsid w:val="00066688"/>
    <w:rsid w:val="00066B5B"/>
    <w:rsid w:val="00066C7F"/>
    <w:rsid w:val="00066F8C"/>
    <w:rsid w:val="0006720A"/>
    <w:rsid w:val="0006751E"/>
    <w:rsid w:val="00067631"/>
    <w:rsid w:val="0006798E"/>
    <w:rsid w:val="00067AEB"/>
    <w:rsid w:val="00067BBB"/>
    <w:rsid w:val="000700F7"/>
    <w:rsid w:val="00070247"/>
    <w:rsid w:val="000704EE"/>
    <w:rsid w:val="000705C8"/>
    <w:rsid w:val="0007085D"/>
    <w:rsid w:val="00070A96"/>
    <w:rsid w:val="00070D92"/>
    <w:rsid w:val="00070E4B"/>
    <w:rsid w:val="00070E8D"/>
    <w:rsid w:val="00071243"/>
    <w:rsid w:val="000713CD"/>
    <w:rsid w:val="0007147E"/>
    <w:rsid w:val="000715AC"/>
    <w:rsid w:val="00072075"/>
    <w:rsid w:val="000722F4"/>
    <w:rsid w:val="00072361"/>
    <w:rsid w:val="0007246C"/>
    <w:rsid w:val="000724BD"/>
    <w:rsid w:val="000725CF"/>
    <w:rsid w:val="000729B8"/>
    <w:rsid w:val="00072D7F"/>
    <w:rsid w:val="0007305C"/>
    <w:rsid w:val="000730ED"/>
    <w:rsid w:val="000732D5"/>
    <w:rsid w:val="00073321"/>
    <w:rsid w:val="000735AF"/>
    <w:rsid w:val="00073BC2"/>
    <w:rsid w:val="000745DB"/>
    <w:rsid w:val="00074C4E"/>
    <w:rsid w:val="00075175"/>
    <w:rsid w:val="000751AF"/>
    <w:rsid w:val="00075C45"/>
    <w:rsid w:val="00075C48"/>
    <w:rsid w:val="00075E3A"/>
    <w:rsid w:val="00075E54"/>
    <w:rsid w:val="00075F13"/>
    <w:rsid w:val="00075F70"/>
    <w:rsid w:val="00076117"/>
    <w:rsid w:val="000764FD"/>
    <w:rsid w:val="00076669"/>
    <w:rsid w:val="0007668E"/>
    <w:rsid w:val="00076703"/>
    <w:rsid w:val="0007679D"/>
    <w:rsid w:val="0007681F"/>
    <w:rsid w:val="00076ECB"/>
    <w:rsid w:val="000770F4"/>
    <w:rsid w:val="000770FD"/>
    <w:rsid w:val="00077397"/>
    <w:rsid w:val="000775EC"/>
    <w:rsid w:val="0007763D"/>
    <w:rsid w:val="000778E2"/>
    <w:rsid w:val="00077CD3"/>
    <w:rsid w:val="00077EF6"/>
    <w:rsid w:val="0008041C"/>
    <w:rsid w:val="00080509"/>
    <w:rsid w:val="000807C5"/>
    <w:rsid w:val="000808F7"/>
    <w:rsid w:val="0008095D"/>
    <w:rsid w:val="000809EA"/>
    <w:rsid w:val="00080A0F"/>
    <w:rsid w:val="00080E49"/>
    <w:rsid w:val="0008140D"/>
    <w:rsid w:val="000816EB"/>
    <w:rsid w:val="00081B15"/>
    <w:rsid w:val="00081D4A"/>
    <w:rsid w:val="0008231D"/>
    <w:rsid w:val="00082700"/>
    <w:rsid w:val="00082898"/>
    <w:rsid w:val="00082904"/>
    <w:rsid w:val="00082A1A"/>
    <w:rsid w:val="00082A58"/>
    <w:rsid w:val="00082CF6"/>
    <w:rsid w:val="000830E6"/>
    <w:rsid w:val="00083125"/>
    <w:rsid w:val="0008328D"/>
    <w:rsid w:val="0008332B"/>
    <w:rsid w:val="000837F0"/>
    <w:rsid w:val="000839C3"/>
    <w:rsid w:val="00083C0A"/>
    <w:rsid w:val="00083C1E"/>
    <w:rsid w:val="00083EA5"/>
    <w:rsid w:val="00084008"/>
    <w:rsid w:val="000841ED"/>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C34"/>
    <w:rsid w:val="00087FC9"/>
    <w:rsid w:val="0009036A"/>
    <w:rsid w:val="00090454"/>
    <w:rsid w:val="00090ADC"/>
    <w:rsid w:val="00090B0F"/>
    <w:rsid w:val="00090C35"/>
    <w:rsid w:val="00090D7E"/>
    <w:rsid w:val="00090EE0"/>
    <w:rsid w:val="00090FC5"/>
    <w:rsid w:val="000913B6"/>
    <w:rsid w:val="0009141B"/>
    <w:rsid w:val="000914B8"/>
    <w:rsid w:val="00091702"/>
    <w:rsid w:val="00091724"/>
    <w:rsid w:val="00091743"/>
    <w:rsid w:val="000918A9"/>
    <w:rsid w:val="000918CD"/>
    <w:rsid w:val="00091930"/>
    <w:rsid w:val="0009268B"/>
    <w:rsid w:val="000926B4"/>
    <w:rsid w:val="000927B1"/>
    <w:rsid w:val="00092823"/>
    <w:rsid w:val="00092C1E"/>
    <w:rsid w:val="00092EB5"/>
    <w:rsid w:val="00092F1E"/>
    <w:rsid w:val="00092F5A"/>
    <w:rsid w:val="00092FCE"/>
    <w:rsid w:val="00093025"/>
    <w:rsid w:val="000930A1"/>
    <w:rsid w:val="0009325E"/>
    <w:rsid w:val="000932D6"/>
    <w:rsid w:val="000934F7"/>
    <w:rsid w:val="000938DF"/>
    <w:rsid w:val="00094040"/>
    <w:rsid w:val="0009488C"/>
    <w:rsid w:val="0009494E"/>
    <w:rsid w:val="00094A37"/>
    <w:rsid w:val="00094A55"/>
    <w:rsid w:val="00094FB5"/>
    <w:rsid w:val="00095136"/>
    <w:rsid w:val="000951D6"/>
    <w:rsid w:val="00095382"/>
    <w:rsid w:val="00095388"/>
    <w:rsid w:val="000955B9"/>
    <w:rsid w:val="00095A36"/>
    <w:rsid w:val="00095CD6"/>
    <w:rsid w:val="00095E41"/>
    <w:rsid w:val="000960F5"/>
    <w:rsid w:val="00096746"/>
    <w:rsid w:val="000969CD"/>
    <w:rsid w:val="00096E12"/>
    <w:rsid w:val="00097097"/>
    <w:rsid w:val="000974B2"/>
    <w:rsid w:val="00097585"/>
    <w:rsid w:val="000975B1"/>
    <w:rsid w:val="00097610"/>
    <w:rsid w:val="000976C1"/>
    <w:rsid w:val="00097B67"/>
    <w:rsid w:val="00097C70"/>
    <w:rsid w:val="00097E3C"/>
    <w:rsid w:val="000A029B"/>
    <w:rsid w:val="000A0412"/>
    <w:rsid w:val="000A044E"/>
    <w:rsid w:val="000A04A2"/>
    <w:rsid w:val="000A0952"/>
    <w:rsid w:val="000A0989"/>
    <w:rsid w:val="000A0F9B"/>
    <w:rsid w:val="000A1026"/>
    <w:rsid w:val="000A1547"/>
    <w:rsid w:val="000A1589"/>
    <w:rsid w:val="000A199C"/>
    <w:rsid w:val="000A1CBE"/>
    <w:rsid w:val="000A1D6E"/>
    <w:rsid w:val="000A1DCF"/>
    <w:rsid w:val="000A22F1"/>
    <w:rsid w:val="000A3645"/>
    <w:rsid w:val="000A36BE"/>
    <w:rsid w:val="000A415C"/>
    <w:rsid w:val="000A4309"/>
    <w:rsid w:val="000A4AE5"/>
    <w:rsid w:val="000A4C9E"/>
    <w:rsid w:val="000A5126"/>
    <w:rsid w:val="000A5188"/>
    <w:rsid w:val="000A53D5"/>
    <w:rsid w:val="000A5519"/>
    <w:rsid w:val="000A5A58"/>
    <w:rsid w:val="000A6410"/>
    <w:rsid w:val="000A6546"/>
    <w:rsid w:val="000A67B6"/>
    <w:rsid w:val="000A6A70"/>
    <w:rsid w:val="000A6A95"/>
    <w:rsid w:val="000A6D3A"/>
    <w:rsid w:val="000A6E99"/>
    <w:rsid w:val="000A6F48"/>
    <w:rsid w:val="000A700E"/>
    <w:rsid w:val="000A7216"/>
    <w:rsid w:val="000A74D2"/>
    <w:rsid w:val="000A750C"/>
    <w:rsid w:val="000A78D8"/>
    <w:rsid w:val="000A79CF"/>
    <w:rsid w:val="000A7D30"/>
    <w:rsid w:val="000A7D5A"/>
    <w:rsid w:val="000B024A"/>
    <w:rsid w:val="000B0362"/>
    <w:rsid w:val="000B06FC"/>
    <w:rsid w:val="000B072D"/>
    <w:rsid w:val="000B0ACA"/>
    <w:rsid w:val="000B0EE6"/>
    <w:rsid w:val="000B1323"/>
    <w:rsid w:val="000B1683"/>
    <w:rsid w:val="000B19AD"/>
    <w:rsid w:val="000B1B10"/>
    <w:rsid w:val="000B1CD7"/>
    <w:rsid w:val="000B1DB7"/>
    <w:rsid w:val="000B2333"/>
    <w:rsid w:val="000B23C8"/>
    <w:rsid w:val="000B28AE"/>
    <w:rsid w:val="000B28F3"/>
    <w:rsid w:val="000B2C24"/>
    <w:rsid w:val="000B31E0"/>
    <w:rsid w:val="000B3351"/>
    <w:rsid w:val="000B3557"/>
    <w:rsid w:val="000B38F0"/>
    <w:rsid w:val="000B3F2D"/>
    <w:rsid w:val="000B40B2"/>
    <w:rsid w:val="000B455C"/>
    <w:rsid w:val="000B48F7"/>
    <w:rsid w:val="000B4A82"/>
    <w:rsid w:val="000B4BDA"/>
    <w:rsid w:val="000B4BF1"/>
    <w:rsid w:val="000B4FF4"/>
    <w:rsid w:val="000B5098"/>
    <w:rsid w:val="000B5590"/>
    <w:rsid w:val="000B568F"/>
    <w:rsid w:val="000B5992"/>
    <w:rsid w:val="000B5B47"/>
    <w:rsid w:val="000B5D5E"/>
    <w:rsid w:val="000B63D8"/>
    <w:rsid w:val="000B6AEA"/>
    <w:rsid w:val="000B6B2E"/>
    <w:rsid w:val="000B6BC7"/>
    <w:rsid w:val="000B6C66"/>
    <w:rsid w:val="000B6CA2"/>
    <w:rsid w:val="000B717E"/>
    <w:rsid w:val="000B7A1D"/>
    <w:rsid w:val="000C0519"/>
    <w:rsid w:val="000C0629"/>
    <w:rsid w:val="000C0671"/>
    <w:rsid w:val="000C08D1"/>
    <w:rsid w:val="000C0D45"/>
    <w:rsid w:val="000C0D7B"/>
    <w:rsid w:val="000C1212"/>
    <w:rsid w:val="000C121E"/>
    <w:rsid w:val="000C131F"/>
    <w:rsid w:val="000C13F0"/>
    <w:rsid w:val="000C1C02"/>
    <w:rsid w:val="000C1CEC"/>
    <w:rsid w:val="000C1E2D"/>
    <w:rsid w:val="000C203B"/>
    <w:rsid w:val="000C2197"/>
    <w:rsid w:val="000C2337"/>
    <w:rsid w:val="000C25F5"/>
    <w:rsid w:val="000C26F5"/>
    <w:rsid w:val="000C28F2"/>
    <w:rsid w:val="000C2B7F"/>
    <w:rsid w:val="000C2C2E"/>
    <w:rsid w:val="000C2C7F"/>
    <w:rsid w:val="000C3003"/>
    <w:rsid w:val="000C3232"/>
    <w:rsid w:val="000C34C1"/>
    <w:rsid w:val="000C37A8"/>
    <w:rsid w:val="000C3957"/>
    <w:rsid w:val="000C3A06"/>
    <w:rsid w:val="000C3D52"/>
    <w:rsid w:val="000C40B3"/>
    <w:rsid w:val="000C4768"/>
    <w:rsid w:val="000C4B1F"/>
    <w:rsid w:val="000C4C03"/>
    <w:rsid w:val="000C4E61"/>
    <w:rsid w:val="000C5029"/>
    <w:rsid w:val="000C51AC"/>
    <w:rsid w:val="000C52A2"/>
    <w:rsid w:val="000C59BC"/>
    <w:rsid w:val="000C5A4D"/>
    <w:rsid w:val="000C5B58"/>
    <w:rsid w:val="000C5B78"/>
    <w:rsid w:val="000C5BCB"/>
    <w:rsid w:val="000C60FC"/>
    <w:rsid w:val="000C63C4"/>
    <w:rsid w:val="000C6560"/>
    <w:rsid w:val="000C6584"/>
    <w:rsid w:val="000C698C"/>
    <w:rsid w:val="000C6A05"/>
    <w:rsid w:val="000C6B26"/>
    <w:rsid w:val="000C6DAE"/>
    <w:rsid w:val="000C7371"/>
    <w:rsid w:val="000C7394"/>
    <w:rsid w:val="000C73B9"/>
    <w:rsid w:val="000C7422"/>
    <w:rsid w:val="000C74D4"/>
    <w:rsid w:val="000C7889"/>
    <w:rsid w:val="000C7AA9"/>
    <w:rsid w:val="000C7C71"/>
    <w:rsid w:val="000C7D9C"/>
    <w:rsid w:val="000C7DF8"/>
    <w:rsid w:val="000D0271"/>
    <w:rsid w:val="000D057C"/>
    <w:rsid w:val="000D0614"/>
    <w:rsid w:val="000D072A"/>
    <w:rsid w:val="000D0947"/>
    <w:rsid w:val="000D09A4"/>
    <w:rsid w:val="000D0BE9"/>
    <w:rsid w:val="000D0E23"/>
    <w:rsid w:val="000D1028"/>
    <w:rsid w:val="000D136D"/>
    <w:rsid w:val="000D14E3"/>
    <w:rsid w:val="000D15CB"/>
    <w:rsid w:val="000D1BE4"/>
    <w:rsid w:val="000D1F3F"/>
    <w:rsid w:val="000D26CD"/>
    <w:rsid w:val="000D28CF"/>
    <w:rsid w:val="000D2A81"/>
    <w:rsid w:val="000D2B20"/>
    <w:rsid w:val="000D2C5E"/>
    <w:rsid w:val="000D2D1C"/>
    <w:rsid w:val="000D2E18"/>
    <w:rsid w:val="000D2F52"/>
    <w:rsid w:val="000D32D4"/>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E8C"/>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AD"/>
    <w:rsid w:val="000E3BB8"/>
    <w:rsid w:val="000E3D2D"/>
    <w:rsid w:val="000E3EC6"/>
    <w:rsid w:val="000E41A3"/>
    <w:rsid w:val="000E4352"/>
    <w:rsid w:val="000E4B73"/>
    <w:rsid w:val="000E4F17"/>
    <w:rsid w:val="000E5115"/>
    <w:rsid w:val="000E518E"/>
    <w:rsid w:val="000E51C0"/>
    <w:rsid w:val="000E53AB"/>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0FC7"/>
    <w:rsid w:val="000F1117"/>
    <w:rsid w:val="000F192B"/>
    <w:rsid w:val="000F1A17"/>
    <w:rsid w:val="000F2055"/>
    <w:rsid w:val="000F2990"/>
    <w:rsid w:val="000F2A73"/>
    <w:rsid w:val="000F2EC9"/>
    <w:rsid w:val="000F3016"/>
    <w:rsid w:val="000F3044"/>
    <w:rsid w:val="000F3234"/>
    <w:rsid w:val="000F34AA"/>
    <w:rsid w:val="000F39F1"/>
    <w:rsid w:val="000F3D3A"/>
    <w:rsid w:val="000F4197"/>
    <w:rsid w:val="000F4214"/>
    <w:rsid w:val="000F42F3"/>
    <w:rsid w:val="000F438A"/>
    <w:rsid w:val="000F460F"/>
    <w:rsid w:val="000F49E8"/>
    <w:rsid w:val="000F4C78"/>
    <w:rsid w:val="000F509F"/>
    <w:rsid w:val="000F524D"/>
    <w:rsid w:val="000F52DA"/>
    <w:rsid w:val="000F538D"/>
    <w:rsid w:val="000F59FB"/>
    <w:rsid w:val="000F5E14"/>
    <w:rsid w:val="000F6058"/>
    <w:rsid w:val="000F646E"/>
    <w:rsid w:val="000F64F1"/>
    <w:rsid w:val="000F68A0"/>
    <w:rsid w:val="000F6B1C"/>
    <w:rsid w:val="000F6B7A"/>
    <w:rsid w:val="000F6E38"/>
    <w:rsid w:val="000F6E4A"/>
    <w:rsid w:val="000F6EE3"/>
    <w:rsid w:val="000F754D"/>
    <w:rsid w:val="000F7633"/>
    <w:rsid w:val="000F78CA"/>
    <w:rsid w:val="000F7BF2"/>
    <w:rsid w:val="000F7CB8"/>
    <w:rsid w:val="000F7D3C"/>
    <w:rsid w:val="00100112"/>
    <w:rsid w:val="0010063A"/>
    <w:rsid w:val="001007FD"/>
    <w:rsid w:val="0010083C"/>
    <w:rsid w:val="00100B25"/>
    <w:rsid w:val="00100F27"/>
    <w:rsid w:val="0010120F"/>
    <w:rsid w:val="00101376"/>
    <w:rsid w:val="0010143B"/>
    <w:rsid w:val="0010143E"/>
    <w:rsid w:val="00101B38"/>
    <w:rsid w:val="00101BB2"/>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CD1"/>
    <w:rsid w:val="00105F72"/>
    <w:rsid w:val="001060C7"/>
    <w:rsid w:val="001061C5"/>
    <w:rsid w:val="00106820"/>
    <w:rsid w:val="001068B7"/>
    <w:rsid w:val="001069E3"/>
    <w:rsid w:val="00106B06"/>
    <w:rsid w:val="00106F25"/>
    <w:rsid w:val="00106F7C"/>
    <w:rsid w:val="00107599"/>
    <w:rsid w:val="00107A8E"/>
    <w:rsid w:val="0011023E"/>
    <w:rsid w:val="0011068F"/>
    <w:rsid w:val="00110717"/>
    <w:rsid w:val="00110A26"/>
    <w:rsid w:val="00110C81"/>
    <w:rsid w:val="00110D00"/>
    <w:rsid w:val="00110DBF"/>
    <w:rsid w:val="00110F2C"/>
    <w:rsid w:val="00110FBE"/>
    <w:rsid w:val="001116D4"/>
    <w:rsid w:val="0011179E"/>
    <w:rsid w:val="00111BAC"/>
    <w:rsid w:val="00111D4E"/>
    <w:rsid w:val="00111E23"/>
    <w:rsid w:val="00111FA8"/>
    <w:rsid w:val="00112245"/>
    <w:rsid w:val="00112299"/>
    <w:rsid w:val="0011232C"/>
    <w:rsid w:val="001126AB"/>
    <w:rsid w:val="001127CC"/>
    <w:rsid w:val="0011287C"/>
    <w:rsid w:val="00112E65"/>
    <w:rsid w:val="00112F8F"/>
    <w:rsid w:val="00113245"/>
    <w:rsid w:val="001133FC"/>
    <w:rsid w:val="001134A1"/>
    <w:rsid w:val="00113552"/>
    <w:rsid w:val="00113582"/>
    <w:rsid w:val="00113781"/>
    <w:rsid w:val="001137A6"/>
    <w:rsid w:val="001139E6"/>
    <w:rsid w:val="0011403A"/>
    <w:rsid w:val="00114189"/>
    <w:rsid w:val="00114576"/>
    <w:rsid w:val="001146AD"/>
    <w:rsid w:val="00114789"/>
    <w:rsid w:val="00114B0A"/>
    <w:rsid w:val="00114C57"/>
    <w:rsid w:val="00114F3A"/>
    <w:rsid w:val="001155BC"/>
    <w:rsid w:val="00115730"/>
    <w:rsid w:val="0011587B"/>
    <w:rsid w:val="00116051"/>
    <w:rsid w:val="001160C5"/>
    <w:rsid w:val="00116177"/>
    <w:rsid w:val="0011652E"/>
    <w:rsid w:val="001165AE"/>
    <w:rsid w:val="001165D8"/>
    <w:rsid w:val="001167C6"/>
    <w:rsid w:val="001167C8"/>
    <w:rsid w:val="001169CC"/>
    <w:rsid w:val="00116AAC"/>
    <w:rsid w:val="00116B75"/>
    <w:rsid w:val="00116D81"/>
    <w:rsid w:val="00116F4F"/>
    <w:rsid w:val="001173A8"/>
    <w:rsid w:val="00117404"/>
    <w:rsid w:val="00117A0C"/>
    <w:rsid w:val="0012016D"/>
    <w:rsid w:val="001203D4"/>
    <w:rsid w:val="00120591"/>
    <w:rsid w:val="0012063F"/>
    <w:rsid w:val="0012081A"/>
    <w:rsid w:val="00120A6A"/>
    <w:rsid w:val="00120A86"/>
    <w:rsid w:val="00120AB1"/>
    <w:rsid w:val="0012158F"/>
    <w:rsid w:val="00121C16"/>
    <w:rsid w:val="00121CFD"/>
    <w:rsid w:val="00121D25"/>
    <w:rsid w:val="0012227A"/>
    <w:rsid w:val="001224A3"/>
    <w:rsid w:val="00122BA4"/>
    <w:rsid w:val="001230A0"/>
    <w:rsid w:val="001230F3"/>
    <w:rsid w:val="001231A5"/>
    <w:rsid w:val="001234DF"/>
    <w:rsid w:val="001235D7"/>
    <w:rsid w:val="00123F0A"/>
    <w:rsid w:val="00124417"/>
    <w:rsid w:val="00124505"/>
    <w:rsid w:val="001245FB"/>
    <w:rsid w:val="00124A3D"/>
    <w:rsid w:val="00125135"/>
    <w:rsid w:val="001252CA"/>
    <w:rsid w:val="001252F2"/>
    <w:rsid w:val="00125319"/>
    <w:rsid w:val="00125470"/>
    <w:rsid w:val="00125491"/>
    <w:rsid w:val="00125A67"/>
    <w:rsid w:val="00125EEF"/>
    <w:rsid w:val="0012608D"/>
    <w:rsid w:val="001260BC"/>
    <w:rsid w:val="0012611A"/>
    <w:rsid w:val="00126125"/>
    <w:rsid w:val="001268C2"/>
    <w:rsid w:val="001269FF"/>
    <w:rsid w:val="00126CBD"/>
    <w:rsid w:val="00126E90"/>
    <w:rsid w:val="00127157"/>
    <w:rsid w:val="001271AE"/>
    <w:rsid w:val="001272C9"/>
    <w:rsid w:val="001272F9"/>
    <w:rsid w:val="001273FD"/>
    <w:rsid w:val="00127E76"/>
    <w:rsid w:val="001303F8"/>
    <w:rsid w:val="001304AD"/>
    <w:rsid w:val="00130697"/>
    <w:rsid w:val="00130D68"/>
    <w:rsid w:val="00130D6C"/>
    <w:rsid w:val="00130DE5"/>
    <w:rsid w:val="0013119E"/>
    <w:rsid w:val="001316FC"/>
    <w:rsid w:val="00131E94"/>
    <w:rsid w:val="00131F16"/>
    <w:rsid w:val="00131F9D"/>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70"/>
    <w:rsid w:val="001346BE"/>
    <w:rsid w:val="00134BA4"/>
    <w:rsid w:val="00134E3C"/>
    <w:rsid w:val="00135082"/>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578"/>
    <w:rsid w:val="001377B6"/>
    <w:rsid w:val="00137861"/>
    <w:rsid w:val="00137B70"/>
    <w:rsid w:val="00137C75"/>
    <w:rsid w:val="001406FF"/>
    <w:rsid w:val="0014081B"/>
    <w:rsid w:val="0014083C"/>
    <w:rsid w:val="00140BD7"/>
    <w:rsid w:val="00140D9B"/>
    <w:rsid w:val="00140E08"/>
    <w:rsid w:val="00141331"/>
    <w:rsid w:val="0014141E"/>
    <w:rsid w:val="00141451"/>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6F"/>
    <w:rsid w:val="00143975"/>
    <w:rsid w:val="001439FD"/>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3DD"/>
    <w:rsid w:val="00145561"/>
    <w:rsid w:val="0014558A"/>
    <w:rsid w:val="001455E9"/>
    <w:rsid w:val="00145958"/>
    <w:rsid w:val="0014596A"/>
    <w:rsid w:val="00145CC9"/>
    <w:rsid w:val="00145CD4"/>
    <w:rsid w:val="001464BB"/>
    <w:rsid w:val="00146D46"/>
    <w:rsid w:val="00146FA2"/>
    <w:rsid w:val="00147584"/>
    <w:rsid w:val="00147900"/>
    <w:rsid w:val="001479ED"/>
    <w:rsid w:val="00147BFC"/>
    <w:rsid w:val="00147DB1"/>
    <w:rsid w:val="00147DCD"/>
    <w:rsid w:val="00147E48"/>
    <w:rsid w:val="00150856"/>
    <w:rsid w:val="001508C9"/>
    <w:rsid w:val="00150E78"/>
    <w:rsid w:val="001511B5"/>
    <w:rsid w:val="001512C1"/>
    <w:rsid w:val="0015156E"/>
    <w:rsid w:val="0015159B"/>
    <w:rsid w:val="001516EE"/>
    <w:rsid w:val="00151AC8"/>
    <w:rsid w:val="00151B6C"/>
    <w:rsid w:val="00151BA1"/>
    <w:rsid w:val="00151EEF"/>
    <w:rsid w:val="0015257A"/>
    <w:rsid w:val="00152A69"/>
    <w:rsid w:val="00152E71"/>
    <w:rsid w:val="00152FE0"/>
    <w:rsid w:val="001531AD"/>
    <w:rsid w:val="001536D8"/>
    <w:rsid w:val="001538B4"/>
    <w:rsid w:val="00153F4B"/>
    <w:rsid w:val="00154051"/>
    <w:rsid w:val="001541EB"/>
    <w:rsid w:val="001543D4"/>
    <w:rsid w:val="0015445C"/>
    <w:rsid w:val="0015450F"/>
    <w:rsid w:val="00154B6D"/>
    <w:rsid w:val="00154E72"/>
    <w:rsid w:val="00154E9A"/>
    <w:rsid w:val="0015523D"/>
    <w:rsid w:val="00155383"/>
    <w:rsid w:val="00155633"/>
    <w:rsid w:val="00155FB6"/>
    <w:rsid w:val="00156664"/>
    <w:rsid w:val="00156972"/>
    <w:rsid w:val="00156AC5"/>
    <w:rsid w:val="00156F5B"/>
    <w:rsid w:val="00157106"/>
    <w:rsid w:val="0015713F"/>
    <w:rsid w:val="00157371"/>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5D8"/>
    <w:rsid w:val="00161603"/>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3E1A"/>
    <w:rsid w:val="0016402E"/>
    <w:rsid w:val="0016426E"/>
    <w:rsid w:val="00164771"/>
    <w:rsid w:val="00164F34"/>
    <w:rsid w:val="00164F57"/>
    <w:rsid w:val="00165460"/>
    <w:rsid w:val="00165EAD"/>
    <w:rsid w:val="00165FED"/>
    <w:rsid w:val="0016620E"/>
    <w:rsid w:val="001662C0"/>
    <w:rsid w:val="001664D3"/>
    <w:rsid w:val="0016667B"/>
    <w:rsid w:val="00166753"/>
    <w:rsid w:val="001667A9"/>
    <w:rsid w:val="00166A4D"/>
    <w:rsid w:val="00166C65"/>
    <w:rsid w:val="00166E16"/>
    <w:rsid w:val="00167185"/>
    <w:rsid w:val="001671D2"/>
    <w:rsid w:val="0016734E"/>
    <w:rsid w:val="0016766F"/>
    <w:rsid w:val="00167739"/>
    <w:rsid w:val="001677D2"/>
    <w:rsid w:val="00167947"/>
    <w:rsid w:val="00167B7A"/>
    <w:rsid w:val="00170327"/>
    <w:rsid w:val="00170450"/>
    <w:rsid w:val="00170650"/>
    <w:rsid w:val="00170752"/>
    <w:rsid w:val="001707B5"/>
    <w:rsid w:val="0017134C"/>
    <w:rsid w:val="0017157D"/>
    <w:rsid w:val="001715BD"/>
    <w:rsid w:val="00171B16"/>
    <w:rsid w:val="001721E1"/>
    <w:rsid w:val="00172229"/>
    <w:rsid w:val="00172467"/>
    <w:rsid w:val="00172780"/>
    <w:rsid w:val="001729CE"/>
    <w:rsid w:val="00172A2E"/>
    <w:rsid w:val="00172B99"/>
    <w:rsid w:val="00172D67"/>
    <w:rsid w:val="00172E95"/>
    <w:rsid w:val="00173329"/>
    <w:rsid w:val="00173821"/>
    <w:rsid w:val="00174BD5"/>
    <w:rsid w:val="00174E30"/>
    <w:rsid w:val="00175145"/>
    <w:rsid w:val="0017520D"/>
    <w:rsid w:val="0017542C"/>
    <w:rsid w:val="001754A4"/>
    <w:rsid w:val="00175CE4"/>
    <w:rsid w:val="00175D8D"/>
    <w:rsid w:val="00175EDA"/>
    <w:rsid w:val="0017625D"/>
    <w:rsid w:val="00176294"/>
    <w:rsid w:val="001762D6"/>
    <w:rsid w:val="00176395"/>
    <w:rsid w:val="001767C6"/>
    <w:rsid w:val="00176886"/>
    <w:rsid w:val="0017692B"/>
    <w:rsid w:val="00176C58"/>
    <w:rsid w:val="00176E6E"/>
    <w:rsid w:val="00176E78"/>
    <w:rsid w:val="0017711F"/>
    <w:rsid w:val="001772BA"/>
    <w:rsid w:val="00177D11"/>
    <w:rsid w:val="0018015B"/>
    <w:rsid w:val="001806A7"/>
    <w:rsid w:val="0018085C"/>
    <w:rsid w:val="00180C95"/>
    <w:rsid w:val="00180D07"/>
    <w:rsid w:val="00180E29"/>
    <w:rsid w:val="00180F16"/>
    <w:rsid w:val="0018108B"/>
    <w:rsid w:val="001810B9"/>
    <w:rsid w:val="001811A0"/>
    <w:rsid w:val="001815B8"/>
    <w:rsid w:val="001815FB"/>
    <w:rsid w:val="001816A6"/>
    <w:rsid w:val="00181821"/>
    <w:rsid w:val="001819BE"/>
    <w:rsid w:val="00181DBE"/>
    <w:rsid w:val="0018201F"/>
    <w:rsid w:val="0018228D"/>
    <w:rsid w:val="00182367"/>
    <w:rsid w:val="001826DB"/>
    <w:rsid w:val="0018271B"/>
    <w:rsid w:val="0018280C"/>
    <w:rsid w:val="00182BAC"/>
    <w:rsid w:val="00182BFA"/>
    <w:rsid w:val="00182E37"/>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AF8"/>
    <w:rsid w:val="00185C1A"/>
    <w:rsid w:val="00185CE4"/>
    <w:rsid w:val="00185D0E"/>
    <w:rsid w:val="00186113"/>
    <w:rsid w:val="00186249"/>
    <w:rsid w:val="0018696A"/>
    <w:rsid w:val="00186A2D"/>
    <w:rsid w:val="00186C23"/>
    <w:rsid w:val="00186F1C"/>
    <w:rsid w:val="00186FCC"/>
    <w:rsid w:val="001870E6"/>
    <w:rsid w:val="00187858"/>
    <w:rsid w:val="00187892"/>
    <w:rsid w:val="001878D9"/>
    <w:rsid w:val="00187B32"/>
    <w:rsid w:val="00187B4D"/>
    <w:rsid w:val="00187F67"/>
    <w:rsid w:val="0019008D"/>
    <w:rsid w:val="0019022B"/>
    <w:rsid w:val="001902F0"/>
    <w:rsid w:val="0019037D"/>
    <w:rsid w:val="0019044D"/>
    <w:rsid w:val="0019126B"/>
    <w:rsid w:val="00191483"/>
    <w:rsid w:val="0019155A"/>
    <w:rsid w:val="00191C4F"/>
    <w:rsid w:val="00191C9E"/>
    <w:rsid w:val="00191F3A"/>
    <w:rsid w:val="001921F0"/>
    <w:rsid w:val="00192350"/>
    <w:rsid w:val="001924F6"/>
    <w:rsid w:val="001925CE"/>
    <w:rsid w:val="00192896"/>
    <w:rsid w:val="00192CCC"/>
    <w:rsid w:val="00193066"/>
    <w:rsid w:val="00193278"/>
    <w:rsid w:val="00193417"/>
    <w:rsid w:val="00193479"/>
    <w:rsid w:val="00193657"/>
    <w:rsid w:val="0019388E"/>
    <w:rsid w:val="00193AA2"/>
    <w:rsid w:val="00193C5E"/>
    <w:rsid w:val="00193EA6"/>
    <w:rsid w:val="0019433F"/>
    <w:rsid w:val="00194836"/>
    <w:rsid w:val="00194CA1"/>
    <w:rsid w:val="00194F95"/>
    <w:rsid w:val="00195201"/>
    <w:rsid w:val="0019530E"/>
    <w:rsid w:val="00195857"/>
    <w:rsid w:val="00195A1C"/>
    <w:rsid w:val="00195C26"/>
    <w:rsid w:val="00195DE7"/>
    <w:rsid w:val="00195DFE"/>
    <w:rsid w:val="00195EF9"/>
    <w:rsid w:val="001960A6"/>
    <w:rsid w:val="00196123"/>
    <w:rsid w:val="001963C9"/>
    <w:rsid w:val="00196771"/>
    <w:rsid w:val="00196E4C"/>
    <w:rsid w:val="00196F3D"/>
    <w:rsid w:val="0019711B"/>
    <w:rsid w:val="00197327"/>
    <w:rsid w:val="00197401"/>
    <w:rsid w:val="001976BC"/>
    <w:rsid w:val="0019788A"/>
    <w:rsid w:val="0019799A"/>
    <w:rsid w:val="00197C0F"/>
    <w:rsid w:val="00197F36"/>
    <w:rsid w:val="00197F8E"/>
    <w:rsid w:val="001A028B"/>
    <w:rsid w:val="001A02FE"/>
    <w:rsid w:val="001A0769"/>
    <w:rsid w:val="001A07BE"/>
    <w:rsid w:val="001A0BFC"/>
    <w:rsid w:val="001A0C72"/>
    <w:rsid w:val="001A0F7A"/>
    <w:rsid w:val="001A105E"/>
    <w:rsid w:val="001A1129"/>
    <w:rsid w:val="001A116E"/>
    <w:rsid w:val="001A13CA"/>
    <w:rsid w:val="001A1A11"/>
    <w:rsid w:val="001A2056"/>
    <w:rsid w:val="001A2326"/>
    <w:rsid w:val="001A25C7"/>
    <w:rsid w:val="001A26F2"/>
    <w:rsid w:val="001A27A6"/>
    <w:rsid w:val="001A2A9D"/>
    <w:rsid w:val="001A2AD1"/>
    <w:rsid w:val="001A2B3E"/>
    <w:rsid w:val="001A2DE5"/>
    <w:rsid w:val="001A3215"/>
    <w:rsid w:val="001A3375"/>
    <w:rsid w:val="001A33B9"/>
    <w:rsid w:val="001A3585"/>
    <w:rsid w:val="001A35C2"/>
    <w:rsid w:val="001A3637"/>
    <w:rsid w:val="001A37C6"/>
    <w:rsid w:val="001A3B7D"/>
    <w:rsid w:val="001A3C51"/>
    <w:rsid w:val="001A3C77"/>
    <w:rsid w:val="001A409E"/>
    <w:rsid w:val="001A4780"/>
    <w:rsid w:val="001A478A"/>
    <w:rsid w:val="001A48CD"/>
    <w:rsid w:val="001A4ACD"/>
    <w:rsid w:val="001A4B57"/>
    <w:rsid w:val="001A530A"/>
    <w:rsid w:val="001A592A"/>
    <w:rsid w:val="001A5C8D"/>
    <w:rsid w:val="001A602E"/>
    <w:rsid w:val="001A6136"/>
    <w:rsid w:val="001A6342"/>
    <w:rsid w:val="001A652B"/>
    <w:rsid w:val="001A657D"/>
    <w:rsid w:val="001A672E"/>
    <w:rsid w:val="001A713F"/>
    <w:rsid w:val="001A71CB"/>
    <w:rsid w:val="001A7384"/>
    <w:rsid w:val="001A77CA"/>
    <w:rsid w:val="001A788E"/>
    <w:rsid w:val="001A7B13"/>
    <w:rsid w:val="001A7E12"/>
    <w:rsid w:val="001A7F1C"/>
    <w:rsid w:val="001B0143"/>
    <w:rsid w:val="001B03DD"/>
    <w:rsid w:val="001B0472"/>
    <w:rsid w:val="001B0608"/>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2DAA"/>
    <w:rsid w:val="001B40F8"/>
    <w:rsid w:val="001B4C87"/>
    <w:rsid w:val="001B55DF"/>
    <w:rsid w:val="001B5802"/>
    <w:rsid w:val="001B5903"/>
    <w:rsid w:val="001B592F"/>
    <w:rsid w:val="001B5AA9"/>
    <w:rsid w:val="001B5C7B"/>
    <w:rsid w:val="001B5EAC"/>
    <w:rsid w:val="001B5F95"/>
    <w:rsid w:val="001B5F9E"/>
    <w:rsid w:val="001B616C"/>
    <w:rsid w:val="001B627A"/>
    <w:rsid w:val="001B6C5E"/>
    <w:rsid w:val="001B75FB"/>
    <w:rsid w:val="001B7650"/>
    <w:rsid w:val="001B76F4"/>
    <w:rsid w:val="001B77C3"/>
    <w:rsid w:val="001B78E9"/>
    <w:rsid w:val="001B7BF7"/>
    <w:rsid w:val="001B7E08"/>
    <w:rsid w:val="001C00B3"/>
    <w:rsid w:val="001C0611"/>
    <w:rsid w:val="001C0AEC"/>
    <w:rsid w:val="001C0F26"/>
    <w:rsid w:val="001C114E"/>
    <w:rsid w:val="001C15E4"/>
    <w:rsid w:val="001C18F7"/>
    <w:rsid w:val="001C1B16"/>
    <w:rsid w:val="001C1E10"/>
    <w:rsid w:val="001C1E86"/>
    <w:rsid w:val="001C1FEF"/>
    <w:rsid w:val="001C2900"/>
    <w:rsid w:val="001C2C05"/>
    <w:rsid w:val="001C2EC9"/>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D49"/>
    <w:rsid w:val="001C4E94"/>
    <w:rsid w:val="001C4E99"/>
    <w:rsid w:val="001C5048"/>
    <w:rsid w:val="001C5199"/>
    <w:rsid w:val="001C51E6"/>
    <w:rsid w:val="001C54A9"/>
    <w:rsid w:val="001C5504"/>
    <w:rsid w:val="001C567D"/>
    <w:rsid w:val="001C57B1"/>
    <w:rsid w:val="001C5CF2"/>
    <w:rsid w:val="001C5D60"/>
    <w:rsid w:val="001C6263"/>
    <w:rsid w:val="001C62B5"/>
    <w:rsid w:val="001C62F4"/>
    <w:rsid w:val="001C65AB"/>
    <w:rsid w:val="001C685A"/>
    <w:rsid w:val="001C6985"/>
    <w:rsid w:val="001C6E80"/>
    <w:rsid w:val="001C6ECA"/>
    <w:rsid w:val="001C7153"/>
    <w:rsid w:val="001C7259"/>
    <w:rsid w:val="001C7405"/>
    <w:rsid w:val="001C77D6"/>
    <w:rsid w:val="001C7827"/>
    <w:rsid w:val="001C78B4"/>
    <w:rsid w:val="001C7A9D"/>
    <w:rsid w:val="001C7BD4"/>
    <w:rsid w:val="001C7CA1"/>
    <w:rsid w:val="001D0337"/>
    <w:rsid w:val="001D065F"/>
    <w:rsid w:val="001D09D0"/>
    <w:rsid w:val="001D0C7F"/>
    <w:rsid w:val="001D14AC"/>
    <w:rsid w:val="001D169E"/>
    <w:rsid w:val="001D19A9"/>
    <w:rsid w:val="001D1A87"/>
    <w:rsid w:val="001D1AF1"/>
    <w:rsid w:val="001D2208"/>
    <w:rsid w:val="001D25CB"/>
    <w:rsid w:val="001D285A"/>
    <w:rsid w:val="001D2ABC"/>
    <w:rsid w:val="001D2C2E"/>
    <w:rsid w:val="001D2C3C"/>
    <w:rsid w:val="001D2CD5"/>
    <w:rsid w:val="001D2FB6"/>
    <w:rsid w:val="001D3055"/>
    <w:rsid w:val="001D3540"/>
    <w:rsid w:val="001D371D"/>
    <w:rsid w:val="001D38C2"/>
    <w:rsid w:val="001D39DF"/>
    <w:rsid w:val="001D39FD"/>
    <w:rsid w:val="001D46DF"/>
    <w:rsid w:val="001D487A"/>
    <w:rsid w:val="001D48A4"/>
    <w:rsid w:val="001D48C9"/>
    <w:rsid w:val="001D4BFF"/>
    <w:rsid w:val="001D507A"/>
    <w:rsid w:val="001D5589"/>
    <w:rsid w:val="001D599D"/>
    <w:rsid w:val="001D5DD4"/>
    <w:rsid w:val="001D61BD"/>
    <w:rsid w:val="001D70BF"/>
    <w:rsid w:val="001D75E3"/>
    <w:rsid w:val="001D7654"/>
    <w:rsid w:val="001D7BCD"/>
    <w:rsid w:val="001D7BE3"/>
    <w:rsid w:val="001D7F7E"/>
    <w:rsid w:val="001E00D9"/>
    <w:rsid w:val="001E04DE"/>
    <w:rsid w:val="001E05B5"/>
    <w:rsid w:val="001E0A77"/>
    <w:rsid w:val="001E0AE6"/>
    <w:rsid w:val="001E0E65"/>
    <w:rsid w:val="001E0F47"/>
    <w:rsid w:val="001E103A"/>
    <w:rsid w:val="001E13C5"/>
    <w:rsid w:val="001E17C4"/>
    <w:rsid w:val="001E1877"/>
    <w:rsid w:val="001E18AC"/>
    <w:rsid w:val="001E1926"/>
    <w:rsid w:val="001E1ADF"/>
    <w:rsid w:val="001E21EB"/>
    <w:rsid w:val="001E233C"/>
    <w:rsid w:val="001E27EC"/>
    <w:rsid w:val="001E2B27"/>
    <w:rsid w:val="001E2DC3"/>
    <w:rsid w:val="001E2E26"/>
    <w:rsid w:val="001E2E8E"/>
    <w:rsid w:val="001E2EF4"/>
    <w:rsid w:val="001E35BF"/>
    <w:rsid w:val="001E35D2"/>
    <w:rsid w:val="001E365E"/>
    <w:rsid w:val="001E37CF"/>
    <w:rsid w:val="001E39C5"/>
    <w:rsid w:val="001E4B1D"/>
    <w:rsid w:val="001E52D0"/>
    <w:rsid w:val="001E5479"/>
    <w:rsid w:val="001E55CD"/>
    <w:rsid w:val="001E5737"/>
    <w:rsid w:val="001E5A53"/>
    <w:rsid w:val="001E5B59"/>
    <w:rsid w:val="001E5BBC"/>
    <w:rsid w:val="001E5F29"/>
    <w:rsid w:val="001E608C"/>
    <w:rsid w:val="001E60B4"/>
    <w:rsid w:val="001E6435"/>
    <w:rsid w:val="001E6802"/>
    <w:rsid w:val="001E691E"/>
    <w:rsid w:val="001E6AFD"/>
    <w:rsid w:val="001E6B0E"/>
    <w:rsid w:val="001E6D5D"/>
    <w:rsid w:val="001E740B"/>
    <w:rsid w:val="001E75E4"/>
    <w:rsid w:val="001E7DE6"/>
    <w:rsid w:val="001E7E60"/>
    <w:rsid w:val="001F0158"/>
    <w:rsid w:val="001F018E"/>
    <w:rsid w:val="001F019F"/>
    <w:rsid w:val="001F04D5"/>
    <w:rsid w:val="001F051D"/>
    <w:rsid w:val="001F06D7"/>
    <w:rsid w:val="001F07B9"/>
    <w:rsid w:val="001F0904"/>
    <w:rsid w:val="001F0B04"/>
    <w:rsid w:val="001F0C13"/>
    <w:rsid w:val="001F0F6E"/>
    <w:rsid w:val="001F126D"/>
    <w:rsid w:val="001F157A"/>
    <w:rsid w:val="001F166E"/>
    <w:rsid w:val="001F179D"/>
    <w:rsid w:val="001F1868"/>
    <w:rsid w:val="001F1A82"/>
    <w:rsid w:val="001F1B25"/>
    <w:rsid w:val="001F1BE1"/>
    <w:rsid w:val="001F1CE9"/>
    <w:rsid w:val="001F1D33"/>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5D7"/>
    <w:rsid w:val="001F4B16"/>
    <w:rsid w:val="001F4B25"/>
    <w:rsid w:val="001F4C39"/>
    <w:rsid w:val="001F4DE2"/>
    <w:rsid w:val="001F5EEA"/>
    <w:rsid w:val="001F600F"/>
    <w:rsid w:val="001F62EA"/>
    <w:rsid w:val="001F65A3"/>
    <w:rsid w:val="001F6756"/>
    <w:rsid w:val="001F6856"/>
    <w:rsid w:val="001F6F1E"/>
    <w:rsid w:val="001F7258"/>
    <w:rsid w:val="001F73D9"/>
    <w:rsid w:val="001F7478"/>
    <w:rsid w:val="001F7646"/>
    <w:rsid w:val="001F7D07"/>
    <w:rsid w:val="001F7EDD"/>
    <w:rsid w:val="001F7FCA"/>
    <w:rsid w:val="00200212"/>
    <w:rsid w:val="002008BE"/>
    <w:rsid w:val="0020111B"/>
    <w:rsid w:val="002013D5"/>
    <w:rsid w:val="002019C7"/>
    <w:rsid w:val="00201C08"/>
    <w:rsid w:val="00201F1D"/>
    <w:rsid w:val="00201FE8"/>
    <w:rsid w:val="00201FEF"/>
    <w:rsid w:val="002024FC"/>
    <w:rsid w:val="00202553"/>
    <w:rsid w:val="0020264D"/>
    <w:rsid w:val="002027BD"/>
    <w:rsid w:val="00202846"/>
    <w:rsid w:val="0020291A"/>
    <w:rsid w:val="00202936"/>
    <w:rsid w:val="00202970"/>
    <w:rsid w:val="00202AE4"/>
    <w:rsid w:val="002031C1"/>
    <w:rsid w:val="00203830"/>
    <w:rsid w:val="00203AFC"/>
    <w:rsid w:val="00203C7A"/>
    <w:rsid w:val="00203D79"/>
    <w:rsid w:val="0020406F"/>
    <w:rsid w:val="00204194"/>
    <w:rsid w:val="00204411"/>
    <w:rsid w:val="0020482F"/>
    <w:rsid w:val="00204A35"/>
    <w:rsid w:val="00204F84"/>
    <w:rsid w:val="00205192"/>
    <w:rsid w:val="002051D4"/>
    <w:rsid w:val="00205368"/>
    <w:rsid w:val="002053A2"/>
    <w:rsid w:val="002053E5"/>
    <w:rsid w:val="00205678"/>
    <w:rsid w:val="00205758"/>
    <w:rsid w:val="00205786"/>
    <w:rsid w:val="00205B56"/>
    <w:rsid w:val="00205C40"/>
    <w:rsid w:val="00205EF7"/>
    <w:rsid w:val="0020627A"/>
    <w:rsid w:val="0020640C"/>
    <w:rsid w:val="002067C9"/>
    <w:rsid w:val="002069B7"/>
    <w:rsid w:val="00206B72"/>
    <w:rsid w:val="00206CE5"/>
    <w:rsid w:val="00206F81"/>
    <w:rsid w:val="00207016"/>
    <w:rsid w:val="00207BAE"/>
    <w:rsid w:val="002102F6"/>
    <w:rsid w:val="002104A6"/>
    <w:rsid w:val="00210673"/>
    <w:rsid w:val="00210D2D"/>
    <w:rsid w:val="00210E6B"/>
    <w:rsid w:val="00210FC2"/>
    <w:rsid w:val="00211245"/>
    <w:rsid w:val="00211381"/>
    <w:rsid w:val="00211389"/>
    <w:rsid w:val="00211634"/>
    <w:rsid w:val="0021164B"/>
    <w:rsid w:val="002116B8"/>
    <w:rsid w:val="00211EF5"/>
    <w:rsid w:val="002121E4"/>
    <w:rsid w:val="002121FC"/>
    <w:rsid w:val="0021222A"/>
    <w:rsid w:val="002125F9"/>
    <w:rsid w:val="002125FF"/>
    <w:rsid w:val="00212601"/>
    <w:rsid w:val="00212A13"/>
    <w:rsid w:val="00212A82"/>
    <w:rsid w:val="00212C1C"/>
    <w:rsid w:val="002130D5"/>
    <w:rsid w:val="00213330"/>
    <w:rsid w:val="002137DF"/>
    <w:rsid w:val="00213957"/>
    <w:rsid w:val="00213A28"/>
    <w:rsid w:val="00213D3C"/>
    <w:rsid w:val="00213DCF"/>
    <w:rsid w:val="00213DF2"/>
    <w:rsid w:val="00213EEE"/>
    <w:rsid w:val="00214143"/>
    <w:rsid w:val="0021448A"/>
    <w:rsid w:val="00214773"/>
    <w:rsid w:val="00214CC7"/>
    <w:rsid w:val="00214D3F"/>
    <w:rsid w:val="00214FEB"/>
    <w:rsid w:val="0021514C"/>
    <w:rsid w:val="002151CC"/>
    <w:rsid w:val="00215238"/>
    <w:rsid w:val="00215773"/>
    <w:rsid w:val="00215B62"/>
    <w:rsid w:val="00215C8E"/>
    <w:rsid w:val="00216014"/>
    <w:rsid w:val="00216207"/>
    <w:rsid w:val="0021646B"/>
    <w:rsid w:val="002165C7"/>
    <w:rsid w:val="002168AE"/>
    <w:rsid w:val="0021698E"/>
    <w:rsid w:val="00216A72"/>
    <w:rsid w:val="00216C14"/>
    <w:rsid w:val="00216CCB"/>
    <w:rsid w:val="00216E8F"/>
    <w:rsid w:val="00216FD9"/>
    <w:rsid w:val="0021707D"/>
    <w:rsid w:val="00217811"/>
    <w:rsid w:val="00217A0E"/>
    <w:rsid w:val="00220005"/>
    <w:rsid w:val="0022005D"/>
    <w:rsid w:val="00220C5A"/>
    <w:rsid w:val="00220E16"/>
    <w:rsid w:val="00221055"/>
    <w:rsid w:val="00221421"/>
    <w:rsid w:val="00221450"/>
    <w:rsid w:val="002214C9"/>
    <w:rsid w:val="00221D4E"/>
    <w:rsid w:val="00221D83"/>
    <w:rsid w:val="00221EF8"/>
    <w:rsid w:val="00221F4F"/>
    <w:rsid w:val="00222216"/>
    <w:rsid w:val="00222241"/>
    <w:rsid w:val="00222296"/>
    <w:rsid w:val="002222E1"/>
    <w:rsid w:val="002224A3"/>
    <w:rsid w:val="00222779"/>
    <w:rsid w:val="00222811"/>
    <w:rsid w:val="00223627"/>
    <w:rsid w:val="00223985"/>
    <w:rsid w:val="00223C32"/>
    <w:rsid w:val="00223D80"/>
    <w:rsid w:val="00224131"/>
    <w:rsid w:val="00224B81"/>
    <w:rsid w:val="00224C31"/>
    <w:rsid w:val="00224DB1"/>
    <w:rsid w:val="00225079"/>
    <w:rsid w:val="002252F7"/>
    <w:rsid w:val="0022562C"/>
    <w:rsid w:val="0022588B"/>
    <w:rsid w:val="00225B2A"/>
    <w:rsid w:val="00225BD5"/>
    <w:rsid w:val="0022618F"/>
    <w:rsid w:val="00226480"/>
    <w:rsid w:val="00226B61"/>
    <w:rsid w:val="00226C0B"/>
    <w:rsid w:val="00226CB0"/>
    <w:rsid w:val="00226F4A"/>
    <w:rsid w:val="00227337"/>
    <w:rsid w:val="00227508"/>
    <w:rsid w:val="00227B03"/>
    <w:rsid w:val="00227F84"/>
    <w:rsid w:val="002304FF"/>
    <w:rsid w:val="00230728"/>
    <w:rsid w:val="002307F3"/>
    <w:rsid w:val="002308E1"/>
    <w:rsid w:val="002309E8"/>
    <w:rsid w:val="00230AC8"/>
    <w:rsid w:val="00230C63"/>
    <w:rsid w:val="00230CBE"/>
    <w:rsid w:val="00230D69"/>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DBB"/>
    <w:rsid w:val="00233F8F"/>
    <w:rsid w:val="00234111"/>
    <w:rsid w:val="00234207"/>
    <w:rsid w:val="002344EC"/>
    <w:rsid w:val="0023468B"/>
    <w:rsid w:val="00234717"/>
    <w:rsid w:val="00234B4B"/>
    <w:rsid w:val="00234B5F"/>
    <w:rsid w:val="00234DBF"/>
    <w:rsid w:val="00235054"/>
    <w:rsid w:val="00235292"/>
    <w:rsid w:val="002352AF"/>
    <w:rsid w:val="00235448"/>
    <w:rsid w:val="002354BB"/>
    <w:rsid w:val="0023599E"/>
    <w:rsid w:val="00235B3F"/>
    <w:rsid w:val="00235F58"/>
    <w:rsid w:val="002362FD"/>
    <w:rsid w:val="002363DF"/>
    <w:rsid w:val="002366AC"/>
    <w:rsid w:val="002366DD"/>
    <w:rsid w:val="00236A29"/>
    <w:rsid w:val="00236E9F"/>
    <w:rsid w:val="00237A44"/>
    <w:rsid w:val="00237BC1"/>
    <w:rsid w:val="00237D72"/>
    <w:rsid w:val="0024010C"/>
    <w:rsid w:val="002405B2"/>
    <w:rsid w:val="0024061C"/>
    <w:rsid w:val="0024082D"/>
    <w:rsid w:val="0024082E"/>
    <w:rsid w:val="00241021"/>
    <w:rsid w:val="0024107A"/>
    <w:rsid w:val="002411E8"/>
    <w:rsid w:val="002417AE"/>
    <w:rsid w:val="00241A71"/>
    <w:rsid w:val="00241BC8"/>
    <w:rsid w:val="00241BD2"/>
    <w:rsid w:val="00241D41"/>
    <w:rsid w:val="002422D8"/>
    <w:rsid w:val="0024280E"/>
    <w:rsid w:val="00242895"/>
    <w:rsid w:val="002429EB"/>
    <w:rsid w:val="00242D9E"/>
    <w:rsid w:val="00242F37"/>
    <w:rsid w:val="00243224"/>
    <w:rsid w:val="002434A7"/>
    <w:rsid w:val="00243CBD"/>
    <w:rsid w:val="00244291"/>
    <w:rsid w:val="00244512"/>
    <w:rsid w:val="002447CC"/>
    <w:rsid w:val="00244882"/>
    <w:rsid w:val="00244932"/>
    <w:rsid w:val="00244CD1"/>
    <w:rsid w:val="00245225"/>
    <w:rsid w:val="0024556F"/>
    <w:rsid w:val="002459B6"/>
    <w:rsid w:val="00246013"/>
    <w:rsid w:val="00246834"/>
    <w:rsid w:val="00246851"/>
    <w:rsid w:val="002468AE"/>
    <w:rsid w:val="00246B17"/>
    <w:rsid w:val="00246D02"/>
    <w:rsid w:val="00246D9D"/>
    <w:rsid w:val="0024707B"/>
    <w:rsid w:val="00247828"/>
    <w:rsid w:val="00247935"/>
    <w:rsid w:val="00247C1D"/>
    <w:rsid w:val="002504BA"/>
    <w:rsid w:val="002507BB"/>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77"/>
    <w:rsid w:val="002530CD"/>
    <w:rsid w:val="00253109"/>
    <w:rsid w:val="00253678"/>
    <w:rsid w:val="00253C48"/>
    <w:rsid w:val="00253FBF"/>
    <w:rsid w:val="002541D0"/>
    <w:rsid w:val="00254571"/>
    <w:rsid w:val="002548B1"/>
    <w:rsid w:val="00254B18"/>
    <w:rsid w:val="00254DC3"/>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101"/>
    <w:rsid w:val="0026126F"/>
    <w:rsid w:val="002612E1"/>
    <w:rsid w:val="00261580"/>
    <w:rsid w:val="00261743"/>
    <w:rsid w:val="00261879"/>
    <w:rsid w:val="00261BE2"/>
    <w:rsid w:val="00261C6D"/>
    <w:rsid w:val="00261D4C"/>
    <w:rsid w:val="002624FC"/>
    <w:rsid w:val="00262513"/>
    <w:rsid w:val="002629FA"/>
    <w:rsid w:val="00262B60"/>
    <w:rsid w:val="00262D26"/>
    <w:rsid w:val="00262F5B"/>
    <w:rsid w:val="00262F63"/>
    <w:rsid w:val="00263072"/>
    <w:rsid w:val="002633FC"/>
    <w:rsid w:val="0026377E"/>
    <w:rsid w:val="0026383F"/>
    <w:rsid w:val="00264169"/>
    <w:rsid w:val="002643FD"/>
    <w:rsid w:val="00264752"/>
    <w:rsid w:val="00264DD7"/>
    <w:rsid w:val="00264FB9"/>
    <w:rsid w:val="002650E3"/>
    <w:rsid w:val="00265465"/>
    <w:rsid w:val="00265673"/>
    <w:rsid w:val="00265B1A"/>
    <w:rsid w:val="00265C25"/>
    <w:rsid w:val="002663A5"/>
    <w:rsid w:val="00266603"/>
    <w:rsid w:val="00266B0F"/>
    <w:rsid w:val="00266DED"/>
    <w:rsid w:val="002671B6"/>
    <w:rsid w:val="002674BC"/>
    <w:rsid w:val="00267C19"/>
    <w:rsid w:val="00267FCC"/>
    <w:rsid w:val="00270866"/>
    <w:rsid w:val="0027098C"/>
    <w:rsid w:val="00270A70"/>
    <w:rsid w:val="00270C5C"/>
    <w:rsid w:val="00270D52"/>
    <w:rsid w:val="00270F23"/>
    <w:rsid w:val="00270F72"/>
    <w:rsid w:val="00271021"/>
    <w:rsid w:val="002711DC"/>
    <w:rsid w:val="002713F9"/>
    <w:rsid w:val="002714C2"/>
    <w:rsid w:val="00271861"/>
    <w:rsid w:val="00271872"/>
    <w:rsid w:val="00271934"/>
    <w:rsid w:val="002721B5"/>
    <w:rsid w:val="00272416"/>
    <w:rsid w:val="00272D29"/>
    <w:rsid w:val="00272E23"/>
    <w:rsid w:val="00273102"/>
    <w:rsid w:val="0027314A"/>
    <w:rsid w:val="002731AD"/>
    <w:rsid w:val="002734D5"/>
    <w:rsid w:val="002736D9"/>
    <w:rsid w:val="00273836"/>
    <w:rsid w:val="00273973"/>
    <w:rsid w:val="00273C7F"/>
    <w:rsid w:val="00273DE8"/>
    <w:rsid w:val="00273FE8"/>
    <w:rsid w:val="002741A6"/>
    <w:rsid w:val="00274375"/>
    <w:rsid w:val="00274494"/>
    <w:rsid w:val="00274B71"/>
    <w:rsid w:val="00274F27"/>
    <w:rsid w:val="00274FA6"/>
    <w:rsid w:val="00275145"/>
    <w:rsid w:val="002751BB"/>
    <w:rsid w:val="002758BA"/>
    <w:rsid w:val="00275A0E"/>
    <w:rsid w:val="00275B34"/>
    <w:rsid w:val="00275E59"/>
    <w:rsid w:val="002765F4"/>
    <w:rsid w:val="00276959"/>
    <w:rsid w:val="00276974"/>
    <w:rsid w:val="002769EA"/>
    <w:rsid w:val="00276BA1"/>
    <w:rsid w:val="00276D40"/>
    <w:rsid w:val="00277476"/>
    <w:rsid w:val="002775A1"/>
    <w:rsid w:val="002775F0"/>
    <w:rsid w:val="00277B3D"/>
    <w:rsid w:val="00277DD9"/>
    <w:rsid w:val="002802DC"/>
    <w:rsid w:val="00280706"/>
    <w:rsid w:val="0028084C"/>
    <w:rsid w:val="00280BBC"/>
    <w:rsid w:val="00280F8D"/>
    <w:rsid w:val="002812CE"/>
    <w:rsid w:val="0028141D"/>
    <w:rsid w:val="002815A3"/>
    <w:rsid w:val="00281606"/>
    <w:rsid w:val="002816F3"/>
    <w:rsid w:val="002817E2"/>
    <w:rsid w:val="00281B29"/>
    <w:rsid w:val="00281EC3"/>
    <w:rsid w:val="00282592"/>
    <w:rsid w:val="002828BF"/>
    <w:rsid w:val="00282A44"/>
    <w:rsid w:val="00282D27"/>
    <w:rsid w:val="00283084"/>
    <w:rsid w:val="00283178"/>
    <w:rsid w:val="00283251"/>
    <w:rsid w:val="00283421"/>
    <w:rsid w:val="00283CD8"/>
    <w:rsid w:val="00283D22"/>
    <w:rsid w:val="0028412B"/>
    <w:rsid w:val="0028424B"/>
    <w:rsid w:val="00284362"/>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0"/>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367"/>
    <w:rsid w:val="002935F9"/>
    <w:rsid w:val="00293AB8"/>
    <w:rsid w:val="00293C3E"/>
    <w:rsid w:val="00293F49"/>
    <w:rsid w:val="0029425A"/>
    <w:rsid w:val="0029439C"/>
    <w:rsid w:val="0029440E"/>
    <w:rsid w:val="0029447E"/>
    <w:rsid w:val="002945A8"/>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6FF4"/>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16B"/>
    <w:rsid w:val="002A23DA"/>
    <w:rsid w:val="002A255F"/>
    <w:rsid w:val="002A25CB"/>
    <w:rsid w:val="002A2C89"/>
    <w:rsid w:val="002A2D73"/>
    <w:rsid w:val="002A2E04"/>
    <w:rsid w:val="002A2F86"/>
    <w:rsid w:val="002A339F"/>
    <w:rsid w:val="002A33AF"/>
    <w:rsid w:val="002A393F"/>
    <w:rsid w:val="002A395B"/>
    <w:rsid w:val="002A3DA2"/>
    <w:rsid w:val="002A431A"/>
    <w:rsid w:val="002A432B"/>
    <w:rsid w:val="002A48C1"/>
    <w:rsid w:val="002A4A87"/>
    <w:rsid w:val="002A4B46"/>
    <w:rsid w:val="002A4B7E"/>
    <w:rsid w:val="002A4BB1"/>
    <w:rsid w:val="002A4C04"/>
    <w:rsid w:val="002A4D2A"/>
    <w:rsid w:val="002A4F48"/>
    <w:rsid w:val="002A4F95"/>
    <w:rsid w:val="002A514F"/>
    <w:rsid w:val="002A5379"/>
    <w:rsid w:val="002A5403"/>
    <w:rsid w:val="002A59FD"/>
    <w:rsid w:val="002A5C73"/>
    <w:rsid w:val="002A5DA0"/>
    <w:rsid w:val="002A60EC"/>
    <w:rsid w:val="002A65FE"/>
    <w:rsid w:val="002A6733"/>
    <w:rsid w:val="002A69BC"/>
    <w:rsid w:val="002A69C8"/>
    <w:rsid w:val="002A6B6D"/>
    <w:rsid w:val="002A6DDE"/>
    <w:rsid w:val="002A6FA0"/>
    <w:rsid w:val="002A7171"/>
    <w:rsid w:val="002A7272"/>
    <w:rsid w:val="002A7556"/>
    <w:rsid w:val="002A77CC"/>
    <w:rsid w:val="002A7E8B"/>
    <w:rsid w:val="002B013E"/>
    <w:rsid w:val="002B04D2"/>
    <w:rsid w:val="002B0C3A"/>
    <w:rsid w:val="002B0E2D"/>
    <w:rsid w:val="002B0F56"/>
    <w:rsid w:val="002B16E0"/>
    <w:rsid w:val="002B19C1"/>
    <w:rsid w:val="002B1A2F"/>
    <w:rsid w:val="002B1B05"/>
    <w:rsid w:val="002B1D72"/>
    <w:rsid w:val="002B1DD7"/>
    <w:rsid w:val="002B1EB2"/>
    <w:rsid w:val="002B2350"/>
    <w:rsid w:val="002B27C0"/>
    <w:rsid w:val="002B2A81"/>
    <w:rsid w:val="002B2B0D"/>
    <w:rsid w:val="002B3111"/>
    <w:rsid w:val="002B32FC"/>
    <w:rsid w:val="002B35A3"/>
    <w:rsid w:val="002B3BCE"/>
    <w:rsid w:val="002B3E02"/>
    <w:rsid w:val="002B407B"/>
    <w:rsid w:val="002B417F"/>
    <w:rsid w:val="002B43E3"/>
    <w:rsid w:val="002B4510"/>
    <w:rsid w:val="002B468E"/>
    <w:rsid w:val="002B49C5"/>
    <w:rsid w:val="002B4BEB"/>
    <w:rsid w:val="002B4DA6"/>
    <w:rsid w:val="002B4F0D"/>
    <w:rsid w:val="002B5024"/>
    <w:rsid w:val="002B525E"/>
    <w:rsid w:val="002B5650"/>
    <w:rsid w:val="002B566A"/>
    <w:rsid w:val="002B59CA"/>
    <w:rsid w:val="002B5AE4"/>
    <w:rsid w:val="002B5AFB"/>
    <w:rsid w:val="002B5BA7"/>
    <w:rsid w:val="002B5EAC"/>
    <w:rsid w:val="002B5FB0"/>
    <w:rsid w:val="002B622E"/>
    <w:rsid w:val="002B6230"/>
    <w:rsid w:val="002B6274"/>
    <w:rsid w:val="002B6416"/>
    <w:rsid w:val="002B648C"/>
    <w:rsid w:val="002B660D"/>
    <w:rsid w:val="002B69F7"/>
    <w:rsid w:val="002B6BE2"/>
    <w:rsid w:val="002B709D"/>
    <w:rsid w:val="002B70F6"/>
    <w:rsid w:val="002B7106"/>
    <w:rsid w:val="002B7189"/>
    <w:rsid w:val="002B74C7"/>
    <w:rsid w:val="002B7900"/>
    <w:rsid w:val="002B7948"/>
    <w:rsid w:val="002C0060"/>
    <w:rsid w:val="002C0078"/>
    <w:rsid w:val="002C03E4"/>
    <w:rsid w:val="002C042E"/>
    <w:rsid w:val="002C076D"/>
    <w:rsid w:val="002C0AED"/>
    <w:rsid w:val="002C10F7"/>
    <w:rsid w:val="002C1156"/>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61B"/>
    <w:rsid w:val="002C2C71"/>
    <w:rsid w:val="002C2D41"/>
    <w:rsid w:val="002C2E51"/>
    <w:rsid w:val="002C2F4A"/>
    <w:rsid w:val="002C3095"/>
    <w:rsid w:val="002C30A7"/>
    <w:rsid w:val="002C33A5"/>
    <w:rsid w:val="002C39AF"/>
    <w:rsid w:val="002C3DB9"/>
    <w:rsid w:val="002C431F"/>
    <w:rsid w:val="002C437A"/>
    <w:rsid w:val="002C4C80"/>
    <w:rsid w:val="002C4F97"/>
    <w:rsid w:val="002C522F"/>
    <w:rsid w:val="002C52BF"/>
    <w:rsid w:val="002C54C1"/>
    <w:rsid w:val="002C556D"/>
    <w:rsid w:val="002C5D05"/>
    <w:rsid w:val="002C5DB9"/>
    <w:rsid w:val="002C5DE6"/>
    <w:rsid w:val="002C5E42"/>
    <w:rsid w:val="002C6236"/>
    <w:rsid w:val="002C62A6"/>
    <w:rsid w:val="002C6444"/>
    <w:rsid w:val="002C6677"/>
    <w:rsid w:val="002C69BD"/>
    <w:rsid w:val="002C6D69"/>
    <w:rsid w:val="002C6E73"/>
    <w:rsid w:val="002C6F73"/>
    <w:rsid w:val="002C70A1"/>
    <w:rsid w:val="002C70D8"/>
    <w:rsid w:val="002C7140"/>
    <w:rsid w:val="002C7212"/>
    <w:rsid w:val="002C7286"/>
    <w:rsid w:val="002C77C6"/>
    <w:rsid w:val="002C7974"/>
    <w:rsid w:val="002C7C1A"/>
    <w:rsid w:val="002C7E63"/>
    <w:rsid w:val="002D006A"/>
    <w:rsid w:val="002D04A7"/>
    <w:rsid w:val="002D04CF"/>
    <w:rsid w:val="002D05B5"/>
    <w:rsid w:val="002D0B64"/>
    <w:rsid w:val="002D0C8F"/>
    <w:rsid w:val="002D0E5F"/>
    <w:rsid w:val="002D11A3"/>
    <w:rsid w:val="002D16DB"/>
    <w:rsid w:val="002D18FC"/>
    <w:rsid w:val="002D19B4"/>
    <w:rsid w:val="002D19F6"/>
    <w:rsid w:val="002D1BD4"/>
    <w:rsid w:val="002D2010"/>
    <w:rsid w:val="002D20A7"/>
    <w:rsid w:val="002D20EC"/>
    <w:rsid w:val="002D21E4"/>
    <w:rsid w:val="002D22A0"/>
    <w:rsid w:val="002D251A"/>
    <w:rsid w:val="002D2597"/>
    <w:rsid w:val="002D27B5"/>
    <w:rsid w:val="002D2973"/>
    <w:rsid w:val="002D2B57"/>
    <w:rsid w:val="002D2F09"/>
    <w:rsid w:val="002D30DF"/>
    <w:rsid w:val="002D33D6"/>
    <w:rsid w:val="002D3423"/>
    <w:rsid w:val="002D34BC"/>
    <w:rsid w:val="002D35D0"/>
    <w:rsid w:val="002D37F0"/>
    <w:rsid w:val="002D3BBC"/>
    <w:rsid w:val="002D3F35"/>
    <w:rsid w:val="002D4489"/>
    <w:rsid w:val="002D44CD"/>
    <w:rsid w:val="002D45D7"/>
    <w:rsid w:val="002D4703"/>
    <w:rsid w:val="002D4769"/>
    <w:rsid w:val="002D4995"/>
    <w:rsid w:val="002D4A5F"/>
    <w:rsid w:val="002D4BBD"/>
    <w:rsid w:val="002D535D"/>
    <w:rsid w:val="002D548B"/>
    <w:rsid w:val="002D5528"/>
    <w:rsid w:val="002D5656"/>
    <w:rsid w:val="002D57E2"/>
    <w:rsid w:val="002D588F"/>
    <w:rsid w:val="002D58C0"/>
    <w:rsid w:val="002D58E5"/>
    <w:rsid w:val="002D5E9D"/>
    <w:rsid w:val="002D5EC3"/>
    <w:rsid w:val="002D60FB"/>
    <w:rsid w:val="002D67B0"/>
    <w:rsid w:val="002D6996"/>
    <w:rsid w:val="002D6AB5"/>
    <w:rsid w:val="002D6FFE"/>
    <w:rsid w:val="002D7100"/>
    <w:rsid w:val="002D7874"/>
    <w:rsid w:val="002D7A8B"/>
    <w:rsid w:val="002D7C19"/>
    <w:rsid w:val="002D7D47"/>
    <w:rsid w:val="002E01CA"/>
    <w:rsid w:val="002E025C"/>
    <w:rsid w:val="002E0263"/>
    <w:rsid w:val="002E077B"/>
    <w:rsid w:val="002E08A0"/>
    <w:rsid w:val="002E0949"/>
    <w:rsid w:val="002E0B8F"/>
    <w:rsid w:val="002E0C1F"/>
    <w:rsid w:val="002E0C25"/>
    <w:rsid w:val="002E0C56"/>
    <w:rsid w:val="002E0D3A"/>
    <w:rsid w:val="002E116E"/>
    <w:rsid w:val="002E12C5"/>
    <w:rsid w:val="002E149C"/>
    <w:rsid w:val="002E1AA5"/>
    <w:rsid w:val="002E1B4C"/>
    <w:rsid w:val="002E1E43"/>
    <w:rsid w:val="002E21D9"/>
    <w:rsid w:val="002E231E"/>
    <w:rsid w:val="002E26B3"/>
    <w:rsid w:val="002E2CBA"/>
    <w:rsid w:val="002E2D95"/>
    <w:rsid w:val="002E31A4"/>
    <w:rsid w:val="002E346E"/>
    <w:rsid w:val="002E374F"/>
    <w:rsid w:val="002E3AD5"/>
    <w:rsid w:val="002E3B74"/>
    <w:rsid w:val="002E3C2E"/>
    <w:rsid w:val="002E45C4"/>
    <w:rsid w:val="002E4724"/>
    <w:rsid w:val="002E475C"/>
    <w:rsid w:val="002E52B7"/>
    <w:rsid w:val="002E5308"/>
    <w:rsid w:val="002E5AF6"/>
    <w:rsid w:val="002E604B"/>
    <w:rsid w:val="002E6106"/>
    <w:rsid w:val="002E614C"/>
    <w:rsid w:val="002E6559"/>
    <w:rsid w:val="002E66AB"/>
    <w:rsid w:val="002E679B"/>
    <w:rsid w:val="002E685A"/>
    <w:rsid w:val="002E6ABC"/>
    <w:rsid w:val="002E6AC8"/>
    <w:rsid w:val="002E703D"/>
    <w:rsid w:val="002E70A8"/>
    <w:rsid w:val="002E75A6"/>
    <w:rsid w:val="002E75F5"/>
    <w:rsid w:val="002E77BB"/>
    <w:rsid w:val="002E7A37"/>
    <w:rsid w:val="002E7FD0"/>
    <w:rsid w:val="002F00FF"/>
    <w:rsid w:val="002F0ED2"/>
    <w:rsid w:val="002F0F24"/>
    <w:rsid w:val="002F11F3"/>
    <w:rsid w:val="002F148F"/>
    <w:rsid w:val="002F1777"/>
    <w:rsid w:val="002F1911"/>
    <w:rsid w:val="002F1D8C"/>
    <w:rsid w:val="002F1EE5"/>
    <w:rsid w:val="002F20F7"/>
    <w:rsid w:val="002F2653"/>
    <w:rsid w:val="002F2CDC"/>
    <w:rsid w:val="002F2D17"/>
    <w:rsid w:val="002F2D68"/>
    <w:rsid w:val="002F3582"/>
    <w:rsid w:val="002F3E72"/>
    <w:rsid w:val="002F3F2F"/>
    <w:rsid w:val="002F40F4"/>
    <w:rsid w:val="002F45ED"/>
    <w:rsid w:val="002F460A"/>
    <w:rsid w:val="002F46E1"/>
    <w:rsid w:val="002F4D7D"/>
    <w:rsid w:val="002F4FE2"/>
    <w:rsid w:val="002F529B"/>
    <w:rsid w:val="002F52A7"/>
    <w:rsid w:val="002F52C1"/>
    <w:rsid w:val="002F5553"/>
    <w:rsid w:val="002F55A8"/>
    <w:rsid w:val="002F5751"/>
    <w:rsid w:val="002F5C0F"/>
    <w:rsid w:val="002F5F03"/>
    <w:rsid w:val="002F6316"/>
    <w:rsid w:val="002F660C"/>
    <w:rsid w:val="002F6660"/>
    <w:rsid w:val="002F68FD"/>
    <w:rsid w:val="002F6A62"/>
    <w:rsid w:val="002F6C71"/>
    <w:rsid w:val="002F6C84"/>
    <w:rsid w:val="002F6F98"/>
    <w:rsid w:val="002F6FE1"/>
    <w:rsid w:val="002F70F9"/>
    <w:rsid w:val="002F7233"/>
    <w:rsid w:val="002F7285"/>
    <w:rsid w:val="002F744D"/>
    <w:rsid w:val="002F745C"/>
    <w:rsid w:val="002F7773"/>
    <w:rsid w:val="002F797E"/>
    <w:rsid w:val="002F79F4"/>
    <w:rsid w:val="002F7FCB"/>
    <w:rsid w:val="0030063B"/>
    <w:rsid w:val="003006A0"/>
    <w:rsid w:val="003007B5"/>
    <w:rsid w:val="00300809"/>
    <w:rsid w:val="003008E9"/>
    <w:rsid w:val="0030094D"/>
    <w:rsid w:val="00300A22"/>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2FF9"/>
    <w:rsid w:val="00303281"/>
    <w:rsid w:val="00303552"/>
    <w:rsid w:val="0030379A"/>
    <w:rsid w:val="0030383E"/>
    <w:rsid w:val="003038AA"/>
    <w:rsid w:val="00303ADC"/>
    <w:rsid w:val="00303AFA"/>
    <w:rsid w:val="00303B82"/>
    <w:rsid w:val="00303C15"/>
    <w:rsid w:val="00303F08"/>
    <w:rsid w:val="00304142"/>
    <w:rsid w:val="00304161"/>
    <w:rsid w:val="00304306"/>
    <w:rsid w:val="00304560"/>
    <w:rsid w:val="00304678"/>
    <w:rsid w:val="00304717"/>
    <w:rsid w:val="00304CD8"/>
    <w:rsid w:val="00304D95"/>
    <w:rsid w:val="00304E45"/>
    <w:rsid w:val="00305460"/>
    <w:rsid w:val="00305763"/>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134B"/>
    <w:rsid w:val="00311460"/>
    <w:rsid w:val="00311604"/>
    <w:rsid w:val="0031174E"/>
    <w:rsid w:val="00311824"/>
    <w:rsid w:val="003118F7"/>
    <w:rsid w:val="00311971"/>
    <w:rsid w:val="00311D31"/>
    <w:rsid w:val="00311EFA"/>
    <w:rsid w:val="00311F9B"/>
    <w:rsid w:val="00312036"/>
    <w:rsid w:val="003121A6"/>
    <w:rsid w:val="00312777"/>
    <w:rsid w:val="003127D5"/>
    <w:rsid w:val="00312878"/>
    <w:rsid w:val="00312888"/>
    <w:rsid w:val="00312B67"/>
    <w:rsid w:val="00312DF5"/>
    <w:rsid w:val="003131DA"/>
    <w:rsid w:val="00313290"/>
    <w:rsid w:val="003132D1"/>
    <w:rsid w:val="00313601"/>
    <w:rsid w:val="00313783"/>
    <w:rsid w:val="00313C71"/>
    <w:rsid w:val="00313C7C"/>
    <w:rsid w:val="00314513"/>
    <w:rsid w:val="00314563"/>
    <w:rsid w:val="003148D6"/>
    <w:rsid w:val="00314BF3"/>
    <w:rsid w:val="00314D8A"/>
    <w:rsid w:val="003152E9"/>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6EF"/>
    <w:rsid w:val="003178CF"/>
    <w:rsid w:val="00317969"/>
    <w:rsid w:val="00317C18"/>
    <w:rsid w:val="00317DE3"/>
    <w:rsid w:val="003203F1"/>
    <w:rsid w:val="00320566"/>
    <w:rsid w:val="00320678"/>
    <w:rsid w:val="00320996"/>
    <w:rsid w:val="00320B49"/>
    <w:rsid w:val="00320C76"/>
    <w:rsid w:val="00320DBB"/>
    <w:rsid w:val="00321505"/>
    <w:rsid w:val="003216E4"/>
    <w:rsid w:val="00321874"/>
    <w:rsid w:val="00321887"/>
    <w:rsid w:val="003218FA"/>
    <w:rsid w:val="00321A06"/>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68C"/>
    <w:rsid w:val="00327C58"/>
    <w:rsid w:val="00327CD1"/>
    <w:rsid w:val="00327D35"/>
    <w:rsid w:val="00330636"/>
    <w:rsid w:val="003308AC"/>
    <w:rsid w:val="00330B40"/>
    <w:rsid w:val="00330B78"/>
    <w:rsid w:val="003311C4"/>
    <w:rsid w:val="003311E3"/>
    <w:rsid w:val="003312A9"/>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BE7"/>
    <w:rsid w:val="00333CC1"/>
    <w:rsid w:val="00333D1F"/>
    <w:rsid w:val="00333DBC"/>
    <w:rsid w:val="0033401A"/>
    <w:rsid w:val="003346CE"/>
    <w:rsid w:val="00334BD6"/>
    <w:rsid w:val="00334DF1"/>
    <w:rsid w:val="0033515F"/>
    <w:rsid w:val="00335467"/>
    <w:rsid w:val="00335474"/>
    <w:rsid w:val="00335589"/>
    <w:rsid w:val="003355AC"/>
    <w:rsid w:val="003356C8"/>
    <w:rsid w:val="003357EF"/>
    <w:rsid w:val="00335AFA"/>
    <w:rsid w:val="0033610B"/>
    <w:rsid w:val="00336478"/>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E18"/>
    <w:rsid w:val="00340EC5"/>
    <w:rsid w:val="00340F8A"/>
    <w:rsid w:val="00340FF1"/>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A1A"/>
    <w:rsid w:val="00343BF3"/>
    <w:rsid w:val="00343DB9"/>
    <w:rsid w:val="00343DE7"/>
    <w:rsid w:val="00343DEE"/>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6FAF"/>
    <w:rsid w:val="00347009"/>
    <w:rsid w:val="00347056"/>
    <w:rsid w:val="00347992"/>
    <w:rsid w:val="00347A22"/>
    <w:rsid w:val="00347A62"/>
    <w:rsid w:val="00347B3D"/>
    <w:rsid w:val="00347C30"/>
    <w:rsid w:val="00347D0F"/>
    <w:rsid w:val="00347E52"/>
    <w:rsid w:val="003501F6"/>
    <w:rsid w:val="0035085E"/>
    <w:rsid w:val="003509C4"/>
    <w:rsid w:val="00350DD2"/>
    <w:rsid w:val="00350E74"/>
    <w:rsid w:val="00351203"/>
    <w:rsid w:val="0035121C"/>
    <w:rsid w:val="00351338"/>
    <w:rsid w:val="0035170C"/>
    <w:rsid w:val="00351892"/>
    <w:rsid w:val="00351D3A"/>
    <w:rsid w:val="0035204D"/>
    <w:rsid w:val="00352335"/>
    <w:rsid w:val="00352505"/>
    <w:rsid w:val="00352687"/>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C43"/>
    <w:rsid w:val="00355CC7"/>
    <w:rsid w:val="00355E65"/>
    <w:rsid w:val="0035613B"/>
    <w:rsid w:val="003561CB"/>
    <w:rsid w:val="00356253"/>
    <w:rsid w:val="0035669B"/>
    <w:rsid w:val="00356891"/>
    <w:rsid w:val="00356AA4"/>
    <w:rsid w:val="00356CA6"/>
    <w:rsid w:val="00356FEC"/>
    <w:rsid w:val="003571FB"/>
    <w:rsid w:val="0035750A"/>
    <w:rsid w:val="00357680"/>
    <w:rsid w:val="00357982"/>
    <w:rsid w:val="00357B69"/>
    <w:rsid w:val="00357D33"/>
    <w:rsid w:val="00357D42"/>
    <w:rsid w:val="0036027D"/>
    <w:rsid w:val="0036059C"/>
    <w:rsid w:val="003605E3"/>
    <w:rsid w:val="003605FC"/>
    <w:rsid w:val="003607FD"/>
    <w:rsid w:val="003608F6"/>
    <w:rsid w:val="00360AD9"/>
    <w:rsid w:val="00360C49"/>
    <w:rsid w:val="00360CF1"/>
    <w:rsid w:val="00360DA1"/>
    <w:rsid w:val="00360DAA"/>
    <w:rsid w:val="0036101D"/>
    <w:rsid w:val="003611C4"/>
    <w:rsid w:val="003614B0"/>
    <w:rsid w:val="003614B8"/>
    <w:rsid w:val="003617B8"/>
    <w:rsid w:val="00361C84"/>
    <w:rsid w:val="00361EB6"/>
    <w:rsid w:val="00361EC8"/>
    <w:rsid w:val="00361F52"/>
    <w:rsid w:val="003626D6"/>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77F"/>
    <w:rsid w:val="00365902"/>
    <w:rsid w:val="00365A64"/>
    <w:rsid w:val="00365C66"/>
    <w:rsid w:val="00365E23"/>
    <w:rsid w:val="0036635B"/>
    <w:rsid w:val="0036668C"/>
    <w:rsid w:val="003669A6"/>
    <w:rsid w:val="003669F8"/>
    <w:rsid w:val="00366BFF"/>
    <w:rsid w:val="003671AA"/>
    <w:rsid w:val="003673AB"/>
    <w:rsid w:val="0036747E"/>
    <w:rsid w:val="00367EF1"/>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8A"/>
    <w:rsid w:val="00372FB3"/>
    <w:rsid w:val="0037312C"/>
    <w:rsid w:val="003731C3"/>
    <w:rsid w:val="00373A33"/>
    <w:rsid w:val="00373F94"/>
    <w:rsid w:val="00374200"/>
    <w:rsid w:val="003742E9"/>
    <w:rsid w:val="00374549"/>
    <w:rsid w:val="00374761"/>
    <w:rsid w:val="0037484D"/>
    <w:rsid w:val="00374C13"/>
    <w:rsid w:val="00374DC9"/>
    <w:rsid w:val="00375112"/>
    <w:rsid w:val="0037517D"/>
    <w:rsid w:val="0037521A"/>
    <w:rsid w:val="00375406"/>
    <w:rsid w:val="003756A8"/>
    <w:rsid w:val="00375DF8"/>
    <w:rsid w:val="0037647F"/>
    <w:rsid w:val="00376778"/>
    <w:rsid w:val="003768BA"/>
    <w:rsid w:val="00376B6A"/>
    <w:rsid w:val="00376F70"/>
    <w:rsid w:val="00376FA2"/>
    <w:rsid w:val="0037705C"/>
    <w:rsid w:val="0037727F"/>
    <w:rsid w:val="003772B2"/>
    <w:rsid w:val="0037761D"/>
    <w:rsid w:val="003776FD"/>
    <w:rsid w:val="003777E2"/>
    <w:rsid w:val="00377A00"/>
    <w:rsid w:val="00377A90"/>
    <w:rsid w:val="00377E05"/>
    <w:rsid w:val="00377E1A"/>
    <w:rsid w:val="003801E6"/>
    <w:rsid w:val="0038054D"/>
    <w:rsid w:val="0038083C"/>
    <w:rsid w:val="00380853"/>
    <w:rsid w:val="00380FD2"/>
    <w:rsid w:val="0038102A"/>
    <w:rsid w:val="003810E3"/>
    <w:rsid w:val="00381260"/>
    <w:rsid w:val="00381826"/>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49"/>
    <w:rsid w:val="00384BC3"/>
    <w:rsid w:val="00384C92"/>
    <w:rsid w:val="00384D49"/>
    <w:rsid w:val="00384D9B"/>
    <w:rsid w:val="00384DD8"/>
    <w:rsid w:val="00384E83"/>
    <w:rsid w:val="00384F61"/>
    <w:rsid w:val="0038505D"/>
    <w:rsid w:val="003852C5"/>
    <w:rsid w:val="00385330"/>
    <w:rsid w:val="0038555F"/>
    <w:rsid w:val="0038567B"/>
    <w:rsid w:val="00385912"/>
    <w:rsid w:val="0038593B"/>
    <w:rsid w:val="00385979"/>
    <w:rsid w:val="00385A4E"/>
    <w:rsid w:val="00385A72"/>
    <w:rsid w:val="00385D3D"/>
    <w:rsid w:val="003860AE"/>
    <w:rsid w:val="003861D5"/>
    <w:rsid w:val="00386794"/>
    <w:rsid w:val="00386900"/>
    <w:rsid w:val="00386A3F"/>
    <w:rsid w:val="00386D50"/>
    <w:rsid w:val="003876EA"/>
    <w:rsid w:val="003879E4"/>
    <w:rsid w:val="00387EAE"/>
    <w:rsid w:val="00387EC3"/>
    <w:rsid w:val="00387F6B"/>
    <w:rsid w:val="003900E9"/>
    <w:rsid w:val="0039026D"/>
    <w:rsid w:val="0039048C"/>
    <w:rsid w:val="003904FB"/>
    <w:rsid w:val="00390685"/>
    <w:rsid w:val="00390736"/>
    <w:rsid w:val="00390D13"/>
    <w:rsid w:val="00390D22"/>
    <w:rsid w:val="00390E8D"/>
    <w:rsid w:val="0039114E"/>
    <w:rsid w:val="0039156F"/>
    <w:rsid w:val="00391591"/>
    <w:rsid w:val="00391716"/>
    <w:rsid w:val="0039191D"/>
    <w:rsid w:val="00391ABF"/>
    <w:rsid w:val="00391E30"/>
    <w:rsid w:val="00391E36"/>
    <w:rsid w:val="00392145"/>
    <w:rsid w:val="003922C1"/>
    <w:rsid w:val="00392386"/>
    <w:rsid w:val="003924E4"/>
    <w:rsid w:val="003927B8"/>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4EB2"/>
    <w:rsid w:val="00395229"/>
    <w:rsid w:val="00395286"/>
    <w:rsid w:val="00395389"/>
    <w:rsid w:val="00395479"/>
    <w:rsid w:val="0039554C"/>
    <w:rsid w:val="0039571E"/>
    <w:rsid w:val="00395CF6"/>
    <w:rsid w:val="00395EDC"/>
    <w:rsid w:val="00395F99"/>
    <w:rsid w:val="00396172"/>
    <w:rsid w:val="00396437"/>
    <w:rsid w:val="0039687E"/>
    <w:rsid w:val="00396A34"/>
    <w:rsid w:val="00396DC3"/>
    <w:rsid w:val="00396F82"/>
    <w:rsid w:val="0039769A"/>
    <w:rsid w:val="00397AE9"/>
    <w:rsid w:val="003A0277"/>
    <w:rsid w:val="003A0316"/>
    <w:rsid w:val="003A063D"/>
    <w:rsid w:val="003A090B"/>
    <w:rsid w:val="003A094A"/>
    <w:rsid w:val="003A0CB0"/>
    <w:rsid w:val="003A12D7"/>
    <w:rsid w:val="003A13DE"/>
    <w:rsid w:val="003A17C3"/>
    <w:rsid w:val="003A21F8"/>
    <w:rsid w:val="003A26C9"/>
    <w:rsid w:val="003A2805"/>
    <w:rsid w:val="003A284B"/>
    <w:rsid w:val="003A2A56"/>
    <w:rsid w:val="003A2CBA"/>
    <w:rsid w:val="003A2D67"/>
    <w:rsid w:val="003A36CE"/>
    <w:rsid w:val="003A392E"/>
    <w:rsid w:val="003A3E68"/>
    <w:rsid w:val="003A4098"/>
    <w:rsid w:val="003A40FB"/>
    <w:rsid w:val="003A4362"/>
    <w:rsid w:val="003A43B4"/>
    <w:rsid w:val="003A46E9"/>
    <w:rsid w:val="003A472D"/>
    <w:rsid w:val="003A4883"/>
    <w:rsid w:val="003A48DE"/>
    <w:rsid w:val="003A4A86"/>
    <w:rsid w:val="003A4C36"/>
    <w:rsid w:val="003A4C84"/>
    <w:rsid w:val="003A4FFA"/>
    <w:rsid w:val="003A510B"/>
    <w:rsid w:val="003A5162"/>
    <w:rsid w:val="003A5438"/>
    <w:rsid w:val="003A54F3"/>
    <w:rsid w:val="003A550E"/>
    <w:rsid w:val="003A58D3"/>
    <w:rsid w:val="003A5C62"/>
    <w:rsid w:val="003A5D4F"/>
    <w:rsid w:val="003A6191"/>
    <w:rsid w:val="003A684C"/>
    <w:rsid w:val="003A68A2"/>
    <w:rsid w:val="003A6A5D"/>
    <w:rsid w:val="003A6D5D"/>
    <w:rsid w:val="003A6E2A"/>
    <w:rsid w:val="003A6EBC"/>
    <w:rsid w:val="003A7482"/>
    <w:rsid w:val="003A77A6"/>
    <w:rsid w:val="003A7A60"/>
    <w:rsid w:val="003A7D3E"/>
    <w:rsid w:val="003A7DBA"/>
    <w:rsid w:val="003A7FAC"/>
    <w:rsid w:val="003B01FF"/>
    <w:rsid w:val="003B053E"/>
    <w:rsid w:val="003B054B"/>
    <w:rsid w:val="003B0B3A"/>
    <w:rsid w:val="003B0DB6"/>
    <w:rsid w:val="003B0E84"/>
    <w:rsid w:val="003B0FF4"/>
    <w:rsid w:val="003B10A8"/>
    <w:rsid w:val="003B12C9"/>
    <w:rsid w:val="003B1371"/>
    <w:rsid w:val="003B1636"/>
    <w:rsid w:val="003B197A"/>
    <w:rsid w:val="003B1BD1"/>
    <w:rsid w:val="003B1EE3"/>
    <w:rsid w:val="003B1F5E"/>
    <w:rsid w:val="003B22A3"/>
    <w:rsid w:val="003B2537"/>
    <w:rsid w:val="003B27B2"/>
    <w:rsid w:val="003B29A6"/>
    <w:rsid w:val="003B2CAD"/>
    <w:rsid w:val="003B2E7E"/>
    <w:rsid w:val="003B3072"/>
    <w:rsid w:val="003B310A"/>
    <w:rsid w:val="003B33B7"/>
    <w:rsid w:val="003B3412"/>
    <w:rsid w:val="003B3441"/>
    <w:rsid w:val="003B37BC"/>
    <w:rsid w:val="003B4073"/>
    <w:rsid w:val="003B4158"/>
    <w:rsid w:val="003B41FC"/>
    <w:rsid w:val="003B45C0"/>
    <w:rsid w:val="003B4634"/>
    <w:rsid w:val="003B4B2A"/>
    <w:rsid w:val="003B4DB9"/>
    <w:rsid w:val="003B4F05"/>
    <w:rsid w:val="003B5035"/>
    <w:rsid w:val="003B50F7"/>
    <w:rsid w:val="003B6183"/>
    <w:rsid w:val="003B61EE"/>
    <w:rsid w:val="003B631E"/>
    <w:rsid w:val="003B6417"/>
    <w:rsid w:val="003B6F04"/>
    <w:rsid w:val="003B6FEC"/>
    <w:rsid w:val="003B70FD"/>
    <w:rsid w:val="003B730A"/>
    <w:rsid w:val="003B769E"/>
    <w:rsid w:val="003B7B96"/>
    <w:rsid w:val="003B7C0A"/>
    <w:rsid w:val="003B7CD8"/>
    <w:rsid w:val="003C0190"/>
    <w:rsid w:val="003C021F"/>
    <w:rsid w:val="003C048B"/>
    <w:rsid w:val="003C0504"/>
    <w:rsid w:val="003C0C33"/>
    <w:rsid w:val="003C0E43"/>
    <w:rsid w:val="003C0EB4"/>
    <w:rsid w:val="003C0F6F"/>
    <w:rsid w:val="003C0FB8"/>
    <w:rsid w:val="003C105F"/>
    <w:rsid w:val="003C11A8"/>
    <w:rsid w:val="003C16A0"/>
    <w:rsid w:val="003C1C89"/>
    <w:rsid w:val="003C1E29"/>
    <w:rsid w:val="003C1E6D"/>
    <w:rsid w:val="003C2F67"/>
    <w:rsid w:val="003C30BF"/>
    <w:rsid w:val="003C3307"/>
    <w:rsid w:val="003C33A6"/>
    <w:rsid w:val="003C346F"/>
    <w:rsid w:val="003C34EA"/>
    <w:rsid w:val="003C37A3"/>
    <w:rsid w:val="003C4281"/>
    <w:rsid w:val="003C4BBF"/>
    <w:rsid w:val="003C4C26"/>
    <w:rsid w:val="003C4C2D"/>
    <w:rsid w:val="003C521E"/>
    <w:rsid w:val="003C53B0"/>
    <w:rsid w:val="003C54A5"/>
    <w:rsid w:val="003C5606"/>
    <w:rsid w:val="003C590E"/>
    <w:rsid w:val="003C594E"/>
    <w:rsid w:val="003C5E63"/>
    <w:rsid w:val="003C6565"/>
    <w:rsid w:val="003C67CB"/>
    <w:rsid w:val="003C6C45"/>
    <w:rsid w:val="003C7091"/>
    <w:rsid w:val="003C75E7"/>
    <w:rsid w:val="003C78AC"/>
    <w:rsid w:val="003C7E88"/>
    <w:rsid w:val="003D000A"/>
    <w:rsid w:val="003D04CC"/>
    <w:rsid w:val="003D04D6"/>
    <w:rsid w:val="003D0AB5"/>
    <w:rsid w:val="003D0BAF"/>
    <w:rsid w:val="003D0C96"/>
    <w:rsid w:val="003D0D3C"/>
    <w:rsid w:val="003D0F30"/>
    <w:rsid w:val="003D1175"/>
    <w:rsid w:val="003D1A87"/>
    <w:rsid w:val="003D1C3F"/>
    <w:rsid w:val="003D1E1C"/>
    <w:rsid w:val="003D1E97"/>
    <w:rsid w:val="003D1FF9"/>
    <w:rsid w:val="003D248C"/>
    <w:rsid w:val="003D2743"/>
    <w:rsid w:val="003D2852"/>
    <w:rsid w:val="003D28ED"/>
    <w:rsid w:val="003D2999"/>
    <w:rsid w:val="003D2A68"/>
    <w:rsid w:val="003D2DC7"/>
    <w:rsid w:val="003D3EC6"/>
    <w:rsid w:val="003D4494"/>
    <w:rsid w:val="003D44F6"/>
    <w:rsid w:val="003D4660"/>
    <w:rsid w:val="003D4A83"/>
    <w:rsid w:val="003D4A8D"/>
    <w:rsid w:val="003D583D"/>
    <w:rsid w:val="003D58FC"/>
    <w:rsid w:val="003D5A4A"/>
    <w:rsid w:val="003D5A9B"/>
    <w:rsid w:val="003D5AB0"/>
    <w:rsid w:val="003D5D51"/>
    <w:rsid w:val="003D5EBE"/>
    <w:rsid w:val="003D5ECA"/>
    <w:rsid w:val="003D5F07"/>
    <w:rsid w:val="003D629D"/>
    <w:rsid w:val="003D6678"/>
    <w:rsid w:val="003D6860"/>
    <w:rsid w:val="003D6A24"/>
    <w:rsid w:val="003D6A9A"/>
    <w:rsid w:val="003D6AE2"/>
    <w:rsid w:val="003D71D4"/>
    <w:rsid w:val="003D72CD"/>
    <w:rsid w:val="003D7508"/>
    <w:rsid w:val="003D771E"/>
    <w:rsid w:val="003D7742"/>
    <w:rsid w:val="003D77AF"/>
    <w:rsid w:val="003D7A5D"/>
    <w:rsid w:val="003D7AFE"/>
    <w:rsid w:val="003D7D05"/>
    <w:rsid w:val="003D7F36"/>
    <w:rsid w:val="003E020B"/>
    <w:rsid w:val="003E039A"/>
    <w:rsid w:val="003E03F8"/>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266"/>
    <w:rsid w:val="003E35CF"/>
    <w:rsid w:val="003E3B0F"/>
    <w:rsid w:val="003E3CBD"/>
    <w:rsid w:val="003E3E94"/>
    <w:rsid w:val="003E3E9A"/>
    <w:rsid w:val="003E3EDB"/>
    <w:rsid w:val="003E3EE4"/>
    <w:rsid w:val="003E4247"/>
    <w:rsid w:val="003E4721"/>
    <w:rsid w:val="003E4925"/>
    <w:rsid w:val="003E4DCC"/>
    <w:rsid w:val="003E5158"/>
    <w:rsid w:val="003E5405"/>
    <w:rsid w:val="003E5BF0"/>
    <w:rsid w:val="003E6423"/>
    <w:rsid w:val="003E6513"/>
    <w:rsid w:val="003E6654"/>
    <w:rsid w:val="003E6CFA"/>
    <w:rsid w:val="003E6E21"/>
    <w:rsid w:val="003E6F40"/>
    <w:rsid w:val="003E710B"/>
    <w:rsid w:val="003E7163"/>
    <w:rsid w:val="003E7A91"/>
    <w:rsid w:val="003E7B09"/>
    <w:rsid w:val="003E7B17"/>
    <w:rsid w:val="003E7B8C"/>
    <w:rsid w:val="003E7EB1"/>
    <w:rsid w:val="003E7FB2"/>
    <w:rsid w:val="003F05D2"/>
    <w:rsid w:val="003F0EE1"/>
    <w:rsid w:val="003F165A"/>
    <w:rsid w:val="003F1776"/>
    <w:rsid w:val="003F1843"/>
    <w:rsid w:val="003F1A0C"/>
    <w:rsid w:val="003F1A2F"/>
    <w:rsid w:val="003F1AB5"/>
    <w:rsid w:val="003F1B52"/>
    <w:rsid w:val="003F1B67"/>
    <w:rsid w:val="003F1C97"/>
    <w:rsid w:val="003F1FE6"/>
    <w:rsid w:val="003F20A4"/>
    <w:rsid w:val="003F20DE"/>
    <w:rsid w:val="003F2154"/>
    <w:rsid w:val="003F2201"/>
    <w:rsid w:val="003F2366"/>
    <w:rsid w:val="003F2488"/>
    <w:rsid w:val="003F25C4"/>
    <w:rsid w:val="003F274D"/>
    <w:rsid w:val="003F2764"/>
    <w:rsid w:val="003F31BD"/>
    <w:rsid w:val="003F3325"/>
    <w:rsid w:val="003F340D"/>
    <w:rsid w:val="003F3BAE"/>
    <w:rsid w:val="003F3DD5"/>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3F7C33"/>
    <w:rsid w:val="004001A2"/>
    <w:rsid w:val="00400486"/>
    <w:rsid w:val="004008A0"/>
    <w:rsid w:val="00400E28"/>
    <w:rsid w:val="00401287"/>
    <w:rsid w:val="0040181B"/>
    <w:rsid w:val="00401EE3"/>
    <w:rsid w:val="00401F92"/>
    <w:rsid w:val="0040218F"/>
    <w:rsid w:val="00402274"/>
    <w:rsid w:val="004028B6"/>
    <w:rsid w:val="00402AD4"/>
    <w:rsid w:val="00402E78"/>
    <w:rsid w:val="004030AA"/>
    <w:rsid w:val="00403E79"/>
    <w:rsid w:val="004040D9"/>
    <w:rsid w:val="004040FE"/>
    <w:rsid w:val="00404212"/>
    <w:rsid w:val="004044C1"/>
    <w:rsid w:val="00404785"/>
    <w:rsid w:val="00404B18"/>
    <w:rsid w:val="00404B8A"/>
    <w:rsid w:val="00404F2A"/>
    <w:rsid w:val="004052AB"/>
    <w:rsid w:val="00405369"/>
    <w:rsid w:val="0040547F"/>
    <w:rsid w:val="0040554F"/>
    <w:rsid w:val="004055A6"/>
    <w:rsid w:val="00405705"/>
    <w:rsid w:val="00405DB8"/>
    <w:rsid w:val="00405FB4"/>
    <w:rsid w:val="004062D7"/>
    <w:rsid w:val="004063BD"/>
    <w:rsid w:val="0040644B"/>
    <w:rsid w:val="004064E0"/>
    <w:rsid w:val="00406AC5"/>
    <w:rsid w:val="00406B8E"/>
    <w:rsid w:val="00406E5A"/>
    <w:rsid w:val="00406E86"/>
    <w:rsid w:val="004071AA"/>
    <w:rsid w:val="004071E1"/>
    <w:rsid w:val="00407842"/>
    <w:rsid w:val="00407B19"/>
    <w:rsid w:val="00407B1E"/>
    <w:rsid w:val="00407B24"/>
    <w:rsid w:val="00407FA2"/>
    <w:rsid w:val="00410064"/>
    <w:rsid w:val="00410386"/>
    <w:rsid w:val="00410BBB"/>
    <w:rsid w:val="004115BE"/>
    <w:rsid w:val="004115F5"/>
    <w:rsid w:val="00411607"/>
    <w:rsid w:val="004116E5"/>
    <w:rsid w:val="00411C04"/>
    <w:rsid w:val="00411F9F"/>
    <w:rsid w:val="00412051"/>
    <w:rsid w:val="00412054"/>
    <w:rsid w:val="00412366"/>
    <w:rsid w:val="00412488"/>
    <w:rsid w:val="00412A5F"/>
    <w:rsid w:val="00412D38"/>
    <w:rsid w:val="00412EFF"/>
    <w:rsid w:val="0041324E"/>
    <w:rsid w:val="0041341A"/>
    <w:rsid w:val="0041372F"/>
    <w:rsid w:val="0041390D"/>
    <w:rsid w:val="00414424"/>
    <w:rsid w:val="00414470"/>
    <w:rsid w:val="00414636"/>
    <w:rsid w:val="00414936"/>
    <w:rsid w:val="00414D29"/>
    <w:rsid w:val="00414FAD"/>
    <w:rsid w:val="00415552"/>
    <w:rsid w:val="0041562D"/>
    <w:rsid w:val="00415807"/>
    <w:rsid w:val="00415AA1"/>
    <w:rsid w:val="004161FE"/>
    <w:rsid w:val="004166F7"/>
    <w:rsid w:val="004168DB"/>
    <w:rsid w:val="00416C82"/>
    <w:rsid w:val="00416D3B"/>
    <w:rsid w:val="00416F71"/>
    <w:rsid w:val="00417094"/>
    <w:rsid w:val="004171B0"/>
    <w:rsid w:val="00417431"/>
    <w:rsid w:val="004174A9"/>
    <w:rsid w:val="00417B6A"/>
    <w:rsid w:val="00417B83"/>
    <w:rsid w:val="0042044B"/>
    <w:rsid w:val="004204F9"/>
    <w:rsid w:val="00420510"/>
    <w:rsid w:val="00420766"/>
    <w:rsid w:val="004207BD"/>
    <w:rsid w:val="00420984"/>
    <w:rsid w:val="004209EC"/>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437"/>
    <w:rsid w:val="0042365E"/>
    <w:rsid w:val="00423689"/>
    <w:rsid w:val="0042379C"/>
    <w:rsid w:val="004237D9"/>
    <w:rsid w:val="004237DE"/>
    <w:rsid w:val="00423847"/>
    <w:rsid w:val="00423B1B"/>
    <w:rsid w:val="00423C21"/>
    <w:rsid w:val="00423D4D"/>
    <w:rsid w:val="00423FDE"/>
    <w:rsid w:val="0042443E"/>
    <w:rsid w:val="00424907"/>
    <w:rsid w:val="00424D40"/>
    <w:rsid w:val="0042500C"/>
    <w:rsid w:val="0042520E"/>
    <w:rsid w:val="004255F9"/>
    <w:rsid w:val="004256F0"/>
    <w:rsid w:val="004257F8"/>
    <w:rsid w:val="00425A0F"/>
    <w:rsid w:val="00425A7E"/>
    <w:rsid w:val="00425B7D"/>
    <w:rsid w:val="00425DA7"/>
    <w:rsid w:val="00425DF5"/>
    <w:rsid w:val="0042695B"/>
    <w:rsid w:val="004271DB"/>
    <w:rsid w:val="004273AC"/>
    <w:rsid w:val="004276C1"/>
    <w:rsid w:val="0042785D"/>
    <w:rsid w:val="00427ACF"/>
    <w:rsid w:val="00427B55"/>
    <w:rsid w:val="00427F77"/>
    <w:rsid w:val="00430244"/>
    <w:rsid w:val="004302D5"/>
    <w:rsid w:val="0043038F"/>
    <w:rsid w:val="00430559"/>
    <w:rsid w:val="00430D25"/>
    <w:rsid w:val="0043120E"/>
    <w:rsid w:val="0043169B"/>
    <w:rsid w:val="00431846"/>
    <w:rsid w:val="004319A1"/>
    <w:rsid w:val="00431DA4"/>
    <w:rsid w:val="00431ED7"/>
    <w:rsid w:val="0043285B"/>
    <w:rsid w:val="00432950"/>
    <w:rsid w:val="00432AD4"/>
    <w:rsid w:val="00432C13"/>
    <w:rsid w:val="00432CB0"/>
    <w:rsid w:val="00432EBC"/>
    <w:rsid w:val="00433A5F"/>
    <w:rsid w:val="00433D7E"/>
    <w:rsid w:val="00433F9B"/>
    <w:rsid w:val="0043421A"/>
    <w:rsid w:val="00434642"/>
    <w:rsid w:val="00434CD3"/>
    <w:rsid w:val="00434D5D"/>
    <w:rsid w:val="00434FF6"/>
    <w:rsid w:val="0043577A"/>
    <w:rsid w:val="00435BF1"/>
    <w:rsid w:val="00435BFA"/>
    <w:rsid w:val="00435FB3"/>
    <w:rsid w:val="0043647F"/>
    <w:rsid w:val="00436A99"/>
    <w:rsid w:val="00436B43"/>
    <w:rsid w:val="00436BF9"/>
    <w:rsid w:val="00436C0F"/>
    <w:rsid w:val="00436C11"/>
    <w:rsid w:val="00436FF7"/>
    <w:rsid w:val="0043720F"/>
    <w:rsid w:val="00437592"/>
    <w:rsid w:val="00437674"/>
    <w:rsid w:val="0043782D"/>
    <w:rsid w:val="00437994"/>
    <w:rsid w:val="00437B42"/>
    <w:rsid w:val="00437C9C"/>
    <w:rsid w:val="0044008A"/>
    <w:rsid w:val="00440521"/>
    <w:rsid w:val="0044058B"/>
    <w:rsid w:val="0044076C"/>
    <w:rsid w:val="00440F02"/>
    <w:rsid w:val="004416EF"/>
    <w:rsid w:val="00441C5C"/>
    <w:rsid w:val="00441E22"/>
    <w:rsid w:val="00442016"/>
    <w:rsid w:val="00442327"/>
    <w:rsid w:val="004425B1"/>
    <w:rsid w:val="0044288D"/>
    <w:rsid w:val="00442947"/>
    <w:rsid w:val="00442EB8"/>
    <w:rsid w:val="00442EC8"/>
    <w:rsid w:val="0044308C"/>
    <w:rsid w:val="00443493"/>
    <w:rsid w:val="00443683"/>
    <w:rsid w:val="00443790"/>
    <w:rsid w:val="00443C0F"/>
    <w:rsid w:val="00443F4D"/>
    <w:rsid w:val="004443BB"/>
    <w:rsid w:val="0044443D"/>
    <w:rsid w:val="004449C4"/>
    <w:rsid w:val="00444B47"/>
    <w:rsid w:val="00444B5E"/>
    <w:rsid w:val="00444D09"/>
    <w:rsid w:val="00445260"/>
    <w:rsid w:val="004453B8"/>
    <w:rsid w:val="0044567D"/>
    <w:rsid w:val="004456B2"/>
    <w:rsid w:val="004458D6"/>
    <w:rsid w:val="00445BC5"/>
    <w:rsid w:val="00446087"/>
    <w:rsid w:val="0044611D"/>
    <w:rsid w:val="00446595"/>
    <w:rsid w:val="00446632"/>
    <w:rsid w:val="00446D39"/>
    <w:rsid w:val="00446FAD"/>
    <w:rsid w:val="00447064"/>
    <w:rsid w:val="004470CE"/>
    <w:rsid w:val="004474D2"/>
    <w:rsid w:val="004476C3"/>
    <w:rsid w:val="0045059D"/>
    <w:rsid w:val="004506D7"/>
    <w:rsid w:val="0045093D"/>
    <w:rsid w:val="00450AF0"/>
    <w:rsid w:val="00450C2E"/>
    <w:rsid w:val="00450C3E"/>
    <w:rsid w:val="00450C9D"/>
    <w:rsid w:val="00450D05"/>
    <w:rsid w:val="00450E4B"/>
    <w:rsid w:val="00450EC3"/>
    <w:rsid w:val="00450FB6"/>
    <w:rsid w:val="004510C4"/>
    <w:rsid w:val="00451636"/>
    <w:rsid w:val="00451906"/>
    <w:rsid w:val="004519EA"/>
    <w:rsid w:val="00451A26"/>
    <w:rsid w:val="00451DF0"/>
    <w:rsid w:val="00451E2F"/>
    <w:rsid w:val="0045228E"/>
    <w:rsid w:val="0045257D"/>
    <w:rsid w:val="00452755"/>
    <w:rsid w:val="00452A0A"/>
    <w:rsid w:val="00452B48"/>
    <w:rsid w:val="00452EB4"/>
    <w:rsid w:val="00452ECF"/>
    <w:rsid w:val="00452F46"/>
    <w:rsid w:val="00452FD7"/>
    <w:rsid w:val="00453188"/>
    <w:rsid w:val="004538FE"/>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2C"/>
    <w:rsid w:val="004568C0"/>
    <w:rsid w:val="00456A16"/>
    <w:rsid w:val="00456A88"/>
    <w:rsid w:val="00456BBD"/>
    <w:rsid w:val="00456CA0"/>
    <w:rsid w:val="00456E1F"/>
    <w:rsid w:val="0045710F"/>
    <w:rsid w:val="004572B1"/>
    <w:rsid w:val="0045732D"/>
    <w:rsid w:val="00457795"/>
    <w:rsid w:val="00457B8F"/>
    <w:rsid w:val="00460271"/>
    <w:rsid w:val="00460604"/>
    <w:rsid w:val="00460850"/>
    <w:rsid w:val="00460B03"/>
    <w:rsid w:val="00460B37"/>
    <w:rsid w:val="00460D60"/>
    <w:rsid w:val="00460DF0"/>
    <w:rsid w:val="0046107F"/>
    <w:rsid w:val="004611EC"/>
    <w:rsid w:val="00461576"/>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826"/>
    <w:rsid w:val="00464D6A"/>
    <w:rsid w:val="00464E85"/>
    <w:rsid w:val="0046517B"/>
    <w:rsid w:val="00465293"/>
    <w:rsid w:val="004653B2"/>
    <w:rsid w:val="004653C3"/>
    <w:rsid w:val="004654FF"/>
    <w:rsid w:val="00465BCF"/>
    <w:rsid w:val="00465C2D"/>
    <w:rsid w:val="00465F95"/>
    <w:rsid w:val="00465FDB"/>
    <w:rsid w:val="00466038"/>
    <w:rsid w:val="00466490"/>
    <w:rsid w:val="0046669C"/>
    <w:rsid w:val="00466AE4"/>
    <w:rsid w:val="00466B30"/>
    <w:rsid w:val="00466DA6"/>
    <w:rsid w:val="00466E88"/>
    <w:rsid w:val="0046703B"/>
    <w:rsid w:val="004676FF"/>
    <w:rsid w:val="00467B5D"/>
    <w:rsid w:val="00467D56"/>
    <w:rsid w:val="0047041E"/>
    <w:rsid w:val="00470C0C"/>
    <w:rsid w:val="00471044"/>
    <w:rsid w:val="0047110B"/>
    <w:rsid w:val="0047192C"/>
    <w:rsid w:val="00471EAF"/>
    <w:rsid w:val="004720B0"/>
    <w:rsid w:val="0047217E"/>
    <w:rsid w:val="00472192"/>
    <w:rsid w:val="00472294"/>
    <w:rsid w:val="00472374"/>
    <w:rsid w:val="00472643"/>
    <w:rsid w:val="004727A6"/>
    <w:rsid w:val="00472C8E"/>
    <w:rsid w:val="004730B6"/>
    <w:rsid w:val="0047332C"/>
    <w:rsid w:val="0047333D"/>
    <w:rsid w:val="00473624"/>
    <w:rsid w:val="00473863"/>
    <w:rsid w:val="004738EA"/>
    <w:rsid w:val="00473963"/>
    <w:rsid w:val="00473CFC"/>
    <w:rsid w:val="00474031"/>
    <w:rsid w:val="0047429B"/>
    <w:rsid w:val="0047450B"/>
    <w:rsid w:val="00474B33"/>
    <w:rsid w:val="00474C1B"/>
    <w:rsid w:val="00474C30"/>
    <w:rsid w:val="00474D75"/>
    <w:rsid w:val="00474E40"/>
    <w:rsid w:val="00474E89"/>
    <w:rsid w:val="00475139"/>
    <w:rsid w:val="004751CA"/>
    <w:rsid w:val="004753A2"/>
    <w:rsid w:val="004756BB"/>
    <w:rsid w:val="00475935"/>
    <w:rsid w:val="00475B14"/>
    <w:rsid w:val="00475C66"/>
    <w:rsid w:val="00475C87"/>
    <w:rsid w:val="004760F4"/>
    <w:rsid w:val="0047620F"/>
    <w:rsid w:val="0047667D"/>
    <w:rsid w:val="00476E4D"/>
    <w:rsid w:val="00476FC3"/>
    <w:rsid w:val="004772AB"/>
    <w:rsid w:val="0047739F"/>
    <w:rsid w:val="00477810"/>
    <w:rsid w:val="00477E57"/>
    <w:rsid w:val="00480208"/>
    <w:rsid w:val="00480223"/>
    <w:rsid w:val="00480867"/>
    <w:rsid w:val="00480E82"/>
    <w:rsid w:val="00480F87"/>
    <w:rsid w:val="00480F97"/>
    <w:rsid w:val="00481794"/>
    <w:rsid w:val="00481BA3"/>
    <w:rsid w:val="004822A7"/>
    <w:rsid w:val="004822EB"/>
    <w:rsid w:val="0048239B"/>
    <w:rsid w:val="0048249D"/>
    <w:rsid w:val="00482834"/>
    <w:rsid w:val="00482C8C"/>
    <w:rsid w:val="00483530"/>
    <w:rsid w:val="0048374D"/>
    <w:rsid w:val="00483758"/>
    <w:rsid w:val="004838CA"/>
    <w:rsid w:val="004838E4"/>
    <w:rsid w:val="00483AD5"/>
    <w:rsid w:val="00483FB6"/>
    <w:rsid w:val="0048432C"/>
    <w:rsid w:val="004843F9"/>
    <w:rsid w:val="0048457C"/>
    <w:rsid w:val="00484611"/>
    <w:rsid w:val="00484722"/>
    <w:rsid w:val="00485272"/>
    <w:rsid w:val="00485F83"/>
    <w:rsid w:val="004860B6"/>
    <w:rsid w:val="00486140"/>
    <w:rsid w:val="0048623D"/>
    <w:rsid w:val="004864FA"/>
    <w:rsid w:val="0048651C"/>
    <w:rsid w:val="004867AF"/>
    <w:rsid w:val="00486A32"/>
    <w:rsid w:val="00487501"/>
    <w:rsid w:val="0048770D"/>
    <w:rsid w:val="004877B8"/>
    <w:rsid w:val="00487C22"/>
    <w:rsid w:val="00487C90"/>
    <w:rsid w:val="00487D34"/>
    <w:rsid w:val="004900D9"/>
    <w:rsid w:val="00490414"/>
    <w:rsid w:val="0049043B"/>
    <w:rsid w:val="004907FF"/>
    <w:rsid w:val="004908D4"/>
    <w:rsid w:val="00490A07"/>
    <w:rsid w:val="00490F8C"/>
    <w:rsid w:val="004910DF"/>
    <w:rsid w:val="004912BC"/>
    <w:rsid w:val="00491939"/>
    <w:rsid w:val="00491B2C"/>
    <w:rsid w:val="00491C77"/>
    <w:rsid w:val="00491E7A"/>
    <w:rsid w:val="00492045"/>
    <w:rsid w:val="0049239F"/>
    <w:rsid w:val="00492F01"/>
    <w:rsid w:val="00493172"/>
    <w:rsid w:val="004931F9"/>
    <w:rsid w:val="00493283"/>
    <w:rsid w:val="00493618"/>
    <w:rsid w:val="004936CE"/>
    <w:rsid w:val="00494024"/>
    <w:rsid w:val="004942A0"/>
    <w:rsid w:val="00494449"/>
    <w:rsid w:val="00495181"/>
    <w:rsid w:val="0049558A"/>
    <w:rsid w:val="00495834"/>
    <w:rsid w:val="00495B68"/>
    <w:rsid w:val="00495E00"/>
    <w:rsid w:val="00496000"/>
    <w:rsid w:val="004960DF"/>
    <w:rsid w:val="00496263"/>
    <w:rsid w:val="0049685F"/>
    <w:rsid w:val="00496CB6"/>
    <w:rsid w:val="004970D0"/>
    <w:rsid w:val="0049730C"/>
    <w:rsid w:val="004974A2"/>
    <w:rsid w:val="0049758C"/>
    <w:rsid w:val="004979C9"/>
    <w:rsid w:val="00497CC5"/>
    <w:rsid w:val="00497DC0"/>
    <w:rsid w:val="00497E65"/>
    <w:rsid w:val="004A01B9"/>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19"/>
    <w:rsid w:val="004A3249"/>
    <w:rsid w:val="004A37A5"/>
    <w:rsid w:val="004A3868"/>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472"/>
    <w:rsid w:val="004A65C5"/>
    <w:rsid w:val="004A66BC"/>
    <w:rsid w:val="004A6742"/>
    <w:rsid w:val="004A67C0"/>
    <w:rsid w:val="004A6827"/>
    <w:rsid w:val="004A6991"/>
    <w:rsid w:val="004A69A8"/>
    <w:rsid w:val="004A6BFE"/>
    <w:rsid w:val="004A6E93"/>
    <w:rsid w:val="004A731D"/>
    <w:rsid w:val="004A74F7"/>
    <w:rsid w:val="004A7556"/>
    <w:rsid w:val="004A7573"/>
    <w:rsid w:val="004A7B15"/>
    <w:rsid w:val="004B059F"/>
    <w:rsid w:val="004B0B58"/>
    <w:rsid w:val="004B0BB5"/>
    <w:rsid w:val="004B0BD8"/>
    <w:rsid w:val="004B0E6E"/>
    <w:rsid w:val="004B0EAB"/>
    <w:rsid w:val="004B1019"/>
    <w:rsid w:val="004B1282"/>
    <w:rsid w:val="004B1330"/>
    <w:rsid w:val="004B1566"/>
    <w:rsid w:val="004B1638"/>
    <w:rsid w:val="004B167E"/>
    <w:rsid w:val="004B18A2"/>
    <w:rsid w:val="004B19D0"/>
    <w:rsid w:val="004B1B5B"/>
    <w:rsid w:val="004B1CFF"/>
    <w:rsid w:val="004B1ECA"/>
    <w:rsid w:val="004B1F23"/>
    <w:rsid w:val="004B2396"/>
    <w:rsid w:val="004B24CB"/>
    <w:rsid w:val="004B2623"/>
    <w:rsid w:val="004B27E0"/>
    <w:rsid w:val="004B2BFB"/>
    <w:rsid w:val="004B2C8E"/>
    <w:rsid w:val="004B2F2F"/>
    <w:rsid w:val="004B30CF"/>
    <w:rsid w:val="004B35F0"/>
    <w:rsid w:val="004B3729"/>
    <w:rsid w:val="004B3C1D"/>
    <w:rsid w:val="004B3C43"/>
    <w:rsid w:val="004B3D3A"/>
    <w:rsid w:val="004B3DF8"/>
    <w:rsid w:val="004B3F31"/>
    <w:rsid w:val="004B42EB"/>
    <w:rsid w:val="004B4468"/>
    <w:rsid w:val="004B44CB"/>
    <w:rsid w:val="004B45D5"/>
    <w:rsid w:val="004B4664"/>
    <w:rsid w:val="004B47DB"/>
    <w:rsid w:val="004B484B"/>
    <w:rsid w:val="004B4ABF"/>
    <w:rsid w:val="004B4BD8"/>
    <w:rsid w:val="004B4C91"/>
    <w:rsid w:val="004B4CF8"/>
    <w:rsid w:val="004B4E46"/>
    <w:rsid w:val="004B5642"/>
    <w:rsid w:val="004B591D"/>
    <w:rsid w:val="004B6262"/>
    <w:rsid w:val="004B6A3A"/>
    <w:rsid w:val="004B6B1F"/>
    <w:rsid w:val="004B6D92"/>
    <w:rsid w:val="004B7280"/>
    <w:rsid w:val="004B7FA0"/>
    <w:rsid w:val="004B7FBD"/>
    <w:rsid w:val="004B7FCA"/>
    <w:rsid w:val="004C0185"/>
    <w:rsid w:val="004C04D9"/>
    <w:rsid w:val="004C05AD"/>
    <w:rsid w:val="004C0720"/>
    <w:rsid w:val="004C0850"/>
    <w:rsid w:val="004C0857"/>
    <w:rsid w:val="004C09F5"/>
    <w:rsid w:val="004C0B84"/>
    <w:rsid w:val="004C0F00"/>
    <w:rsid w:val="004C11C8"/>
    <w:rsid w:val="004C1344"/>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6B6"/>
    <w:rsid w:val="004C47F9"/>
    <w:rsid w:val="004C4A06"/>
    <w:rsid w:val="004C4CF6"/>
    <w:rsid w:val="004C52A2"/>
    <w:rsid w:val="004C54DC"/>
    <w:rsid w:val="004C54E9"/>
    <w:rsid w:val="004C55EE"/>
    <w:rsid w:val="004C5C3B"/>
    <w:rsid w:val="004C5C6B"/>
    <w:rsid w:val="004C5D0F"/>
    <w:rsid w:val="004C5DDD"/>
    <w:rsid w:val="004C6114"/>
    <w:rsid w:val="004C6307"/>
    <w:rsid w:val="004C64E4"/>
    <w:rsid w:val="004C6949"/>
    <w:rsid w:val="004C69CF"/>
    <w:rsid w:val="004C69D4"/>
    <w:rsid w:val="004C726D"/>
    <w:rsid w:val="004C7495"/>
    <w:rsid w:val="004C75F6"/>
    <w:rsid w:val="004D0024"/>
    <w:rsid w:val="004D0614"/>
    <w:rsid w:val="004D09FD"/>
    <w:rsid w:val="004D0ACD"/>
    <w:rsid w:val="004D104F"/>
    <w:rsid w:val="004D114A"/>
    <w:rsid w:val="004D1222"/>
    <w:rsid w:val="004D13B9"/>
    <w:rsid w:val="004D162C"/>
    <w:rsid w:val="004D162D"/>
    <w:rsid w:val="004D16CD"/>
    <w:rsid w:val="004D16F6"/>
    <w:rsid w:val="004D1B47"/>
    <w:rsid w:val="004D1BE3"/>
    <w:rsid w:val="004D1F83"/>
    <w:rsid w:val="004D2158"/>
    <w:rsid w:val="004D21A7"/>
    <w:rsid w:val="004D2237"/>
    <w:rsid w:val="004D255A"/>
    <w:rsid w:val="004D261C"/>
    <w:rsid w:val="004D26DB"/>
    <w:rsid w:val="004D3381"/>
    <w:rsid w:val="004D36FF"/>
    <w:rsid w:val="004D3A32"/>
    <w:rsid w:val="004D3C7D"/>
    <w:rsid w:val="004D3FD8"/>
    <w:rsid w:val="004D40C2"/>
    <w:rsid w:val="004D40E1"/>
    <w:rsid w:val="004D4540"/>
    <w:rsid w:val="004D4CE3"/>
    <w:rsid w:val="004D4D77"/>
    <w:rsid w:val="004D52DC"/>
    <w:rsid w:val="004D5388"/>
    <w:rsid w:val="004D55CE"/>
    <w:rsid w:val="004D584B"/>
    <w:rsid w:val="004D58B2"/>
    <w:rsid w:val="004D59C6"/>
    <w:rsid w:val="004D5AE9"/>
    <w:rsid w:val="004D5C91"/>
    <w:rsid w:val="004D5EC9"/>
    <w:rsid w:val="004D5F68"/>
    <w:rsid w:val="004D601D"/>
    <w:rsid w:val="004D61ED"/>
    <w:rsid w:val="004D645E"/>
    <w:rsid w:val="004D6533"/>
    <w:rsid w:val="004D655E"/>
    <w:rsid w:val="004D673E"/>
    <w:rsid w:val="004D67E4"/>
    <w:rsid w:val="004D6920"/>
    <w:rsid w:val="004D6B48"/>
    <w:rsid w:val="004D6C5B"/>
    <w:rsid w:val="004D6D47"/>
    <w:rsid w:val="004D6E2E"/>
    <w:rsid w:val="004D6EDD"/>
    <w:rsid w:val="004D75A0"/>
    <w:rsid w:val="004D771D"/>
    <w:rsid w:val="004D7871"/>
    <w:rsid w:val="004D7ABB"/>
    <w:rsid w:val="004D7FD9"/>
    <w:rsid w:val="004D7FF8"/>
    <w:rsid w:val="004E000C"/>
    <w:rsid w:val="004E05EF"/>
    <w:rsid w:val="004E0CB4"/>
    <w:rsid w:val="004E0EB8"/>
    <w:rsid w:val="004E15B4"/>
    <w:rsid w:val="004E1821"/>
    <w:rsid w:val="004E1B3D"/>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612"/>
    <w:rsid w:val="004E47B0"/>
    <w:rsid w:val="004E47EC"/>
    <w:rsid w:val="004E49A5"/>
    <w:rsid w:val="004E4B1E"/>
    <w:rsid w:val="004E4C1B"/>
    <w:rsid w:val="004E4E17"/>
    <w:rsid w:val="004E4E4F"/>
    <w:rsid w:val="004E502E"/>
    <w:rsid w:val="004E56B0"/>
    <w:rsid w:val="004E5C32"/>
    <w:rsid w:val="004E5ECA"/>
    <w:rsid w:val="004E62B3"/>
    <w:rsid w:val="004E6D38"/>
    <w:rsid w:val="004E6DA5"/>
    <w:rsid w:val="004E6DDE"/>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413"/>
    <w:rsid w:val="004F1506"/>
    <w:rsid w:val="004F18EF"/>
    <w:rsid w:val="004F2136"/>
    <w:rsid w:val="004F2188"/>
    <w:rsid w:val="004F260D"/>
    <w:rsid w:val="004F27F1"/>
    <w:rsid w:val="004F28C2"/>
    <w:rsid w:val="004F2989"/>
    <w:rsid w:val="004F2EE2"/>
    <w:rsid w:val="004F30C8"/>
    <w:rsid w:val="004F3164"/>
    <w:rsid w:val="004F32DA"/>
    <w:rsid w:val="004F3359"/>
    <w:rsid w:val="004F33AC"/>
    <w:rsid w:val="004F38F7"/>
    <w:rsid w:val="004F3C0D"/>
    <w:rsid w:val="004F3D0C"/>
    <w:rsid w:val="004F3DC4"/>
    <w:rsid w:val="004F3E0F"/>
    <w:rsid w:val="004F405D"/>
    <w:rsid w:val="004F40B5"/>
    <w:rsid w:val="004F41B1"/>
    <w:rsid w:val="004F42CB"/>
    <w:rsid w:val="004F42E9"/>
    <w:rsid w:val="004F454E"/>
    <w:rsid w:val="004F4600"/>
    <w:rsid w:val="004F467C"/>
    <w:rsid w:val="004F4855"/>
    <w:rsid w:val="004F4A04"/>
    <w:rsid w:val="004F4A09"/>
    <w:rsid w:val="004F4C1D"/>
    <w:rsid w:val="004F4CB4"/>
    <w:rsid w:val="004F4F6D"/>
    <w:rsid w:val="004F4F84"/>
    <w:rsid w:val="004F50BF"/>
    <w:rsid w:val="004F5454"/>
    <w:rsid w:val="004F596C"/>
    <w:rsid w:val="004F5BD1"/>
    <w:rsid w:val="004F60FB"/>
    <w:rsid w:val="004F63E6"/>
    <w:rsid w:val="004F6A04"/>
    <w:rsid w:val="004F6AAD"/>
    <w:rsid w:val="004F6C0E"/>
    <w:rsid w:val="004F6C98"/>
    <w:rsid w:val="004F6E26"/>
    <w:rsid w:val="004F7034"/>
    <w:rsid w:val="004F75C3"/>
    <w:rsid w:val="004F76EC"/>
    <w:rsid w:val="004F77D4"/>
    <w:rsid w:val="004F784C"/>
    <w:rsid w:val="004F78D8"/>
    <w:rsid w:val="004F7901"/>
    <w:rsid w:val="0050002D"/>
    <w:rsid w:val="00500220"/>
    <w:rsid w:val="0050036A"/>
    <w:rsid w:val="00500789"/>
    <w:rsid w:val="00500BCF"/>
    <w:rsid w:val="0050112D"/>
    <w:rsid w:val="005015F6"/>
    <w:rsid w:val="0050170E"/>
    <w:rsid w:val="00501730"/>
    <w:rsid w:val="00501A4C"/>
    <w:rsid w:val="00501FDE"/>
    <w:rsid w:val="005022D9"/>
    <w:rsid w:val="0050257E"/>
    <w:rsid w:val="005028AC"/>
    <w:rsid w:val="005028D9"/>
    <w:rsid w:val="00502B2A"/>
    <w:rsid w:val="00502D61"/>
    <w:rsid w:val="00502F93"/>
    <w:rsid w:val="005030F5"/>
    <w:rsid w:val="00503394"/>
    <w:rsid w:val="00503687"/>
    <w:rsid w:val="00503A6E"/>
    <w:rsid w:val="00503C0D"/>
    <w:rsid w:val="00503CDD"/>
    <w:rsid w:val="00503CE1"/>
    <w:rsid w:val="00503D57"/>
    <w:rsid w:val="00503DB3"/>
    <w:rsid w:val="00503FD2"/>
    <w:rsid w:val="00504075"/>
    <w:rsid w:val="00504187"/>
    <w:rsid w:val="005047DA"/>
    <w:rsid w:val="00504A6D"/>
    <w:rsid w:val="00504CFC"/>
    <w:rsid w:val="0050524F"/>
    <w:rsid w:val="005052E6"/>
    <w:rsid w:val="005055C6"/>
    <w:rsid w:val="00505735"/>
    <w:rsid w:val="0050579E"/>
    <w:rsid w:val="00505979"/>
    <w:rsid w:val="0050598C"/>
    <w:rsid w:val="00505E15"/>
    <w:rsid w:val="005060A8"/>
    <w:rsid w:val="00506131"/>
    <w:rsid w:val="005067BD"/>
    <w:rsid w:val="005068E2"/>
    <w:rsid w:val="00506B18"/>
    <w:rsid w:val="00506DBC"/>
    <w:rsid w:val="00507450"/>
    <w:rsid w:val="00507559"/>
    <w:rsid w:val="00507644"/>
    <w:rsid w:val="005077DA"/>
    <w:rsid w:val="00507BE6"/>
    <w:rsid w:val="00507DFB"/>
    <w:rsid w:val="0051006C"/>
    <w:rsid w:val="0051016A"/>
    <w:rsid w:val="0051023B"/>
    <w:rsid w:val="00510368"/>
    <w:rsid w:val="00510B5D"/>
    <w:rsid w:val="00510CBD"/>
    <w:rsid w:val="00511241"/>
    <w:rsid w:val="00511400"/>
    <w:rsid w:val="005115FE"/>
    <w:rsid w:val="005116C6"/>
    <w:rsid w:val="00511826"/>
    <w:rsid w:val="00511CD6"/>
    <w:rsid w:val="00511EBA"/>
    <w:rsid w:val="00512072"/>
    <w:rsid w:val="0051209F"/>
    <w:rsid w:val="005122D4"/>
    <w:rsid w:val="00512685"/>
    <w:rsid w:val="00512744"/>
    <w:rsid w:val="005129E1"/>
    <w:rsid w:val="00512D3E"/>
    <w:rsid w:val="00512E83"/>
    <w:rsid w:val="00512EFF"/>
    <w:rsid w:val="00513274"/>
    <w:rsid w:val="005136F0"/>
    <w:rsid w:val="00513872"/>
    <w:rsid w:val="00513BC9"/>
    <w:rsid w:val="005141D3"/>
    <w:rsid w:val="005142BD"/>
    <w:rsid w:val="00514BCE"/>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1E5"/>
    <w:rsid w:val="0051684D"/>
    <w:rsid w:val="00516A37"/>
    <w:rsid w:val="00516AC0"/>
    <w:rsid w:val="00517010"/>
    <w:rsid w:val="00517BBC"/>
    <w:rsid w:val="00517DC4"/>
    <w:rsid w:val="00517E80"/>
    <w:rsid w:val="005201CD"/>
    <w:rsid w:val="005202C6"/>
    <w:rsid w:val="0052094C"/>
    <w:rsid w:val="00520E13"/>
    <w:rsid w:val="00520F38"/>
    <w:rsid w:val="00521302"/>
    <w:rsid w:val="005213BD"/>
    <w:rsid w:val="00521461"/>
    <w:rsid w:val="005215E0"/>
    <w:rsid w:val="00521711"/>
    <w:rsid w:val="00521A9C"/>
    <w:rsid w:val="00521DDA"/>
    <w:rsid w:val="00522095"/>
    <w:rsid w:val="0052254F"/>
    <w:rsid w:val="005225C4"/>
    <w:rsid w:val="005230E3"/>
    <w:rsid w:val="00523956"/>
    <w:rsid w:val="00523CB7"/>
    <w:rsid w:val="00524067"/>
    <w:rsid w:val="0052419D"/>
    <w:rsid w:val="005242F4"/>
    <w:rsid w:val="005246E2"/>
    <w:rsid w:val="00524A9A"/>
    <w:rsid w:val="00524BC1"/>
    <w:rsid w:val="00524C31"/>
    <w:rsid w:val="00524C4E"/>
    <w:rsid w:val="00524C5F"/>
    <w:rsid w:val="00524EE7"/>
    <w:rsid w:val="005254F1"/>
    <w:rsid w:val="00525612"/>
    <w:rsid w:val="005256FB"/>
    <w:rsid w:val="00525A58"/>
    <w:rsid w:val="00525ABA"/>
    <w:rsid w:val="00525AEC"/>
    <w:rsid w:val="00525E9E"/>
    <w:rsid w:val="00526383"/>
    <w:rsid w:val="00526B53"/>
    <w:rsid w:val="00526D0E"/>
    <w:rsid w:val="00526E3D"/>
    <w:rsid w:val="00526E94"/>
    <w:rsid w:val="0052711D"/>
    <w:rsid w:val="005278A1"/>
    <w:rsid w:val="0052795F"/>
    <w:rsid w:val="005279D1"/>
    <w:rsid w:val="00527DBD"/>
    <w:rsid w:val="00527E16"/>
    <w:rsid w:val="00527F62"/>
    <w:rsid w:val="005300AB"/>
    <w:rsid w:val="00530219"/>
    <w:rsid w:val="0053033B"/>
    <w:rsid w:val="005303FF"/>
    <w:rsid w:val="0053087A"/>
    <w:rsid w:val="00531053"/>
    <w:rsid w:val="005311A5"/>
    <w:rsid w:val="0053120C"/>
    <w:rsid w:val="00531481"/>
    <w:rsid w:val="005314E2"/>
    <w:rsid w:val="005316C4"/>
    <w:rsid w:val="00531863"/>
    <w:rsid w:val="00531C1D"/>
    <w:rsid w:val="0053208E"/>
    <w:rsid w:val="005322A1"/>
    <w:rsid w:val="00532311"/>
    <w:rsid w:val="00532349"/>
    <w:rsid w:val="0053257A"/>
    <w:rsid w:val="005325AA"/>
    <w:rsid w:val="00532A7B"/>
    <w:rsid w:val="00532A9E"/>
    <w:rsid w:val="00532E48"/>
    <w:rsid w:val="0053300F"/>
    <w:rsid w:val="005330CC"/>
    <w:rsid w:val="005331DB"/>
    <w:rsid w:val="005331DF"/>
    <w:rsid w:val="00533394"/>
    <w:rsid w:val="005336A8"/>
    <w:rsid w:val="0053393A"/>
    <w:rsid w:val="00533BF8"/>
    <w:rsid w:val="00533EA7"/>
    <w:rsid w:val="00534261"/>
    <w:rsid w:val="00534404"/>
    <w:rsid w:val="0053528F"/>
    <w:rsid w:val="00535930"/>
    <w:rsid w:val="00535F02"/>
    <w:rsid w:val="00535FF6"/>
    <w:rsid w:val="00536315"/>
    <w:rsid w:val="00536362"/>
    <w:rsid w:val="005363C4"/>
    <w:rsid w:val="00536A07"/>
    <w:rsid w:val="00536B42"/>
    <w:rsid w:val="0053770E"/>
    <w:rsid w:val="00537775"/>
    <w:rsid w:val="005377EA"/>
    <w:rsid w:val="005379D4"/>
    <w:rsid w:val="00537BA9"/>
    <w:rsid w:val="00537C7E"/>
    <w:rsid w:val="00540476"/>
    <w:rsid w:val="005404FE"/>
    <w:rsid w:val="00540BCA"/>
    <w:rsid w:val="00540FDE"/>
    <w:rsid w:val="00541319"/>
    <w:rsid w:val="0054147B"/>
    <w:rsid w:val="0054148A"/>
    <w:rsid w:val="005414DA"/>
    <w:rsid w:val="00541728"/>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EBB"/>
    <w:rsid w:val="00545F29"/>
    <w:rsid w:val="0054615F"/>
    <w:rsid w:val="00546427"/>
    <w:rsid w:val="0054674E"/>
    <w:rsid w:val="00546851"/>
    <w:rsid w:val="0054750A"/>
    <w:rsid w:val="00547893"/>
    <w:rsid w:val="005479DA"/>
    <w:rsid w:val="00547A70"/>
    <w:rsid w:val="00547A8E"/>
    <w:rsid w:val="00547E52"/>
    <w:rsid w:val="00550191"/>
    <w:rsid w:val="00550495"/>
    <w:rsid w:val="005504A2"/>
    <w:rsid w:val="005507D2"/>
    <w:rsid w:val="005507F2"/>
    <w:rsid w:val="00550AAA"/>
    <w:rsid w:val="00550B4C"/>
    <w:rsid w:val="00550C9B"/>
    <w:rsid w:val="00550D5E"/>
    <w:rsid w:val="00550D87"/>
    <w:rsid w:val="00550FDD"/>
    <w:rsid w:val="005513C3"/>
    <w:rsid w:val="005514D0"/>
    <w:rsid w:val="00551695"/>
    <w:rsid w:val="00551D55"/>
    <w:rsid w:val="00551D5C"/>
    <w:rsid w:val="00551F5A"/>
    <w:rsid w:val="00551FC6"/>
    <w:rsid w:val="00552077"/>
    <w:rsid w:val="00552228"/>
    <w:rsid w:val="0055233C"/>
    <w:rsid w:val="00552374"/>
    <w:rsid w:val="005524DF"/>
    <w:rsid w:val="00552516"/>
    <w:rsid w:val="005527D8"/>
    <w:rsid w:val="00552ABE"/>
    <w:rsid w:val="00552D04"/>
    <w:rsid w:val="0055339A"/>
    <w:rsid w:val="0055354A"/>
    <w:rsid w:val="00553780"/>
    <w:rsid w:val="005537A5"/>
    <w:rsid w:val="005538DB"/>
    <w:rsid w:val="005538E3"/>
    <w:rsid w:val="00553949"/>
    <w:rsid w:val="00553B1D"/>
    <w:rsid w:val="00553E68"/>
    <w:rsid w:val="00554002"/>
    <w:rsid w:val="0055406E"/>
    <w:rsid w:val="0055418D"/>
    <w:rsid w:val="00554240"/>
    <w:rsid w:val="00554333"/>
    <w:rsid w:val="00554779"/>
    <w:rsid w:val="00554A8C"/>
    <w:rsid w:val="005556DB"/>
    <w:rsid w:val="0055611D"/>
    <w:rsid w:val="0055619C"/>
    <w:rsid w:val="00556469"/>
    <w:rsid w:val="00556565"/>
    <w:rsid w:val="00556C7A"/>
    <w:rsid w:val="005570A8"/>
    <w:rsid w:val="0055734A"/>
    <w:rsid w:val="00557CAA"/>
    <w:rsid w:val="00557DC6"/>
    <w:rsid w:val="00557FE3"/>
    <w:rsid w:val="005602B5"/>
    <w:rsid w:val="005602EE"/>
    <w:rsid w:val="005604B2"/>
    <w:rsid w:val="00560763"/>
    <w:rsid w:val="005607B6"/>
    <w:rsid w:val="005607C5"/>
    <w:rsid w:val="00560CD6"/>
    <w:rsid w:val="005610B6"/>
    <w:rsid w:val="0056124D"/>
    <w:rsid w:val="0056153E"/>
    <w:rsid w:val="00561784"/>
    <w:rsid w:val="00561AC7"/>
    <w:rsid w:val="00561B63"/>
    <w:rsid w:val="00561C5C"/>
    <w:rsid w:val="005620CF"/>
    <w:rsid w:val="005620D3"/>
    <w:rsid w:val="005621D4"/>
    <w:rsid w:val="005623D7"/>
    <w:rsid w:val="005627B1"/>
    <w:rsid w:val="00562862"/>
    <w:rsid w:val="00562922"/>
    <w:rsid w:val="005629BC"/>
    <w:rsid w:val="005629E7"/>
    <w:rsid w:val="00562A24"/>
    <w:rsid w:val="00562C1B"/>
    <w:rsid w:val="00562C7E"/>
    <w:rsid w:val="00562E1D"/>
    <w:rsid w:val="00562FD5"/>
    <w:rsid w:val="00563059"/>
    <w:rsid w:val="005631AA"/>
    <w:rsid w:val="00563685"/>
    <w:rsid w:val="005636C8"/>
    <w:rsid w:val="00563752"/>
    <w:rsid w:val="0056381D"/>
    <w:rsid w:val="00563B99"/>
    <w:rsid w:val="00563D2A"/>
    <w:rsid w:val="00563EE6"/>
    <w:rsid w:val="00564199"/>
    <w:rsid w:val="005641EF"/>
    <w:rsid w:val="005642A8"/>
    <w:rsid w:val="005642B4"/>
    <w:rsid w:val="00564918"/>
    <w:rsid w:val="00564F4B"/>
    <w:rsid w:val="00564FFD"/>
    <w:rsid w:val="005653BB"/>
    <w:rsid w:val="005653EE"/>
    <w:rsid w:val="0056555C"/>
    <w:rsid w:val="00565A76"/>
    <w:rsid w:val="0056637D"/>
    <w:rsid w:val="00566518"/>
    <w:rsid w:val="00566A26"/>
    <w:rsid w:val="00566AF5"/>
    <w:rsid w:val="00566B1D"/>
    <w:rsid w:val="00566E4C"/>
    <w:rsid w:val="005670E7"/>
    <w:rsid w:val="005671F2"/>
    <w:rsid w:val="005676FD"/>
    <w:rsid w:val="0056780E"/>
    <w:rsid w:val="005678C1"/>
    <w:rsid w:val="00567B0D"/>
    <w:rsid w:val="00567BCC"/>
    <w:rsid w:val="00567FA2"/>
    <w:rsid w:val="0057037C"/>
    <w:rsid w:val="00570484"/>
    <w:rsid w:val="00570B89"/>
    <w:rsid w:val="00570BD8"/>
    <w:rsid w:val="00570F43"/>
    <w:rsid w:val="00571100"/>
    <w:rsid w:val="00571AE6"/>
    <w:rsid w:val="00571B94"/>
    <w:rsid w:val="00571E22"/>
    <w:rsid w:val="00571FBA"/>
    <w:rsid w:val="005720BF"/>
    <w:rsid w:val="0057240D"/>
    <w:rsid w:val="00572729"/>
    <w:rsid w:val="00572A93"/>
    <w:rsid w:val="00572B47"/>
    <w:rsid w:val="0057323E"/>
    <w:rsid w:val="0057337D"/>
    <w:rsid w:val="00573521"/>
    <w:rsid w:val="0057385B"/>
    <w:rsid w:val="005739B2"/>
    <w:rsid w:val="00573B47"/>
    <w:rsid w:val="00573C5F"/>
    <w:rsid w:val="00573E58"/>
    <w:rsid w:val="0057428B"/>
    <w:rsid w:val="005745B9"/>
    <w:rsid w:val="005745E0"/>
    <w:rsid w:val="00574629"/>
    <w:rsid w:val="005748E7"/>
    <w:rsid w:val="0057514C"/>
    <w:rsid w:val="005752E1"/>
    <w:rsid w:val="00575646"/>
    <w:rsid w:val="005757AF"/>
    <w:rsid w:val="00575876"/>
    <w:rsid w:val="00575994"/>
    <w:rsid w:val="00575A0C"/>
    <w:rsid w:val="0057630C"/>
    <w:rsid w:val="005763EE"/>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1E2"/>
    <w:rsid w:val="00581423"/>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3546"/>
    <w:rsid w:val="0058454D"/>
    <w:rsid w:val="00584742"/>
    <w:rsid w:val="0058498E"/>
    <w:rsid w:val="00584AEF"/>
    <w:rsid w:val="00584D64"/>
    <w:rsid w:val="005851D9"/>
    <w:rsid w:val="00585364"/>
    <w:rsid w:val="00585A6A"/>
    <w:rsid w:val="00585A70"/>
    <w:rsid w:val="00585B64"/>
    <w:rsid w:val="00585C46"/>
    <w:rsid w:val="00585EF3"/>
    <w:rsid w:val="00586078"/>
    <w:rsid w:val="005860CC"/>
    <w:rsid w:val="005860FF"/>
    <w:rsid w:val="00586102"/>
    <w:rsid w:val="00586212"/>
    <w:rsid w:val="0058636A"/>
    <w:rsid w:val="005863F9"/>
    <w:rsid w:val="00586460"/>
    <w:rsid w:val="00586796"/>
    <w:rsid w:val="00586811"/>
    <w:rsid w:val="00586A11"/>
    <w:rsid w:val="00586A14"/>
    <w:rsid w:val="00586E40"/>
    <w:rsid w:val="00586FA6"/>
    <w:rsid w:val="00587207"/>
    <w:rsid w:val="0058732A"/>
    <w:rsid w:val="005874FE"/>
    <w:rsid w:val="005875BF"/>
    <w:rsid w:val="0058770B"/>
    <w:rsid w:val="0058771A"/>
    <w:rsid w:val="00587782"/>
    <w:rsid w:val="00587864"/>
    <w:rsid w:val="00587BC4"/>
    <w:rsid w:val="00587BDA"/>
    <w:rsid w:val="0059026E"/>
    <w:rsid w:val="0059039E"/>
    <w:rsid w:val="005907E5"/>
    <w:rsid w:val="0059089C"/>
    <w:rsid w:val="005908D8"/>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4C7D"/>
    <w:rsid w:val="00595004"/>
    <w:rsid w:val="00595234"/>
    <w:rsid w:val="00595888"/>
    <w:rsid w:val="00595A3A"/>
    <w:rsid w:val="00595C0F"/>
    <w:rsid w:val="00595DA3"/>
    <w:rsid w:val="00595E52"/>
    <w:rsid w:val="00595EF1"/>
    <w:rsid w:val="00596021"/>
    <w:rsid w:val="005960CB"/>
    <w:rsid w:val="00596205"/>
    <w:rsid w:val="005962BE"/>
    <w:rsid w:val="00596419"/>
    <w:rsid w:val="00596609"/>
    <w:rsid w:val="0059662E"/>
    <w:rsid w:val="0059692C"/>
    <w:rsid w:val="00596B86"/>
    <w:rsid w:val="00596D74"/>
    <w:rsid w:val="005973A7"/>
    <w:rsid w:val="005975E1"/>
    <w:rsid w:val="00597973"/>
    <w:rsid w:val="00597C6A"/>
    <w:rsid w:val="00597D48"/>
    <w:rsid w:val="005A007B"/>
    <w:rsid w:val="005A0465"/>
    <w:rsid w:val="005A0617"/>
    <w:rsid w:val="005A0646"/>
    <w:rsid w:val="005A06DD"/>
    <w:rsid w:val="005A08EF"/>
    <w:rsid w:val="005A0F6D"/>
    <w:rsid w:val="005A19C2"/>
    <w:rsid w:val="005A225A"/>
    <w:rsid w:val="005A22E4"/>
    <w:rsid w:val="005A2B01"/>
    <w:rsid w:val="005A2D39"/>
    <w:rsid w:val="005A2DF6"/>
    <w:rsid w:val="005A30B5"/>
    <w:rsid w:val="005A3306"/>
    <w:rsid w:val="005A3406"/>
    <w:rsid w:val="005A3754"/>
    <w:rsid w:val="005A3CB0"/>
    <w:rsid w:val="005A3CDA"/>
    <w:rsid w:val="005A4184"/>
    <w:rsid w:val="005A46B2"/>
    <w:rsid w:val="005A4780"/>
    <w:rsid w:val="005A47FF"/>
    <w:rsid w:val="005A4BCE"/>
    <w:rsid w:val="005A4D7F"/>
    <w:rsid w:val="005A531E"/>
    <w:rsid w:val="005A5389"/>
    <w:rsid w:val="005A57C4"/>
    <w:rsid w:val="005A5856"/>
    <w:rsid w:val="005A585A"/>
    <w:rsid w:val="005A5A14"/>
    <w:rsid w:val="005A5AB2"/>
    <w:rsid w:val="005A5CA2"/>
    <w:rsid w:val="005A60EB"/>
    <w:rsid w:val="005A655F"/>
    <w:rsid w:val="005A665B"/>
    <w:rsid w:val="005A6946"/>
    <w:rsid w:val="005A6A93"/>
    <w:rsid w:val="005A6B7E"/>
    <w:rsid w:val="005A75B1"/>
    <w:rsid w:val="005B03CC"/>
    <w:rsid w:val="005B0A7A"/>
    <w:rsid w:val="005B121D"/>
    <w:rsid w:val="005B1431"/>
    <w:rsid w:val="005B150C"/>
    <w:rsid w:val="005B176B"/>
    <w:rsid w:val="005B1AD7"/>
    <w:rsid w:val="005B1F03"/>
    <w:rsid w:val="005B2107"/>
    <w:rsid w:val="005B2635"/>
    <w:rsid w:val="005B2865"/>
    <w:rsid w:val="005B2E29"/>
    <w:rsid w:val="005B2E57"/>
    <w:rsid w:val="005B2EAD"/>
    <w:rsid w:val="005B338D"/>
    <w:rsid w:val="005B3432"/>
    <w:rsid w:val="005B39DF"/>
    <w:rsid w:val="005B3A75"/>
    <w:rsid w:val="005B3F08"/>
    <w:rsid w:val="005B40D8"/>
    <w:rsid w:val="005B41CC"/>
    <w:rsid w:val="005B46E2"/>
    <w:rsid w:val="005B4787"/>
    <w:rsid w:val="005B486F"/>
    <w:rsid w:val="005B49F6"/>
    <w:rsid w:val="005B4CF0"/>
    <w:rsid w:val="005B5078"/>
    <w:rsid w:val="005B52BB"/>
    <w:rsid w:val="005B5389"/>
    <w:rsid w:val="005B567D"/>
    <w:rsid w:val="005B57DD"/>
    <w:rsid w:val="005B580E"/>
    <w:rsid w:val="005B58B7"/>
    <w:rsid w:val="005B593B"/>
    <w:rsid w:val="005B5D50"/>
    <w:rsid w:val="005B63C6"/>
    <w:rsid w:val="005B68AD"/>
    <w:rsid w:val="005B6979"/>
    <w:rsid w:val="005B6DD9"/>
    <w:rsid w:val="005B6DEC"/>
    <w:rsid w:val="005B6E88"/>
    <w:rsid w:val="005B7166"/>
    <w:rsid w:val="005B7195"/>
    <w:rsid w:val="005B7223"/>
    <w:rsid w:val="005B7363"/>
    <w:rsid w:val="005B7442"/>
    <w:rsid w:val="005B74FD"/>
    <w:rsid w:val="005B7644"/>
    <w:rsid w:val="005B76CF"/>
    <w:rsid w:val="005B7F43"/>
    <w:rsid w:val="005C033A"/>
    <w:rsid w:val="005C0682"/>
    <w:rsid w:val="005C08A0"/>
    <w:rsid w:val="005C09EA"/>
    <w:rsid w:val="005C0A6C"/>
    <w:rsid w:val="005C0D7C"/>
    <w:rsid w:val="005C0E12"/>
    <w:rsid w:val="005C0F88"/>
    <w:rsid w:val="005C1159"/>
    <w:rsid w:val="005C1430"/>
    <w:rsid w:val="005C254C"/>
    <w:rsid w:val="005C25AC"/>
    <w:rsid w:val="005C2B04"/>
    <w:rsid w:val="005C2B5F"/>
    <w:rsid w:val="005C3076"/>
    <w:rsid w:val="005C3215"/>
    <w:rsid w:val="005C3326"/>
    <w:rsid w:val="005C338A"/>
    <w:rsid w:val="005C3478"/>
    <w:rsid w:val="005C3671"/>
    <w:rsid w:val="005C38AA"/>
    <w:rsid w:val="005C3B3D"/>
    <w:rsid w:val="005C3C88"/>
    <w:rsid w:val="005C3FA8"/>
    <w:rsid w:val="005C419B"/>
    <w:rsid w:val="005C44B9"/>
    <w:rsid w:val="005C4632"/>
    <w:rsid w:val="005C46FB"/>
    <w:rsid w:val="005C47C2"/>
    <w:rsid w:val="005C4D49"/>
    <w:rsid w:val="005C5107"/>
    <w:rsid w:val="005C5151"/>
    <w:rsid w:val="005C51EE"/>
    <w:rsid w:val="005C5338"/>
    <w:rsid w:val="005C55F3"/>
    <w:rsid w:val="005C5E9F"/>
    <w:rsid w:val="005C6566"/>
    <w:rsid w:val="005C65CE"/>
    <w:rsid w:val="005C6ED4"/>
    <w:rsid w:val="005C6F0E"/>
    <w:rsid w:val="005C70E7"/>
    <w:rsid w:val="005C7548"/>
    <w:rsid w:val="005C7718"/>
    <w:rsid w:val="005C77AD"/>
    <w:rsid w:val="005C78B7"/>
    <w:rsid w:val="005C7927"/>
    <w:rsid w:val="005C79A0"/>
    <w:rsid w:val="005C7ED3"/>
    <w:rsid w:val="005D0233"/>
    <w:rsid w:val="005D02DD"/>
    <w:rsid w:val="005D0DFF"/>
    <w:rsid w:val="005D1436"/>
    <w:rsid w:val="005D149D"/>
    <w:rsid w:val="005D174B"/>
    <w:rsid w:val="005D1862"/>
    <w:rsid w:val="005D19FA"/>
    <w:rsid w:val="005D1BB0"/>
    <w:rsid w:val="005D200F"/>
    <w:rsid w:val="005D2131"/>
    <w:rsid w:val="005D23CC"/>
    <w:rsid w:val="005D24D7"/>
    <w:rsid w:val="005D27D1"/>
    <w:rsid w:val="005D2B6F"/>
    <w:rsid w:val="005D2BB5"/>
    <w:rsid w:val="005D3CDD"/>
    <w:rsid w:val="005D4126"/>
    <w:rsid w:val="005D44C9"/>
    <w:rsid w:val="005D44EE"/>
    <w:rsid w:val="005D4A61"/>
    <w:rsid w:val="005D4E18"/>
    <w:rsid w:val="005D4ED0"/>
    <w:rsid w:val="005D5048"/>
    <w:rsid w:val="005D5790"/>
    <w:rsid w:val="005D5C1C"/>
    <w:rsid w:val="005D5CF2"/>
    <w:rsid w:val="005D604F"/>
    <w:rsid w:val="005D62F4"/>
    <w:rsid w:val="005D6586"/>
    <w:rsid w:val="005D6614"/>
    <w:rsid w:val="005D68D2"/>
    <w:rsid w:val="005D68F3"/>
    <w:rsid w:val="005D696F"/>
    <w:rsid w:val="005D6BE4"/>
    <w:rsid w:val="005D6DC6"/>
    <w:rsid w:val="005D6DD6"/>
    <w:rsid w:val="005D70A9"/>
    <w:rsid w:val="005D737F"/>
    <w:rsid w:val="005D7598"/>
    <w:rsid w:val="005D75C9"/>
    <w:rsid w:val="005D75EE"/>
    <w:rsid w:val="005D771B"/>
    <w:rsid w:val="005D77F1"/>
    <w:rsid w:val="005D78F6"/>
    <w:rsid w:val="005D79E2"/>
    <w:rsid w:val="005D7A3A"/>
    <w:rsid w:val="005D7B99"/>
    <w:rsid w:val="005D7BD2"/>
    <w:rsid w:val="005D7D23"/>
    <w:rsid w:val="005D7FBF"/>
    <w:rsid w:val="005E0938"/>
    <w:rsid w:val="005E09CB"/>
    <w:rsid w:val="005E131C"/>
    <w:rsid w:val="005E1786"/>
    <w:rsid w:val="005E1A91"/>
    <w:rsid w:val="005E1BE0"/>
    <w:rsid w:val="005E1EDC"/>
    <w:rsid w:val="005E2150"/>
    <w:rsid w:val="005E262D"/>
    <w:rsid w:val="005E2713"/>
    <w:rsid w:val="005E274B"/>
    <w:rsid w:val="005E28FE"/>
    <w:rsid w:val="005E2F8E"/>
    <w:rsid w:val="005E2FD9"/>
    <w:rsid w:val="005E33F6"/>
    <w:rsid w:val="005E35B3"/>
    <w:rsid w:val="005E368E"/>
    <w:rsid w:val="005E3825"/>
    <w:rsid w:val="005E3BA1"/>
    <w:rsid w:val="005E3C66"/>
    <w:rsid w:val="005E3EBA"/>
    <w:rsid w:val="005E4827"/>
    <w:rsid w:val="005E48AA"/>
    <w:rsid w:val="005E4F7B"/>
    <w:rsid w:val="005E51EC"/>
    <w:rsid w:val="005E5380"/>
    <w:rsid w:val="005E5652"/>
    <w:rsid w:val="005E5AA7"/>
    <w:rsid w:val="005E5B2C"/>
    <w:rsid w:val="005E5C7E"/>
    <w:rsid w:val="005E61DE"/>
    <w:rsid w:val="005E6263"/>
    <w:rsid w:val="005E6304"/>
    <w:rsid w:val="005E6DD6"/>
    <w:rsid w:val="005E6E01"/>
    <w:rsid w:val="005E6FB2"/>
    <w:rsid w:val="005E72D8"/>
    <w:rsid w:val="005E7452"/>
    <w:rsid w:val="005E7460"/>
    <w:rsid w:val="005E793C"/>
    <w:rsid w:val="005E7AE0"/>
    <w:rsid w:val="005E7CB2"/>
    <w:rsid w:val="005F04F9"/>
    <w:rsid w:val="005F0558"/>
    <w:rsid w:val="005F0B7D"/>
    <w:rsid w:val="005F0FB1"/>
    <w:rsid w:val="005F114E"/>
    <w:rsid w:val="005F13AB"/>
    <w:rsid w:val="005F19CA"/>
    <w:rsid w:val="005F1B50"/>
    <w:rsid w:val="005F2354"/>
    <w:rsid w:val="005F2429"/>
    <w:rsid w:val="005F274F"/>
    <w:rsid w:val="005F2A72"/>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687B"/>
    <w:rsid w:val="005F690E"/>
    <w:rsid w:val="005F7039"/>
    <w:rsid w:val="005F721B"/>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1FB8"/>
    <w:rsid w:val="006023F2"/>
    <w:rsid w:val="006024B7"/>
    <w:rsid w:val="006029E9"/>
    <w:rsid w:val="00602B8F"/>
    <w:rsid w:val="00602D22"/>
    <w:rsid w:val="00602D7D"/>
    <w:rsid w:val="0060325E"/>
    <w:rsid w:val="006038F5"/>
    <w:rsid w:val="00603A0F"/>
    <w:rsid w:val="00603C76"/>
    <w:rsid w:val="00603DBA"/>
    <w:rsid w:val="00603DCC"/>
    <w:rsid w:val="00603E5F"/>
    <w:rsid w:val="006044C2"/>
    <w:rsid w:val="00604557"/>
    <w:rsid w:val="0060461E"/>
    <w:rsid w:val="006046D0"/>
    <w:rsid w:val="0060476C"/>
    <w:rsid w:val="006047EC"/>
    <w:rsid w:val="0060492D"/>
    <w:rsid w:val="00605510"/>
    <w:rsid w:val="006055BD"/>
    <w:rsid w:val="006055D6"/>
    <w:rsid w:val="00605C47"/>
    <w:rsid w:val="00605CBD"/>
    <w:rsid w:val="00606023"/>
    <w:rsid w:val="00606157"/>
    <w:rsid w:val="006061F9"/>
    <w:rsid w:val="00606223"/>
    <w:rsid w:val="00606888"/>
    <w:rsid w:val="006069D1"/>
    <w:rsid w:val="00606E67"/>
    <w:rsid w:val="00607334"/>
    <w:rsid w:val="0060772A"/>
    <w:rsid w:val="006078FA"/>
    <w:rsid w:val="00607B15"/>
    <w:rsid w:val="00607C8B"/>
    <w:rsid w:val="0061066D"/>
    <w:rsid w:val="0061069E"/>
    <w:rsid w:val="00610A53"/>
    <w:rsid w:val="00610B83"/>
    <w:rsid w:val="0061104F"/>
    <w:rsid w:val="006110BB"/>
    <w:rsid w:val="006111F9"/>
    <w:rsid w:val="00611445"/>
    <w:rsid w:val="0061168C"/>
    <w:rsid w:val="00611BC7"/>
    <w:rsid w:val="00611F42"/>
    <w:rsid w:val="00611FC2"/>
    <w:rsid w:val="006121CE"/>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44ED"/>
    <w:rsid w:val="00615141"/>
    <w:rsid w:val="00615609"/>
    <w:rsid w:val="006157DE"/>
    <w:rsid w:val="00615882"/>
    <w:rsid w:val="006159EC"/>
    <w:rsid w:val="00615C61"/>
    <w:rsid w:val="00616150"/>
    <w:rsid w:val="0061679B"/>
    <w:rsid w:val="00616875"/>
    <w:rsid w:val="0061747B"/>
    <w:rsid w:val="006176E8"/>
    <w:rsid w:val="00617D1D"/>
    <w:rsid w:val="00620068"/>
    <w:rsid w:val="00620121"/>
    <w:rsid w:val="0062015C"/>
    <w:rsid w:val="006201C8"/>
    <w:rsid w:val="00620541"/>
    <w:rsid w:val="00620573"/>
    <w:rsid w:val="006207D7"/>
    <w:rsid w:val="006208F8"/>
    <w:rsid w:val="00620CBA"/>
    <w:rsid w:val="00620EF6"/>
    <w:rsid w:val="006214E8"/>
    <w:rsid w:val="006216E9"/>
    <w:rsid w:val="006218AB"/>
    <w:rsid w:val="006218C5"/>
    <w:rsid w:val="00621E08"/>
    <w:rsid w:val="006221EC"/>
    <w:rsid w:val="0062248D"/>
    <w:rsid w:val="00622978"/>
    <w:rsid w:val="00622CD8"/>
    <w:rsid w:val="00622CE0"/>
    <w:rsid w:val="00622E40"/>
    <w:rsid w:val="00623146"/>
    <w:rsid w:val="0062350A"/>
    <w:rsid w:val="006237B3"/>
    <w:rsid w:val="006239B2"/>
    <w:rsid w:val="006239C6"/>
    <w:rsid w:val="00623C25"/>
    <w:rsid w:val="00623D67"/>
    <w:rsid w:val="006240C0"/>
    <w:rsid w:val="00624480"/>
    <w:rsid w:val="00624B0A"/>
    <w:rsid w:val="00624B65"/>
    <w:rsid w:val="00624D26"/>
    <w:rsid w:val="00624F98"/>
    <w:rsid w:val="006251CC"/>
    <w:rsid w:val="00625367"/>
    <w:rsid w:val="0062554B"/>
    <w:rsid w:val="006257B6"/>
    <w:rsid w:val="0062589D"/>
    <w:rsid w:val="00625D70"/>
    <w:rsid w:val="00625E39"/>
    <w:rsid w:val="00625F92"/>
    <w:rsid w:val="00626082"/>
    <w:rsid w:val="00626598"/>
    <w:rsid w:val="00626AE0"/>
    <w:rsid w:val="00626D42"/>
    <w:rsid w:val="00626E22"/>
    <w:rsid w:val="00626E78"/>
    <w:rsid w:val="006272E4"/>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D91"/>
    <w:rsid w:val="00632F2C"/>
    <w:rsid w:val="006334D3"/>
    <w:rsid w:val="006335D5"/>
    <w:rsid w:val="006337CF"/>
    <w:rsid w:val="00633DCA"/>
    <w:rsid w:val="00633EBC"/>
    <w:rsid w:val="00633F65"/>
    <w:rsid w:val="00634056"/>
    <w:rsid w:val="00634076"/>
    <w:rsid w:val="0063407D"/>
    <w:rsid w:val="0063466E"/>
    <w:rsid w:val="00634934"/>
    <w:rsid w:val="00634C71"/>
    <w:rsid w:val="00634CB3"/>
    <w:rsid w:val="00634E1A"/>
    <w:rsid w:val="006350DD"/>
    <w:rsid w:val="006351FE"/>
    <w:rsid w:val="0063538C"/>
    <w:rsid w:val="0063541D"/>
    <w:rsid w:val="006359A0"/>
    <w:rsid w:val="00636860"/>
    <w:rsid w:val="006368CA"/>
    <w:rsid w:val="006374D2"/>
    <w:rsid w:val="00637509"/>
    <w:rsid w:val="006377DF"/>
    <w:rsid w:val="006378E0"/>
    <w:rsid w:val="00637B7D"/>
    <w:rsid w:val="00637DAC"/>
    <w:rsid w:val="006401DE"/>
    <w:rsid w:val="006402C7"/>
    <w:rsid w:val="00640336"/>
    <w:rsid w:val="006404D3"/>
    <w:rsid w:val="006406C5"/>
    <w:rsid w:val="006407A6"/>
    <w:rsid w:val="006407D9"/>
    <w:rsid w:val="006409BE"/>
    <w:rsid w:val="00640C41"/>
    <w:rsid w:val="00640DF6"/>
    <w:rsid w:val="0064108F"/>
    <w:rsid w:val="006410E4"/>
    <w:rsid w:val="0064117F"/>
    <w:rsid w:val="00641630"/>
    <w:rsid w:val="00641AF0"/>
    <w:rsid w:val="00641B27"/>
    <w:rsid w:val="00641DB7"/>
    <w:rsid w:val="006420E8"/>
    <w:rsid w:val="006424BD"/>
    <w:rsid w:val="0064262F"/>
    <w:rsid w:val="00642693"/>
    <w:rsid w:val="006427C3"/>
    <w:rsid w:val="00642D37"/>
    <w:rsid w:val="00642F62"/>
    <w:rsid w:val="00643006"/>
    <w:rsid w:val="006431A7"/>
    <w:rsid w:val="006431DA"/>
    <w:rsid w:val="006431DB"/>
    <w:rsid w:val="0064386A"/>
    <w:rsid w:val="00643A18"/>
    <w:rsid w:val="00643BE2"/>
    <w:rsid w:val="00643C26"/>
    <w:rsid w:val="00643D49"/>
    <w:rsid w:val="00644088"/>
    <w:rsid w:val="00644198"/>
    <w:rsid w:val="00644868"/>
    <w:rsid w:val="00644C14"/>
    <w:rsid w:val="00644C9F"/>
    <w:rsid w:val="00645006"/>
    <w:rsid w:val="006450CC"/>
    <w:rsid w:val="006452D4"/>
    <w:rsid w:val="006452DD"/>
    <w:rsid w:val="00645472"/>
    <w:rsid w:val="0064556B"/>
    <w:rsid w:val="00645804"/>
    <w:rsid w:val="006459E2"/>
    <w:rsid w:val="00645CD9"/>
    <w:rsid w:val="00645D7E"/>
    <w:rsid w:val="00645DC2"/>
    <w:rsid w:val="00646434"/>
    <w:rsid w:val="00646643"/>
    <w:rsid w:val="00646702"/>
    <w:rsid w:val="00646792"/>
    <w:rsid w:val="00646D13"/>
    <w:rsid w:val="00646FE1"/>
    <w:rsid w:val="006478C2"/>
    <w:rsid w:val="0064799B"/>
    <w:rsid w:val="006479BB"/>
    <w:rsid w:val="00647B7B"/>
    <w:rsid w:val="00647BC9"/>
    <w:rsid w:val="00647D67"/>
    <w:rsid w:val="00647DE9"/>
    <w:rsid w:val="00647F66"/>
    <w:rsid w:val="00650706"/>
    <w:rsid w:val="00650790"/>
    <w:rsid w:val="00650C4A"/>
    <w:rsid w:val="00650E53"/>
    <w:rsid w:val="00650ED6"/>
    <w:rsid w:val="0065101E"/>
    <w:rsid w:val="006512C1"/>
    <w:rsid w:val="0065142A"/>
    <w:rsid w:val="00651688"/>
    <w:rsid w:val="0065178C"/>
    <w:rsid w:val="006519D9"/>
    <w:rsid w:val="00651AEA"/>
    <w:rsid w:val="00651B15"/>
    <w:rsid w:val="00652356"/>
    <w:rsid w:val="00652394"/>
    <w:rsid w:val="00652463"/>
    <w:rsid w:val="006527C9"/>
    <w:rsid w:val="00652C6D"/>
    <w:rsid w:val="00652FAF"/>
    <w:rsid w:val="006531D2"/>
    <w:rsid w:val="006536FA"/>
    <w:rsid w:val="00653738"/>
    <w:rsid w:val="00653C1F"/>
    <w:rsid w:val="0065453B"/>
    <w:rsid w:val="00654578"/>
    <w:rsid w:val="00654BAE"/>
    <w:rsid w:val="00654BDE"/>
    <w:rsid w:val="00654EF6"/>
    <w:rsid w:val="00655449"/>
    <w:rsid w:val="00655631"/>
    <w:rsid w:val="00655BC0"/>
    <w:rsid w:val="00655CCC"/>
    <w:rsid w:val="0065622D"/>
    <w:rsid w:val="006562D0"/>
    <w:rsid w:val="006563F3"/>
    <w:rsid w:val="006566AA"/>
    <w:rsid w:val="0065674B"/>
    <w:rsid w:val="006569B6"/>
    <w:rsid w:val="00656F28"/>
    <w:rsid w:val="00657032"/>
    <w:rsid w:val="006574FB"/>
    <w:rsid w:val="0065757D"/>
    <w:rsid w:val="0065763A"/>
    <w:rsid w:val="00657BFA"/>
    <w:rsid w:val="00657D71"/>
    <w:rsid w:val="00657E5C"/>
    <w:rsid w:val="006601F5"/>
    <w:rsid w:val="0066038B"/>
    <w:rsid w:val="00660A03"/>
    <w:rsid w:val="00660BFA"/>
    <w:rsid w:val="00660BFE"/>
    <w:rsid w:val="00661066"/>
    <w:rsid w:val="00661091"/>
    <w:rsid w:val="00661281"/>
    <w:rsid w:val="00661417"/>
    <w:rsid w:val="00661608"/>
    <w:rsid w:val="00661657"/>
    <w:rsid w:val="006618D7"/>
    <w:rsid w:val="00661913"/>
    <w:rsid w:val="00661A6F"/>
    <w:rsid w:val="00661C21"/>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C71"/>
    <w:rsid w:val="00664C83"/>
    <w:rsid w:val="00664FE6"/>
    <w:rsid w:val="0066509F"/>
    <w:rsid w:val="006650A5"/>
    <w:rsid w:val="00665106"/>
    <w:rsid w:val="0066581A"/>
    <w:rsid w:val="006659AB"/>
    <w:rsid w:val="006659D5"/>
    <w:rsid w:val="00665AF6"/>
    <w:rsid w:val="00665B52"/>
    <w:rsid w:val="00665CD1"/>
    <w:rsid w:val="00665D69"/>
    <w:rsid w:val="00665E22"/>
    <w:rsid w:val="00665F6B"/>
    <w:rsid w:val="00665FBA"/>
    <w:rsid w:val="006663F2"/>
    <w:rsid w:val="006664F7"/>
    <w:rsid w:val="00666551"/>
    <w:rsid w:val="00666676"/>
    <w:rsid w:val="0066673C"/>
    <w:rsid w:val="0066679C"/>
    <w:rsid w:val="00666CA7"/>
    <w:rsid w:val="00666D8E"/>
    <w:rsid w:val="006672F9"/>
    <w:rsid w:val="00667310"/>
    <w:rsid w:val="006676A1"/>
    <w:rsid w:val="0066775D"/>
    <w:rsid w:val="00667E0B"/>
    <w:rsid w:val="00667EC1"/>
    <w:rsid w:val="0067002B"/>
    <w:rsid w:val="0067038F"/>
    <w:rsid w:val="006703CD"/>
    <w:rsid w:val="00670C2F"/>
    <w:rsid w:val="00670D84"/>
    <w:rsid w:val="00670DEC"/>
    <w:rsid w:val="00670E00"/>
    <w:rsid w:val="00670F32"/>
    <w:rsid w:val="006712F9"/>
    <w:rsid w:val="006717F3"/>
    <w:rsid w:val="00671994"/>
    <w:rsid w:val="00671CAA"/>
    <w:rsid w:val="00671EA0"/>
    <w:rsid w:val="00671EF1"/>
    <w:rsid w:val="00671FEC"/>
    <w:rsid w:val="006730F1"/>
    <w:rsid w:val="006732EB"/>
    <w:rsid w:val="00673662"/>
    <w:rsid w:val="00673763"/>
    <w:rsid w:val="006738EC"/>
    <w:rsid w:val="00673905"/>
    <w:rsid w:val="00673B25"/>
    <w:rsid w:val="00673C8D"/>
    <w:rsid w:val="00674223"/>
    <w:rsid w:val="0067451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43A"/>
    <w:rsid w:val="0067754A"/>
    <w:rsid w:val="00677A30"/>
    <w:rsid w:val="00677C47"/>
    <w:rsid w:val="00677D1E"/>
    <w:rsid w:val="006800A3"/>
    <w:rsid w:val="006806EE"/>
    <w:rsid w:val="0068092A"/>
    <w:rsid w:val="00680C0C"/>
    <w:rsid w:val="00680D13"/>
    <w:rsid w:val="006816F8"/>
    <w:rsid w:val="006818C0"/>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49EA"/>
    <w:rsid w:val="00684D8B"/>
    <w:rsid w:val="00685435"/>
    <w:rsid w:val="0068547B"/>
    <w:rsid w:val="006854AB"/>
    <w:rsid w:val="006854CB"/>
    <w:rsid w:val="006856C9"/>
    <w:rsid w:val="00685912"/>
    <w:rsid w:val="00685A70"/>
    <w:rsid w:val="00685D68"/>
    <w:rsid w:val="00685E1C"/>
    <w:rsid w:val="00685E5F"/>
    <w:rsid w:val="006861AD"/>
    <w:rsid w:val="006863FB"/>
    <w:rsid w:val="00686930"/>
    <w:rsid w:val="00686EAE"/>
    <w:rsid w:val="006871EE"/>
    <w:rsid w:val="00687528"/>
    <w:rsid w:val="0068782D"/>
    <w:rsid w:val="00687A7F"/>
    <w:rsid w:val="00687AE3"/>
    <w:rsid w:val="00687B25"/>
    <w:rsid w:val="00687CC2"/>
    <w:rsid w:val="00687E95"/>
    <w:rsid w:val="00687EF6"/>
    <w:rsid w:val="00690327"/>
    <w:rsid w:val="00690729"/>
    <w:rsid w:val="006910DB"/>
    <w:rsid w:val="00691380"/>
    <w:rsid w:val="006914A3"/>
    <w:rsid w:val="00691BDB"/>
    <w:rsid w:val="00691CD3"/>
    <w:rsid w:val="00691E79"/>
    <w:rsid w:val="00691E7A"/>
    <w:rsid w:val="00692111"/>
    <w:rsid w:val="00692972"/>
    <w:rsid w:val="00692E5D"/>
    <w:rsid w:val="00692FD6"/>
    <w:rsid w:val="00692FF4"/>
    <w:rsid w:val="0069334D"/>
    <w:rsid w:val="00693497"/>
    <w:rsid w:val="00693853"/>
    <w:rsid w:val="00693900"/>
    <w:rsid w:val="00693ABF"/>
    <w:rsid w:val="00693B86"/>
    <w:rsid w:val="00693DD4"/>
    <w:rsid w:val="00693F9C"/>
    <w:rsid w:val="00694255"/>
    <w:rsid w:val="00694897"/>
    <w:rsid w:val="00694E22"/>
    <w:rsid w:val="00694FA7"/>
    <w:rsid w:val="006950BC"/>
    <w:rsid w:val="00695271"/>
    <w:rsid w:val="006959B5"/>
    <w:rsid w:val="00696061"/>
    <w:rsid w:val="0069699C"/>
    <w:rsid w:val="006969DB"/>
    <w:rsid w:val="00696A4A"/>
    <w:rsid w:val="00697554"/>
    <w:rsid w:val="006975AC"/>
    <w:rsid w:val="00697873"/>
    <w:rsid w:val="00697CCF"/>
    <w:rsid w:val="00697DE5"/>
    <w:rsid w:val="00697E3A"/>
    <w:rsid w:val="00697FA5"/>
    <w:rsid w:val="006A0095"/>
    <w:rsid w:val="006A065C"/>
    <w:rsid w:val="006A092C"/>
    <w:rsid w:val="006A12E7"/>
    <w:rsid w:val="006A157B"/>
    <w:rsid w:val="006A15AB"/>
    <w:rsid w:val="006A1646"/>
    <w:rsid w:val="006A175A"/>
    <w:rsid w:val="006A2007"/>
    <w:rsid w:val="006A204E"/>
    <w:rsid w:val="006A24A8"/>
    <w:rsid w:val="006A270E"/>
    <w:rsid w:val="006A294A"/>
    <w:rsid w:val="006A29AB"/>
    <w:rsid w:val="006A331B"/>
    <w:rsid w:val="006A3321"/>
    <w:rsid w:val="006A39F2"/>
    <w:rsid w:val="006A3A07"/>
    <w:rsid w:val="006A3B91"/>
    <w:rsid w:val="006A40A6"/>
    <w:rsid w:val="006A4607"/>
    <w:rsid w:val="006A464C"/>
    <w:rsid w:val="006A4916"/>
    <w:rsid w:val="006A4C58"/>
    <w:rsid w:val="006A4CD3"/>
    <w:rsid w:val="006A502C"/>
    <w:rsid w:val="006A5414"/>
    <w:rsid w:val="006A55A3"/>
    <w:rsid w:val="006A5B55"/>
    <w:rsid w:val="006A5DBD"/>
    <w:rsid w:val="006A5EBB"/>
    <w:rsid w:val="006A5FAD"/>
    <w:rsid w:val="006A60C8"/>
    <w:rsid w:val="006A6273"/>
    <w:rsid w:val="006A6605"/>
    <w:rsid w:val="006A66BD"/>
    <w:rsid w:val="006A66F6"/>
    <w:rsid w:val="006A6962"/>
    <w:rsid w:val="006A6B50"/>
    <w:rsid w:val="006A6D1E"/>
    <w:rsid w:val="006A704C"/>
    <w:rsid w:val="006A7132"/>
    <w:rsid w:val="006A7648"/>
    <w:rsid w:val="006A7800"/>
    <w:rsid w:val="006A789B"/>
    <w:rsid w:val="006A78D9"/>
    <w:rsid w:val="006A7E8D"/>
    <w:rsid w:val="006B00AC"/>
    <w:rsid w:val="006B00D5"/>
    <w:rsid w:val="006B0358"/>
    <w:rsid w:val="006B080C"/>
    <w:rsid w:val="006B0F30"/>
    <w:rsid w:val="006B0FCC"/>
    <w:rsid w:val="006B11B6"/>
    <w:rsid w:val="006B1392"/>
    <w:rsid w:val="006B1708"/>
    <w:rsid w:val="006B1855"/>
    <w:rsid w:val="006B231E"/>
    <w:rsid w:val="006B2877"/>
    <w:rsid w:val="006B2893"/>
    <w:rsid w:val="006B289A"/>
    <w:rsid w:val="006B2E62"/>
    <w:rsid w:val="006B344B"/>
    <w:rsid w:val="006B35C7"/>
    <w:rsid w:val="006B38FD"/>
    <w:rsid w:val="006B3CDF"/>
    <w:rsid w:val="006B3E5B"/>
    <w:rsid w:val="006B456F"/>
    <w:rsid w:val="006B4605"/>
    <w:rsid w:val="006B47EC"/>
    <w:rsid w:val="006B499A"/>
    <w:rsid w:val="006B49F1"/>
    <w:rsid w:val="006B4C00"/>
    <w:rsid w:val="006B5413"/>
    <w:rsid w:val="006B5538"/>
    <w:rsid w:val="006B5769"/>
    <w:rsid w:val="006B58B6"/>
    <w:rsid w:val="006B591A"/>
    <w:rsid w:val="006B59A6"/>
    <w:rsid w:val="006B5D0B"/>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C59"/>
    <w:rsid w:val="006B7DE3"/>
    <w:rsid w:val="006B7F16"/>
    <w:rsid w:val="006C049C"/>
    <w:rsid w:val="006C071C"/>
    <w:rsid w:val="006C0CE5"/>
    <w:rsid w:val="006C0E2F"/>
    <w:rsid w:val="006C0EC1"/>
    <w:rsid w:val="006C0FAF"/>
    <w:rsid w:val="006C1065"/>
    <w:rsid w:val="006C1068"/>
    <w:rsid w:val="006C1123"/>
    <w:rsid w:val="006C11CD"/>
    <w:rsid w:val="006C1227"/>
    <w:rsid w:val="006C12B6"/>
    <w:rsid w:val="006C1412"/>
    <w:rsid w:val="006C14DD"/>
    <w:rsid w:val="006C177D"/>
    <w:rsid w:val="006C185E"/>
    <w:rsid w:val="006C1F46"/>
    <w:rsid w:val="006C1FDD"/>
    <w:rsid w:val="006C21E3"/>
    <w:rsid w:val="006C23B6"/>
    <w:rsid w:val="006C247C"/>
    <w:rsid w:val="006C2599"/>
    <w:rsid w:val="006C28EE"/>
    <w:rsid w:val="006C2B19"/>
    <w:rsid w:val="006C2E2C"/>
    <w:rsid w:val="006C2FE3"/>
    <w:rsid w:val="006C3143"/>
    <w:rsid w:val="006C3583"/>
    <w:rsid w:val="006C35C2"/>
    <w:rsid w:val="006C363D"/>
    <w:rsid w:val="006C393A"/>
    <w:rsid w:val="006C3A62"/>
    <w:rsid w:val="006C4000"/>
    <w:rsid w:val="006C4C17"/>
    <w:rsid w:val="006C4CAF"/>
    <w:rsid w:val="006C5571"/>
    <w:rsid w:val="006C58E0"/>
    <w:rsid w:val="006C5904"/>
    <w:rsid w:val="006C5996"/>
    <w:rsid w:val="006C5A3B"/>
    <w:rsid w:val="006C5CC4"/>
    <w:rsid w:val="006C5D1A"/>
    <w:rsid w:val="006C628A"/>
    <w:rsid w:val="006C65EE"/>
    <w:rsid w:val="006C67A7"/>
    <w:rsid w:val="006C68F6"/>
    <w:rsid w:val="006C6904"/>
    <w:rsid w:val="006C6D6D"/>
    <w:rsid w:val="006C6E02"/>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47D"/>
    <w:rsid w:val="006D2543"/>
    <w:rsid w:val="006D2624"/>
    <w:rsid w:val="006D276D"/>
    <w:rsid w:val="006D2795"/>
    <w:rsid w:val="006D2984"/>
    <w:rsid w:val="006D29BE"/>
    <w:rsid w:val="006D29C4"/>
    <w:rsid w:val="006D2C0D"/>
    <w:rsid w:val="006D2D35"/>
    <w:rsid w:val="006D2EA0"/>
    <w:rsid w:val="006D3C67"/>
    <w:rsid w:val="006D3E32"/>
    <w:rsid w:val="006D4803"/>
    <w:rsid w:val="006D4AB0"/>
    <w:rsid w:val="006D4CF0"/>
    <w:rsid w:val="006D4DFF"/>
    <w:rsid w:val="006D550F"/>
    <w:rsid w:val="006D5568"/>
    <w:rsid w:val="006D5571"/>
    <w:rsid w:val="006D5D9A"/>
    <w:rsid w:val="006D6035"/>
    <w:rsid w:val="006D62B8"/>
    <w:rsid w:val="006D6525"/>
    <w:rsid w:val="006D67FE"/>
    <w:rsid w:val="006D70DC"/>
    <w:rsid w:val="006D75DB"/>
    <w:rsid w:val="006D76CF"/>
    <w:rsid w:val="006D76E6"/>
    <w:rsid w:val="006D770C"/>
    <w:rsid w:val="006D7767"/>
    <w:rsid w:val="006D7819"/>
    <w:rsid w:val="006D7C59"/>
    <w:rsid w:val="006D7D4D"/>
    <w:rsid w:val="006E00CA"/>
    <w:rsid w:val="006E0405"/>
    <w:rsid w:val="006E097F"/>
    <w:rsid w:val="006E0F8D"/>
    <w:rsid w:val="006E0FA1"/>
    <w:rsid w:val="006E159C"/>
    <w:rsid w:val="006E1782"/>
    <w:rsid w:val="006E1CC2"/>
    <w:rsid w:val="006E1FF5"/>
    <w:rsid w:val="006E2092"/>
    <w:rsid w:val="006E22DB"/>
    <w:rsid w:val="006E24C9"/>
    <w:rsid w:val="006E24E3"/>
    <w:rsid w:val="006E28F4"/>
    <w:rsid w:val="006E2992"/>
    <w:rsid w:val="006E2E17"/>
    <w:rsid w:val="006E2E38"/>
    <w:rsid w:val="006E2F1D"/>
    <w:rsid w:val="006E2F6C"/>
    <w:rsid w:val="006E301B"/>
    <w:rsid w:val="006E3113"/>
    <w:rsid w:val="006E3289"/>
    <w:rsid w:val="006E38C9"/>
    <w:rsid w:val="006E3A3B"/>
    <w:rsid w:val="006E3F87"/>
    <w:rsid w:val="006E4116"/>
    <w:rsid w:val="006E4445"/>
    <w:rsid w:val="006E4980"/>
    <w:rsid w:val="006E4EC9"/>
    <w:rsid w:val="006E50B3"/>
    <w:rsid w:val="006E55DF"/>
    <w:rsid w:val="006E5A2D"/>
    <w:rsid w:val="006E5F03"/>
    <w:rsid w:val="006E604F"/>
    <w:rsid w:val="006E6111"/>
    <w:rsid w:val="006E625E"/>
    <w:rsid w:val="006E635B"/>
    <w:rsid w:val="006E63D1"/>
    <w:rsid w:val="006E69B5"/>
    <w:rsid w:val="006E6CDD"/>
    <w:rsid w:val="006E70A6"/>
    <w:rsid w:val="006E7383"/>
    <w:rsid w:val="006E758C"/>
    <w:rsid w:val="006E769B"/>
    <w:rsid w:val="006E7729"/>
    <w:rsid w:val="006E77B9"/>
    <w:rsid w:val="006E7903"/>
    <w:rsid w:val="006E7B02"/>
    <w:rsid w:val="006E7FD6"/>
    <w:rsid w:val="006F01BE"/>
    <w:rsid w:val="006F0279"/>
    <w:rsid w:val="006F02C7"/>
    <w:rsid w:val="006F02F4"/>
    <w:rsid w:val="006F08D2"/>
    <w:rsid w:val="006F0AB0"/>
    <w:rsid w:val="006F0AF2"/>
    <w:rsid w:val="006F0EF3"/>
    <w:rsid w:val="006F0F5C"/>
    <w:rsid w:val="006F0F97"/>
    <w:rsid w:val="006F0F9E"/>
    <w:rsid w:val="006F15FC"/>
    <w:rsid w:val="006F198D"/>
    <w:rsid w:val="006F1B12"/>
    <w:rsid w:val="006F1D69"/>
    <w:rsid w:val="006F1FFF"/>
    <w:rsid w:val="006F20F6"/>
    <w:rsid w:val="006F2283"/>
    <w:rsid w:val="006F22B9"/>
    <w:rsid w:val="006F22DE"/>
    <w:rsid w:val="006F240E"/>
    <w:rsid w:val="006F26A9"/>
    <w:rsid w:val="006F2738"/>
    <w:rsid w:val="006F2ACC"/>
    <w:rsid w:val="006F2B76"/>
    <w:rsid w:val="006F2C8E"/>
    <w:rsid w:val="006F3079"/>
    <w:rsid w:val="006F325F"/>
    <w:rsid w:val="006F3422"/>
    <w:rsid w:val="006F3593"/>
    <w:rsid w:val="006F35CC"/>
    <w:rsid w:val="006F383D"/>
    <w:rsid w:val="006F3CE8"/>
    <w:rsid w:val="006F3D1A"/>
    <w:rsid w:val="006F3E73"/>
    <w:rsid w:val="006F4052"/>
    <w:rsid w:val="006F42DC"/>
    <w:rsid w:val="006F448B"/>
    <w:rsid w:val="006F4714"/>
    <w:rsid w:val="006F47D4"/>
    <w:rsid w:val="006F49C5"/>
    <w:rsid w:val="006F4B59"/>
    <w:rsid w:val="006F5356"/>
    <w:rsid w:val="006F577D"/>
    <w:rsid w:val="006F585E"/>
    <w:rsid w:val="006F6C3B"/>
    <w:rsid w:val="006F7B86"/>
    <w:rsid w:val="006F7CD7"/>
    <w:rsid w:val="00700228"/>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947"/>
    <w:rsid w:val="00702C67"/>
    <w:rsid w:val="00702EAE"/>
    <w:rsid w:val="00702FD5"/>
    <w:rsid w:val="007032CA"/>
    <w:rsid w:val="007034BE"/>
    <w:rsid w:val="007038F8"/>
    <w:rsid w:val="00703BAB"/>
    <w:rsid w:val="00703D6E"/>
    <w:rsid w:val="00704594"/>
    <w:rsid w:val="0070469E"/>
    <w:rsid w:val="00704873"/>
    <w:rsid w:val="00704CDE"/>
    <w:rsid w:val="00704D3E"/>
    <w:rsid w:val="00704F30"/>
    <w:rsid w:val="007051DB"/>
    <w:rsid w:val="007057DF"/>
    <w:rsid w:val="007058AA"/>
    <w:rsid w:val="00705C66"/>
    <w:rsid w:val="00705E73"/>
    <w:rsid w:val="00706228"/>
    <w:rsid w:val="00706424"/>
    <w:rsid w:val="00706638"/>
    <w:rsid w:val="0070681D"/>
    <w:rsid w:val="0070741C"/>
    <w:rsid w:val="0070760A"/>
    <w:rsid w:val="00707792"/>
    <w:rsid w:val="00707A30"/>
    <w:rsid w:val="00707C80"/>
    <w:rsid w:val="007100C5"/>
    <w:rsid w:val="00710166"/>
    <w:rsid w:val="007104B1"/>
    <w:rsid w:val="007105EE"/>
    <w:rsid w:val="0071079F"/>
    <w:rsid w:val="007107E5"/>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CC8"/>
    <w:rsid w:val="00712D26"/>
    <w:rsid w:val="007135D0"/>
    <w:rsid w:val="007137DA"/>
    <w:rsid w:val="00713D67"/>
    <w:rsid w:val="00713E18"/>
    <w:rsid w:val="00713F20"/>
    <w:rsid w:val="00714081"/>
    <w:rsid w:val="00714093"/>
    <w:rsid w:val="007141B4"/>
    <w:rsid w:val="007142E1"/>
    <w:rsid w:val="00714593"/>
    <w:rsid w:val="00714AA2"/>
    <w:rsid w:val="00715076"/>
    <w:rsid w:val="00715326"/>
    <w:rsid w:val="007153BB"/>
    <w:rsid w:val="0071555B"/>
    <w:rsid w:val="00715799"/>
    <w:rsid w:val="00715A90"/>
    <w:rsid w:val="00715B99"/>
    <w:rsid w:val="00715EC3"/>
    <w:rsid w:val="007160E4"/>
    <w:rsid w:val="0071630E"/>
    <w:rsid w:val="0071711A"/>
    <w:rsid w:val="0071734A"/>
    <w:rsid w:val="007173FF"/>
    <w:rsid w:val="0071745A"/>
    <w:rsid w:val="00717669"/>
    <w:rsid w:val="0071791A"/>
    <w:rsid w:val="00717A3F"/>
    <w:rsid w:val="00720008"/>
    <w:rsid w:val="0072024F"/>
    <w:rsid w:val="0072034F"/>
    <w:rsid w:val="0072054F"/>
    <w:rsid w:val="00720715"/>
    <w:rsid w:val="00720AD8"/>
    <w:rsid w:val="00720D17"/>
    <w:rsid w:val="00721099"/>
    <w:rsid w:val="007214D9"/>
    <w:rsid w:val="00721626"/>
    <w:rsid w:val="0072175B"/>
    <w:rsid w:val="00721773"/>
    <w:rsid w:val="00721777"/>
    <w:rsid w:val="00721925"/>
    <w:rsid w:val="00721C88"/>
    <w:rsid w:val="00721FED"/>
    <w:rsid w:val="00722237"/>
    <w:rsid w:val="00722543"/>
    <w:rsid w:val="00722915"/>
    <w:rsid w:val="00722EB4"/>
    <w:rsid w:val="00722EBA"/>
    <w:rsid w:val="00723170"/>
    <w:rsid w:val="007238CF"/>
    <w:rsid w:val="00723B70"/>
    <w:rsid w:val="00723E27"/>
    <w:rsid w:val="00723FB6"/>
    <w:rsid w:val="007244BA"/>
    <w:rsid w:val="007244EA"/>
    <w:rsid w:val="00724926"/>
    <w:rsid w:val="00724E53"/>
    <w:rsid w:val="0072535D"/>
    <w:rsid w:val="007254F9"/>
    <w:rsid w:val="00725689"/>
    <w:rsid w:val="00725731"/>
    <w:rsid w:val="007259EF"/>
    <w:rsid w:val="0072652D"/>
    <w:rsid w:val="00726F58"/>
    <w:rsid w:val="00726F92"/>
    <w:rsid w:val="00727533"/>
    <w:rsid w:val="00727B60"/>
    <w:rsid w:val="00727DE0"/>
    <w:rsid w:val="0073012E"/>
    <w:rsid w:val="007306B5"/>
    <w:rsid w:val="007307E8"/>
    <w:rsid w:val="00730806"/>
    <w:rsid w:val="00730817"/>
    <w:rsid w:val="007309E1"/>
    <w:rsid w:val="00730BA6"/>
    <w:rsid w:val="00730E23"/>
    <w:rsid w:val="00730F0A"/>
    <w:rsid w:val="007312E9"/>
    <w:rsid w:val="007314B9"/>
    <w:rsid w:val="00731650"/>
    <w:rsid w:val="00731B86"/>
    <w:rsid w:val="00731B91"/>
    <w:rsid w:val="00732055"/>
    <w:rsid w:val="0073232E"/>
    <w:rsid w:val="007325BF"/>
    <w:rsid w:val="007326C6"/>
    <w:rsid w:val="00732A57"/>
    <w:rsid w:val="00732FA8"/>
    <w:rsid w:val="007335E0"/>
    <w:rsid w:val="007337F7"/>
    <w:rsid w:val="00733941"/>
    <w:rsid w:val="0073399D"/>
    <w:rsid w:val="00733FD4"/>
    <w:rsid w:val="007341EE"/>
    <w:rsid w:val="0073444E"/>
    <w:rsid w:val="00734496"/>
    <w:rsid w:val="007344C9"/>
    <w:rsid w:val="007345A7"/>
    <w:rsid w:val="0073497F"/>
    <w:rsid w:val="00734A05"/>
    <w:rsid w:val="00734AEC"/>
    <w:rsid w:val="00734D04"/>
    <w:rsid w:val="00734EEB"/>
    <w:rsid w:val="00734EF2"/>
    <w:rsid w:val="00734FA4"/>
    <w:rsid w:val="007353BD"/>
    <w:rsid w:val="0073554E"/>
    <w:rsid w:val="007356FE"/>
    <w:rsid w:val="00735786"/>
    <w:rsid w:val="007357AB"/>
    <w:rsid w:val="00735CA2"/>
    <w:rsid w:val="00735EAA"/>
    <w:rsid w:val="0073610B"/>
    <w:rsid w:val="00736944"/>
    <w:rsid w:val="00736A63"/>
    <w:rsid w:val="00736CD4"/>
    <w:rsid w:val="00736D76"/>
    <w:rsid w:val="00737085"/>
    <w:rsid w:val="007370FF"/>
    <w:rsid w:val="007372BC"/>
    <w:rsid w:val="007373A2"/>
    <w:rsid w:val="00737405"/>
    <w:rsid w:val="00737AB0"/>
    <w:rsid w:val="007405CB"/>
    <w:rsid w:val="007406E8"/>
    <w:rsid w:val="00740C55"/>
    <w:rsid w:val="00740D08"/>
    <w:rsid w:val="00741151"/>
    <w:rsid w:val="0074132B"/>
    <w:rsid w:val="0074155B"/>
    <w:rsid w:val="00741AC1"/>
    <w:rsid w:val="00741B84"/>
    <w:rsid w:val="00741CA7"/>
    <w:rsid w:val="00741CDB"/>
    <w:rsid w:val="00742419"/>
    <w:rsid w:val="007425F8"/>
    <w:rsid w:val="007427BF"/>
    <w:rsid w:val="00742857"/>
    <w:rsid w:val="00742BA7"/>
    <w:rsid w:val="00742CE6"/>
    <w:rsid w:val="00742D7E"/>
    <w:rsid w:val="00742D99"/>
    <w:rsid w:val="00743248"/>
    <w:rsid w:val="007432F0"/>
    <w:rsid w:val="007436C6"/>
    <w:rsid w:val="00743AE4"/>
    <w:rsid w:val="00743D1A"/>
    <w:rsid w:val="00743D6F"/>
    <w:rsid w:val="00743E0C"/>
    <w:rsid w:val="00744143"/>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0F7"/>
    <w:rsid w:val="0074638A"/>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3F"/>
    <w:rsid w:val="00750DBD"/>
    <w:rsid w:val="00751024"/>
    <w:rsid w:val="00751974"/>
    <w:rsid w:val="00751EBE"/>
    <w:rsid w:val="00751F0E"/>
    <w:rsid w:val="00751FE8"/>
    <w:rsid w:val="0075213D"/>
    <w:rsid w:val="007524F7"/>
    <w:rsid w:val="00752594"/>
    <w:rsid w:val="007527D2"/>
    <w:rsid w:val="00752AC2"/>
    <w:rsid w:val="00752B9E"/>
    <w:rsid w:val="00752F6B"/>
    <w:rsid w:val="0075321D"/>
    <w:rsid w:val="00753279"/>
    <w:rsid w:val="00754018"/>
    <w:rsid w:val="007541E6"/>
    <w:rsid w:val="00754472"/>
    <w:rsid w:val="007547DE"/>
    <w:rsid w:val="0075485B"/>
    <w:rsid w:val="007552B2"/>
    <w:rsid w:val="007554C6"/>
    <w:rsid w:val="007554E8"/>
    <w:rsid w:val="0075592D"/>
    <w:rsid w:val="00755B76"/>
    <w:rsid w:val="00755D90"/>
    <w:rsid w:val="00755EA3"/>
    <w:rsid w:val="00755F72"/>
    <w:rsid w:val="00755FB2"/>
    <w:rsid w:val="00756029"/>
    <w:rsid w:val="0075654C"/>
    <w:rsid w:val="00756AF7"/>
    <w:rsid w:val="00756F26"/>
    <w:rsid w:val="00757051"/>
    <w:rsid w:val="007578FE"/>
    <w:rsid w:val="00757B85"/>
    <w:rsid w:val="00757E63"/>
    <w:rsid w:val="00757EFE"/>
    <w:rsid w:val="0076064D"/>
    <w:rsid w:val="007608C3"/>
    <w:rsid w:val="00760EB1"/>
    <w:rsid w:val="00760F67"/>
    <w:rsid w:val="00761D8F"/>
    <w:rsid w:val="00761EFD"/>
    <w:rsid w:val="00762198"/>
    <w:rsid w:val="007623EB"/>
    <w:rsid w:val="0076242C"/>
    <w:rsid w:val="0076258B"/>
    <w:rsid w:val="0076289E"/>
    <w:rsid w:val="00762CE9"/>
    <w:rsid w:val="00762F17"/>
    <w:rsid w:val="00762FAD"/>
    <w:rsid w:val="0076376C"/>
    <w:rsid w:val="00763A71"/>
    <w:rsid w:val="00763F7E"/>
    <w:rsid w:val="00764312"/>
    <w:rsid w:val="00764CB1"/>
    <w:rsid w:val="00764CBB"/>
    <w:rsid w:val="00764E6E"/>
    <w:rsid w:val="00765086"/>
    <w:rsid w:val="007652AF"/>
    <w:rsid w:val="007656A8"/>
    <w:rsid w:val="00765759"/>
    <w:rsid w:val="00765E67"/>
    <w:rsid w:val="00765F75"/>
    <w:rsid w:val="007661FB"/>
    <w:rsid w:val="007667A1"/>
    <w:rsid w:val="007667BF"/>
    <w:rsid w:val="007667D3"/>
    <w:rsid w:val="007669E0"/>
    <w:rsid w:val="00766C36"/>
    <w:rsid w:val="00766DB0"/>
    <w:rsid w:val="007676CA"/>
    <w:rsid w:val="0076798A"/>
    <w:rsid w:val="00767CEB"/>
    <w:rsid w:val="00767E82"/>
    <w:rsid w:val="00767FF0"/>
    <w:rsid w:val="0077061A"/>
    <w:rsid w:val="007707BC"/>
    <w:rsid w:val="00770834"/>
    <w:rsid w:val="007709DA"/>
    <w:rsid w:val="00770C53"/>
    <w:rsid w:val="00770E20"/>
    <w:rsid w:val="00771135"/>
    <w:rsid w:val="0077134B"/>
    <w:rsid w:val="007713EE"/>
    <w:rsid w:val="00771551"/>
    <w:rsid w:val="00771A06"/>
    <w:rsid w:val="00771A18"/>
    <w:rsid w:val="00771B89"/>
    <w:rsid w:val="00771F69"/>
    <w:rsid w:val="007722A8"/>
    <w:rsid w:val="007725DE"/>
    <w:rsid w:val="00772654"/>
    <w:rsid w:val="0077272D"/>
    <w:rsid w:val="007727D6"/>
    <w:rsid w:val="00772AA0"/>
    <w:rsid w:val="00772BF0"/>
    <w:rsid w:val="00772D23"/>
    <w:rsid w:val="00772FEB"/>
    <w:rsid w:val="0077344F"/>
    <w:rsid w:val="00773788"/>
    <w:rsid w:val="007738E3"/>
    <w:rsid w:val="00773C2C"/>
    <w:rsid w:val="00774149"/>
    <w:rsid w:val="00774441"/>
    <w:rsid w:val="00774598"/>
    <w:rsid w:val="00775137"/>
    <w:rsid w:val="007752A9"/>
    <w:rsid w:val="00775375"/>
    <w:rsid w:val="00775484"/>
    <w:rsid w:val="007754A4"/>
    <w:rsid w:val="0077573C"/>
    <w:rsid w:val="00775746"/>
    <w:rsid w:val="0077574A"/>
    <w:rsid w:val="00775AAC"/>
    <w:rsid w:val="00775B76"/>
    <w:rsid w:val="00775D05"/>
    <w:rsid w:val="00775D93"/>
    <w:rsid w:val="00775ED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9E1"/>
    <w:rsid w:val="00781BDB"/>
    <w:rsid w:val="00781C30"/>
    <w:rsid w:val="00781D6B"/>
    <w:rsid w:val="007822F1"/>
    <w:rsid w:val="00782DCC"/>
    <w:rsid w:val="00782F12"/>
    <w:rsid w:val="0078343E"/>
    <w:rsid w:val="0078358C"/>
    <w:rsid w:val="007835AF"/>
    <w:rsid w:val="007836AB"/>
    <w:rsid w:val="007836FD"/>
    <w:rsid w:val="007837C5"/>
    <w:rsid w:val="0078384C"/>
    <w:rsid w:val="007838A5"/>
    <w:rsid w:val="00783C39"/>
    <w:rsid w:val="00783D36"/>
    <w:rsid w:val="00784621"/>
    <w:rsid w:val="007846A1"/>
    <w:rsid w:val="00784C66"/>
    <w:rsid w:val="00784C97"/>
    <w:rsid w:val="00784CE0"/>
    <w:rsid w:val="00784DFB"/>
    <w:rsid w:val="00784E13"/>
    <w:rsid w:val="00784EF8"/>
    <w:rsid w:val="00785013"/>
    <w:rsid w:val="007850CC"/>
    <w:rsid w:val="00785816"/>
    <w:rsid w:val="0078594D"/>
    <w:rsid w:val="00785956"/>
    <w:rsid w:val="00785B98"/>
    <w:rsid w:val="00785EFC"/>
    <w:rsid w:val="0078602F"/>
    <w:rsid w:val="007863E4"/>
    <w:rsid w:val="007867C4"/>
    <w:rsid w:val="00786A17"/>
    <w:rsid w:val="00786CB1"/>
    <w:rsid w:val="00786D08"/>
    <w:rsid w:val="00786F74"/>
    <w:rsid w:val="00786FC1"/>
    <w:rsid w:val="007874D1"/>
    <w:rsid w:val="007875DB"/>
    <w:rsid w:val="0078797B"/>
    <w:rsid w:val="0079047D"/>
    <w:rsid w:val="007905AE"/>
    <w:rsid w:val="007907AE"/>
    <w:rsid w:val="00790966"/>
    <w:rsid w:val="007909A2"/>
    <w:rsid w:val="00790B0B"/>
    <w:rsid w:val="00790B8E"/>
    <w:rsid w:val="00790EEF"/>
    <w:rsid w:val="00790F7F"/>
    <w:rsid w:val="00790F92"/>
    <w:rsid w:val="00791068"/>
    <w:rsid w:val="00791208"/>
    <w:rsid w:val="00791396"/>
    <w:rsid w:val="007913AE"/>
    <w:rsid w:val="00791565"/>
    <w:rsid w:val="00791A8A"/>
    <w:rsid w:val="00791ADB"/>
    <w:rsid w:val="00791C11"/>
    <w:rsid w:val="00791CA3"/>
    <w:rsid w:val="00792103"/>
    <w:rsid w:val="007921AC"/>
    <w:rsid w:val="007924C4"/>
    <w:rsid w:val="00792A8A"/>
    <w:rsid w:val="00792C19"/>
    <w:rsid w:val="00792D43"/>
    <w:rsid w:val="00792F69"/>
    <w:rsid w:val="0079334B"/>
    <w:rsid w:val="00793574"/>
    <w:rsid w:val="007937FD"/>
    <w:rsid w:val="00793942"/>
    <w:rsid w:val="007939AE"/>
    <w:rsid w:val="00793A5A"/>
    <w:rsid w:val="00793CBE"/>
    <w:rsid w:val="007942DB"/>
    <w:rsid w:val="00794927"/>
    <w:rsid w:val="00794A2E"/>
    <w:rsid w:val="00794AA0"/>
    <w:rsid w:val="00794CF9"/>
    <w:rsid w:val="00794EA4"/>
    <w:rsid w:val="00794FC8"/>
    <w:rsid w:val="0079505C"/>
    <w:rsid w:val="007950E3"/>
    <w:rsid w:val="0079545D"/>
    <w:rsid w:val="007954C1"/>
    <w:rsid w:val="00795694"/>
    <w:rsid w:val="0079574A"/>
    <w:rsid w:val="007957E9"/>
    <w:rsid w:val="00795A6B"/>
    <w:rsid w:val="00795CC9"/>
    <w:rsid w:val="00795CE0"/>
    <w:rsid w:val="00795DD3"/>
    <w:rsid w:val="0079600C"/>
    <w:rsid w:val="0079605F"/>
    <w:rsid w:val="0079616A"/>
    <w:rsid w:val="0079658D"/>
    <w:rsid w:val="00796898"/>
    <w:rsid w:val="007969A7"/>
    <w:rsid w:val="00796AA4"/>
    <w:rsid w:val="0079739F"/>
    <w:rsid w:val="007973FA"/>
    <w:rsid w:val="00797765"/>
    <w:rsid w:val="00797906"/>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3B24"/>
    <w:rsid w:val="007A3ED4"/>
    <w:rsid w:val="007A4012"/>
    <w:rsid w:val="007A45EF"/>
    <w:rsid w:val="007A4896"/>
    <w:rsid w:val="007A498E"/>
    <w:rsid w:val="007A4DF4"/>
    <w:rsid w:val="007A4E7F"/>
    <w:rsid w:val="007A5CA4"/>
    <w:rsid w:val="007A6005"/>
    <w:rsid w:val="007A6050"/>
    <w:rsid w:val="007A62C2"/>
    <w:rsid w:val="007A63BE"/>
    <w:rsid w:val="007A688B"/>
    <w:rsid w:val="007A688C"/>
    <w:rsid w:val="007A6A1B"/>
    <w:rsid w:val="007A6C32"/>
    <w:rsid w:val="007A6D83"/>
    <w:rsid w:val="007A715D"/>
    <w:rsid w:val="007A721A"/>
    <w:rsid w:val="007A7227"/>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322"/>
    <w:rsid w:val="007B28B1"/>
    <w:rsid w:val="007B2D9F"/>
    <w:rsid w:val="007B2F75"/>
    <w:rsid w:val="007B31D7"/>
    <w:rsid w:val="007B3415"/>
    <w:rsid w:val="007B3489"/>
    <w:rsid w:val="007B3663"/>
    <w:rsid w:val="007B382A"/>
    <w:rsid w:val="007B3A96"/>
    <w:rsid w:val="007B3AC3"/>
    <w:rsid w:val="007B3F6C"/>
    <w:rsid w:val="007B45D8"/>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6DA"/>
    <w:rsid w:val="007B681F"/>
    <w:rsid w:val="007B6AFE"/>
    <w:rsid w:val="007B6B93"/>
    <w:rsid w:val="007B6F05"/>
    <w:rsid w:val="007B71A6"/>
    <w:rsid w:val="007B7398"/>
    <w:rsid w:val="007B73F7"/>
    <w:rsid w:val="007B7674"/>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2DE"/>
    <w:rsid w:val="007C182F"/>
    <w:rsid w:val="007C1901"/>
    <w:rsid w:val="007C1FF6"/>
    <w:rsid w:val="007C2157"/>
    <w:rsid w:val="007C2224"/>
    <w:rsid w:val="007C236A"/>
    <w:rsid w:val="007C2429"/>
    <w:rsid w:val="007C2609"/>
    <w:rsid w:val="007C282B"/>
    <w:rsid w:val="007C28A6"/>
    <w:rsid w:val="007C28B1"/>
    <w:rsid w:val="007C2929"/>
    <w:rsid w:val="007C2D90"/>
    <w:rsid w:val="007C2DD7"/>
    <w:rsid w:val="007C32CF"/>
    <w:rsid w:val="007C32D4"/>
    <w:rsid w:val="007C333C"/>
    <w:rsid w:val="007C334A"/>
    <w:rsid w:val="007C3424"/>
    <w:rsid w:val="007C34C8"/>
    <w:rsid w:val="007C3A1E"/>
    <w:rsid w:val="007C3F4F"/>
    <w:rsid w:val="007C421B"/>
    <w:rsid w:val="007C4317"/>
    <w:rsid w:val="007C4484"/>
    <w:rsid w:val="007C44CB"/>
    <w:rsid w:val="007C46C7"/>
    <w:rsid w:val="007C483E"/>
    <w:rsid w:val="007C4CBC"/>
    <w:rsid w:val="007C4EBD"/>
    <w:rsid w:val="007C551E"/>
    <w:rsid w:val="007C55B9"/>
    <w:rsid w:val="007C58AF"/>
    <w:rsid w:val="007C5A2E"/>
    <w:rsid w:val="007C5C39"/>
    <w:rsid w:val="007C5D04"/>
    <w:rsid w:val="007C5F8D"/>
    <w:rsid w:val="007C634C"/>
    <w:rsid w:val="007C651F"/>
    <w:rsid w:val="007C6543"/>
    <w:rsid w:val="007C6651"/>
    <w:rsid w:val="007C6711"/>
    <w:rsid w:val="007C6AD7"/>
    <w:rsid w:val="007C73EA"/>
    <w:rsid w:val="007C7869"/>
    <w:rsid w:val="007C7948"/>
    <w:rsid w:val="007C794C"/>
    <w:rsid w:val="007C7C8D"/>
    <w:rsid w:val="007C7FCC"/>
    <w:rsid w:val="007D0517"/>
    <w:rsid w:val="007D07FB"/>
    <w:rsid w:val="007D09E0"/>
    <w:rsid w:val="007D0D1B"/>
    <w:rsid w:val="007D1084"/>
    <w:rsid w:val="007D12C0"/>
    <w:rsid w:val="007D1917"/>
    <w:rsid w:val="007D196D"/>
    <w:rsid w:val="007D1B71"/>
    <w:rsid w:val="007D29E3"/>
    <w:rsid w:val="007D29F6"/>
    <w:rsid w:val="007D29F7"/>
    <w:rsid w:val="007D3237"/>
    <w:rsid w:val="007D32E7"/>
    <w:rsid w:val="007D34E0"/>
    <w:rsid w:val="007D399F"/>
    <w:rsid w:val="007D3A2E"/>
    <w:rsid w:val="007D3A68"/>
    <w:rsid w:val="007D3AAB"/>
    <w:rsid w:val="007D3CA9"/>
    <w:rsid w:val="007D3D98"/>
    <w:rsid w:val="007D3DF0"/>
    <w:rsid w:val="007D40B5"/>
    <w:rsid w:val="007D487D"/>
    <w:rsid w:val="007D48B1"/>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6D1"/>
    <w:rsid w:val="007E393B"/>
    <w:rsid w:val="007E3F5C"/>
    <w:rsid w:val="007E4121"/>
    <w:rsid w:val="007E43C7"/>
    <w:rsid w:val="007E4433"/>
    <w:rsid w:val="007E4530"/>
    <w:rsid w:val="007E460E"/>
    <w:rsid w:val="007E4718"/>
    <w:rsid w:val="007E4D70"/>
    <w:rsid w:val="007E5190"/>
    <w:rsid w:val="007E51C2"/>
    <w:rsid w:val="007E5332"/>
    <w:rsid w:val="007E53F0"/>
    <w:rsid w:val="007E54B4"/>
    <w:rsid w:val="007E562A"/>
    <w:rsid w:val="007E5958"/>
    <w:rsid w:val="007E5DA7"/>
    <w:rsid w:val="007E5F51"/>
    <w:rsid w:val="007E64FE"/>
    <w:rsid w:val="007E6515"/>
    <w:rsid w:val="007E6AD8"/>
    <w:rsid w:val="007E6BCC"/>
    <w:rsid w:val="007E6D7F"/>
    <w:rsid w:val="007E6F7B"/>
    <w:rsid w:val="007E70E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951"/>
    <w:rsid w:val="007F1D4C"/>
    <w:rsid w:val="007F1D93"/>
    <w:rsid w:val="007F1F96"/>
    <w:rsid w:val="007F27A9"/>
    <w:rsid w:val="007F2BBA"/>
    <w:rsid w:val="007F2E28"/>
    <w:rsid w:val="007F2EAE"/>
    <w:rsid w:val="007F3205"/>
    <w:rsid w:val="007F3353"/>
    <w:rsid w:val="007F3412"/>
    <w:rsid w:val="007F3479"/>
    <w:rsid w:val="007F3859"/>
    <w:rsid w:val="007F3899"/>
    <w:rsid w:val="007F3DD7"/>
    <w:rsid w:val="007F3E20"/>
    <w:rsid w:val="007F3E3F"/>
    <w:rsid w:val="007F458E"/>
    <w:rsid w:val="007F4991"/>
    <w:rsid w:val="007F4ABA"/>
    <w:rsid w:val="007F4F92"/>
    <w:rsid w:val="007F549C"/>
    <w:rsid w:val="007F54A6"/>
    <w:rsid w:val="007F5575"/>
    <w:rsid w:val="007F590E"/>
    <w:rsid w:val="007F59E8"/>
    <w:rsid w:val="007F5AEA"/>
    <w:rsid w:val="007F5D20"/>
    <w:rsid w:val="007F607E"/>
    <w:rsid w:val="007F62C7"/>
    <w:rsid w:val="007F630C"/>
    <w:rsid w:val="007F6397"/>
    <w:rsid w:val="007F6926"/>
    <w:rsid w:val="007F6A16"/>
    <w:rsid w:val="007F6D4E"/>
    <w:rsid w:val="007F7330"/>
    <w:rsid w:val="007F7378"/>
    <w:rsid w:val="007F73ED"/>
    <w:rsid w:val="007F7532"/>
    <w:rsid w:val="007F758A"/>
    <w:rsid w:val="007F763A"/>
    <w:rsid w:val="007F7853"/>
    <w:rsid w:val="007F785F"/>
    <w:rsid w:val="007F7B39"/>
    <w:rsid w:val="007F7BA6"/>
    <w:rsid w:val="007F7BB0"/>
    <w:rsid w:val="007F7C9E"/>
    <w:rsid w:val="00800457"/>
    <w:rsid w:val="008009A0"/>
    <w:rsid w:val="00800AAC"/>
    <w:rsid w:val="00800CA5"/>
    <w:rsid w:val="00800D74"/>
    <w:rsid w:val="00801096"/>
    <w:rsid w:val="008014B0"/>
    <w:rsid w:val="008014F8"/>
    <w:rsid w:val="00801609"/>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84"/>
    <w:rsid w:val="00803792"/>
    <w:rsid w:val="0080380B"/>
    <w:rsid w:val="008039B4"/>
    <w:rsid w:val="00803AA5"/>
    <w:rsid w:val="00803BFA"/>
    <w:rsid w:val="00803C1E"/>
    <w:rsid w:val="00803FE1"/>
    <w:rsid w:val="00804043"/>
    <w:rsid w:val="00804092"/>
    <w:rsid w:val="008043C2"/>
    <w:rsid w:val="00804474"/>
    <w:rsid w:val="0080457B"/>
    <w:rsid w:val="00804C78"/>
    <w:rsid w:val="00804F00"/>
    <w:rsid w:val="00804F7C"/>
    <w:rsid w:val="008057CD"/>
    <w:rsid w:val="008059DB"/>
    <w:rsid w:val="00805CEC"/>
    <w:rsid w:val="00805D34"/>
    <w:rsid w:val="00805F9F"/>
    <w:rsid w:val="00805FEE"/>
    <w:rsid w:val="00806438"/>
    <w:rsid w:val="008066CB"/>
    <w:rsid w:val="008069A6"/>
    <w:rsid w:val="00806F22"/>
    <w:rsid w:val="00806F6F"/>
    <w:rsid w:val="00806FE4"/>
    <w:rsid w:val="00807166"/>
    <w:rsid w:val="008072EF"/>
    <w:rsid w:val="008077F3"/>
    <w:rsid w:val="0080792E"/>
    <w:rsid w:val="00807BC9"/>
    <w:rsid w:val="00807D01"/>
    <w:rsid w:val="00807DCC"/>
    <w:rsid w:val="0081023E"/>
    <w:rsid w:val="0081062E"/>
    <w:rsid w:val="00810654"/>
    <w:rsid w:val="00810ACB"/>
    <w:rsid w:val="00811103"/>
    <w:rsid w:val="00811366"/>
    <w:rsid w:val="00811744"/>
    <w:rsid w:val="00811868"/>
    <w:rsid w:val="00811C9D"/>
    <w:rsid w:val="00811D74"/>
    <w:rsid w:val="0081209B"/>
    <w:rsid w:val="008121E3"/>
    <w:rsid w:val="0081232A"/>
    <w:rsid w:val="0081264B"/>
    <w:rsid w:val="00812991"/>
    <w:rsid w:val="00812D9E"/>
    <w:rsid w:val="00812E80"/>
    <w:rsid w:val="00812E9C"/>
    <w:rsid w:val="008130A0"/>
    <w:rsid w:val="00813126"/>
    <w:rsid w:val="0081340F"/>
    <w:rsid w:val="0081372B"/>
    <w:rsid w:val="008137A8"/>
    <w:rsid w:val="00813F5C"/>
    <w:rsid w:val="00814196"/>
    <w:rsid w:val="0081440D"/>
    <w:rsid w:val="00814469"/>
    <w:rsid w:val="00814A5C"/>
    <w:rsid w:val="00814BA6"/>
    <w:rsid w:val="00814F90"/>
    <w:rsid w:val="00815058"/>
    <w:rsid w:val="0081509A"/>
    <w:rsid w:val="00815271"/>
    <w:rsid w:val="008152E0"/>
    <w:rsid w:val="008156C3"/>
    <w:rsid w:val="008156E5"/>
    <w:rsid w:val="00815958"/>
    <w:rsid w:val="00815DB4"/>
    <w:rsid w:val="00815F07"/>
    <w:rsid w:val="00816276"/>
    <w:rsid w:val="008162FC"/>
    <w:rsid w:val="0081675F"/>
    <w:rsid w:val="0081688F"/>
    <w:rsid w:val="00816984"/>
    <w:rsid w:val="00816DA3"/>
    <w:rsid w:val="00817378"/>
    <w:rsid w:val="008178AE"/>
    <w:rsid w:val="00817976"/>
    <w:rsid w:val="00817F31"/>
    <w:rsid w:val="00817FAF"/>
    <w:rsid w:val="00820151"/>
    <w:rsid w:val="00820273"/>
    <w:rsid w:val="008206FE"/>
    <w:rsid w:val="00820D8E"/>
    <w:rsid w:val="00821414"/>
    <w:rsid w:val="00821F8C"/>
    <w:rsid w:val="0082233D"/>
    <w:rsid w:val="0082287F"/>
    <w:rsid w:val="00822A75"/>
    <w:rsid w:val="00822FAF"/>
    <w:rsid w:val="0082388B"/>
    <w:rsid w:val="00823BCC"/>
    <w:rsid w:val="00823C1F"/>
    <w:rsid w:val="00823C25"/>
    <w:rsid w:val="00823DCC"/>
    <w:rsid w:val="00824A1D"/>
    <w:rsid w:val="00824B6D"/>
    <w:rsid w:val="00824C0D"/>
    <w:rsid w:val="00824F86"/>
    <w:rsid w:val="00824FD2"/>
    <w:rsid w:val="0082527C"/>
    <w:rsid w:val="008254AB"/>
    <w:rsid w:val="008254FB"/>
    <w:rsid w:val="00825680"/>
    <w:rsid w:val="0082585E"/>
    <w:rsid w:val="00825FD4"/>
    <w:rsid w:val="008261A1"/>
    <w:rsid w:val="008261E1"/>
    <w:rsid w:val="00826376"/>
    <w:rsid w:val="0082664F"/>
    <w:rsid w:val="008266FD"/>
    <w:rsid w:val="00826701"/>
    <w:rsid w:val="00826D9D"/>
    <w:rsid w:val="00826ECA"/>
    <w:rsid w:val="0082700D"/>
    <w:rsid w:val="00827083"/>
    <w:rsid w:val="00827136"/>
    <w:rsid w:val="008272D4"/>
    <w:rsid w:val="0082755E"/>
    <w:rsid w:val="008275D5"/>
    <w:rsid w:val="008277F2"/>
    <w:rsid w:val="00827A5C"/>
    <w:rsid w:val="00827A84"/>
    <w:rsid w:val="00827FCF"/>
    <w:rsid w:val="008302B3"/>
    <w:rsid w:val="008303C3"/>
    <w:rsid w:val="008304F7"/>
    <w:rsid w:val="008307A2"/>
    <w:rsid w:val="00830906"/>
    <w:rsid w:val="00830C5B"/>
    <w:rsid w:val="00830D84"/>
    <w:rsid w:val="0083119B"/>
    <w:rsid w:val="008314E2"/>
    <w:rsid w:val="0083185A"/>
    <w:rsid w:val="00831987"/>
    <w:rsid w:val="00831BC2"/>
    <w:rsid w:val="00831EBB"/>
    <w:rsid w:val="008322BA"/>
    <w:rsid w:val="008324C1"/>
    <w:rsid w:val="00832579"/>
    <w:rsid w:val="00832611"/>
    <w:rsid w:val="00832C15"/>
    <w:rsid w:val="00832C19"/>
    <w:rsid w:val="00832D9B"/>
    <w:rsid w:val="00832FBC"/>
    <w:rsid w:val="00833020"/>
    <w:rsid w:val="0083313D"/>
    <w:rsid w:val="0083328B"/>
    <w:rsid w:val="00833425"/>
    <w:rsid w:val="008335DE"/>
    <w:rsid w:val="00833957"/>
    <w:rsid w:val="008339DE"/>
    <w:rsid w:val="00833AC6"/>
    <w:rsid w:val="00833FF9"/>
    <w:rsid w:val="008347EA"/>
    <w:rsid w:val="00834809"/>
    <w:rsid w:val="00834EA9"/>
    <w:rsid w:val="0083543B"/>
    <w:rsid w:val="0083583A"/>
    <w:rsid w:val="00835903"/>
    <w:rsid w:val="00835926"/>
    <w:rsid w:val="00835BD3"/>
    <w:rsid w:val="00835C1C"/>
    <w:rsid w:val="00835E0F"/>
    <w:rsid w:val="008364DF"/>
    <w:rsid w:val="00836DBB"/>
    <w:rsid w:val="00836EFA"/>
    <w:rsid w:val="008370A8"/>
    <w:rsid w:val="008372BE"/>
    <w:rsid w:val="0083752B"/>
    <w:rsid w:val="008376EB"/>
    <w:rsid w:val="008378FA"/>
    <w:rsid w:val="00840241"/>
    <w:rsid w:val="008402CC"/>
    <w:rsid w:val="00840718"/>
    <w:rsid w:val="0084076B"/>
    <w:rsid w:val="0084088F"/>
    <w:rsid w:val="008411C9"/>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BE2"/>
    <w:rsid w:val="00844D29"/>
    <w:rsid w:val="00844EDC"/>
    <w:rsid w:val="00844F8A"/>
    <w:rsid w:val="0084526E"/>
    <w:rsid w:val="008453AD"/>
    <w:rsid w:val="00845673"/>
    <w:rsid w:val="0084593F"/>
    <w:rsid w:val="00845BE2"/>
    <w:rsid w:val="00845F9B"/>
    <w:rsid w:val="00845FFF"/>
    <w:rsid w:val="008461B4"/>
    <w:rsid w:val="00846312"/>
    <w:rsid w:val="008463AC"/>
    <w:rsid w:val="00846654"/>
    <w:rsid w:val="00846BB2"/>
    <w:rsid w:val="00847049"/>
    <w:rsid w:val="0084705A"/>
    <w:rsid w:val="008474C2"/>
    <w:rsid w:val="0084795A"/>
    <w:rsid w:val="00847AAD"/>
    <w:rsid w:val="00847B3C"/>
    <w:rsid w:val="00847E0D"/>
    <w:rsid w:val="00847F3D"/>
    <w:rsid w:val="00847F5C"/>
    <w:rsid w:val="0085051B"/>
    <w:rsid w:val="00850BCB"/>
    <w:rsid w:val="00850CBB"/>
    <w:rsid w:val="00850EE9"/>
    <w:rsid w:val="0085101D"/>
    <w:rsid w:val="0085108C"/>
    <w:rsid w:val="00851338"/>
    <w:rsid w:val="008513A0"/>
    <w:rsid w:val="0085169D"/>
    <w:rsid w:val="008519ED"/>
    <w:rsid w:val="00851A37"/>
    <w:rsid w:val="00851BE3"/>
    <w:rsid w:val="00852369"/>
    <w:rsid w:val="008526FA"/>
    <w:rsid w:val="008527DB"/>
    <w:rsid w:val="00852887"/>
    <w:rsid w:val="008528AF"/>
    <w:rsid w:val="00852BA9"/>
    <w:rsid w:val="00852CC6"/>
    <w:rsid w:val="00852D09"/>
    <w:rsid w:val="00852D4E"/>
    <w:rsid w:val="00852E51"/>
    <w:rsid w:val="00852E8E"/>
    <w:rsid w:val="008530C1"/>
    <w:rsid w:val="008533C3"/>
    <w:rsid w:val="00853497"/>
    <w:rsid w:val="008539A9"/>
    <w:rsid w:val="00853A9F"/>
    <w:rsid w:val="00853DE9"/>
    <w:rsid w:val="00853E14"/>
    <w:rsid w:val="00853EED"/>
    <w:rsid w:val="00854763"/>
    <w:rsid w:val="00854BC4"/>
    <w:rsid w:val="00854CA1"/>
    <w:rsid w:val="00854E54"/>
    <w:rsid w:val="00855049"/>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60030"/>
    <w:rsid w:val="00860073"/>
    <w:rsid w:val="00860077"/>
    <w:rsid w:val="008600A5"/>
    <w:rsid w:val="0086013C"/>
    <w:rsid w:val="00860211"/>
    <w:rsid w:val="00860283"/>
    <w:rsid w:val="0086058E"/>
    <w:rsid w:val="00860C34"/>
    <w:rsid w:val="00861196"/>
    <w:rsid w:val="00861B1D"/>
    <w:rsid w:val="00862090"/>
    <w:rsid w:val="008623E5"/>
    <w:rsid w:val="00862420"/>
    <w:rsid w:val="00862F65"/>
    <w:rsid w:val="00862FC7"/>
    <w:rsid w:val="0086342F"/>
    <w:rsid w:val="0086360A"/>
    <w:rsid w:val="0086377D"/>
    <w:rsid w:val="008638F0"/>
    <w:rsid w:val="00863A21"/>
    <w:rsid w:val="00863B9C"/>
    <w:rsid w:val="00863C18"/>
    <w:rsid w:val="008641C2"/>
    <w:rsid w:val="0086471E"/>
    <w:rsid w:val="0086475E"/>
    <w:rsid w:val="00864760"/>
    <w:rsid w:val="00864A63"/>
    <w:rsid w:val="00864A7D"/>
    <w:rsid w:val="00864B08"/>
    <w:rsid w:val="00864EDA"/>
    <w:rsid w:val="00864EE7"/>
    <w:rsid w:val="00865D57"/>
    <w:rsid w:val="00865D9B"/>
    <w:rsid w:val="00866092"/>
    <w:rsid w:val="0086614C"/>
    <w:rsid w:val="008664EE"/>
    <w:rsid w:val="0086653D"/>
    <w:rsid w:val="0086659C"/>
    <w:rsid w:val="008666EC"/>
    <w:rsid w:val="00867060"/>
    <w:rsid w:val="00867137"/>
    <w:rsid w:val="008671B9"/>
    <w:rsid w:val="00867304"/>
    <w:rsid w:val="0086782F"/>
    <w:rsid w:val="0086785E"/>
    <w:rsid w:val="00867997"/>
    <w:rsid w:val="00867C38"/>
    <w:rsid w:val="00870002"/>
    <w:rsid w:val="008705C2"/>
    <w:rsid w:val="0087073A"/>
    <w:rsid w:val="00870A70"/>
    <w:rsid w:val="00870BF9"/>
    <w:rsid w:val="00870ED0"/>
    <w:rsid w:val="00871085"/>
    <w:rsid w:val="008711B0"/>
    <w:rsid w:val="008711EA"/>
    <w:rsid w:val="0087149A"/>
    <w:rsid w:val="0087190D"/>
    <w:rsid w:val="00871B00"/>
    <w:rsid w:val="00871B63"/>
    <w:rsid w:val="00871C5A"/>
    <w:rsid w:val="00871CED"/>
    <w:rsid w:val="00871DC9"/>
    <w:rsid w:val="00871E74"/>
    <w:rsid w:val="008720C9"/>
    <w:rsid w:val="00872164"/>
    <w:rsid w:val="0087221C"/>
    <w:rsid w:val="008726DF"/>
    <w:rsid w:val="00872B78"/>
    <w:rsid w:val="00872E78"/>
    <w:rsid w:val="00872F22"/>
    <w:rsid w:val="00872F59"/>
    <w:rsid w:val="00872FFA"/>
    <w:rsid w:val="00873133"/>
    <w:rsid w:val="0087331E"/>
    <w:rsid w:val="00873403"/>
    <w:rsid w:val="008735CE"/>
    <w:rsid w:val="008738B9"/>
    <w:rsid w:val="00873A9B"/>
    <w:rsid w:val="00873DB6"/>
    <w:rsid w:val="0087404B"/>
    <w:rsid w:val="008742E5"/>
    <w:rsid w:val="00874A5E"/>
    <w:rsid w:val="00874A90"/>
    <w:rsid w:val="00874B4C"/>
    <w:rsid w:val="00874C17"/>
    <w:rsid w:val="00874C71"/>
    <w:rsid w:val="00874F29"/>
    <w:rsid w:val="00874FEC"/>
    <w:rsid w:val="0087523F"/>
    <w:rsid w:val="00875351"/>
    <w:rsid w:val="00875B37"/>
    <w:rsid w:val="0087606E"/>
    <w:rsid w:val="008760DA"/>
    <w:rsid w:val="0087622B"/>
    <w:rsid w:val="008764A6"/>
    <w:rsid w:val="008766C9"/>
    <w:rsid w:val="00876747"/>
    <w:rsid w:val="00876903"/>
    <w:rsid w:val="00876C55"/>
    <w:rsid w:val="00876C6A"/>
    <w:rsid w:val="00876D2A"/>
    <w:rsid w:val="008775D4"/>
    <w:rsid w:val="00877605"/>
    <w:rsid w:val="0087760E"/>
    <w:rsid w:val="008779C5"/>
    <w:rsid w:val="00877C13"/>
    <w:rsid w:val="00877DB5"/>
    <w:rsid w:val="00877DBE"/>
    <w:rsid w:val="008800EB"/>
    <w:rsid w:val="00880F48"/>
    <w:rsid w:val="0088175C"/>
    <w:rsid w:val="008818A5"/>
    <w:rsid w:val="008818EB"/>
    <w:rsid w:val="00881E57"/>
    <w:rsid w:val="00882710"/>
    <w:rsid w:val="00882A3B"/>
    <w:rsid w:val="00882F95"/>
    <w:rsid w:val="00883440"/>
    <w:rsid w:val="008836CF"/>
    <w:rsid w:val="00883E78"/>
    <w:rsid w:val="00883F3D"/>
    <w:rsid w:val="00884193"/>
    <w:rsid w:val="00884194"/>
    <w:rsid w:val="00884337"/>
    <w:rsid w:val="008844BB"/>
    <w:rsid w:val="00884539"/>
    <w:rsid w:val="008845DF"/>
    <w:rsid w:val="00884A0A"/>
    <w:rsid w:val="00884FAA"/>
    <w:rsid w:val="00885467"/>
    <w:rsid w:val="008854E7"/>
    <w:rsid w:val="00885A1E"/>
    <w:rsid w:val="00885BA7"/>
    <w:rsid w:val="008861A9"/>
    <w:rsid w:val="008865BD"/>
    <w:rsid w:val="008867FF"/>
    <w:rsid w:val="008869E0"/>
    <w:rsid w:val="00886B62"/>
    <w:rsid w:val="00886DC6"/>
    <w:rsid w:val="00886F07"/>
    <w:rsid w:val="00886F21"/>
    <w:rsid w:val="0088704B"/>
    <w:rsid w:val="008870B3"/>
    <w:rsid w:val="008874B6"/>
    <w:rsid w:val="008878AA"/>
    <w:rsid w:val="008879AE"/>
    <w:rsid w:val="00887A01"/>
    <w:rsid w:val="008906CA"/>
    <w:rsid w:val="00890B29"/>
    <w:rsid w:val="00890E4C"/>
    <w:rsid w:val="00890E81"/>
    <w:rsid w:val="00890FE6"/>
    <w:rsid w:val="008910FD"/>
    <w:rsid w:val="00891267"/>
    <w:rsid w:val="008913E0"/>
    <w:rsid w:val="00891454"/>
    <w:rsid w:val="00891AD4"/>
    <w:rsid w:val="00891C93"/>
    <w:rsid w:val="00891DFB"/>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0A8"/>
    <w:rsid w:val="0089421F"/>
    <w:rsid w:val="0089431A"/>
    <w:rsid w:val="00894E93"/>
    <w:rsid w:val="0089516D"/>
    <w:rsid w:val="00895253"/>
    <w:rsid w:val="00895623"/>
    <w:rsid w:val="00895643"/>
    <w:rsid w:val="00895695"/>
    <w:rsid w:val="00895896"/>
    <w:rsid w:val="008959FA"/>
    <w:rsid w:val="00895CF0"/>
    <w:rsid w:val="0089630C"/>
    <w:rsid w:val="00896434"/>
    <w:rsid w:val="00896666"/>
    <w:rsid w:val="00896AA1"/>
    <w:rsid w:val="00896AD4"/>
    <w:rsid w:val="00897459"/>
    <w:rsid w:val="00897630"/>
    <w:rsid w:val="008977AF"/>
    <w:rsid w:val="00897EA6"/>
    <w:rsid w:val="008A004D"/>
    <w:rsid w:val="008A08DA"/>
    <w:rsid w:val="008A0B6B"/>
    <w:rsid w:val="008A0C6F"/>
    <w:rsid w:val="008A0F7C"/>
    <w:rsid w:val="008A10DB"/>
    <w:rsid w:val="008A1319"/>
    <w:rsid w:val="008A1855"/>
    <w:rsid w:val="008A1E33"/>
    <w:rsid w:val="008A1FAD"/>
    <w:rsid w:val="008A2106"/>
    <w:rsid w:val="008A21AE"/>
    <w:rsid w:val="008A21F1"/>
    <w:rsid w:val="008A23E6"/>
    <w:rsid w:val="008A2B9F"/>
    <w:rsid w:val="008A2E8C"/>
    <w:rsid w:val="008A2FF1"/>
    <w:rsid w:val="008A3048"/>
    <w:rsid w:val="008A304D"/>
    <w:rsid w:val="008A31C9"/>
    <w:rsid w:val="008A36F6"/>
    <w:rsid w:val="008A3C47"/>
    <w:rsid w:val="008A3C6A"/>
    <w:rsid w:val="008A3CFB"/>
    <w:rsid w:val="008A3D5E"/>
    <w:rsid w:val="008A409C"/>
    <w:rsid w:val="008A48C5"/>
    <w:rsid w:val="008A4D70"/>
    <w:rsid w:val="008A50A5"/>
    <w:rsid w:val="008A5D3C"/>
    <w:rsid w:val="008A5DB5"/>
    <w:rsid w:val="008A5DEE"/>
    <w:rsid w:val="008A5E73"/>
    <w:rsid w:val="008A62D2"/>
    <w:rsid w:val="008A6A7A"/>
    <w:rsid w:val="008A6EA6"/>
    <w:rsid w:val="008A7175"/>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F0B"/>
    <w:rsid w:val="008B2174"/>
    <w:rsid w:val="008B219F"/>
    <w:rsid w:val="008B25DC"/>
    <w:rsid w:val="008B299C"/>
    <w:rsid w:val="008B2AC7"/>
    <w:rsid w:val="008B2ECE"/>
    <w:rsid w:val="008B3041"/>
    <w:rsid w:val="008B3407"/>
    <w:rsid w:val="008B3ACF"/>
    <w:rsid w:val="008B3D35"/>
    <w:rsid w:val="008B3F4C"/>
    <w:rsid w:val="008B3FBB"/>
    <w:rsid w:val="008B41B4"/>
    <w:rsid w:val="008B42B9"/>
    <w:rsid w:val="008B4418"/>
    <w:rsid w:val="008B47F0"/>
    <w:rsid w:val="008B48DB"/>
    <w:rsid w:val="008B4EEB"/>
    <w:rsid w:val="008B5078"/>
    <w:rsid w:val="008B5235"/>
    <w:rsid w:val="008B598F"/>
    <w:rsid w:val="008B5C19"/>
    <w:rsid w:val="008B5D7A"/>
    <w:rsid w:val="008B6130"/>
    <w:rsid w:val="008B6212"/>
    <w:rsid w:val="008B621E"/>
    <w:rsid w:val="008B63E0"/>
    <w:rsid w:val="008B6536"/>
    <w:rsid w:val="008B65FB"/>
    <w:rsid w:val="008B6735"/>
    <w:rsid w:val="008B693D"/>
    <w:rsid w:val="008B6977"/>
    <w:rsid w:val="008B6979"/>
    <w:rsid w:val="008B6B7F"/>
    <w:rsid w:val="008B6CEE"/>
    <w:rsid w:val="008B706D"/>
    <w:rsid w:val="008B710F"/>
    <w:rsid w:val="008B7129"/>
    <w:rsid w:val="008B72F8"/>
    <w:rsid w:val="008B7683"/>
    <w:rsid w:val="008B7DE6"/>
    <w:rsid w:val="008B7EA0"/>
    <w:rsid w:val="008C0445"/>
    <w:rsid w:val="008C0C29"/>
    <w:rsid w:val="008C0F4C"/>
    <w:rsid w:val="008C1331"/>
    <w:rsid w:val="008C1510"/>
    <w:rsid w:val="008C26B2"/>
    <w:rsid w:val="008C29DD"/>
    <w:rsid w:val="008C2D1F"/>
    <w:rsid w:val="008C3092"/>
    <w:rsid w:val="008C3287"/>
    <w:rsid w:val="008C34B6"/>
    <w:rsid w:val="008C3773"/>
    <w:rsid w:val="008C37E3"/>
    <w:rsid w:val="008C3806"/>
    <w:rsid w:val="008C3EAC"/>
    <w:rsid w:val="008C3F0B"/>
    <w:rsid w:val="008C3F7C"/>
    <w:rsid w:val="008C4AB5"/>
    <w:rsid w:val="008C4EF8"/>
    <w:rsid w:val="008C4FAA"/>
    <w:rsid w:val="008C4FF9"/>
    <w:rsid w:val="008C540A"/>
    <w:rsid w:val="008C5B54"/>
    <w:rsid w:val="008C6239"/>
    <w:rsid w:val="008C640B"/>
    <w:rsid w:val="008C649D"/>
    <w:rsid w:val="008C64AD"/>
    <w:rsid w:val="008C6762"/>
    <w:rsid w:val="008C6845"/>
    <w:rsid w:val="008C6975"/>
    <w:rsid w:val="008C6AE5"/>
    <w:rsid w:val="008C6BE4"/>
    <w:rsid w:val="008C6C7D"/>
    <w:rsid w:val="008C6F9E"/>
    <w:rsid w:val="008C6FC5"/>
    <w:rsid w:val="008C7444"/>
    <w:rsid w:val="008C7537"/>
    <w:rsid w:val="008C7892"/>
    <w:rsid w:val="008C7929"/>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BD1"/>
    <w:rsid w:val="008D1CF5"/>
    <w:rsid w:val="008D21B8"/>
    <w:rsid w:val="008D2274"/>
    <w:rsid w:val="008D258E"/>
    <w:rsid w:val="008D2725"/>
    <w:rsid w:val="008D2A15"/>
    <w:rsid w:val="008D2AD7"/>
    <w:rsid w:val="008D2C43"/>
    <w:rsid w:val="008D3242"/>
    <w:rsid w:val="008D346E"/>
    <w:rsid w:val="008D3706"/>
    <w:rsid w:val="008D381B"/>
    <w:rsid w:val="008D3C38"/>
    <w:rsid w:val="008D3F63"/>
    <w:rsid w:val="008D4029"/>
    <w:rsid w:val="008D43F5"/>
    <w:rsid w:val="008D4656"/>
    <w:rsid w:val="008D4903"/>
    <w:rsid w:val="008D4AD1"/>
    <w:rsid w:val="008D4B00"/>
    <w:rsid w:val="008D4DB5"/>
    <w:rsid w:val="008D4F97"/>
    <w:rsid w:val="008D50AC"/>
    <w:rsid w:val="008D514B"/>
    <w:rsid w:val="008D5557"/>
    <w:rsid w:val="008D56A3"/>
    <w:rsid w:val="008D57D6"/>
    <w:rsid w:val="008D5BD2"/>
    <w:rsid w:val="008D5DEB"/>
    <w:rsid w:val="008D6553"/>
    <w:rsid w:val="008D663D"/>
    <w:rsid w:val="008D668C"/>
    <w:rsid w:val="008D671C"/>
    <w:rsid w:val="008D6B9B"/>
    <w:rsid w:val="008D6CBF"/>
    <w:rsid w:val="008D6F1B"/>
    <w:rsid w:val="008D7151"/>
    <w:rsid w:val="008D74DE"/>
    <w:rsid w:val="008D75AC"/>
    <w:rsid w:val="008D75D3"/>
    <w:rsid w:val="008D77E3"/>
    <w:rsid w:val="008D780C"/>
    <w:rsid w:val="008D7B53"/>
    <w:rsid w:val="008D7F9F"/>
    <w:rsid w:val="008E018E"/>
    <w:rsid w:val="008E06E8"/>
    <w:rsid w:val="008E0743"/>
    <w:rsid w:val="008E0758"/>
    <w:rsid w:val="008E0789"/>
    <w:rsid w:val="008E08C4"/>
    <w:rsid w:val="008E0A8C"/>
    <w:rsid w:val="008E0B26"/>
    <w:rsid w:val="008E0B9E"/>
    <w:rsid w:val="008E0F9B"/>
    <w:rsid w:val="008E104E"/>
    <w:rsid w:val="008E1600"/>
    <w:rsid w:val="008E16A3"/>
    <w:rsid w:val="008E1C1C"/>
    <w:rsid w:val="008E1C2A"/>
    <w:rsid w:val="008E1E30"/>
    <w:rsid w:val="008E1E35"/>
    <w:rsid w:val="008E2160"/>
    <w:rsid w:val="008E21B8"/>
    <w:rsid w:val="008E226F"/>
    <w:rsid w:val="008E2463"/>
    <w:rsid w:val="008E2493"/>
    <w:rsid w:val="008E2576"/>
    <w:rsid w:val="008E27F2"/>
    <w:rsid w:val="008E3267"/>
    <w:rsid w:val="008E32E6"/>
    <w:rsid w:val="008E3357"/>
    <w:rsid w:val="008E3405"/>
    <w:rsid w:val="008E3594"/>
    <w:rsid w:val="008E403B"/>
    <w:rsid w:val="008E41C3"/>
    <w:rsid w:val="008E429A"/>
    <w:rsid w:val="008E4379"/>
    <w:rsid w:val="008E45D0"/>
    <w:rsid w:val="008E4761"/>
    <w:rsid w:val="008E4A8A"/>
    <w:rsid w:val="008E4CCB"/>
    <w:rsid w:val="008E4D07"/>
    <w:rsid w:val="008E4ECD"/>
    <w:rsid w:val="008E50AE"/>
    <w:rsid w:val="008E57FF"/>
    <w:rsid w:val="008E5886"/>
    <w:rsid w:val="008E58B9"/>
    <w:rsid w:val="008E5B41"/>
    <w:rsid w:val="008E5D3F"/>
    <w:rsid w:val="008E5F5E"/>
    <w:rsid w:val="008E6483"/>
    <w:rsid w:val="008E66C1"/>
    <w:rsid w:val="008E6E04"/>
    <w:rsid w:val="008E6E17"/>
    <w:rsid w:val="008E6FA3"/>
    <w:rsid w:val="008E7024"/>
    <w:rsid w:val="008E732D"/>
    <w:rsid w:val="008E74EE"/>
    <w:rsid w:val="008E78F4"/>
    <w:rsid w:val="008E7ABD"/>
    <w:rsid w:val="008E7C30"/>
    <w:rsid w:val="008E7D53"/>
    <w:rsid w:val="008E7F04"/>
    <w:rsid w:val="008F018C"/>
    <w:rsid w:val="008F02A3"/>
    <w:rsid w:val="008F040E"/>
    <w:rsid w:val="008F054E"/>
    <w:rsid w:val="008F0644"/>
    <w:rsid w:val="008F0709"/>
    <w:rsid w:val="008F090E"/>
    <w:rsid w:val="008F0AA6"/>
    <w:rsid w:val="008F0B56"/>
    <w:rsid w:val="008F0C75"/>
    <w:rsid w:val="008F0C8B"/>
    <w:rsid w:val="008F1006"/>
    <w:rsid w:val="008F1318"/>
    <w:rsid w:val="008F147F"/>
    <w:rsid w:val="008F15D6"/>
    <w:rsid w:val="008F15FA"/>
    <w:rsid w:val="008F1761"/>
    <w:rsid w:val="008F1880"/>
    <w:rsid w:val="008F1887"/>
    <w:rsid w:val="008F1B83"/>
    <w:rsid w:val="008F26A5"/>
    <w:rsid w:val="008F2771"/>
    <w:rsid w:val="008F2B79"/>
    <w:rsid w:val="008F2DEC"/>
    <w:rsid w:val="008F3649"/>
    <w:rsid w:val="008F3B2F"/>
    <w:rsid w:val="008F3B8B"/>
    <w:rsid w:val="008F3F56"/>
    <w:rsid w:val="008F3FAC"/>
    <w:rsid w:val="008F4934"/>
    <w:rsid w:val="008F4AA6"/>
    <w:rsid w:val="008F4B17"/>
    <w:rsid w:val="008F4B52"/>
    <w:rsid w:val="008F53BA"/>
    <w:rsid w:val="008F59E4"/>
    <w:rsid w:val="008F5EDC"/>
    <w:rsid w:val="008F6260"/>
    <w:rsid w:val="008F6426"/>
    <w:rsid w:val="008F649D"/>
    <w:rsid w:val="008F64E5"/>
    <w:rsid w:val="008F6729"/>
    <w:rsid w:val="008F67CB"/>
    <w:rsid w:val="008F67F4"/>
    <w:rsid w:val="008F686A"/>
    <w:rsid w:val="008F6A9B"/>
    <w:rsid w:val="008F6B5D"/>
    <w:rsid w:val="008F6DC3"/>
    <w:rsid w:val="008F7547"/>
    <w:rsid w:val="008F7B34"/>
    <w:rsid w:val="009002ED"/>
    <w:rsid w:val="009003AC"/>
    <w:rsid w:val="0090088A"/>
    <w:rsid w:val="009008A3"/>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5146"/>
    <w:rsid w:val="009051D6"/>
    <w:rsid w:val="0090527B"/>
    <w:rsid w:val="0090532F"/>
    <w:rsid w:val="00905460"/>
    <w:rsid w:val="009055DC"/>
    <w:rsid w:val="009059B7"/>
    <w:rsid w:val="00905A4C"/>
    <w:rsid w:val="00905B8C"/>
    <w:rsid w:val="00906775"/>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4B"/>
    <w:rsid w:val="00911B7D"/>
    <w:rsid w:val="00911D18"/>
    <w:rsid w:val="0091230A"/>
    <w:rsid w:val="009123D2"/>
    <w:rsid w:val="009125BC"/>
    <w:rsid w:val="00912B40"/>
    <w:rsid w:val="00912B49"/>
    <w:rsid w:val="00912D09"/>
    <w:rsid w:val="00912D86"/>
    <w:rsid w:val="00912FCA"/>
    <w:rsid w:val="009131C5"/>
    <w:rsid w:val="0091333A"/>
    <w:rsid w:val="00913783"/>
    <w:rsid w:val="0091381D"/>
    <w:rsid w:val="009138BF"/>
    <w:rsid w:val="00913A49"/>
    <w:rsid w:val="00913C19"/>
    <w:rsid w:val="00913F55"/>
    <w:rsid w:val="009141B1"/>
    <w:rsid w:val="009141BF"/>
    <w:rsid w:val="00914201"/>
    <w:rsid w:val="00914494"/>
    <w:rsid w:val="009146B1"/>
    <w:rsid w:val="00914CDA"/>
    <w:rsid w:val="009157F2"/>
    <w:rsid w:val="00915AAF"/>
    <w:rsid w:val="00916406"/>
    <w:rsid w:val="009164F1"/>
    <w:rsid w:val="00916575"/>
    <w:rsid w:val="009165C1"/>
    <w:rsid w:val="00916814"/>
    <w:rsid w:val="0091691D"/>
    <w:rsid w:val="00916A39"/>
    <w:rsid w:val="00916BAF"/>
    <w:rsid w:val="00916BD6"/>
    <w:rsid w:val="00916C39"/>
    <w:rsid w:val="00917388"/>
    <w:rsid w:val="009174EC"/>
    <w:rsid w:val="00917925"/>
    <w:rsid w:val="00917C21"/>
    <w:rsid w:val="00920199"/>
    <w:rsid w:val="00920A39"/>
    <w:rsid w:val="00920E81"/>
    <w:rsid w:val="00920F01"/>
    <w:rsid w:val="00920F25"/>
    <w:rsid w:val="00921177"/>
    <w:rsid w:val="00921252"/>
    <w:rsid w:val="00921528"/>
    <w:rsid w:val="00921813"/>
    <w:rsid w:val="00921872"/>
    <w:rsid w:val="00921C5A"/>
    <w:rsid w:val="00921EC9"/>
    <w:rsid w:val="00921FF2"/>
    <w:rsid w:val="009220F4"/>
    <w:rsid w:val="009221AD"/>
    <w:rsid w:val="0092232A"/>
    <w:rsid w:val="0092245A"/>
    <w:rsid w:val="0092246D"/>
    <w:rsid w:val="00922A7C"/>
    <w:rsid w:val="00922EE3"/>
    <w:rsid w:val="00922FD7"/>
    <w:rsid w:val="00923082"/>
    <w:rsid w:val="0092377F"/>
    <w:rsid w:val="0092380B"/>
    <w:rsid w:val="00923A59"/>
    <w:rsid w:val="00923A78"/>
    <w:rsid w:val="00923AB0"/>
    <w:rsid w:val="00923C96"/>
    <w:rsid w:val="00923D47"/>
    <w:rsid w:val="00923D63"/>
    <w:rsid w:val="00923EF7"/>
    <w:rsid w:val="00924157"/>
    <w:rsid w:val="0092437C"/>
    <w:rsid w:val="0092443D"/>
    <w:rsid w:val="0092479E"/>
    <w:rsid w:val="009248A2"/>
    <w:rsid w:val="00924946"/>
    <w:rsid w:val="00924B1A"/>
    <w:rsid w:val="00924B5F"/>
    <w:rsid w:val="00924DFB"/>
    <w:rsid w:val="00924FBF"/>
    <w:rsid w:val="00924FC4"/>
    <w:rsid w:val="009253F2"/>
    <w:rsid w:val="00925F10"/>
    <w:rsid w:val="0092621F"/>
    <w:rsid w:val="00926567"/>
    <w:rsid w:val="0092657D"/>
    <w:rsid w:val="0092690F"/>
    <w:rsid w:val="0092692E"/>
    <w:rsid w:val="00926F3D"/>
    <w:rsid w:val="00926F8F"/>
    <w:rsid w:val="00927516"/>
    <w:rsid w:val="0092797D"/>
    <w:rsid w:val="00927A37"/>
    <w:rsid w:val="0093008A"/>
    <w:rsid w:val="009302D5"/>
    <w:rsid w:val="00930394"/>
    <w:rsid w:val="009303D1"/>
    <w:rsid w:val="00930674"/>
    <w:rsid w:val="009307E8"/>
    <w:rsid w:val="00930989"/>
    <w:rsid w:val="009309AB"/>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2E1B"/>
    <w:rsid w:val="00932F74"/>
    <w:rsid w:val="00933656"/>
    <w:rsid w:val="0093365E"/>
    <w:rsid w:val="00933989"/>
    <w:rsid w:val="00933B5D"/>
    <w:rsid w:val="00933B80"/>
    <w:rsid w:val="0093415B"/>
    <w:rsid w:val="009341A0"/>
    <w:rsid w:val="009341D8"/>
    <w:rsid w:val="009347D4"/>
    <w:rsid w:val="0093508E"/>
    <w:rsid w:val="0093552B"/>
    <w:rsid w:val="009358A9"/>
    <w:rsid w:val="00936053"/>
    <w:rsid w:val="0093651D"/>
    <w:rsid w:val="00936B2E"/>
    <w:rsid w:val="00936F4A"/>
    <w:rsid w:val="009376C6"/>
    <w:rsid w:val="0093786B"/>
    <w:rsid w:val="009378CD"/>
    <w:rsid w:val="009379CF"/>
    <w:rsid w:val="009401A4"/>
    <w:rsid w:val="00940676"/>
    <w:rsid w:val="0094067B"/>
    <w:rsid w:val="00940846"/>
    <w:rsid w:val="00940937"/>
    <w:rsid w:val="00940A29"/>
    <w:rsid w:val="00940BF6"/>
    <w:rsid w:val="00940C04"/>
    <w:rsid w:val="00940E9B"/>
    <w:rsid w:val="00941107"/>
    <w:rsid w:val="00941297"/>
    <w:rsid w:val="00941417"/>
    <w:rsid w:val="0094141E"/>
    <w:rsid w:val="00941605"/>
    <w:rsid w:val="00941640"/>
    <w:rsid w:val="00941BA3"/>
    <w:rsid w:val="009427B9"/>
    <w:rsid w:val="00942C45"/>
    <w:rsid w:val="00942DB0"/>
    <w:rsid w:val="0094305F"/>
    <w:rsid w:val="009431DD"/>
    <w:rsid w:val="009433FC"/>
    <w:rsid w:val="009434CB"/>
    <w:rsid w:val="009436EA"/>
    <w:rsid w:val="009438A2"/>
    <w:rsid w:val="009438A4"/>
    <w:rsid w:val="009438E3"/>
    <w:rsid w:val="0094411A"/>
    <w:rsid w:val="009444C2"/>
    <w:rsid w:val="009445D8"/>
    <w:rsid w:val="00944AE7"/>
    <w:rsid w:val="00944B54"/>
    <w:rsid w:val="00944B5A"/>
    <w:rsid w:val="00944E5F"/>
    <w:rsid w:val="009453FF"/>
    <w:rsid w:val="0094562B"/>
    <w:rsid w:val="0094565C"/>
    <w:rsid w:val="00945971"/>
    <w:rsid w:val="00945D9A"/>
    <w:rsid w:val="009462BB"/>
    <w:rsid w:val="00946360"/>
    <w:rsid w:val="009463FB"/>
    <w:rsid w:val="0094645E"/>
    <w:rsid w:val="0094665B"/>
    <w:rsid w:val="0094675A"/>
    <w:rsid w:val="00946908"/>
    <w:rsid w:val="00946D28"/>
    <w:rsid w:val="00946F51"/>
    <w:rsid w:val="00947217"/>
    <w:rsid w:val="00947464"/>
    <w:rsid w:val="00947900"/>
    <w:rsid w:val="00947973"/>
    <w:rsid w:val="00950077"/>
    <w:rsid w:val="009500A4"/>
    <w:rsid w:val="0095015A"/>
    <w:rsid w:val="0095066B"/>
    <w:rsid w:val="00950806"/>
    <w:rsid w:val="00950986"/>
    <w:rsid w:val="009509B5"/>
    <w:rsid w:val="00950D63"/>
    <w:rsid w:val="009518F2"/>
    <w:rsid w:val="00951A70"/>
    <w:rsid w:val="00951AF4"/>
    <w:rsid w:val="00951B60"/>
    <w:rsid w:val="00951CC7"/>
    <w:rsid w:val="00951E2A"/>
    <w:rsid w:val="00951FB0"/>
    <w:rsid w:val="00951FD5"/>
    <w:rsid w:val="009527F5"/>
    <w:rsid w:val="009528C9"/>
    <w:rsid w:val="00952C1A"/>
    <w:rsid w:val="00952CC5"/>
    <w:rsid w:val="00952CCE"/>
    <w:rsid w:val="00952D22"/>
    <w:rsid w:val="00952D24"/>
    <w:rsid w:val="00952D98"/>
    <w:rsid w:val="00953111"/>
    <w:rsid w:val="009532B7"/>
    <w:rsid w:val="009536E6"/>
    <w:rsid w:val="00953886"/>
    <w:rsid w:val="0095388C"/>
    <w:rsid w:val="00953B99"/>
    <w:rsid w:val="00953E21"/>
    <w:rsid w:val="00953F3A"/>
    <w:rsid w:val="00953F9D"/>
    <w:rsid w:val="009544CB"/>
    <w:rsid w:val="00954506"/>
    <w:rsid w:val="00954614"/>
    <w:rsid w:val="00954B75"/>
    <w:rsid w:val="00955235"/>
    <w:rsid w:val="009554C1"/>
    <w:rsid w:val="009559B4"/>
    <w:rsid w:val="00955A11"/>
    <w:rsid w:val="00955A6B"/>
    <w:rsid w:val="00955B29"/>
    <w:rsid w:val="00955B9C"/>
    <w:rsid w:val="00955C28"/>
    <w:rsid w:val="00955CA0"/>
    <w:rsid w:val="00955D99"/>
    <w:rsid w:val="00955DBB"/>
    <w:rsid w:val="00955E00"/>
    <w:rsid w:val="00955E61"/>
    <w:rsid w:val="00955FF5"/>
    <w:rsid w:val="009560B3"/>
    <w:rsid w:val="00956235"/>
    <w:rsid w:val="0095683B"/>
    <w:rsid w:val="00956969"/>
    <w:rsid w:val="00956B8F"/>
    <w:rsid w:val="00956C16"/>
    <w:rsid w:val="0095710B"/>
    <w:rsid w:val="009575C4"/>
    <w:rsid w:val="0095762D"/>
    <w:rsid w:val="009578AA"/>
    <w:rsid w:val="00957B4A"/>
    <w:rsid w:val="00957C13"/>
    <w:rsid w:val="0096006A"/>
    <w:rsid w:val="00960165"/>
    <w:rsid w:val="00960180"/>
    <w:rsid w:val="00960A50"/>
    <w:rsid w:val="00960B83"/>
    <w:rsid w:val="00960CBB"/>
    <w:rsid w:val="00960DD4"/>
    <w:rsid w:val="0096103A"/>
    <w:rsid w:val="0096118E"/>
    <w:rsid w:val="00961291"/>
    <w:rsid w:val="00961608"/>
    <w:rsid w:val="00961A4B"/>
    <w:rsid w:val="00961D78"/>
    <w:rsid w:val="00961F07"/>
    <w:rsid w:val="00962469"/>
    <w:rsid w:val="00962651"/>
    <w:rsid w:val="009629F0"/>
    <w:rsid w:val="00963ACA"/>
    <w:rsid w:val="00963D17"/>
    <w:rsid w:val="00963E6E"/>
    <w:rsid w:val="00963ED4"/>
    <w:rsid w:val="00963FCF"/>
    <w:rsid w:val="00964188"/>
    <w:rsid w:val="0096447C"/>
    <w:rsid w:val="00964499"/>
    <w:rsid w:val="00964647"/>
    <w:rsid w:val="00965050"/>
    <w:rsid w:val="0096527C"/>
    <w:rsid w:val="009654AF"/>
    <w:rsid w:val="00965D4F"/>
    <w:rsid w:val="00965FFD"/>
    <w:rsid w:val="009661AB"/>
    <w:rsid w:val="009663CC"/>
    <w:rsid w:val="00966511"/>
    <w:rsid w:val="00966598"/>
    <w:rsid w:val="00966A04"/>
    <w:rsid w:val="00966B9F"/>
    <w:rsid w:val="00966BE7"/>
    <w:rsid w:val="00966CFF"/>
    <w:rsid w:val="00967024"/>
    <w:rsid w:val="0096721E"/>
    <w:rsid w:val="00967793"/>
    <w:rsid w:val="00967C5E"/>
    <w:rsid w:val="00967DFA"/>
    <w:rsid w:val="0097038D"/>
    <w:rsid w:val="0097047C"/>
    <w:rsid w:val="00970627"/>
    <w:rsid w:val="00970774"/>
    <w:rsid w:val="00970C56"/>
    <w:rsid w:val="009711C1"/>
    <w:rsid w:val="009713FE"/>
    <w:rsid w:val="00971566"/>
    <w:rsid w:val="009719C1"/>
    <w:rsid w:val="00971A33"/>
    <w:rsid w:val="00971AF3"/>
    <w:rsid w:val="00971D85"/>
    <w:rsid w:val="00971E19"/>
    <w:rsid w:val="00972166"/>
    <w:rsid w:val="00972484"/>
    <w:rsid w:val="009725CE"/>
    <w:rsid w:val="009726C7"/>
    <w:rsid w:val="00972AD4"/>
    <w:rsid w:val="00972B9C"/>
    <w:rsid w:val="00972DAD"/>
    <w:rsid w:val="00973047"/>
    <w:rsid w:val="009734E7"/>
    <w:rsid w:val="00973659"/>
    <w:rsid w:val="00973873"/>
    <w:rsid w:val="0097396C"/>
    <w:rsid w:val="00973CB8"/>
    <w:rsid w:val="00973D52"/>
    <w:rsid w:val="00973E9B"/>
    <w:rsid w:val="00974471"/>
    <w:rsid w:val="00974648"/>
    <w:rsid w:val="0097497C"/>
    <w:rsid w:val="009749D0"/>
    <w:rsid w:val="00974A0D"/>
    <w:rsid w:val="00974A7F"/>
    <w:rsid w:val="00974BEC"/>
    <w:rsid w:val="00974E0B"/>
    <w:rsid w:val="00975374"/>
    <w:rsid w:val="009756A8"/>
    <w:rsid w:val="009756DC"/>
    <w:rsid w:val="009757C3"/>
    <w:rsid w:val="009758A9"/>
    <w:rsid w:val="009759E3"/>
    <w:rsid w:val="00975A47"/>
    <w:rsid w:val="00975C97"/>
    <w:rsid w:val="00975E26"/>
    <w:rsid w:val="00976086"/>
    <w:rsid w:val="0097630B"/>
    <w:rsid w:val="00976595"/>
    <w:rsid w:val="00976695"/>
    <w:rsid w:val="00976A1D"/>
    <w:rsid w:val="00976DE8"/>
    <w:rsid w:val="00976ECC"/>
    <w:rsid w:val="00977123"/>
    <w:rsid w:val="00977A07"/>
    <w:rsid w:val="00977E4D"/>
    <w:rsid w:val="00977EC1"/>
    <w:rsid w:val="00980088"/>
    <w:rsid w:val="009802BE"/>
    <w:rsid w:val="0098056F"/>
    <w:rsid w:val="0098061A"/>
    <w:rsid w:val="009806D0"/>
    <w:rsid w:val="00980797"/>
    <w:rsid w:val="00980A1D"/>
    <w:rsid w:val="00981022"/>
    <w:rsid w:val="009811B6"/>
    <w:rsid w:val="009812A4"/>
    <w:rsid w:val="00981311"/>
    <w:rsid w:val="0098162C"/>
    <w:rsid w:val="00981674"/>
    <w:rsid w:val="00981746"/>
    <w:rsid w:val="00981BC6"/>
    <w:rsid w:val="00981D7F"/>
    <w:rsid w:val="0098227B"/>
    <w:rsid w:val="00982413"/>
    <w:rsid w:val="009826E4"/>
    <w:rsid w:val="009827A4"/>
    <w:rsid w:val="00982906"/>
    <w:rsid w:val="00983300"/>
    <w:rsid w:val="009834C6"/>
    <w:rsid w:val="00983539"/>
    <w:rsid w:val="0098358B"/>
    <w:rsid w:val="00983722"/>
    <w:rsid w:val="009837CE"/>
    <w:rsid w:val="0098382E"/>
    <w:rsid w:val="009838B0"/>
    <w:rsid w:val="00983B00"/>
    <w:rsid w:val="00983BB5"/>
    <w:rsid w:val="0098413D"/>
    <w:rsid w:val="009844E3"/>
    <w:rsid w:val="009846CB"/>
    <w:rsid w:val="00984774"/>
    <w:rsid w:val="009849B1"/>
    <w:rsid w:val="00984D06"/>
    <w:rsid w:val="00984DAA"/>
    <w:rsid w:val="00984F0B"/>
    <w:rsid w:val="00985131"/>
    <w:rsid w:val="00985159"/>
    <w:rsid w:val="00985477"/>
    <w:rsid w:val="009854D3"/>
    <w:rsid w:val="0098594B"/>
    <w:rsid w:val="00985B7F"/>
    <w:rsid w:val="00985BFA"/>
    <w:rsid w:val="00985C85"/>
    <w:rsid w:val="009863CE"/>
    <w:rsid w:val="009865AD"/>
    <w:rsid w:val="009867A0"/>
    <w:rsid w:val="0098699F"/>
    <w:rsid w:val="00986CC5"/>
    <w:rsid w:val="00987550"/>
    <w:rsid w:val="0098791E"/>
    <w:rsid w:val="00987BDA"/>
    <w:rsid w:val="00987C10"/>
    <w:rsid w:val="00987DC9"/>
    <w:rsid w:val="009900D3"/>
    <w:rsid w:val="009901E7"/>
    <w:rsid w:val="00990290"/>
    <w:rsid w:val="009903B5"/>
    <w:rsid w:val="0099071D"/>
    <w:rsid w:val="00991E59"/>
    <w:rsid w:val="0099210B"/>
    <w:rsid w:val="009924F0"/>
    <w:rsid w:val="009937D3"/>
    <w:rsid w:val="00993984"/>
    <w:rsid w:val="00993D7B"/>
    <w:rsid w:val="00994057"/>
    <w:rsid w:val="00994286"/>
    <w:rsid w:val="009943CB"/>
    <w:rsid w:val="00994411"/>
    <w:rsid w:val="009945AF"/>
    <w:rsid w:val="0099470F"/>
    <w:rsid w:val="00994BAE"/>
    <w:rsid w:val="00994DCB"/>
    <w:rsid w:val="00994F46"/>
    <w:rsid w:val="00995077"/>
    <w:rsid w:val="0099534F"/>
    <w:rsid w:val="0099537E"/>
    <w:rsid w:val="00995FF5"/>
    <w:rsid w:val="00996319"/>
    <w:rsid w:val="009964E2"/>
    <w:rsid w:val="0099673D"/>
    <w:rsid w:val="00996B27"/>
    <w:rsid w:val="00996D56"/>
    <w:rsid w:val="009977D8"/>
    <w:rsid w:val="00997CBE"/>
    <w:rsid w:val="009A0037"/>
    <w:rsid w:val="009A08FE"/>
    <w:rsid w:val="009A0CB4"/>
    <w:rsid w:val="009A17FB"/>
    <w:rsid w:val="009A18C3"/>
    <w:rsid w:val="009A191D"/>
    <w:rsid w:val="009A19FA"/>
    <w:rsid w:val="009A1E12"/>
    <w:rsid w:val="009A245C"/>
    <w:rsid w:val="009A2D67"/>
    <w:rsid w:val="009A311B"/>
    <w:rsid w:val="009A32C9"/>
    <w:rsid w:val="009A3BEB"/>
    <w:rsid w:val="009A3C4D"/>
    <w:rsid w:val="009A3C7B"/>
    <w:rsid w:val="009A4150"/>
    <w:rsid w:val="009A43FD"/>
    <w:rsid w:val="009A4A1D"/>
    <w:rsid w:val="009A4E04"/>
    <w:rsid w:val="009A4FE4"/>
    <w:rsid w:val="009A5678"/>
    <w:rsid w:val="009A5751"/>
    <w:rsid w:val="009A583C"/>
    <w:rsid w:val="009A58B2"/>
    <w:rsid w:val="009A5D84"/>
    <w:rsid w:val="009A60D8"/>
    <w:rsid w:val="009A6100"/>
    <w:rsid w:val="009A650D"/>
    <w:rsid w:val="009A65CC"/>
    <w:rsid w:val="009A6671"/>
    <w:rsid w:val="009A676E"/>
    <w:rsid w:val="009A6C95"/>
    <w:rsid w:val="009A6CE5"/>
    <w:rsid w:val="009A7166"/>
    <w:rsid w:val="009A72FC"/>
    <w:rsid w:val="009A75E0"/>
    <w:rsid w:val="009A7810"/>
    <w:rsid w:val="009A7841"/>
    <w:rsid w:val="009A79ED"/>
    <w:rsid w:val="009A7CD7"/>
    <w:rsid w:val="009B01E3"/>
    <w:rsid w:val="009B02F4"/>
    <w:rsid w:val="009B03E6"/>
    <w:rsid w:val="009B088B"/>
    <w:rsid w:val="009B08A9"/>
    <w:rsid w:val="009B097D"/>
    <w:rsid w:val="009B0E7C"/>
    <w:rsid w:val="009B1151"/>
    <w:rsid w:val="009B139C"/>
    <w:rsid w:val="009B159B"/>
    <w:rsid w:val="009B163D"/>
    <w:rsid w:val="009B18A7"/>
    <w:rsid w:val="009B1D01"/>
    <w:rsid w:val="009B22E6"/>
    <w:rsid w:val="009B2898"/>
    <w:rsid w:val="009B2949"/>
    <w:rsid w:val="009B2AF2"/>
    <w:rsid w:val="009B2AF4"/>
    <w:rsid w:val="009B317B"/>
    <w:rsid w:val="009B34C7"/>
    <w:rsid w:val="009B35CD"/>
    <w:rsid w:val="009B386E"/>
    <w:rsid w:val="009B3B88"/>
    <w:rsid w:val="009B3E33"/>
    <w:rsid w:val="009B3F8F"/>
    <w:rsid w:val="009B42BD"/>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C0245"/>
    <w:rsid w:val="009C04BC"/>
    <w:rsid w:val="009C0AC2"/>
    <w:rsid w:val="009C0B73"/>
    <w:rsid w:val="009C0E59"/>
    <w:rsid w:val="009C15AC"/>
    <w:rsid w:val="009C1AD3"/>
    <w:rsid w:val="009C22CE"/>
    <w:rsid w:val="009C24E1"/>
    <w:rsid w:val="009C2696"/>
    <w:rsid w:val="009C2A3F"/>
    <w:rsid w:val="009C2A92"/>
    <w:rsid w:val="009C2B18"/>
    <w:rsid w:val="009C2B93"/>
    <w:rsid w:val="009C30DD"/>
    <w:rsid w:val="009C332F"/>
    <w:rsid w:val="009C3688"/>
    <w:rsid w:val="009C373D"/>
    <w:rsid w:val="009C3752"/>
    <w:rsid w:val="009C3782"/>
    <w:rsid w:val="009C3E8C"/>
    <w:rsid w:val="009C3F7E"/>
    <w:rsid w:val="009C4106"/>
    <w:rsid w:val="009C41CC"/>
    <w:rsid w:val="009C4268"/>
    <w:rsid w:val="009C4631"/>
    <w:rsid w:val="009C4C72"/>
    <w:rsid w:val="009C4C78"/>
    <w:rsid w:val="009C4FC1"/>
    <w:rsid w:val="009C54CB"/>
    <w:rsid w:val="009C55B3"/>
    <w:rsid w:val="009C5963"/>
    <w:rsid w:val="009C5984"/>
    <w:rsid w:val="009C5AF0"/>
    <w:rsid w:val="009C6232"/>
    <w:rsid w:val="009C67AE"/>
    <w:rsid w:val="009C6966"/>
    <w:rsid w:val="009C6A0E"/>
    <w:rsid w:val="009C6A2C"/>
    <w:rsid w:val="009C6A6D"/>
    <w:rsid w:val="009C6C76"/>
    <w:rsid w:val="009C6F7A"/>
    <w:rsid w:val="009C6FF8"/>
    <w:rsid w:val="009C70DC"/>
    <w:rsid w:val="009C7187"/>
    <w:rsid w:val="009C7447"/>
    <w:rsid w:val="009C74F9"/>
    <w:rsid w:val="009C7A5C"/>
    <w:rsid w:val="009C7A61"/>
    <w:rsid w:val="009C7B7E"/>
    <w:rsid w:val="009C7ED1"/>
    <w:rsid w:val="009C7EF3"/>
    <w:rsid w:val="009D0A5C"/>
    <w:rsid w:val="009D0A99"/>
    <w:rsid w:val="009D0E73"/>
    <w:rsid w:val="009D198F"/>
    <w:rsid w:val="009D19F9"/>
    <w:rsid w:val="009D1A6C"/>
    <w:rsid w:val="009D21F3"/>
    <w:rsid w:val="009D2282"/>
    <w:rsid w:val="009D2551"/>
    <w:rsid w:val="009D26A5"/>
    <w:rsid w:val="009D2977"/>
    <w:rsid w:val="009D2C07"/>
    <w:rsid w:val="009D2C6F"/>
    <w:rsid w:val="009D30EA"/>
    <w:rsid w:val="009D395E"/>
    <w:rsid w:val="009D3B21"/>
    <w:rsid w:val="009D3BDB"/>
    <w:rsid w:val="009D3E25"/>
    <w:rsid w:val="009D3E49"/>
    <w:rsid w:val="009D457B"/>
    <w:rsid w:val="009D483E"/>
    <w:rsid w:val="009D4931"/>
    <w:rsid w:val="009D4A70"/>
    <w:rsid w:val="009D4BF2"/>
    <w:rsid w:val="009D4CFD"/>
    <w:rsid w:val="009D5227"/>
    <w:rsid w:val="009D5387"/>
    <w:rsid w:val="009D5533"/>
    <w:rsid w:val="009D5985"/>
    <w:rsid w:val="009D5BA1"/>
    <w:rsid w:val="009D5BDF"/>
    <w:rsid w:val="009D5CD6"/>
    <w:rsid w:val="009D5E3E"/>
    <w:rsid w:val="009D601F"/>
    <w:rsid w:val="009D623E"/>
    <w:rsid w:val="009D6266"/>
    <w:rsid w:val="009D66BE"/>
    <w:rsid w:val="009D6820"/>
    <w:rsid w:val="009D6C31"/>
    <w:rsid w:val="009D6EEA"/>
    <w:rsid w:val="009D7261"/>
    <w:rsid w:val="009D72F9"/>
    <w:rsid w:val="009D73F4"/>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0E5"/>
    <w:rsid w:val="009E5180"/>
    <w:rsid w:val="009E5380"/>
    <w:rsid w:val="009E55A6"/>
    <w:rsid w:val="009E58BD"/>
    <w:rsid w:val="009E59CB"/>
    <w:rsid w:val="009E5AB0"/>
    <w:rsid w:val="009E5C2A"/>
    <w:rsid w:val="009E5CD9"/>
    <w:rsid w:val="009E5DA7"/>
    <w:rsid w:val="009E5EE1"/>
    <w:rsid w:val="009E6017"/>
    <w:rsid w:val="009E6352"/>
    <w:rsid w:val="009E65B9"/>
    <w:rsid w:val="009E66BC"/>
    <w:rsid w:val="009E677C"/>
    <w:rsid w:val="009E6ABC"/>
    <w:rsid w:val="009E708B"/>
    <w:rsid w:val="009E70F4"/>
    <w:rsid w:val="009E71AD"/>
    <w:rsid w:val="009E720E"/>
    <w:rsid w:val="009E72CC"/>
    <w:rsid w:val="009E767E"/>
    <w:rsid w:val="009E7AF4"/>
    <w:rsid w:val="009E7CFF"/>
    <w:rsid w:val="009E7EAF"/>
    <w:rsid w:val="009E7EC6"/>
    <w:rsid w:val="009E7F33"/>
    <w:rsid w:val="009F00DD"/>
    <w:rsid w:val="009F0AEE"/>
    <w:rsid w:val="009F0CDA"/>
    <w:rsid w:val="009F0D42"/>
    <w:rsid w:val="009F0FF8"/>
    <w:rsid w:val="009F1267"/>
    <w:rsid w:val="009F1418"/>
    <w:rsid w:val="009F179B"/>
    <w:rsid w:val="009F1898"/>
    <w:rsid w:val="009F1A40"/>
    <w:rsid w:val="009F1CA4"/>
    <w:rsid w:val="009F1CDF"/>
    <w:rsid w:val="009F229D"/>
    <w:rsid w:val="009F23EB"/>
    <w:rsid w:val="009F2510"/>
    <w:rsid w:val="009F2A71"/>
    <w:rsid w:val="009F2CEC"/>
    <w:rsid w:val="009F3178"/>
    <w:rsid w:val="009F3412"/>
    <w:rsid w:val="009F3446"/>
    <w:rsid w:val="009F37B5"/>
    <w:rsid w:val="009F3D4E"/>
    <w:rsid w:val="009F3F74"/>
    <w:rsid w:val="009F4407"/>
    <w:rsid w:val="009F47AD"/>
    <w:rsid w:val="009F4DC0"/>
    <w:rsid w:val="009F4E16"/>
    <w:rsid w:val="009F502C"/>
    <w:rsid w:val="009F509E"/>
    <w:rsid w:val="009F50A5"/>
    <w:rsid w:val="009F50C6"/>
    <w:rsid w:val="009F5151"/>
    <w:rsid w:val="009F5AC0"/>
    <w:rsid w:val="009F5C5F"/>
    <w:rsid w:val="009F5C61"/>
    <w:rsid w:val="009F5F03"/>
    <w:rsid w:val="009F60FB"/>
    <w:rsid w:val="009F6722"/>
    <w:rsid w:val="009F69B9"/>
    <w:rsid w:val="009F6E67"/>
    <w:rsid w:val="009F6EB3"/>
    <w:rsid w:val="009F7493"/>
    <w:rsid w:val="009F7915"/>
    <w:rsid w:val="009F7B27"/>
    <w:rsid w:val="009F7F02"/>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259"/>
    <w:rsid w:val="00A07717"/>
    <w:rsid w:val="00A07B83"/>
    <w:rsid w:val="00A10286"/>
    <w:rsid w:val="00A105E8"/>
    <w:rsid w:val="00A10772"/>
    <w:rsid w:val="00A10985"/>
    <w:rsid w:val="00A10ABB"/>
    <w:rsid w:val="00A10AE5"/>
    <w:rsid w:val="00A110AF"/>
    <w:rsid w:val="00A114C6"/>
    <w:rsid w:val="00A118DD"/>
    <w:rsid w:val="00A11AC5"/>
    <w:rsid w:val="00A11BC6"/>
    <w:rsid w:val="00A11D5F"/>
    <w:rsid w:val="00A11E9A"/>
    <w:rsid w:val="00A121B0"/>
    <w:rsid w:val="00A12367"/>
    <w:rsid w:val="00A124EF"/>
    <w:rsid w:val="00A12545"/>
    <w:rsid w:val="00A125F9"/>
    <w:rsid w:val="00A1271C"/>
    <w:rsid w:val="00A129F9"/>
    <w:rsid w:val="00A12BF2"/>
    <w:rsid w:val="00A12C60"/>
    <w:rsid w:val="00A12FF3"/>
    <w:rsid w:val="00A13154"/>
    <w:rsid w:val="00A13182"/>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38F"/>
    <w:rsid w:val="00A1667D"/>
    <w:rsid w:val="00A167F5"/>
    <w:rsid w:val="00A16AE5"/>
    <w:rsid w:val="00A16DD1"/>
    <w:rsid w:val="00A17028"/>
    <w:rsid w:val="00A170C6"/>
    <w:rsid w:val="00A17134"/>
    <w:rsid w:val="00A17500"/>
    <w:rsid w:val="00A1785F"/>
    <w:rsid w:val="00A202ED"/>
    <w:rsid w:val="00A2074A"/>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2DA2"/>
    <w:rsid w:val="00A23A2A"/>
    <w:rsid w:val="00A23D8F"/>
    <w:rsid w:val="00A23DDA"/>
    <w:rsid w:val="00A23F14"/>
    <w:rsid w:val="00A24311"/>
    <w:rsid w:val="00A24828"/>
    <w:rsid w:val="00A24BE8"/>
    <w:rsid w:val="00A24D10"/>
    <w:rsid w:val="00A24E85"/>
    <w:rsid w:val="00A24EA1"/>
    <w:rsid w:val="00A24ECF"/>
    <w:rsid w:val="00A24FCA"/>
    <w:rsid w:val="00A25012"/>
    <w:rsid w:val="00A2530D"/>
    <w:rsid w:val="00A2574B"/>
    <w:rsid w:val="00A2577B"/>
    <w:rsid w:val="00A2583C"/>
    <w:rsid w:val="00A25BFB"/>
    <w:rsid w:val="00A25D37"/>
    <w:rsid w:val="00A25E0F"/>
    <w:rsid w:val="00A25FA6"/>
    <w:rsid w:val="00A2609C"/>
    <w:rsid w:val="00A2630F"/>
    <w:rsid w:val="00A265DF"/>
    <w:rsid w:val="00A26770"/>
    <w:rsid w:val="00A26A89"/>
    <w:rsid w:val="00A26D6D"/>
    <w:rsid w:val="00A272D3"/>
    <w:rsid w:val="00A27899"/>
    <w:rsid w:val="00A30449"/>
    <w:rsid w:val="00A305C7"/>
    <w:rsid w:val="00A3082E"/>
    <w:rsid w:val="00A308F5"/>
    <w:rsid w:val="00A309C0"/>
    <w:rsid w:val="00A30CE6"/>
    <w:rsid w:val="00A30F5E"/>
    <w:rsid w:val="00A310F2"/>
    <w:rsid w:val="00A31196"/>
    <w:rsid w:val="00A3119C"/>
    <w:rsid w:val="00A311AD"/>
    <w:rsid w:val="00A31253"/>
    <w:rsid w:val="00A317E2"/>
    <w:rsid w:val="00A319B6"/>
    <w:rsid w:val="00A319BC"/>
    <w:rsid w:val="00A31A4A"/>
    <w:rsid w:val="00A31C0A"/>
    <w:rsid w:val="00A31C4C"/>
    <w:rsid w:val="00A31F25"/>
    <w:rsid w:val="00A32332"/>
    <w:rsid w:val="00A32C2C"/>
    <w:rsid w:val="00A32D11"/>
    <w:rsid w:val="00A32EF3"/>
    <w:rsid w:val="00A335DD"/>
    <w:rsid w:val="00A338DA"/>
    <w:rsid w:val="00A33D39"/>
    <w:rsid w:val="00A33E06"/>
    <w:rsid w:val="00A3404D"/>
    <w:rsid w:val="00A343BC"/>
    <w:rsid w:val="00A3450F"/>
    <w:rsid w:val="00A348CD"/>
    <w:rsid w:val="00A34B25"/>
    <w:rsid w:val="00A3507F"/>
    <w:rsid w:val="00A354C9"/>
    <w:rsid w:val="00A356FA"/>
    <w:rsid w:val="00A357E2"/>
    <w:rsid w:val="00A35807"/>
    <w:rsid w:val="00A35873"/>
    <w:rsid w:val="00A359E5"/>
    <w:rsid w:val="00A35EE4"/>
    <w:rsid w:val="00A360E5"/>
    <w:rsid w:val="00A363E2"/>
    <w:rsid w:val="00A3678C"/>
    <w:rsid w:val="00A368E7"/>
    <w:rsid w:val="00A3690E"/>
    <w:rsid w:val="00A36E74"/>
    <w:rsid w:val="00A36FAE"/>
    <w:rsid w:val="00A3721F"/>
    <w:rsid w:val="00A374BD"/>
    <w:rsid w:val="00A376E6"/>
    <w:rsid w:val="00A37984"/>
    <w:rsid w:val="00A37985"/>
    <w:rsid w:val="00A37A4B"/>
    <w:rsid w:val="00A37AC9"/>
    <w:rsid w:val="00A37D52"/>
    <w:rsid w:val="00A4006A"/>
    <w:rsid w:val="00A4022B"/>
    <w:rsid w:val="00A4028A"/>
    <w:rsid w:val="00A4067F"/>
    <w:rsid w:val="00A40A25"/>
    <w:rsid w:val="00A40C24"/>
    <w:rsid w:val="00A40DEE"/>
    <w:rsid w:val="00A40F0D"/>
    <w:rsid w:val="00A40F79"/>
    <w:rsid w:val="00A41056"/>
    <w:rsid w:val="00A411B6"/>
    <w:rsid w:val="00A4149C"/>
    <w:rsid w:val="00A4172D"/>
    <w:rsid w:val="00A41A1A"/>
    <w:rsid w:val="00A41F8C"/>
    <w:rsid w:val="00A42132"/>
    <w:rsid w:val="00A42594"/>
    <w:rsid w:val="00A42691"/>
    <w:rsid w:val="00A4288B"/>
    <w:rsid w:val="00A42C1E"/>
    <w:rsid w:val="00A43091"/>
    <w:rsid w:val="00A434DE"/>
    <w:rsid w:val="00A435B0"/>
    <w:rsid w:val="00A43945"/>
    <w:rsid w:val="00A439D0"/>
    <w:rsid w:val="00A43C8C"/>
    <w:rsid w:val="00A43CE7"/>
    <w:rsid w:val="00A441EA"/>
    <w:rsid w:val="00A445EF"/>
    <w:rsid w:val="00A4466A"/>
    <w:rsid w:val="00A44A5D"/>
    <w:rsid w:val="00A44B23"/>
    <w:rsid w:val="00A44D02"/>
    <w:rsid w:val="00A44E20"/>
    <w:rsid w:val="00A44F4F"/>
    <w:rsid w:val="00A4513F"/>
    <w:rsid w:val="00A45397"/>
    <w:rsid w:val="00A453F3"/>
    <w:rsid w:val="00A455C5"/>
    <w:rsid w:val="00A45625"/>
    <w:rsid w:val="00A457CD"/>
    <w:rsid w:val="00A45B28"/>
    <w:rsid w:val="00A46078"/>
    <w:rsid w:val="00A46091"/>
    <w:rsid w:val="00A46391"/>
    <w:rsid w:val="00A46CF9"/>
    <w:rsid w:val="00A46D4D"/>
    <w:rsid w:val="00A4768D"/>
    <w:rsid w:val="00A476CF"/>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B3A"/>
    <w:rsid w:val="00A54B42"/>
    <w:rsid w:val="00A54D20"/>
    <w:rsid w:val="00A552D2"/>
    <w:rsid w:val="00A55981"/>
    <w:rsid w:val="00A559B7"/>
    <w:rsid w:val="00A55CD8"/>
    <w:rsid w:val="00A55D6D"/>
    <w:rsid w:val="00A55FAF"/>
    <w:rsid w:val="00A55FD3"/>
    <w:rsid w:val="00A562B5"/>
    <w:rsid w:val="00A56340"/>
    <w:rsid w:val="00A564E8"/>
    <w:rsid w:val="00A568E9"/>
    <w:rsid w:val="00A56EBD"/>
    <w:rsid w:val="00A574EB"/>
    <w:rsid w:val="00A5756B"/>
    <w:rsid w:val="00A57588"/>
    <w:rsid w:val="00A5765C"/>
    <w:rsid w:val="00A57699"/>
    <w:rsid w:val="00A5779A"/>
    <w:rsid w:val="00A57E8B"/>
    <w:rsid w:val="00A6003F"/>
    <w:rsid w:val="00A601D3"/>
    <w:rsid w:val="00A6056F"/>
    <w:rsid w:val="00A60644"/>
    <w:rsid w:val="00A609E3"/>
    <w:rsid w:val="00A60C96"/>
    <w:rsid w:val="00A60D11"/>
    <w:rsid w:val="00A60D37"/>
    <w:rsid w:val="00A60F2C"/>
    <w:rsid w:val="00A613B1"/>
    <w:rsid w:val="00A62188"/>
    <w:rsid w:val="00A625ED"/>
    <w:rsid w:val="00A62731"/>
    <w:rsid w:val="00A628F9"/>
    <w:rsid w:val="00A62BB2"/>
    <w:rsid w:val="00A62C5D"/>
    <w:rsid w:val="00A62CCC"/>
    <w:rsid w:val="00A62CDC"/>
    <w:rsid w:val="00A62EB9"/>
    <w:rsid w:val="00A63858"/>
    <w:rsid w:val="00A6386C"/>
    <w:rsid w:val="00A638B5"/>
    <w:rsid w:val="00A63D0B"/>
    <w:rsid w:val="00A63DF9"/>
    <w:rsid w:val="00A640FC"/>
    <w:rsid w:val="00A6425E"/>
    <w:rsid w:val="00A64F1C"/>
    <w:rsid w:val="00A64FFD"/>
    <w:rsid w:val="00A6520F"/>
    <w:rsid w:val="00A65386"/>
    <w:rsid w:val="00A65CBE"/>
    <w:rsid w:val="00A65D72"/>
    <w:rsid w:val="00A66663"/>
    <w:rsid w:val="00A669B8"/>
    <w:rsid w:val="00A66D78"/>
    <w:rsid w:val="00A66EA4"/>
    <w:rsid w:val="00A6706E"/>
    <w:rsid w:val="00A671B2"/>
    <w:rsid w:val="00A671F3"/>
    <w:rsid w:val="00A6733E"/>
    <w:rsid w:val="00A673E5"/>
    <w:rsid w:val="00A67D06"/>
    <w:rsid w:val="00A67D4D"/>
    <w:rsid w:val="00A7068D"/>
    <w:rsid w:val="00A70B34"/>
    <w:rsid w:val="00A70BF9"/>
    <w:rsid w:val="00A711BE"/>
    <w:rsid w:val="00A711E7"/>
    <w:rsid w:val="00A71583"/>
    <w:rsid w:val="00A71905"/>
    <w:rsid w:val="00A71946"/>
    <w:rsid w:val="00A719AF"/>
    <w:rsid w:val="00A71E6A"/>
    <w:rsid w:val="00A71FEF"/>
    <w:rsid w:val="00A722C7"/>
    <w:rsid w:val="00A724D9"/>
    <w:rsid w:val="00A72B8B"/>
    <w:rsid w:val="00A72F92"/>
    <w:rsid w:val="00A73031"/>
    <w:rsid w:val="00A73232"/>
    <w:rsid w:val="00A733D7"/>
    <w:rsid w:val="00A73689"/>
    <w:rsid w:val="00A73B3F"/>
    <w:rsid w:val="00A73EA6"/>
    <w:rsid w:val="00A73ECE"/>
    <w:rsid w:val="00A740A3"/>
    <w:rsid w:val="00A740B0"/>
    <w:rsid w:val="00A74B08"/>
    <w:rsid w:val="00A74C31"/>
    <w:rsid w:val="00A74E6C"/>
    <w:rsid w:val="00A74F2B"/>
    <w:rsid w:val="00A752D4"/>
    <w:rsid w:val="00A7535E"/>
    <w:rsid w:val="00A7544B"/>
    <w:rsid w:val="00A7561F"/>
    <w:rsid w:val="00A75996"/>
    <w:rsid w:val="00A75BB8"/>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1C82"/>
    <w:rsid w:val="00A8225E"/>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0F"/>
    <w:rsid w:val="00A85766"/>
    <w:rsid w:val="00A85AFD"/>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805"/>
    <w:rsid w:val="00A90A42"/>
    <w:rsid w:val="00A90F00"/>
    <w:rsid w:val="00A9113C"/>
    <w:rsid w:val="00A9146B"/>
    <w:rsid w:val="00A9196A"/>
    <w:rsid w:val="00A91EFD"/>
    <w:rsid w:val="00A92012"/>
    <w:rsid w:val="00A92E54"/>
    <w:rsid w:val="00A9316B"/>
    <w:rsid w:val="00A935A1"/>
    <w:rsid w:val="00A937DC"/>
    <w:rsid w:val="00A93C10"/>
    <w:rsid w:val="00A93C32"/>
    <w:rsid w:val="00A93ED0"/>
    <w:rsid w:val="00A93FDF"/>
    <w:rsid w:val="00A941C5"/>
    <w:rsid w:val="00A943ED"/>
    <w:rsid w:val="00A9478B"/>
    <w:rsid w:val="00A948F0"/>
    <w:rsid w:val="00A949DB"/>
    <w:rsid w:val="00A94A34"/>
    <w:rsid w:val="00A95004"/>
    <w:rsid w:val="00A950E9"/>
    <w:rsid w:val="00A953CC"/>
    <w:rsid w:val="00A95929"/>
    <w:rsid w:val="00A95A2A"/>
    <w:rsid w:val="00A95A5A"/>
    <w:rsid w:val="00A95A83"/>
    <w:rsid w:val="00A95B32"/>
    <w:rsid w:val="00A95D7E"/>
    <w:rsid w:val="00A95DF0"/>
    <w:rsid w:val="00A962A4"/>
    <w:rsid w:val="00A96424"/>
    <w:rsid w:val="00A96456"/>
    <w:rsid w:val="00A969BF"/>
    <w:rsid w:val="00A96A9D"/>
    <w:rsid w:val="00A973A3"/>
    <w:rsid w:val="00A974BB"/>
    <w:rsid w:val="00A97508"/>
    <w:rsid w:val="00A9771B"/>
    <w:rsid w:val="00A97848"/>
    <w:rsid w:val="00A97961"/>
    <w:rsid w:val="00AA0121"/>
    <w:rsid w:val="00AA0268"/>
    <w:rsid w:val="00AA08E3"/>
    <w:rsid w:val="00AA094A"/>
    <w:rsid w:val="00AA0E2B"/>
    <w:rsid w:val="00AA0EB9"/>
    <w:rsid w:val="00AA1075"/>
    <w:rsid w:val="00AA1427"/>
    <w:rsid w:val="00AA1809"/>
    <w:rsid w:val="00AA194B"/>
    <w:rsid w:val="00AA1AAB"/>
    <w:rsid w:val="00AA217C"/>
    <w:rsid w:val="00AA225E"/>
    <w:rsid w:val="00AA2382"/>
    <w:rsid w:val="00AA25BC"/>
    <w:rsid w:val="00AA26AE"/>
    <w:rsid w:val="00AA26CC"/>
    <w:rsid w:val="00AA2E6A"/>
    <w:rsid w:val="00AA2F5A"/>
    <w:rsid w:val="00AA34FD"/>
    <w:rsid w:val="00AA3704"/>
    <w:rsid w:val="00AA390E"/>
    <w:rsid w:val="00AA3E01"/>
    <w:rsid w:val="00AA4242"/>
    <w:rsid w:val="00AA42F2"/>
    <w:rsid w:val="00AA4344"/>
    <w:rsid w:val="00AA4702"/>
    <w:rsid w:val="00AA4899"/>
    <w:rsid w:val="00AA4D13"/>
    <w:rsid w:val="00AA4F2E"/>
    <w:rsid w:val="00AA4F3E"/>
    <w:rsid w:val="00AA4FC6"/>
    <w:rsid w:val="00AA5219"/>
    <w:rsid w:val="00AA56B0"/>
    <w:rsid w:val="00AA5911"/>
    <w:rsid w:val="00AA5C21"/>
    <w:rsid w:val="00AA5C4A"/>
    <w:rsid w:val="00AA60A1"/>
    <w:rsid w:val="00AA6367"/>
    <w:rsid w:val="00AA63D2"/>
    <w:rsid w:val="00AA6893"/>
    <w:rsid w:val="00AA6AE9"/>
    <w:rsid w:val="00AA6C18"/>
    <w:rsid w:val="00AA7002"/>
    <w:rsid w:val="00AA7031"/>
    <w:rsid w:val="00AA72CF"/>
    <w:rsid w:val="00AA7A05"/>
    <w:rsid w:val="00AB008A"/>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6B9"/>
    <w:rsid w:val="00AB27E2"/>
    <w:rsid w:val="00AB2A29"/>
    <w:rsid w:val="00AB2B05"/>
    <w:rsid w:val="00AB2B11"/>
    <w:rsid w:val="00AB309F"/>
    <w:rsid w:val="00AB33B6"/>
    <w:rsid w:val="00AB3598"/>
    <w:rsid w:val="00AB37BB"/>
    <w:rsid w:val="00AB3B26"/>
    <w:rsid w:val="00AB3E57"/>
    <w:rsid w:val="00AB403C"/>
    <w:rsid w:val="00AB40DD"/>
    <w:rsid w:val="00AB4278"/>
    <w:rsid w:val="00AB482D"/>
    <w:rsid w:val="00AB48E1"/>
    <w:rsid w:val="00AB4B3A"/>
    <w:rsid w:val="00AB4BE9"/>
    <w:rsid w:val="00AB4DB4"/>
    <w:rsid w:val="00AB4DF7"/>
    <w:rsid w:val="00AB5066"/>
    <w:rsid w:val="00AB5392"/>
    <w:rsid w:val="00AB56A8"/>
    <w:rsid w:val="00AB5809"/>
    <w:rsid w:val="00AB5895"/>
    <w:rsid w:val="00AB5FC2"/>
    <w:rsid w:val="00AB620A"/>
    <w:rsid w:val="00AB641A"/>
    <w:rsid w:val="00AB6DA2"/>
    <w:rsid w:val="00AB7378"/>
    <w:rsid w:val="00AB743B"/>
    <w:rsid w:val="00AB78CD"/>
    <w:rsid w:val="00AB792A"/>
    <w:rsid w:val="00AB797A"/>
    <w:rsid w:val="00AB7E72"/>
    <w:rsid w:val="00AC0202"/>
    <w:rsid w:val="00AC0218"/>
    <w:rsid w:val="00AC021D"/>
    <w:rsid w:val="00AC0590"/>
    <w:rsid w:val="00AC0DF3"/>
    <w:rsid w:val="00AC15C7"/>
    <w:rsid w:val="00AC15D5"/>
    <w:rsid w:val="00AC1AF7"/>
    <w:rsid w:val="00AC1E98"/>
    <w:rsid w:val="00AC20C0"/>
    <w:rsid w:val="00AC21AB"/>
    <w:rsid w:val="00AC2804"/>
    <w:rsid w:val="00AC29F8"/>
    <w:rsid w:val="00AC2C64"/>
    <w:rsid w:val="00AC34BD"/>
    <w:rsid w:val="00AC34F4"/>
    <w:rsid w:val="00AC35BD"/>
    <w:rsid w:val="00AC3A4D"/>
    <w:rsid w:val="00AC3A93"/>
    <w:rsid w:val="00AC3BDC"/>
    <w:rsid w:val="00AC3C7A"/>
    <w:rsid w:val="00AC3E8A"/>
    <w:rsid w:val="00AC403A"/>
    <w:rsid w:val="00AC407E"/>
    <w:rsid w:val="00AC45AF"/>
    <w:rsid w:val="00AC4921"/>
    <w:rsid w:val="00AC496D"/>
    <w:rsid w:val="00AC4C0B"/>
    <w:rsid w:val="00AC4CB3"/>
    <w:rsid w:val="00AC4E36"/>
    <w:rsid w:val="00AC50EE"/>
    <w:rsid w:val="00AC57C5"/>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38E4"/>
    <w:rsid w:val="00AD3C80"/>
    <w:rsid w:val="00AD426A"/>
    <w:rsid w:val="00AD448A"/>
    <w:rsid w:val="00AD4DD7"/>
    <w:rsid w:val="00AD507F"/>
    <w:rsid w:val="00AD51FD"/>
    <w:rsid w:val="00AD550E"/>
    <w:rsid w:val="00AD59B0"/>
    <w:rsid w:val="00AD5F2F"/>
    <w:rsid w:val="00AD615A"/>
    <w:rsid w:val="00AD6252"/>
    <w:rsid w:val="00AD62AB"/>
    <w:rsid w:val="00AD658E"/>
    <w:rsid w:val="00AD6B92"/>
    <w:rsid w:val="00AD6E7C"/>
    <w:rsid w:val="00AD752B"/>
    <w:rsid w:val="00AE05E2"/>
    <w:rsid w:val="00AE0A60"/>
    <w:rsid w:val="00AE0FC2"/>
    <w:rsid w:val="00AE1710"/>
    <w:rsid w:val="00AE1A9F"/>
    <w:rsid w:val="00AE1B44"/>
    <w:rsid w:val="00AE1D35"/>
    <w:rsid w:val="00AE1FB1"/>
    <w:rsid w:val="00AE27DE"/>
    <w:rsid w:val="00AE2A19"/>
    <w:rsid w:val="00AE2AEE"/>
    <w:rsid w:val="00AE2DAF"/>
    <w:rsid w:val="00AE30C8"/>
    <w:rsid w:val="00AE316B"/>
    <w:rsid w:val="00AE428C"/>
    <w:rsid w:val="00AE4290"/>
    <w:rsid w:val="00AE44C3"/>
    <w:rsid w:val="00AE479B"/>
    <w:rsid w:val="00AE4B21"/>
    <w:rsid w:val="00AE4F58"/>
    <w:rsid w:val="00AE5AE1"/>
    <w:rsid w:val="00AE5C10"/>
    <w:rsid w:val="00AE5D9C"/>
    <w:rsid w:val="00AE5EBB"/>
    <w:rsid w:val="00AE6012"/>
    <w:rsid w:val="00AE6095"/>
    <w:rsid w:val="00AE66DD"/>
    <w:rsid w:val="00AE68E2"/>
    <w:rsid w:val="00AE6ADF"/>
    <w:rsid w:val="00AE703D"/>
    <w:rsid w:val="00AE7075"/>
    <w:rsid w:val="00AE7203"/>
    <w:rsid w:val="00AE7480"/>
    <w:rsid w:val="00AE764A"/>
    <w:rsid w:val="00AE7BC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759"/>
    <w:rsid w:val="00AF2D3C"/>
    <w:rsid w:val="00AF3309"/>
    <w:rsid w:val="00AF338A"/>
    <w:rsid w:val="00AF358B"/>
    <w:rsid w:val="00AF3761"/>
    <w:rsid w:val="00AF379D"/>
    <w:rsid w:val="00AF37E8"/>
    <w:rsid w:val="00AF3810"/>
    <w:rsid w:val="00AF39CE"/>
    <w:rsid w:val="00AF3E81"/>
    <w:rsid w:val="00AF43D5"/>
    <w:rsid w:val="00AF4654"/>
    <w:rsid w:val="00AF4661"/>
    <w:rsid w:val="00AF47E7"/>
    <w:rsid w:val="00AF484F"/>
    <w:rsid w:val="00AF4A5F"/>
    <w:rsid w:val="00AF4C40"/>
    <w:rsid w:val="00AF4E7A"/>
    <w:rsid w:val="00AF4F56"/>
    <w:rsid w:val="00AF50DA"/>
    <w:rsid w:val="00AF554E"/>
    <w:rsid w:val="00AF5A12"/>
    <w:rsid w:val="00AF5CAA"/>
    <w:rsid w:val="00AF5DB7"/>
    <w:rsid w:val="00AF5F65"/>
    <w:rsid w:val="00AF6BEE"/>
    <w:rsid w:val="00AF6D72"/>
    <w:rsid w:val="00AF6E34"/>
    <w:rsid w:val="00AF6F55"/>
    <w:rsid w:val="00AF6F57"/>
    <w:rsid w:val="00AF7A9D"/>
    <w:rsid w:val="00AF7CB1"/>
    <w:rsid w:val="00B0065B"/>
    <w:rsid w:val="00B00F85"/>
    <w:rsid w:val="00B00FBC"/>
    <w:rsid w:val="00B012F4"/>
    <w:rsid w:val="00B014A4"/>
    <w:rsid w:val="00B014D4"/>
    <w:rsid w:val="00B016B8"/>
    <w:rsid w:val="00B01E79"/>
    <w:rsid w:val="00B01F39"/>
    <w:rsid w:val="00B0200D"/>
    <w:rsid w:val="00B02010"/>
    <w:rsid w:val="00B02B79"/>
    <w:rsid w:val="00B030C6"/>
    <w:rsid w:val="00B036B1"/>
    <w:rsid w:val="00B03A5D"/>
    <w:rsid w:val="00B03C90"/>
    <w:rsid w:val="00B03CB1"/>
    <w:rsid w:val="00B03F6E"/>
    <w:rsid w:val="00B0409E"/>
    <w:rsid w:val="00B04BAD"/>
    <w:rsid w:val="00B054EA"/>
    <w:rsid w:val="00B05722"/>
    <w:rsid w:val="00B05852"/>
    <w:rsid w:val="00B05869"/>
    <w:rsid w:val="00B058B1"/>
    <w:rsid w:val="00B05C41"/>
    <w:rsid w:val="00B05ED5"/>
    <w:rsid w:val="00B06585"/>
    <w:rsid w:val="00B06713"/>
    <w:rsid w:val="00B06962"/>
    <w:rsid w:val="00B06C72"/>
    <w:rsid w:val="00B06C7C"/>
    <w:rsid w:val="00B0735F"/>
    <w:rsid w:val="00B0746F"/>
    <w:rsid w:val="00B07881"/>
    <w:rsid w:val="00B07AD9"/>
    <w:rsid w:val="00B07CE5"/>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783"/>
    <w:rsid w:val="00B13B7E"/>
    <w:rsid w:val="00B13D4F"/>
    <w:rsid w:val="00B13E4A"/>
    <w:rsid w:val="00B13E87"/>
    <w:rsid w:val="00B140F5"/>
    <w:rsid w:val="00B141B3"/>
    <w:rsid w:val="00B1424B"/>
    <w:rsid w:val="00B143DF"/>
    <w:rsid w:val="00B14603"/>
    <w:rsid w:val="00B14BBB"/>
    <w:rsid w:val="00B14BD2"/>
    <w:rsid w:val="00B14F78"/>
    <w:rsid w:val="00B15036"/>
    <w:rsid w:val="00B15321"/>
    <w:rsid w:val="00B15452"/>
    <w:rsid w:val="00B15639"/>
    <w:rsid w:val="00B156DD"/>
    <w:rsid w:val="00B15718"/>
    <w:rsid w:val="00B1593E"/>
    <w:rsid w:val="00B15ABC"/>
    <w:rsid w:val="00B15B5A"/>
    <w:rsid w:val="00B15C2F"/>
    <w:rsid w:val="00B15EAF"/>
    <w:rsid w:val="00B15F5A"/>
    <w:rsid w:val="00B15F9E"/>
    <w:rsid w:val="00B167F5"/>
    <w:rsid w:val="00B16912"/>
    <w:rsid w:val="00B16A40"/>
    <w:rsid w:val="00B16C0C"/>
    <w:rsid w:val="00B16F24"/>
    <w:rsid w:val="00B173E4"/>
    <w:rsid w:val="00B17440"/>
    <w:rsid w:val="00B175B5"/>
    <w:rsid w:val="00B176F9"/>
    <w:rsid w:val="00B17A20"/>
    <w:rsid w:val="00B17A42"/>
    <w:rsid w:val="00B17AA5"/>
    <w:rsid w:val="00B17C02"/>
    <w:rsid w:val="00B17D52"/>
    <w:rsid w:val="00B17E87"/>
    <w:rsid w:val="00B2040C"/>
    <w:rsid w:val="00B2063E"/>
    <w:rsid w:val="00B20D2F"/>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3CBE"/>
    <w:rsid w:val="00B2427F"/>
    <w:rsid w:val="00B2450C"/>
    <w:rsid w:val="00B2467D"/>
    <w:rsid w:val="00B24C3F"/>
    <w:rsid w:val="00B24CA0"/>
    <w:rsid w:val="00B24E89"/>
    <w:rsid w:val="00B24FC9"/>
    <w:rsid w:val="00B25556"/>
    <w:rsid w:val="00B257BB"/>
    <w:rsid w:val="00B2592F"/>
    <w:rsid w:val="00B25E48"/>
    <w:rsid w:val="00B25E77"/>
    <w:rsid w:val="00B25ED2"/>
    <w:rsid w:val="00B25F4F"/>
    <w:rsid w:val="00B268FB"/>
    <w:rsid w:val="00B26B92"/>
    <w:rsid w:val="00B26C38"/>
    <w:rsid w:val="00B26D79"/>
    <w:rsid w:val="00B26FEF"/>
    <w:rsid w:val="00B2771D"/>
    <w:rsid w:val="00B279EA"/>
    <w:rsid w:val="00B27DE6"/>
    <w:rsid w:val="00B30107"/>
    <w:rsid w:val="00B301AB"/>
    <w:rsid w:val="00B307F6"/>
    <w:rsid w:val="00B30B52"/>
    <w:rsid w:val="00B30B7E"/>
    <w:rsid w:val="00B30C5F"/>
    <w:rsid w:val="00B30E80"/>
    <w:rsid w:val="00B31069"/>
    <w:rsid w:val="00B311A2"/>
    <w:rsid w:val="00B3149A"/>
    <w:rsid w:val="00B316D7"/>
    <w:rsid w:val="00B31901"/>
    <w:rsid w:val="00B31A26"/>
    <w:rsid w:val="00B31BEE"/>
    <w:rsid w:val="00B31EBC"/>
    <w:rsid w:val="00B320FF"/>
    <w:rsid w:val="00B32B85"/>
    <w:rsid w:val="00B33315"/>
    <w:rsid w:val="00B33579"/>
    <w:rsid w:val="00B339AB"/>
    <w:rsid w:val="00B33D3B"/>
    <w:rsid w:val="00B33EFA"/>
    <w:rsid w:val="00B34068"/>
    <w:rsid w:val="00B3418B"/>
    <w:rsid w:val="00B34370"/>
    <w:rsid w:val="00B346AE"/>
    <w:rsid w:val="00B34709"/>
    <w:rsid w:val="00B35299"/>
    <w:rsid w:val="00B3557C"/>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0E73"/>
    <w:rsid w:val="00B411AC"/>
    <w:rsid w:val="00B414E5"/>
    <w:rsid w:val="00B41A86"/>
    <w:rsid w:val="00B41B43"/>
    <w:rsid w:val="00B42BC5"/>
    <w:rsid w:val="00B42BFA"/>
    <w:rsid w:val="00B42BFD"/>
    <w:rsid w:val="00B42D26"/>
    <w:rsid w:val="00B42F6B"/>
    <w:rsid w:val="00B4301C"/>
    <w:rsid w:val="00B431BD"/>
    <w:rsid w:val="00B4325E"/>
    <w:rsid w:val="00B4350F"/>
    <w:rsid w:val="00B43A28"/>
    <w:rsid w:val="00B43A50"/>
    <w:rsid w:val="00B43E2D"/>
    <w:rsid w:val="00B43FEC"/>
    <w:rsid w:val="00B441F3"/>
    <w:rsid w:val="00B44813"/>
    <w:rsid w:val="00B44886"/>
    <w:rsid w:val="00B453B0"/>
    <w:rsid w:val="00B4553B"/>
    <w:rsid w:val="00B4554E"/>
    <w:rsid w:val="00B455C9"/>
    <w:rsid w:val="00B45904"/>
    <w:rsid w:val="00B45A02"/>
    <w:rsid w:val="00B45A11"/>
    <w:rsid w:val="00B45C67"/>
    <w:rsid w:val="00B45CF8"/>
    <w:rsid w:val="00B45F54"/>
    <w:rsid w:val="00B46006"/>
    <w:rsid w:val="00B4615D"/>
    <w:rsid w:val="00B4680C"/>
    <w:rsid w:val="00B46B13"/>
    <w:rsid w:val="00B46C25"/>
    <w:rsid w:val="00B46DA9"/>
    <w:rsid w:val="00B47047"/>
    <w:rsid w:val="00B47310"/>
    <w:rsid w:val="00B47827"/>
    <w:rsid w:val="00B479CB"/>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B72"/>
    <w:rsid w:val="00B52D64"/>
    <w:rsid w:val="00B52E76"/>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5EC2"/>
    <w:rsid w:val="00B5602E"/>
    <w:rsid w:val="00B56177"/>
    <w:rsid w:val="00B5677E"/>
    <w:rsid w:val="00B56A4D"/>
    <w:rsid w:val="00B56F6D"/>
    <w:rsid w:val="00B570EE"/>
    <w:rsid w:val="00B57391"/>
    <w:rsid w:val="00B57791"/>
    <w:rsid w:val="00B57840"/>
    <w:rsid w:val="00B5794B"/>
    <w:rsid w:val="00B57E69"/>
    <w:rsid w:val="00B6055E"/>
    <w:rsid w:val="00B60677"/>
    <w:rsid w:val="00B609A0"/>
    <w:rsid w:val="00B60AAF"/>
    <w:rsid w:val="00B611B7"/>
    <w:rsid w:val="00B61319"/>
    <w:rsid w:val="00B617B7"/>
    <w:rsid w:val="00B6196F"/>
    <w:rsid w:val="00B61E74"/>
    <w:rsid w:val="00B622BB"/>
    <w:rsid w:val="00B622D7"/>
    <w:rsid w:val="00B6240B"/>
    <w:rsid w:val="00B62687"/>
    <w:rsid w:val="00B626B4"/>
    <w:rsid w:val="00B627F2"/>
    <w:rsid w:val="00B62A7D"/>
    <w:rsid w:val="00B62B13"/>
    <w:rsid w:val="00B62BB5"/>
    <w:rsid w:val="00B62CAC"/>
    <w:rsid w:val="00B62FA3"/>
    <w:rsid w:val="00B632EE"/>
    <w:rsid w:val="00B637DC"/>
    <w:rsid w:val="00B637DE"/>
    <w:rsid w:val="00B639BC"/>
    <w:rsid w:val="00B63CF7"/>
    <w:rsid w:val="00B63D0B"/>
    <w:rsid w:val="00B63F83"/>
    <w:rsid w:val="00B64264"/>
    <w:rsid w:val="00B645FF"/>
    <w:rsid w:val="00B64646"/>
    <w:rsid w:val="00B64678"/>
    <w:rsid w:val="00B64A74"/>
    <w:rsid w:val="00B64EF1"/>
    <w:rsid w:val="00B64F0F"/>
    <w:rsid w:val="00B6583E"/>
    <w:rsid w:val="00B65B3F"/>
    <w:rsid w:val="00B65B5C"/>
    <w:rsid w:val="00B65F01"/>
    <w:rsid w:val="00B663A6"/>
    <w:rsid w:val="00B6681A"/>
    <w:rsid w:val="00B668FD"/>
    <w:rsid w:val="00B66927"/>
    <w:rsid w:val="00B66DB3"/>
    <w:rsid w:val="00B66EE3"/>
    <w:rsid w:val="00B67146"/>
    <w:rsid w:val="00B6722E"/>
    <w:rsid w:val="00B67607"/>
    <w:rsid w:val="00B67809"/>
    <w:rsid w:val="00B70151"/>
    <w:rsid w:val="00B7049B"/>
    <w:rsid w:val="00B705CE"/>
    <w:rsid w:val="00B70D04"/>
    <w:rsid w:val="00B70F0C"/>
    <w:rsid w:val="00B70F0F"/>
    <w:rsid w:val="00B711A4"/>
    <w:rsid w:val="00B71840"/>
    <w:rsid w:val="00B71B2C"/>
    <w:rsid w:val="00B71CD0"/>
    <w:rsid w:val="00B7216E"/>
    <w:rsid w:val="00B72177"/>
    <w:rsid w:val="00B721C1"/>
    <w:rsid w:val="00B722E2"/>
    <w:rsid w:val="00B7237B"/>
    <w:rsid w:val="00B72525"/>
    <w:rsid w:val="00B727C9"/>
    <w:rsid w:val="00B7295A"/>
    <w:rsid w:val="00B72C53"/>
    <w:rsid w:val="00B72CB5"/>
    <w:rsid w:val="00B72FB8"/>
    <w:rsid w:val="00B73149"/>
    <w:rsid w:val="00B73154"/>
    <w:rsid w:val="00B7315B"/>
    <w:rsid w:val="00B731FE"/>
    <w:rsid w:val="00B733CF"/>
    <w:rsid w:val="00B738B5"/>
    <w:rsid w:val="00B73E3F"/>
    <w:rsid w:val="00B7405B"/>
    <w:rsid w:val="00B742B7"/>
    <w:rsid w:val="00B742E8"/>
    <w:rsid w:val="00B74755"/>
    <w:rsid w:val="00B74A4E"/>
    <w:rsid w:val="00B74B99"/>
    <w:rsid w:val="00B74ECD"/>
    <w:rsid w:val="00B74FFD"/>
    <w:rsid w:val="00B75092"/>
    <w:rsid w:val="00B75151"/>
    <w:rsid w:val="00B75217"/>
    <w:rsid w:val="00B75323"/>
    <w:rsid w:val="00B75370"/>
    <w:rsid w:val="00B75505"/>
    <w:rsid w:val="00B758C3"/>
    <w:rsid w:val="00B75CA3"/>
    <w:rsid w:val="00B75D76"/>
    <w:rsid w:val="00B75DD0"/>
    <w:rsid w:val="00B7600D"/>
    <w:rsid w:val="00B76283"/>
    <w:rsid w:val="00B764AB"/>
    <w:rsid w:val="00B76A77"/>
    <w:rsid w:val="00B76B5B"/>
    <w:rsid w:val="00B775A2"/>
    <w:rsid w:val="00B77823"/>
    <w:rsid w:val="00B77D86"/>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184"/>
    <w:rsid w:val="00B826AE"/>
    <w:rsid w:val="00B82CE6"/>
    <w:rsid w:val="00B82DA5"/>
    <w:rsid w:val="00B83046"/>
    <w:rsid w:val="00B8338B"/>
    <w:rsid w:val="00B837F1"/>
    <w:rsid w:val="00B83C1E"/>
    <w:rsid w:val="00B83FF0"/>
    <w:rsid w:val="00B84198"/>
    <w:rsid w:val="00B85392"/>
    <w:rsid w:val="00B8569B"/>
    <w:rsid w:val="00B857D5"/>
    <w:rsid w:val="00B85CED"/>
    <w:rsid w:val="00B85D1D"/>
    <w:rsid w:val="00B85D54"/>
    <w:rsid w:val="00B86074"/>
    <w:rsid w:val="00B86096"/>
    <w:rsid w:val="00B864B6"/>
    <w:rsid w:val="00B864F6"/>
    <w:rsid w:val="00B86585"/>
    <w:rsid w:val="00B86699"/>
    <w:rsid w:val="00B86BAC"/>
    <w:rsid w:val="00B87699"/>
    <w:rsid w:val="00B879C3"/>
    <w:rsid w:val="00B87B03"/>
    <w:rsid w:val="00B87CBA"/>
    <w:rsid w:val="00B87F32"/>
    <w:rsid w:val="00B87F6D"/>
    <w:rsid w:val="00B90146"/>
    <w:rsid w:val="00B90153"/>
    <w:rsid w:val="00B908BC"/>
    <w:rsid w:val="00B909E2"/>
    <w:rsid w:val="00B90A53"/>
    <w:rsid w:val="00B90E8B"/>
    <w:rsid w:val="00B9124F"/>
    <w:rsid w:val="00B91580"/>
    <w:rsid w:val="00B91FA7"/>
    <w:rsid w:val="00B921E4"/>
    <w:rsid w:val="00B92206"/>
    <w:rsid w:val="00B9230F"/>
    <w:rsid w:val="00B92320"/>
    <w:rsid w:val="00B923C8"/>
    <w:rsid w:val="00B9242D"/>
    <w:rsid w:val="00B92750"/>
    <w:rsid w:val="00B92809"/>
    <w:rsid w:val="00B92950"/>
    <w:rsid w:val="00B92BC8"/>
    <w:rsid w:val="00B92CDE"/>
    <w:rsid w:val="00B93322"/>
    <w:rsid w:val="00B934DE"/>
    <w:rsid w:val="00B93512"/>
    <w:rsid w:val="00B93521"/>
    <w:rsid w:val="00B9353C"/>
    <w:rsid w:val="00B937EC"/>
    <w:rsid w:val="00B93A9A"/>
    <w:rsid w:val="00B93D6C"/>
    <w:rsid w:val="00B94076"/>
    <w:rsid w:val="00B946D9"/>
    <w:rsid w:val="00B9485D"/>
    <w:rsid w:val="00B94FA7"/>
    <w:rsid w:val="00B9507A"/>
    <w:rsid w:val="00B950A8"/>
    <w:rsid w:val="00B951BB"/>
    <w:rsid w:val="00B95A41"/>
    <w:rsid w:val="00B95A42"/>
    <w:rsid w:val="00B95B1E"/>
    <w:rsid w:val="00B95BD2"/>
    <w:rsid w:val="00B96269"/>
    <w:rsid w:val="00B962D3"/>
    <w:rsid w:val="00B96407"/>
    <w:rsid w:val="00B96468"/>
    <w:rsid w:val="00B96D4E"/>
    <w:rsid w:val="00B96DE9"/>
    <w:rsid w:val="00B96FB0"/>
    <w:rsid w:val="00B977D0"/>
    <w:rsid w:val="00B97810"/>
    <w:rsid w:val="00B97BC3"/>
    <w:rsid w:val="00B97D5D"/>
    <w:rsid w:val="00BA001D"/>
    <w:rsid w:val="00BA0360"/>
    <w:rsid w:val="00BA0369"/>
    <w:rsid w:val="00BA123C"/>
    <w:rsid w:val="00BA1274"/>
    <w:rsid w:val="00BA12DD"/>
    <w:rsid w:val="00BA155C"/>
    <w:rsid w:val="00BA16DC"/>
    <w:rsid w:val="00BA1B9F"/>
    <w:rsid w:val="00BA1C8A"/>
    <w:rsid w:val="00BA1CFA"/>
    <w:rsid w:val="00BA1D45"/>
    <w:rsid w:val="00BA1FF3"/>
    <w:rsid w:val="00BA26A3"/>
    <w:rsid w:val="00BA26D9"/>
    <w:rsid w:val="00BA342B"/>
    <w:rsid w:val="00BA38BE"/>
    <w:rsid w:val="00BA3926"/>
    <w:rsid w:val="00BA392C"/>
    <w:rsid w:val="00BA3AC2"/>
    <w:rsid w:val="00BA3CD9"/>
    <w:rsid w:val="00BA3FAE"/>
    <w:rsid w:val="00BA4203"/>
    <w:rsid w:val="00BA44E8"/>
    <w:rsid w:val="00BA4622"/>
    <w:rsid w:val="00BA492A"/>
    <w:rsid w:val="00BA4BAF"/>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6FA"/>
    <w:rsid w:val="00BB09C9"/>
    <w:rsid w:val="00BB0A89"/>
    <w:rsid w:val="00BB0E33"/>
    <w:rsid w:val="00BB0EE7"/>
    <w:rsid w:val="00BB0F4F"/>
    <w:rsid w:val="00BB1066"/>
    <w:rsid w:val="00BB119F"/>
    <w:rsid w:val="00BB125B"/>
    <w:rsid w:val="00BB1264"/>
    <w:rsid w:val="00BB12DF"/>
    <w:rsid w:val="00BB1341"/>
    <w:rsid w:val="00BB1A74"/>
    <w:rsid w:val="00BB1BA7"/>
    <w:rsid w:val="00BB228F"/>
    <w:rsid w:val="00BB2479"/>
    <w:rsid w:val="00BB28ED"/>
    <w:rsid w:val="00BB2A0F"/>
    <w:rsid w:val="00BB2FB7"/>
    <w:rsid w:val="00BB31FC"/>
    <w:rsid w:val="00BB355C"/>
    <w:rsid w:val="00BB372C"/>
    <w:rsid w:val="00BB3B82"/>
    <w:rsid w:val="00BB3CDD"/>
    <w:rsid w:val="00BB4020"/>
    <w:rsid w:val="00BB41C9"/>
    <w:rsid w:val="00BB429B"/>
    <w:rsid w:val="00BB42EF"/>
    <w:rsid w:val="00BB4350"/>
    <w:rsid w:val="00BB463E"/>
    <w:rsid w:val="00BB46A2"/>
    <w:rsid w:val="00BB477D"/>
    <w:rsid w:val="00BB4929"/>
    <w:rsid w:val="00BB4933"/>
    <w:rsid w:val="00BB4F2C"/>
    <w:rsid w:val="00BB4FD9"/>
    <w:rsid w:val="00BB5054"/>
    <w:rsid w:val="00BB521F"/>
    <w:rsid w:val="00BB58F3"/>
    <w:rsid w:val="00BB5CE6"/>
    <w:rsid w:val="00BB5DDF"/>
    <w:rsid w:val="00BB5FA1"/>
    <w:rsid w:val="00BB6393"/>
    <w:rsid w:val="00BB65F5"/>
    <w:rsid w:val="00BB6C0E"/>
    <w:rsid w:val="00BB73FD"/>
    <w:rsid w:val="00BB747A"/>
    <w:rsid w:val="00BB7629"/>
    <w:rsid w:val="00BB763A"/>
    <w:rsid w:val="00BB77B1"/>
    <w:rsid w:val="00BC002B"/>
    <w:rsid w:val="00BC0159"/>
    <w:rsid w:val="00BC03BA"/>
    <w:rsid w:val="00BC07CD"/>
    <w:rsid w:val="00BC07E6"/>
    <w:rsid w:val="00BC0849"/>
    <w:rsid w:val="00BC08B4"/>
    <w:rsid w:val="00BC0E74"/>
    <w:rsid w:val="00BC1B87"/>
    <w:rsid w:val="00BC1BA9"/>
    <w:rsid w:val="00BC1CB9"/>
    <w:rsid w:val="00BC1DEC"/>
    <w:rsid w:val="00BC279E"/>
    <w:rsid w:val="00BC2892"/>
    <w:rsid w:val="00BC2935"/>
    <w:rsid w:val="00BC2CE4"/>
    <w:rsid w:val="00BC2D25"/>
    <w:rsid w:val="00BC30C7"/>
    <w:rsid w:val="00BC3486"/>
    <w:rsid w:val="00BC36F2"/>
    <w:rsid w:val="00BC3954"/>
    <w:rsid w:val="00BC3CF8"/>
    <w:rsid w:val="00BC3D7B"/>
    <w:rsid w:val="00BC40CA"/>
    <w:rsid w:val="00BC41DE"/>
    <w:rsid w:val="00BC4209"/>
    <w:rsid w:val="00BC4273"/>
    <w:rsid w:val="00BC481C"/>
    <w:rsid w:val="00BC49AA"/>
    <w:rsid w:val="00BC49B3"/>
    <w:rsid w:val="00BC49B6"/>
    <w:rsid w:val="00BC49C6"/>
    <w:rsid w:val="00BC4CBF"/>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922"/>
    <w:rsid w:val="00BC7D31"/>
    <w:rsid w:val="00BC7E36"/>
    <w:rsid w:val="00BD006A"/>
    <w:rsid w:val="00BD0933"/>
    <w:rsid w:val="00BD118F"/>
    <w:rsid w:val="00BD18F1"/>
    <w:rsid w:val="00BD1B09"/>
    <w:rsid w:val="00BD1BAA"/>
    <w:rsid w:val="00BD1BB7"/>
    <w:rsid w:val="00BD1F8B"/>
    <w:rsid w:val="00BD202B"/>
    <w:rsid w:val="00BD245B"/>
    <w:rsid w:val="00BD26ED"/>
    <w:rsid w:val="00BD2A0B"/>
    <w:rsid w:val="00BD2A49"/>
    <w:rsid w:val="00BD2ED8"/>
    <w:rsid w:val="00BD3157"/>
    <w:rsid w:val="00BD3289"/>
    <w:rsid w:val="00BD3338"/>
    <w:rsid w:val="00BD34BC"/>
    <w:rsid w:val="00BD3DF5"/>
    <w:rsid w:val="00BD40BF"/>
    <w:rsid w:val="00BD46F3"/>
    <w:rsid w:val="00BD4931"/>
    <w:rsid w:val="00BD4BCC"/>
    <w:rsid w:val="00BD4C54"/>
    <w:rsid w:val="00BD5309"/>
    <w:rsid w:val="00BD5468"/>
    <w:rsid w:val="00BD5C68"/>
    <w:rsid w:val="00BD604B"/>
    <w:rsid w:val="00BD6183"/>
    <w:rsid w:val="00BD6591"/>
    <w:rsid w:val="00BD659D"/>
    <w:rsid w:val="00BD660C"/>
    <w:rsid w:val="00BD6684"/>
    <w:rsid w:val="00BD6B2A"/>
    <w:rsid w:val="00BD6C09"/>
    <w:rsid w:val="00BD6D2D"/>
    <w:rsid w:val="00BD707D"/>
    <w:rsid w:val="00BD74A7"/>
    <w:rsid w:val="00BD7999"/>
    <w:rsid w:val="00BD7AB6"/>
    <w:rsid w:val="00BD7B10"/>
    <w:rsid w:val="00BD7DE3"/>
    <w:rsid w:val="00BD7E48"/>
    <w:rsid w:val="00BD7E8D"/>
    <w:rsid w:val="00BE010F"/>
    <w:rsid w:val="00BE05B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CB0"/>
    <w:rsid w:val="00BE2EEF"/>
    <w:rsid w:val="00BE3041"/>
    <w:rsid w:val="00BE3124"/>
    <w:rsid w:val="00BE3B9C"/>
    <w:rsid w:val="00BE3E56"/>
    <w:rsid w:val="00BE417A"/>
    <w:rsid w:val="00BE42E4"/>
    <w:rsid w:val="00BE45EE"/>
    <w:rsid w:val="00BE4764"/>
    <w:rsid w:val="00BE48C7"/>
    <w:rsid w:val="00BE4A4B"/>
    <w:rsid w:val="00BE4EB9"/>
    <w:rsid w:val="00BE4F6F"/>
    <w:rsid w:val="00BE502D"/>
    <w:rsid w:val="00BE52EB"/>
    <w:rsid w:val="00BE53FF"/>
    <w:rsid w:val="00BE5571"/>
    <w:rsid w:val="00BE57DB"/>
    <w:rsid w:val="00BE58BF"/>
    <w:rsid w:val="00BE627F"/>
    <w:rsid w:val="00BE67D3"/>
    <w:rsid w:val="00BE6836"/>
    <w:rsid w:val="00BE6C44"/>
    <w:rsid w:val="00BE6E8C"/>
    <w:rsid w:val="00BE6EB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690"/>
    <w:rsid w:val="00BF178F"/>
    <w:rsid w:val="00BF1A35"/>
    <w:rsid w:val="00BF1CCE"/>
    <w:rsid w:val="00BF1DE5"/>
    <w:rsid w:val="00BF1E82"/>
    <w:rsid w:val="00BF213E"/>
    <w:rsid w:val="00BF218F"/>
    <w:rsid w:val="00BF2461"/>
    <w:rsid w:val="00BF25FC"/>
    <w:rsid w:val="00BF2884"/>
    <w:rsid w:val="00BF2E71"/>
    <w:rsid w:val="00BF3060"/>
    <w:rsid w:val="00BF31A8"/>
    <w:rsid w:val="00BF3335"/>
    <w:rsid w:val="00BF3340"/>
    <w:rsid w:val="00BF37B3"/>
    <w:rsid w:val="00BF3B2C"/>
    <w:rsid w:val="00BF3E55"/>
    <w:rsid w:val="00BF3E78"/>
    <w:rsid w:val="00BF42B9"/>
    <w:rsid w:val="00BF4654"/>
    <w:rsid w:val="00BF476C"/>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6E61"/>
    <w:rsid w:val="00BF72AB"/>
    <w:rsid w:val="00BF7497"/>
    <w:rsid w:val="00BF75FD"/>
    <w:rsid w:val="00BF7BC9"/>
    <w:rsid w:val="00BF7F78"/>
    <w:rsid w:val="00C00891"/>
    <w:rsid w:val="00C00986"/>
    <w:rsid w:val="00C00D48"/>
    <w:rsid w:val="00C00FA5"/>
    <w:rsid w:val="00C0100F"/>
    <w:rsid w:val="00C0108D"/>
    <w:rsid w:val="00C017BE"/>
    <w:rsid w:val="00C01F38"/>
    <w:rsid w:val="00C02095"/>
    <w:rsid w:val="00C02147"/>
    <w:rsid w:val="00C0216B"/>
    <w:rsid w:val="00C021AE"/>
    <w:rsid w:val="00C0255B"/>
    <w:rsid w:val="00C028E8"/>
    <w:rsid w:val="00C029F2"/>
    <w:rsid w:val="00C03291"/>
    <w:rsid w:val="00C03731"/>
    <w:rsid w:val="00C03A79"/>
    <w:rsid w:val="00C04363"/>
    <w:rsid w:val="00C043C9"/>
    <w:rsid w:val="00C0468A"/>
    <w:rsid w:val="00C04927"/>
    <w:rsid w:val="00C04A6F"/>
    <w:rsid w:val="00C04A8A"/>
    <w:rsid w:val="00C04B50"/>
    <w:rsid w:val="00C04B54"/>
    <w:rsid w:val="00C0535A"/>
    <w:rsid w:val="00C05815"/>
    <w:rsid w:val="00C05818"/>
    <w:rsid w:val="00C05AAA"/>
    <w:rsid w:val="00C06247"/>
    <w:rsid w:val="00C0648A"/>
    <w:rsid w:val="00C0669C"/>
    <w:rsid w:val="00C066CA"/>
    <w:rsid w:val="00C06739"/>
    <w:rsid w:val="00C06951"/>
    <w:rsid w:val="00C06BE2"/>
    <w:rsid w:val="00C07342"/>
    <w:rsid w:val="00C07D43"/>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464D"/>
    <w:rsid w:val="00C14F74"/>
    <w:rsid w:val="00C1509F"/>
    <w:rsid w:val="00C1521C"/>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65E"/>
    <w:rsid w:val="00C20A5B"/>
    <w:rsid w:val="00C20BAB"/>
    <w:rsid w:val="00C20CBA"/>
    <w:rsid w:val="00C20DAE"/>
    <w:rsid w:val="00C210C2"/>
    <w:rsid w:val="00C21146"/>
    <w:rsid w:val="00C2156C"/>
    <w:rsid w:val="00C21A0A"/>
    <w:rsid w:val="00C21A4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3F6E"/>
    <w:rsid w:val="00C2404A"/>
    <w:rsid w:val="00C24160"/>
    <w:rsid w:val="00C244D8"/>
    <w:rsid w:val="00C246D6"/>
    <w:rsid w:val="00C24FF5"/>
    <w:rsid w:val="00C251F5"/>
    <w:rsid w:val="00C25783"/>
    <w:rsid w:val="00C25922"/>
    <w:rsid w:val="00C25A71"/>
    <w:rsid w:val="00C25A9D"/>
    <w:rsid w:val="00C25C0D"/>
    <w:rsid w:val="00C25D61"/>
    <w:rsid w:val="00C25F3D"/>
    <w:rsid w:val="00C25F7F"/>
    <w:rsid w:val="00C26174"/>
    <w:rsid w:val="00C26929"/>
    <w:rsid w:val="00C269F2"/>
    <w:rsid w:val="00C26BB6"/>
    <w:rsid w:val="00C2716B"/>
    <w:rsid w:val="00C272DC"/>
    <w:rsid w:val="00C27466"/>
    <w:rsid w:val="00C2795C"/>
    <w:rsid w:val="00C27C9F"/>
    <w:rsid w:val="00C30025"/>
    <w:rsid w:val="00C30348"/>
    <w:rsid w:val="00C3040A"/>
    <w:rsid w:val="00C305B8"/>
    <w:rsid w:val="00C307FE"/>
    <w:rsid w:val="00C30A93"/>
    <w:rsid w:val="00C30ABC"/>
    <w:rsid w:val="00C30B7F"/>
    <w:rsid w:val="00C30C0A"/>
    <w:rsid w:val="00C318F3"/>
    <w:rsid w:val="00C31EE5"/>
    <w:rsid w:val="00C322C9"/>
    <w:rsid w:val="00C322E5"/>
    <w:rsid w:val="00C3290F"/>
    <w:rsid w:val="00C32BFC"/>
    <w:rsid w:val="00C32E68"/>
    <w:rsid w:val="00C3312E"/>
    <w:rsid w:val="00C33749"/>
    <w:rsid w:val="00C33797"/>
    <w:rsid w:val="00C33B9A"/>
    <w:rsid w:val="00C3474B"/>
    <w:rsid w:val="00C34790"/>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568"/>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49D"/>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D7C"/>
    <w:rsid w:val="00C46EB8"/>
    <w:rsid w:val="00C4703A"/>
    <w:rsid w:val="00C47193"/>
    <w:rsid w:val="00C471B9"/>
    <w:rsid w:val="00C47993"/>
    <w:rsid w:val="00C47C63"/>
    <w:rsid w:val="00C50043"/>
    <w:rsid w:val="00C50262"/>
    <w:rsid w:val="00C502C9"/>
    <w:rsid w:val="00C50312"/>
    <w:rsid w:val="00C503FC"/>
    <w:rsid w:val="00C508C5"/>
    <w:rsid w:val="00C508C6"/>
    <w:rsid w:val="00C50AB2"/>
    <w:rsid w:val="00C50C30"/>
    <w:rsid w:val="00C510A7"/>
    <w:rsid w:val="00C51310"/>
    <w:rsid w:val="00C513A8"/>
    <w:rsid w:val="00C5172F"/>
    <w:rsid w:val="00C5176F"/>
    <w:rsid w:val="00C51B4B"/>
    <w:rsid w:val="00C51DB6"/>
    <w:rsid w:val="00C51FDE"/>
    <w:rsid w:val="00C51FE0"/>
    <w:rsid w:val="00C52079"/>
    <w:rsid w:val="00C5252D"/>
    <w:rsid w:val="00C52676"/>
    <w:rsid w:val="00C529AC"/>
    <w:rsid w:val="00C52B48"/>
    <w:rsid w:val="00C52CCA"/>
    <w:rsid w:val="00C5316B"/>
    <w:rsid w:val="00C5319A"/>
    <w:rsid w:val="00C53460"/>
    <w:rsid w:val="00C5393E"/>
    <w:rsid w:val="00C53977"/>
    <w:rsid w:val="00C53DCD"/>
    <w:rsid w:val="00C5409B"/>
    <w:rsid w:val="00C54BEA"/>
    <w:rsid w:val="00C54D15"/>
    <w:rsid w:val="00C54DA8"/>
    <w:rsid w:val="00C54E9B"/>
    <w:rsid w:val="00C54FE0"/>
    <w:rsid w:val="00C5506E"/>
    <w:rsid w:val="00C55231"/>
    <w:rsid w:val="00C55372"/>
    <w:rsid w:val="00C555F5"/>
    <w:rsid w:val="00C55629"/>
    <w:rsid w:val="00C55713"/>
    <w:rsid w:val="00C557D5"/>
    <w:rsid w:val="00C55BEB"/>
    <w:rsid w:val="00C55F16"/>
    <w:rsid w:val="00C55FA4"/>
    <w:rsid w:val="00C564CB"/>
    <w:rsid w:val="00C568EE"/>
    <w:rsid w:val="00C56C9D"/>
    <w:rsid w:val="00C56CE0"/>
    <w:rsid w:val="00C57269"/>
    <w:rsid w:val="00C57319"/>
    <w:rsid w:val="00C57377"/>
    <w:rsid w:val="00C574BF"/>
    <w:rsid w:val="00C5758D"/>
    <w:rsid w:val="00C575B3"/>
    <w:rsid w:val="00C575D8"/>
    <w:rsid w:val="00C5763C"/>
    <w:rsid w:val="00C60402"/>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25E"/>
    <w:rsid w:val="00C63402"/>
    <w:rsid w:val="00C635F3"/>
    <w:rsid w:val="00C6362A"/>
    <w:rsid w:val="00C6376A"/>
    <w:rsid w:val="00C63B59"/>
    <w:rsid w:val="00C63F92"/>
    <w:rsid w:val="00C646DB"/>
    <w:rsid w:val="00C64E5B"/>
    <w:rsid w:val="00C64FA6"/>
    <w:rsid w:val="00C64FBF"/>
    <w:rsid w:val="00C6545D"/>
    <w:rsid w:val="00C65585"/>
    <w:rsid w:val="00C655AD"/>
    <w:rsid w:val="00C656B5"/>
    <w:rsid w:val="00C658B2"/>
    <w:rsid w:val="00C65930"/>
    <w:rsid w:val="00C65A63"/>
    <w:rsid w:val="00C65A98"/>
    <w:rsid w:val="00C65C6C"/>
    <w:rsid w:val="00C65F4D"/>
    <w:rsid w:val="00C65FBD"/>
    <w:rsid w:val="00C66AC9"/>
    <w:rsid w:val="00C66BAD"/>
    <w:rsid w:val="00C66C2C"/>
    <w:rsid w:val="00C67009"/>
    <w:rsid w:val="00C67146"/>
    <w:rsid w:val="00C671CC"/>
    <w:rsid w:val="00C6746C"/>
    <w:rsid w:val="00C67501"/>
    <w:rsid w:val="00C67758"/>
    <w:rsid w:val="00C67AAB"/>
    <w:rsid w:val="00C67AE4"/>
    <w:rsid w:val="00C70082"/>
    <w:rsid w:val="00C70250"/>
    <w:rsid w:val="00C70280"/>
    <w:rsid w:val="00C707EA"/>
    <w:rsid w:val="00C70A5C"/>
    <w:rsid w:val="00C70BC8"/>
    <w:rsid w:val="00C70BFA"/>
    <w:rsid w:val="00C7108B"/>
    <w:rsid w:val="00C71307"/>
    <w:rsid w:val="00C71489"/>
    <w:rsid w:val="00C71975"/>
    <w:rsid w:val="00C71CC7"/>
    <w:rsid w:val="00C71D17"/>
    <w:rsid w:val="00C71D5D"/>
    <w:rsid w:val="00C72141"/>
    <w:rsid w:val="00C72554"/>
    <w:rsid w:val="00C725F5"/>
    <w:rsid w:val="00C72AC5"/>
    <w:rsid w:val="00C72B46"/>
    <w:rsid w:val="00C72C64"/>
    <w:rsid w:val="00C7325E"/>
    <w:rsid w:val="00C735B9"/>
    <w:rsid w:val="00C7440E"/>
    <w:rsid w:val="00C7452A"/>
    <w:rsid w:val="00C7477B"/>
    <w:rsid w:val="00C749C9"/>
    <w:rsid w:val="00C74C29"/>
    <w:rsid w:val="00C75284"/>
    <w:rsid w:val="00C75367"/>
    <w:rsid w:val="00C75518"/>
    <w:rsid w:val="00C75667"/>
    <w:rsid w:val="00C75896"/>
    <w:rsid w:val="00C75A36"/>
    <w:rsid w:val="00C75A4A"/>
    <w:rsid w:val="00C76132"/>
    <w:rsid w:val="00C76AF2"/>
    <w:rsid w:val="00C76C8D"/>
    <w:rsid w:val="00C76C9E"/>
    <w:rsid w:val="00C76EAE"/>
    <w:rsid w:val="00C7714F"/>
    <w:rsid w:val="00C77152"/>
    <w:rsid w:val="00C77366"/>
    <w:rsid w:val="00C77394"/>
    <w:rsid w:val="00C77563"/>
    <w:rsid w:val="00C7768F"/>
    <w:rsid w:val="00C77A33"/>
    <w:rsid w:val="00C77B1D"/>
    <w:rsid w:val="00C800AF"/>
    <w:rsid w:val="00C8041C"/>
    <w:rsid w:val="00C80561"/>
    <w:rsid w:val="00C80588"/>
    <w:rsid w:val="00C80717"/>
    <w:rsid w:val="00C8078B"/>
    <w:rsid w:val="00C80DFA"/>
    <w:rsid w:val="00C80F24"/>
    <w:rsid w:val="00C80F71"/>
    <w:rsid w:val="00C80FE5"/>
    <w:rsid w:val="00C8106E"/>
    <w:rsid w:val="00C810F1"/>
    <w:rsid w:val="00C815C5"/>
    <w:rsid w:val="00C81B61"/>
    <w:rsid w:val="00C8234F"/>
    <w:rsid w:val="00C826BE"/>
    <w:rsid w:val="00C827B4"/>
    <w:rsid w:val="00C827CB"/>
    <w:rsid w:val="00C82AB7"/>
    <w:rsid w:val="00C82ABF"/>
    <w:rsid w:val="00C82D1F"/>
    <w:rsid w:val="00C82D95"/>
    <w:rsid w:val="00C82E46"/>
    <w:rsid w:val="00C830EB"/>
    <w:rsid w:val="00C833D1"/>
    <w:rsid w:val="00C834F0"/>
    <w:rsid w:val="00C83644"/>
    <w:rsid w:val="00C83711"/>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D34"/>
    <w:rsid w:val="00C86F2B"/>
    <w:rsid w:val="00C86FD9"/>
    <w:rsid w:val="00C8717D"/>
    <w:rsid w:val="00C872E1"/>
    <w:rsid w:val="00C87581"/>
    <w:rsid w:val="00C87670"/>
    <w:rsid w:val="00C876B2"/>
    <w:rsid w:val="00C87876"/>
    <w:rsid w:val="00C87A3F"/>
    <w:rsid w:val="00C90097"/>
    <w:rsid w:val="00C90135"/>
    <w:rsid w:val="00C9030B"/>
    <w:rsid w:val="00C90337"/>
    <w:rsid w:val="00C90428"/>
    <w:rsid w:val="00C904D6"/>
    <w:rsid w:val="00C90543"/>
    <w:rsid w:val="00C905C7"/>
    <w:rsid w:val="00C906A0"/>
    <w:rsid w:val="00C91217"/>
    <w:rsid w:val="00C915D6"/>
    <w:rsid w:val="00C91A09"/>
    <w:rsid w:val="00C92332"/>
    <w:rsid w:val="00C92804"/>
    <w:rsid w:val="00C9281B"/>
    <w:rsid w:val="00C92BEC"/>
    <w:rsid w:val="00C92CCE"/>
    <w:rsid w:val="00C930D3"/>
    <w:rsid w:val="00C9320F"/>
    <w:rsid w:val="00C93EFA"/>
    <w:rsid w:val="00C93F16"/>
    <w:rsid w:val="00C9412E"/>
    <w:rsid w:val="00C94657"/>
    <w:rsid w:val="00C9479E"/>
    <w:rsid w:val="00C94955"/>
    <w:rsid w:val="00C94D7A"/>
    <w:rsid w:val="00C950E1"/>
    <w:rsid w:val="00C952EF"/>
    <w:rsid w:val="00C95672"/>
    <w:rsid w:val="00C95800"/>
    <w:rsid w:val="00C959DF"/>
    <w:rsid w:val="00C95AE1"/>
    <w:rsid w:val="00C95B2E"/>
    <w:rsid w:val="00C95C06"/>
    <w:rsid w:val="00C95DB2"/>
    <w:rsid w:val="00C95EBC"/>
    <w:rsid w:val="00C961B3"/>
    <w:rsid w:val="00C96C86"/>
    <w:rsid w:val="00C96DF2"/>
    <w:rsid w:val="00C97183"/>
    <w:rsid w:val="00C97283"/>
    <w:rsid w:val="00C97334"/>
    <w:rsid w:val="00C9734E"/>
    <w:rsid w:val="00C97427"/>
    <w:rsid w:val="00C979C5"/>
    <w:rsid w:val="00C97D06"/>
    <w:rsid w:val="00C97F8D"/>
    <w:rsid w:val="00CA00D8"/>
    <w:rsid w:val="00CA03FB"/>
    <w:rsid w:val="00CA05B3"/>
    <w:rsid w:val="00CA0830"/>
    <w:rsid w:val="00CA0DB9"/>
    <w:rsid w:val="00CA1DD8"/>
    <w:rsid w:val="00CA2018"/>
    <w:rsid w:val="00CA22B3"/>
    <w:rsid w:val="00CA2AE1"/>
    <w:rsid w:val="00CA2AE8"/>
    <w:rsid w:val="00CA2AFC"/>
    <w:rsid w:val="00CA2C80"/>
    <w:rsid w:val="00CA2CEA"/>
    <w:rsid w:val="00CA2DCD"/>
    <w:rsid w:val="00CA2F8A"/>
    <w:rsid w:val="00CA30BC"/>
    <w:rsid w:val="00CA36D1"/>
    <w:rsid w:val="00CA3B5A"/>
    <w:rsid w:val="00CA3F97"/>
    <w:rsid w:val="00CA3FF1"/>
    <w:rsid w:val="00CA416E"/>
    <w:rsid w:val="00CA467D"/>
    <w:rsid w:val="00CA47C7"/>
    <w:rsid w:val="00CA48A3"/>
    <w:rsid w:val="00CA4940"/>
    <w:rsid w:val="00CA4D54"/>
    <w:rsid w:val="00CA4D76"/>
    <w:rsid w:val="00CA4F92"/>
    <w:rsid w:val="00CA4FD1"/>
    <w:rsid w:val="00CA53A5"/>
    <w:rsid w:val="00CA5486"/>
    <w:rsid w:val="00CA5666"/>
    <w:rsid w:val="00CA5805"/>
    <w:rsid w:val="00CA5A5D"/>
    <w:rsid w:val="00CA62ED"/>
    <w:rsid w:val="00CA690C"/>
    <w:rsid w:val="00CA6943"/>
    <w:rsid w:val="00CA6952"/>
    <w:rsid w:val="00CA6BC9"/>
    <w:rsid w:val="00CA6E06"/>
    <w:rsid w:val="00CA7280"/>
    <w:rsid w:val="00CA7297"/>
    <w:rsid w:val="00CA757D"/>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D0B"/>
    <w:rsid w:val="00CB2F0F"/>
    <w:rsid w:val="00CB3139"/>
    <w:rsid w:val="00CB3248"/>
    <w:rsid w:val="00CB3588"/>
    <w:rsid w:val="00CB358F"/>
    <w:rsid w:val="00CB3756"/>
    <w:rsid w:val="00CB3A05"/>
    <w:rsid w:val="00CB3ACC"/>
    <w:rsid w:val="00CB3C23"/>
    <w:rsid w:val="00CB3CCE"/>
    <w:rsid w:val="00CB3E76"/>
    <w:rsid w:val="00CB4273"/>
    <w:rsid w:val="00CB4A37"/>
    <w:rsid w:val="00CB4BC2"/>
    <w:rsid w:val="00CB4DDA"/>
    <w:rsid w:val="00CB4DFE"/>
    <w:rsid w:val="00CB4EC7"/>
    <w:rsid w:val="00CB50D4"/>
    <w:rsid w:val="00CB5220"/>
    <w:rsid w:val="00CB52DB"/>
    <w:rsid w:val="00CB53A4"/>
    <w:rsid w:val="00CB5535"/>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CA8"/>
    <w:rsid w:val="00CB7D73"/>
    <w:rsid w:val="00CB7E15"/>
    <w:rsid w:val="00CC028B"/>
    <w:rsid w:val="00CC0706"/>
    <w:rsid w:val="00CC0708"/>
    <w:rsid w:val="00CC0AD0"/>
    <w:rsid w:val="00CC0B03"/>
    <w:rsid w:val="00CC10F9"/>
    <w:rsid w:val="00CC11DD"/>
    <w:rsid w:val="00CC12A1"/>
    <w:rsid w:val="00CC1304"/>
    <w:rsid w:val="00CC1672"/>
    <w:rsid w:val="00CC17DA"/>
    <w:rsid w:val="00CC1D05"/>
    <w:rsid w:val="00CC2112"/>
    <w:rsid w:val="00CC22CC"/>
    <w:rsid w:val="00CC296B"/>
    <w:rsid w:val="00CC2BAF"/>
    <w:rsid w:val="00CC2CC9"/>
    <w:rsid w:val="00CC2E0A"/>
    <w:rsid w:val="00CC2E9D"/>
    <w:rsid w:val="00CC326A"/>
    <w:rsid w:val="00CC32F9"/>
    <w:rsid w:val="00CC342D"/>
    <w:rsid w:val="00CC369B"/>
    <w:rsid w:val="00CC3BDB"/>
    <w:rsid w:val="00CC40EB"/>
    <w:rsid w:val="00CC41DD"/>
    <w:rsid w:val="00CC44B0"/>
    <w:rsid w:val="00CC466F"/>
    <w:rsid w:val="00CC46AA"/>
    <w:rsid w:val="00CC4D5B"/>
    <w:rsid w:val="00CC4D86"/>
    <w:rsid w:val="00CC50EA"/>
    <w:rsid w:val="00CC52E4"/>
    <w:rsid w:val="00CC5384"/>
    <w:rsid w:val="00CC542B"/>
    <w:rsid w:val="00CC5665"/>
    <w:rsid w:val="00CC5A69"/>
    <w:rsid w:val="00CC6145"/>
    <w:rsid w:val="00CC66D7"/>
    <w:rsid w:val="00CC6C7B"/>
    <w:rsid w:val="00CC7007"/>
    <w:rsid w:val="00CC71AB"/>
    <w:rsid w:val="00CC73F8"/>
    <w:rsid w:val="00CC7638"/>
    <w:rsid w:val="00CC7871"/>
    <w:rsid w:val="00CC7882"/>
    <w:rsid w:val="00CC78A1"/>
    <w:rsid w:val="00CC79EB"/>
    <w:rsid w:val="00CC7C47"/>
    <w:rsid w:val="00CD0031"/>
    <w:rsid w:val="00CD0059"/>
    <w:rsid w:val="00CD06BB"/>
    <w:rsid w:val="00CD0940"/>
    <w:rsid w:val="00CD0A34"/>
    <w:rsid w:val="00CD0AFB"/>
    <w:rsid w:val="00CD0D77"/>
    <w:rsid w:val="00CD0FB3"/>
    <w:rsid w:val="00CD10FC"/>
    <w:rsid w:val="00CD139C"/>
    <w:rsid w:val="00CD1639"/>
    <w:rsid w:val="00CD16D7"/>
    <w:rsid w:val="00CD1917"/>
    <w:rsid w:val="00CD1B95"/>
    <w:rsid w:val="00CD1BDF"/>
    <w:rsid w:val="00CD1E04"/>
    <w:rsid w:val="00CD1ED2"/>
    <w:rsid w:val="00CD2431"/>
    <w:rsid w:val="00CD25F6"/>
    <w:rsid w:val="00CD2B5B"/>
    <w:rsid w:val="00CD2F96"/>
    <w:rsid w:val="00CD3004"/>
    <w:rsid w:val="00CD3241"/>
    <w:rsid w:val="00CD34C3"/>
    <w:rsid w:val="00CD3593"/>
    <w:rsid w:val="00CD3604"/>
    <w:rsid w:val="00CD3909"/>
    <w:rsid w:val="00CD397C"/>
    <w:rsid w:val="00CD39E7"/>
    <w:rsid w:val="00CD3D02"/>
    <w:rsid w:val="00CD411A"/>
    <w:rsid w:val="00CD417C"/>
    <w:rsid w:val="00CD418D"/>
    <w:rsid w:val="00CD435D"/>
    <w:rsid w:val="00CD45CD"/>
    <w:rsid w:val="00CD4807"/>
    <w:rsid w:val="00CD498F"/>
    <w:rsid w:val="00CD4B8D"/>
    <w:rsid w:val="00CD4C5A"/>
    <w:rsid w:val="00CD5419"/>
    <w:rsid w:val="00CD550C"/>
    <w:rsid w:val="00CD5CB0"/>
    <w:rsid w:val="00CD5E5D"/>
    <w:rsid w:val="00CD605C"/>
    <w:rsid w:val="00CD61CB"/>
    <w:rsid w:val="00CD62C6"/>
    <w:rsid w:val="00CD6550"/>
    <w:rsid w:val="00CD6838"/>
    <w:rsid w:val="00CD684E"/>
    <w:rsid w:val="00CD6896"/>
    <w:rsid w:val="00CD68F9"/>
    <w:rsid w:val="00CD6A4C"/>
    <w:rsid w:val="00CD6A80"/>
    <w:rsid w:val="00CD6B85"/>
    <w:rsid w:val="00CD6B8F"/>
    <w:rsid w:val="00CD6BD0"/>
    <w:rsid w:val="00CD6DCB"/>
    <w:rsid w:val="00CD6F3E"/>
    <w:rsid w:val="00CD7183"/>
    <w:rsid w:val="00CD77EA"/>
    <w:rsid w:val="00CD7B3D"/>
    <w:rsid w:val="00CD7BC0"/>
    <w:rsid w:val="00CD7E03"/>
    <w:rsid w:val="00CE09C2"/>
    <w:rsid w:val="00CE0A59"/>
    <w:rsid w:val="00CE0B00"/>
    <w:rsid w:val="00CE0D8E"/>
    <w:rsid w:val="00CE0E56"/>
    <w:rsid w:val="00CE10A4"/>
    <w:rsid w:val="00CE12EB"/>
    <w:rsid w:val="00CE17DD"/>
    <w:rsid w:val="00CE1A52"/>
    <w:rsid w:val="00CE1F2E"/>
    <w:rsid w:val="00CE1FF3"/>
    <w:rsid w:val="00CE2016"/>
    <w:rsid w:val="00CE219F"/>
    <w:rsid w:val="00CE2595"/>
    <w:rsid w:val="00CE2D9C"/>
    <w:rsid w:val="00CE2FF0"/>
    <w:rsid w:val="00CE3162"/>
    <w:rsid w:val="00CE3257"/>
    <w:rsid w:val="00CE3773"/>
    <w:rsid w:val="00CE4062"/>
    <w:rsid w:val="00CE4780"/>
    <w:rsid w:val="00CE49FD"/>
    <w:rsid w:val="00CE5087"/>
    <w:rsid w:val="00CE5210"/>
    <w:rsid w:val="00CE524E"/>
    <w:rsid w:val="00CE5BC9"/>
    <w:rsid w:val="00CE5D96"/>
    <w:rsid w:val="00CE5FC5"/>
    <w:rsid w:val="00CE67EF"/>
    <w:rsid w:val="00CE6922"/>
    <w:rsid w:val="00CE6E01"/>
    <w:rsid w:val="00CE7038"/>
    <w:rsid w:val="00CE720B"/>
    <w:rsid w:val="00CE7505"/>
    <w:rsid w:val="00CE7642"/>
    <w:rsid w:val="00CE7927"/>
    <w:rsid w:val="00CE79F3"/>
    <w:rsid w:val="00CE7DBA"/>
    <w:rsid w:val="00CF0427"/>
    <w:rsid w:val="00CF05D5"/>
    <w:rsid w:val="00CF06B5"/>
    <w:rsid w:val="00CF08F8"/>
    <w:rsid w:val="00CF0D72"/>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D40"/>
    <w:rsid w:val="00CF3E93"/>
    <w:rsid w:val="00CF421B"/>
    <w:rsid w:val="00CF44B8"/>
    <w:rsid w:val="00CF4957"/>
    <w:rsid w:val="00CF4AC7"/>
    <w:rsid w:val="00CF4C48"/>
    <w:rsid w:val="00CF4D2F"/>
    <w:rsid w:val="00CF5000"/>
    <w:rsid w:val="00CF5012"/>
    <w:rsid w:val="00CF5AA9"/>
    <w:rsid w:val="00CF6BD3"/>
    <w:rsid w:val="00CF6D72"/>
    <w:rsid w:val="00CF719F"/>
    <w:rsid w:val="00CF722A"/>
    <w:rsid w:val="00CF725A"/>
    <w:rsid w:val="00CF739C"/>
    <w:rsid w:val="00CF7455"/>
    <w:rsid w:val="00CF74C0"/>
    <w:rsid w:val="00CF7630"/>
    <w:rsid w:val="00CF7788"/>
    <w:rsid w:val="00CF7B6F"/>
    <w:rsid w:val="00CF7BBE"/>
    <w:rsid w:val="00CF7FE3"/>
    <w:rsid w:val="00D00415"/>
    <w:rsid w:val="00D007D5"/>
    <w:rsid w:val="00D00D87"/>
    <w:rsid w:val="00D00F22"/>
    <w:rsid w:val="00D01179"/>
    <w:rsid w:val="00D014EF"/>
    <w:rsid w:val="00D01555"/>
    <w:rsid w:val="00D0163B"/>
    <w:rsid w:val="00D024C4"/>
    <w:rsid w:val="00D02619"/>
    <w:rsid w:val="00D02945"/>
    <w:rsid w:val="00D02B57"/>
    <w:rsid w:val="00D02CE3"/>
    <w:rsid w:val="00D02FB0"/>
    <w:rsid w:val="00D030C4"/>
    <w:rsid w:val="00D031BD"/>
    <w:rsid w:val="00D032E1"/>
    <w:rsid w:val="00D033A4"/>
    <w:rsid w:val="00D036D7"/>
    <w:rsid w:val="00D039B2"/>
    <w:rsid w:val="00D04478"/>
    <w:rsid w:val="00D04546"/>
    <w:rsid w:val="00D046B5"/>
    <w:rsid w:val="00D049EE"/>
    <w:rsid w:val="00D04A4E"/>
    <w:rsid w:val="00D04AE8"/>
    <w:rsid w:val="00D04D2B"/>
    <w:rsid w:val="00D052AB"/>
    <w:rsid w:val="00D0533D"/>
    <w:rsid w:val="00D054DD"/>
    <w:rsid w:val="00D055A9"/>
    <w:rsid w:val="00D055D4"/>
    <w:rsid w:val="00D05640"/>
    <w:rsid w:val="00D05736"/>
    <w:rsid w:val="00D05BF2"/>
    <w:rsid w:val="00D05C53"/>
    <w:rsid w:val="00D061B4"/>
    <w:rsid w:val="00D0637F"/>
    <w:rsid w:val="00D065BC"/>
    <w:rsid w:val="00D06785"/>
    <w:rsid w:val="00D0679A"/>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663"/>
    <w:rsid w:val="00D1272F"/>
    <w:rsid w:val="00D1285A"/>
    <w:rsid w:val="00D12FC5"/>
    <w:rsid w:val="00D13021"/>
    <w:rsid w:val="00D13483"/>
    <w:rsid w:val="00D13630"/>
    <w:rsid w:val="00D136D6"/>
    <w:rsid w:val="00D13B7E"/>
    <w:rsid w:val="00D13C6F"/>
    <w:rsid w:val="00D13D91"/>
    <w:rsid w:val="00D13E64"/>
    <w:rsid w:val="00D13FFE"/>
    <w:rsid w:val="00D14314"/>
    <w:rsid w:val="00D143B8"/>
    <w:rsid w:val="00D146D3"/>
    <w:rsid w:val="00D149AF"/>
    <w:rsid w:val="00D14F87"/>
    <w:rsid w:val="00D1526E"/>
    <w:rsid w:val="00D158D8"/>
    <w:rsid w:val="00D15C37"/>
    <w:rsid w:val="00D15E66"/>
    <w:rsid w:val="00D15EBD"/>
    <w:rsid w:val="00D160AB"/>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E26"/>
    <w:rsid w:val="00D17E39"/>
    <w:rsid w:val="00D17EC2"/>
    <w:rsid w:val="00D17F9C"/>
    <w:rsid w:val="00D202C5"/>
    <w:rsid w:val="00D203E6"/>
    <w:rsid w:val="00D20700"/>
    <w:rsid w:val="00D20AD5"/>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795"/>
    <w:rsid w:val="00D247C6"/>
    <w:rsid w:val="00D2483C"/>
    <w:rsid w:val="00D24D8C"/>
    <w:rsid w:val="00D24FD0"/>
    <w:rsid w:val="00D2501F"/>
    <w:rsid w:val="00D251E6"/>
    <w:rsid w:val="00D25307"/>
    <w:rsid w:val="00D2539C"/>
    <w:rsid w:val="00D254E9"/>
    <w:rsid w:val="00D25520"/>
    <w:rsid w:val="00D255CF"/>
    <w:rsid w:val="00D255ED"/>
    <w:rsid w:val="00D25819"/>
    <w:rsid w:val="00D262B1"/>
    <w:rsid w:val="00D2678E"/>
    <w:rsid w:val="00D26863"/>
    <w:rsid w:val="00D2694C"/>
    <w:rsid w:val="00D26D9B"/>
    <w:rsid w:val="00D26DD4"/>
    <w:rsid w:val="00D26F57"/>
    <w:rsid w:val="00D271C9"/>
    <w:rsid w:val="00D272A2"/>
    <w:rsid w:val="00D276BB"/>
    <w:rsid w:val="00D27823"/>
    <w:rsid w:val="00D27853"/>
    <w:rsid w:val="00D301A2"/>
    <w:rsid w:val="00D304E0"/>
    <w:rsid w:val="00D305BD"/>
    <w:rsid w:val="00D30A13"/>
    <w:rsid w:val="00D30AE0"/>
    <w:rsid w:val="00D30C92"/>
    <w:rsid w:val="00D30DEA"/>
    <w:rsid w:val="00D30FA8"/>
    <w:rsid w:val="00D310AE"/>
    <w:rsid w:val="00D31270"/>
    <w:rsid w:val="00D312D0"/>
    <w:rsid w:val="00D31562"/>
    <w:rsid w:val="00D31763"/>
    <w:rsid w:val="00D31A24"/>
    <w:rsid w:val="00D32037"/>
    <w:rsid w:val="00D32155"/>
    <w:rsid w:val="00D321B8"/>
    <w:rsid w:val="00D321C9"/>
    <w:rsid w:val="00D3239C"/>
    <w:rsid w:val="00D32442"/>
    <w:rsid w:val="00D3255F"/>
    <w:rsid w:val="00D3296E"/>
    <w:rsid w:val="00D32B2F"/>
    <w:rsid w:val="00D32CBD"/>
    <w:rsid w:val="00D3302E"/>
    <w:rsid w:val="00D3307C"/>
    <w:rsid w:val="00D331A9"/>
    <w:rsid w:val="00D331F1"/>
    <w:rsid w:val="00D3342A"/>
    <w:rsid w:val="00D33581"/>
    <w:rsid w:val="00D33986"/>
    <w:rsid w:val="00D33AC0"/>
    <w:rsid w:val="00D33D6C"/>
    <w:rsid w:val="00D33D9E"/>
    <w:rsid w:val="00D33E02"/>
    <w:rsid w:val="00D33E55"/>
    <w:rsid w:val="00D34313"/>
    <w:rsid w:val="00D3434A"/>
    <w:rsid w:val="00D34379"/>
    <w:rsid w:val="00D34BE6"/>
    <w:rsid w:val="00D34F04"/>
    <w:rsid w:val="00D34FB1"/>
    <w:rsid w:val="00D350AF"/>
    <w:rsid w:val="00D353D1"/>
    <w:rsid w:val="00D35818"/>
    <w:rsid w:val="00D358BB"/>
    <w:rsid w:val="00D3601B"/>
    <w:rsid w:val="00D36107"/>
    <w:rsid w:val="00D36A87"/>
    <w:rsid w:val="00D37058"/>
    <w:rsid w:val="00D37392"/>
    <w:rsid w:val="00D376CF"/>
    <w:rsid w:val="00D37785"/>
    <w:rsid w:val="00D379A8"/>
    <w:rsid w:val="00D37A10"/>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D81"/>
    <w:rsid w:val="00D41E44"/>
    <w:rsid w:val="00D42591"/>
    <w:rsid w:val="00D4312C"/>
    <w:rsid w:val="00D433C8"/>
    <w:rsid w:val="00D43E00"/>
    <w:rsid w:val="00D43FEA"/>
    <w:rsid w:val="00D440C4"/>
    <w:rsid w:val="00D44172"/>
    <w:rsid w:val="00D4421B"/>
    <w:rsid w:val="00D4444E"/>
    <w:rsid w:val="00D445E6"/>
    <w:rsid w:val="00D447BF"/>
    <w:rsid w:val="00D449C1"/>
    <w:rsid w:val="00D44A16"/>
    <w:rsid w:val="00D4523A"/>
    <w:rsid w:val="00D45A9E"/>
    <w:rsid w:val="00D45B10"/>
    <w:rsid w:val="00D45E05"/>
    <w:rsid w:val="00D45F34"/>
    <w:rsid w:val="00D462E4"/>
    <w:rsid w:val="00D467FA"/>
    <w:rsid w:val="00D4689B"/>
    <w:rsid w:val="00D4689C"/>
    <w:rsid w:val="00D46E18"/>
    <w:rsid w:val="00D472FC"/>
    <w:rsid w:val="00D47C7E"/>
    <w:rsid w:val="00D50409"/>
    <w:rsid w:val="00D50510"/>
    <w:rsid w:val="00D508D0"/>
    <w:rsid w:val="00D50925"/>
    <w:rsid w:val="00D50DED"/>
    <w:rsid w:val="00D50ECC"/>
    <w:rsid w:val="00D511DD"/>
    <w:rsid w:val="00D514FE"/>
    <w:rsid w:val="00D516AB"/>
    <w:rsid w:val="00D518CF"/>
    <w:rsid w:val="00D519DB"/>
    <w:rsid w:val="00D51D27"/>
    <w:rsid w:val="00D51D4B"/>
    <w:rsid w:val="00D51E95"/>
    <w:rsid w:val="00D51F30"/>
    <w:rsid w:val="00D52028"/>
    <w:rsid w:val="00D5203E"/>
    <w:rsid w:val="00D5219F"/>
    <w:rsid w:val="00D52398"/>
    <w:rsid w:val="00D5282D"/>
    <w:rsid w:val="00D52E71"/>
    <w:rsid w:val="00D52FBC"/>
    <w:rsid w:val="00D532AA"/>
    <w:rsid w:val="00D53589"/>
    <w:rsid w:val="00D5380F"/>
    <w:rsid w:val="00D53815"/>
    <w:rsid w:val="00D540FA"/>
    <w:rsid w:val="00D542C1"/>
    <w:rsid w:val="00D54599"/>
    <w:rsid w:val="00D54A66"/>
    <w:rsid w:val="00D54C35"/>
    <w:rsid w:val="00D54CEC"/>
    <w:rsid w:val="00D54D41"/>
    <w:rsid w:val="00D54DED"/>
    <w:rsid w:val="00D551FD"/>
    <w:rsid w:val="00D5521B"/>
    <w:rsid w:val="00D55225"/>
    <w:rsid w:val="00D55561"/>
    <w:rsid w:val="00D55763"/>
    <w:rsid w:val="00D55CAA"/>
    <w:rsid w:val="00D55CED"/>
    <w:rsid w:val="00D55EE6"/>
    <w:rsid w:val="00D55F06"/>
    <w:rsid w:val="00D55F8B"/>
    <w:rsid w:val="00D566C7"/>
    <w:rsid w:val="00D56789"/>
    <w:rsid w:val="00D567E1"/>
    <w:rsid w:val="00D56A30"/>
    <w:rsid w:val="00D56CA6"/>
    <w:rsid w:val="00D56CCB"/>
    <w:rsid w:val="00D57491"/>
    <w:rsid w:val="00D57646"/>
    <w:rsid w:val="00D57A4B"/>
    <w:rsid w:val="00D57A61"/>
    <w:rsid w:val="00D57C03"/>
    <w:rsid w:val="00D60077"/>
    <w:rsid w:val="00D601E6"/>
    <w:rsid w:val="00D60296"/>
    <w:rsid w:val="00D60743"/>
    <w:rsid w:val="00D60DE4"/>
    <w:rsid w:val="00D60E3E"/>
    <w:rsid w:val="00D6125B"/>
    <w:rsid w:val="00D61438"/>
    <w:rsid w:val="00D61583"/>
    <w:rsid w:val="00D61F26"/>
    <w:rsid w:val="00D61F49"/>
    <w:rsid w:val="00D6224C"/>
    <w:rsid w:val="00D622F2"/>
    <w:rsid w:val="00D62623"/>
    <w:rsid w:val="00D62941"/>
    <w:rsid w:val="00D634B7"/>
    <w:rsid w:val="00D635A7"/>
    <w:rsid w:val="00D635DB"/>
    <w:rsid w:val="00D63938"/>
    <w:rsid w:val="00D63D9C"/>
    <w:rsid w:val="00D63EEE"/>
    <w:rsid w:val="00D6438E"/>
    <w:rsid w:val="00D6441B"/>
    <w:rsid w:val="00D64502"/>
    <w:rsid w:val="00D647A5"/>
    <w:rsid w:val="00D647B3"/>
    <w:rsid w:val="00D649B0"/>
    <w:rsid w:val="00D649DE"/>
    <w:rsid w:val="00D64D7A"/>
    <w:rsid w:val="00D64E6F"/>
    <w:rsid w:val="00D65430"/>
    <w:rsid w:val="00D65895"/>
    <w:rsid w:val="00D65C6F"/>
    <w:rsid w:val="00D65EDD"/>
    <w:rsid w:val="00D660D5"/>
    <w:rsid w:val="00D66130"/>
    <w:rsid w:val="00D6616A"/>
    <w:rsid w:val="00D666AD"/>
    <w:rsid w:val="00D6688E"/>
    <w:rsid w:val="00D66A2A"/>
    <w:rsid w:val="00D66F9B"/>
    <w:rsid w:val="00D67397"/>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DE0"/>
    <w:rsid w:val="00D72FE9"/>
    <w:rsid w:val="00D73207"/>
    <w:rsid w:val="00D738D4"/>
    <w:rsid w:val="00D73AE7"/>
    <w:rsid w:val="00D73B6D"/>
    <w:rsid w:val="00D7408A"/>
    <w:rsid w:val="00D741CE"/>
    <w:rsid w:val="00D74232"/>
    <w:rsid w:val="00D74352"/>
    <w:rsid w:val="00D7460C"/>
    <w:rsid w:val="00D74893"/>
    <w:rsid w:val="00D74913"/>
    <w:rsid w:val="00D74B2E"/>
    <w:rsid w:val="00D74C70"/>
    <w:rsid w:val="00D755EE"/>
    <w:rsid w:val="00D75728"/>
    <w:rsid w:val="00D758AB"/>
    <w:rsid w:val="00D759E0"/>
    <w:rsid w:val="00D75B73"/>
    <w:rsid w:val="00D75DC5"/>
    <w:rsid w:val="00D75DFA"/>
    <w:rsid w:val="00D75F5D"/>
    <w:rsid w:val="00D76007"/>
    <w:rsid w:val="00D76032"/>
    <w:rsid w:val="00D764F2"/>
    <w:rsid w:val="00D7652D"/>
    <w:rsid w:val="00D76A39"/>
    <w:rsid w:val="00D76CEC"/>
    <w:rsid w:val="00D76FBD"/>
    <w:rsid w:val="00D7787B"/>
    <w:rsid w:val="00D801C7"/>
    <w:rsid w:val="00D80252"/>
    <w:rsid w:val="00D80359"/>
    <w:rsid w:val="00D8094B"/>
    <w:rsid w:val="00D80BB0"/>
    <w:rsid w:val="00D80CC9"/>
    <w:rsid w:val="00D80ECF"/>
    <w:rsid w:val="00D80FF9"/>
    <w:rsid w:val="00D8108C"/>
    <w:rsid w:val="00D8148B"/>
    <w:rsid w:val="00D81571"/>
    <w:rsid w:val="00D8184C"/>
    <w:rsid w:val="00D81A71"/>
    <w:rsid w:val="00D81C3E"/>
    <w:rsid w:val="00D81CB2"/>
    <w:rsid w:val="00D82110"/>
    <w:rsid w:val="00D823E4"/>
    <w:rsid w:val="00D8240A"/>
    <w:rsid w:val="00D82472"/>
    <w:rsid w:val="00D827CC"/>
    <w:rsid w:val="00D82849"/>
    <w:rsid w:val="00D8285B"/>
    <w:rsid w:val="00D83081"/>
    <w:rsid w:val="00D83942"/>
    <w:rsid w:val="00D839E9"/>
    <w:rsid w:val="00D83A5E"/>
    <w:rsid w:val="00D83C91"/>
    <w:rsid w:val="00D83E10"/>
    <w:rsid w:val="00D8434E"/>
    <w:rsid w:val="00D84418"/>
    <w:rsid w:val="00D84527"/>
    <w:rsid w:val="00D84C25"/>
    <w:rsid w:val="00D84D13"/>
    <w:rsid w:val="00D84D94"/>
    <w:rsid w:val="00D84E14"/>
    <w:rsid w:val="00D84E86"/>
    <w:rsid w:val="00D85348"/>
    <w:rsid w:val="00D8537C"/>
    <w:rsid w:val="00D8543E"/>
    <w:rsid w:val="00D85A3B"/>
    <w:rsid w:val="00D85D8D"/>
    <w:rsid w:val="00D862A5"/>
    <w:rsid w:val="00D867D2"/>
    <w:rsid w:val="00D8705E"/>
    <w:rsid w:val="00D871A0"/>
    <w:rsid w:val="00D871A8"/>
    <w:rsid w:val="00D87508"/>
    <w:rsid w:val="00D90111"/>
    <w:rsid w:val="00D901B9"/>
    <w:rsid w:val="00D90256"/>
    <w:rsid w:val="00D90718"/>
    <w:rsid w:val="00D908A1"/>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1F3D"/>
    <w:rsid w:val="00D92099"/>
    <w:rsid w:val="00D9215F"/>
    <w:rsid w:val="00D921F8"/>
    <w:rsid w:val="00D925B0"/>
    <w:rsid w:val="00D92AA1"/>
    <w:rsid w:val="00D92D45"/>
    <w:rsid w:val="00D92E04"/>
    <w:rsid w:val="00D9322D"/>
    <w:rsid w:val="00D932E8"/>
    <w:rsid w:val="00D93661"/>
    <w:rsid w:val="00D93B6D"/>
    <w:rsid w:val="00D93C62"/>
    <w:rsid w:val="00D93DE5"/>
    <w:rsid w:val="00D94153"/>
    <w:rsid w:val="00D943A3"/>
    <w:rsid w:val="00D943EC"/>
    <w:rsid w:val="00D948E4"/>
    <w:rsid w:val="00D94B6D"/>
    <w:rsid w:val="00D94BE4"/>
    <w:rsid w:val="00D9503A"/>
    <w:rsid w:val="00D951AD"/>
    <w:rsid w:val="00D952A5"/>
    <w:rsid w:val="00D9531D"/>
    <w:rsid w:val="00D953CC"/>
    <w:rsid w:val="00D95578"/>
    <w:rsid w:val="00D956AD"/>
    <w:rsid w:val="00D959DC"/>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025"/>
    <w:rsid w:val="00DA02A2"/>
    <w:rsid w:val="00DA0352"/>
    <w:rsid w:val="00DA0497"/>
    <w:rsid w:val="00DA0678"/>
    <w:rsid w:val="00DA0A6A"/>
    <w:rsid w:val="00DA0CDD"/>
    <w:rsid w:val="00DA13AD"/>
    <w:rsid w:val="00DA19D4"/>
    <w:rsid w:val="00DA1A47"/>
    <w:rsid w:val="00DA1C12"/>
    <w:rsid w:val="00DA1CA3"/>
    <w:rsid w:val="00DA2630"/>
    <w:rsid w:val="00DA2661"/>
    <w:rsid w:val="00DA2864"/>
    <w:rsid w:val="00DA2C5B"/>
    <w:rsid w:val="00DA2FAF"/>
    <w:rsid w:val="00DA3078"/>
    <w:rsid w:val="00DA3282"/>
    <w:rsid w:val="00DA33BE"/>
    <w:rsid w:val="00DA356B"/>
    <w:rsid w:val="00DA3584"/>
    <w:rsid w:val="00DA3719"/>
    <w:rsid w:val="00DA39AF"/>
    <w:rsid w:val="00DA41D7"/>
    <w:rsid w:val="00DA4322"/>
    <w:rsid w:val="00DA4978"/>
    <w:rsid w:val="00DA49C7"/>
    <w:rsid w:val="00DA4BA5"/>
    <w:rsid w:val="00DA50A8"/>
    <w:rsid w:val="00DA51A9"/>
    <w:rsid w:val="00DA591A"/>
    <w:rsid w:val="00DA5A68"/>
    <w:rsid w:val="00DA5DCF"/>
    <w:rsid w:val="00DA5F3B"/>
    <w:rsid w:val="00DA5FC3"/>
    <w:rsid w:val="00DA6004"/>
    <w:rsid w:val="00DA6122"/>
    <w:rsid w:val="00DA6275"/>
    <w:rsid w:val="00DA6302"/>
    <w:rsid w:val="00DA64ED"/>
    <w:rsid w:val="00DA681E"/>
    <w:rsid w:val="00DA68C4"/>
    <w:rsid w:val="00DA6DB6"/>
    <w:rsid w:val="00DA6F17"/>
    <w:rsid w:val="00DA747B"/>
    <w:rsid w:val="00DA78E7"/>
    <w:rsid w:val="00DB006F"/>
    <w:rsid w:val="00DB01E5"/>
    <w:rsid w:val="00DB04A8"/>
    <w:rsid w:val="00DB0659"/>
    <w:rsid w:val="00DB075E"/>
    <w:rsid w:val="00DB0851"/>
    <w:rsid w:val="00DB0999"/>
    <w:rsid w:val="00DB0B74"/>
    <w:rsid w:val="00DB0E39"/>
    <w:rsid w:val="00DB1447"/>
    <w:rsid w:val="00DB15E7"/>
    <w:rsid w:val="00DB221D"/>
    <w:rsid w:val="00DB255F"/>
    <w:rsid w:val="00DB2612"/>
    <w:rsid w:val="00DB2745"/>
    <w:rsid w:val="00DB2D42"/>
    <w:rsid w:val="00DB2F98"/>
    <w:rsid w:val="00DB312C"/>
    <w:rsid w:val="00DB334F"/>
    <w:rsid w:val="00DB33AC"/>
    <w:rsid w:val="00DB357B"/>
    <w:rsid w:val="00DB3679"/>
    <w:rsid w:val="00DB36B3"/>
    <w:rsid w:val="00DB36D3"/>
    <w:rsid w:val="00DB375D"/>
    <w:rsid w:val="00DB3AEE"/>
    <w:rsid w:val="00DB3C1C"/>
    <w:rsid w:val="00DB3DF0"/>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2F7"/>
    <w:rsid w:val="00DB7307"/>
    <w:rsid w:val="00DB7699"/>
    <w:rsid w:val="00DB7D6C"/>
    <w:rsid w:val="00DB7E87"/>
    <w:rsid w:val="00DB7FCA"/>
    <w:rsid w:val="00DC00C5"/>
    <w:rsid w:val="00DC024D"/>
    <w:rsid w:val="00DC02B3"/>
    <w:rsid w:val="00DC06C1"/>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3CEB"/>
    <w:rsid w:val="00DC4385"/>
    <w:rsid w:val="00DC456C"/>
    <w:rsid w:val="00DC4653"/>
    <w:rsid w:val="00DC47CF"/>
    <w:rsid w:val="00DC4CA6"/>
    <w:rsid w:val="00DC4DE8"/>
    <w:rsid w:val="00DC4EE1"/>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C7E9F"/>
    <w:rsid w:val="00DD0368"/>
    <w:rsid w:val="00DD07C5"/>
    <w:rsid w:val="00DD0860"/>
    <w:rsid w:val="00DD0ECF"/>
    <w:rsid w:val="00DD0FCD"/>
    <w:rsid w:val="00DD10AF"/>
    <w:rsid w:val="00DD152C"/>
    <w:rsid w:val="00DD161F"/>
    <w:rsid w:val="00DD17BD"/>
    <w:rsid w:val="00DD1808"/>
    <w:rsid w:val="00DD1862"/>
    <w:rsid w:val="00DD1C2B"/>
    <w:rsid w:val="00DD1C56"/>
    <w:rsid w:val="00DD1E35"/>
    <w:rsid w:val="00DD2111"/>
    <w:rsid w:val="00DD237E"/>
    <w:rsid w:val="00DD256F"/>
    <w:rsid w:val="00DD262D"/>
    <w:rsid w:val="00DD2C3B"/>
    <w:rsid w:val="00DD2D0E"/>
    <w:rsid w:val="00DD30FC"/>
    <w:rsid w:val="00DD39EC"/>
    <w:rsid w:val="00DD3F0D"/>
    <w:rsid w:val="00DD3FE9"/>
    <w:rsid w:val="00DD4173"/>
    <w:rsid w:val="00DD47C9"/>
    <w:rsid w:val="00DD4A14"/>
    <w:rsid w:val="00DD4AB7"/>
    <w:rsid w:val="00DD4E61"/>
    <w:rsid w:val="00DD50A9"/>
    <w:rsid w:val="00DD55C0"/>
    <w:rsid w:val="00DD5E51"/>
    <w:rsid w:val="00DD63C8"/>
    <w:rsid w:val="00DD6A3C"/>
    <w:rsid w:val="00DD6BDF"/>
    <w:rsid w:val="00DD6CD6"/>
    <w:rsid w:val="00DD7168"/>
    <w:rsid w:val="00DD726D"/>
    <w:rsid w:val="00DD76EF"/>
    <w:rsid w:val="00DD7BF9"/>
    <w:rsid w:val="00DE0386"/>
    <w:rsid w:val="00DE0512"/>
    <w:rsid w:val="00DE1136"/>
    <w:rsid w:val="00DE1186"/>
    <w:rsid w:val="00DE120C"/>
    <w:rsid w:val="00DE166B"/>
    <w:rsid w:val="00DE19D6"/>
    <w:rsid w:val="00DE19FA"/>
    <w:rsid w:val="00DE1A14"/>
    <w:rsid w:val="00DE1BF1"/>
    <w:rsid w:val="00DE1C41"/>
    <w:rsid w:val="00DE2320"/>
    <w:rsid w:val="00DE2628"/>
    <w:rsid w:val="00DE2692"/>
    <w:rsid w:val="00DE2918"/>
    <w:rsid w:val="00DE2958"/>
    <w:rsid w:val="00DE29A1"/>
    <w:rsid w:val="00DE29F9"/>
    <w:rsid w:val="00DE2AD2"/>
    <w:rsid w:val="00DE2D50"/>
    <w:rsid w:val="00DE2F92"/>
    <w:rsid w:val="00DE32E9"/>
    <w:rsid w:val="00DE367F"/>
    <w:rsid w:val="00DE37F7"/>
    <w:rsid w:val="00DE3EE9"/>
    <w:rsid w:val="00DE4318"/>
    <w:rsid w:val="00DE48B3"/>
    <w:rsid w:val="00DE4D0C"/>
    <w:rsid w:val="00DE4DE2"/>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3E5"/>
    <w:rsid w:val="00DF08AE"/>
    <w:rsid w:val="00DF0B28"/>
    <w:rsid w:val="00DF0D4A"/>
    <w:rsid w:val="00DF0E2F"/>
    <w:rsid w:val="00DF106A"/>
    <w:rsid w:val="00DF12C9"/>
    <w:rsid w:val="00DF13E0"/>
    <w:rsid w:val="00DF1492"/>
    <w:rsid w:val="00DF154D"/>
    <w:rsid w:val="00DF1677"/>
    <w:rsid w:val="00DF1813"/>
    <w:rsid w:val="00DF190D"/>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947"/>
    <w:rsid w:val="00DF3CEC"/>
    <w:rsid w:val="00DF3E28"/>
    <w:rsid w:val="00DF3F7E"/>
    <w:rsid w:val="00DF41D0"/>
    <w:rsid w:val="00DF41DB"/>
    <w:rsid w:val="00DF44F1"/>
    <w:rsid w:val="00DF4698"/>
    <w:rsid w:val="00DF479F"/>
    <w:rsid w:val="00DF47B0"/>
    <w:rsid w:val="00DF4808"/>
    <w:rsid w:val="00DF4E30"/>
    <w:rsid w:val="00DF54BA"/>
    <w:rsid w:val="00DF54D9"/>
    <w:rsid w:val="00DF5666"/>
    <w:rsid w:val="00DF56C1"/>
    <w:rsid w:val="00DF578D"/>
    <w:rsid w:val="00DF583C"/>
    <w:rsid w:val="00DF596D"/>
    <w:rsid w:val="00DF59CA"/>
    <w:rsid w:val="00DF5A38"/>
    <w:rsid w:val="00DF5A74"/>
    <w:rsid w:val="00DF5CB3"/>
    <w:rsid w:val="00DF5D0E"/>
    <w:rsid w:val="00DF5D66"/>
    <w:rsid w:val="00DF5D94"/>
    <w:rsid w:val="00DF5F9B"/>
    <w:rsid w:val="00DF60E3"/>
    <w:rsid w:val="00DF60FF"/>
    <w:rsid w:val="00DF61AC"/>
    <w:rsid w:val="00DF6262"/>
    <w:rsid w:val="00DF62E4"/>
    <w:rsid w:val="00DF6603"/>
    <w:rsid w:val="00DF6660"/>
    <w:rsid w:val="00DF666E"/>
    <w:rsid w:val="00DF6781"/>
    <w:rsid w:val="00DF6BEB"/>
    <w:rsid w:val="00DF6E4C"/>
    <w:rsid w:val="00DF712C"/>
    <w:rsid w:val="00DF73E9"/>
    <w:rsid w:val="00DF7AAC"/>
    <w:rsid w:val="00DF7B07"/>
    <w:rsid w:val="00E004C0"/>
    <w:rsid w:val="00E00733"/>
    <w:rsid w:val="00E00749"/>
    <w:rsid w:val="00E00863"/>
    <w:rsid w:val="00E00F61"/>
    <w:rsid w:val="00E010C5"/>
    <w:rsid w:val="00E01254"/>
    <w:rsid w:val="00E0145F"/>
    <w:rsid w:val="00E01461"/>
    <w:rsid w:val="00E014B4"/>
    <w:rsid w:val="00E015B8"/>
    <w:rsid w:val="00E015DE"/>
    <w:rsid w:val="00E01786"/>
    <w:rsid w:val="00E01835"/>
    <w:rsid w:val="00E018E0"/>
    <w:rsid w:val="00E01986"/>
    <w:rsid w:val="00E01AD6"/>
    <w:rsid w:val="00E01BF8"/>
    <w:rsid w:val="00E01F91"/>
    <w:rsid w:val="00E02134"/>
    <w:rsid w:val="00E021BF"/>
    <w:rsid w:val="00E026C4"/>
    <w:rsid w:val="00E0272B"/>
    <w:rsid w:val="00E027CF"/>
    <w:rsid w:val="00E02887"/>
    <w:rsid w:val="00E02D55"/>
    <w:rsid w:val="00E02DDA"/>
    <w:rsid w:val="00E03B26"/>
    <w:rsid w:val="00E03C28"/>
    <w:rsid w:val="00E03CB6"/>
    <w:rsid w:val="00E03F54"/>
    <w:rsid w:val="00E04524"/>
    <w:rsid w:val="00E04537"/>
    <w:rsid w:val="00E045FE"/>
    <w:rsid w:val="00E047AF"/>
    <w:rsid w:val="00E04C46"/>
    <w:rsid w:val="00E04F58"/>
    <w:rsid w:val="00E0561E"/>
    <w:rsid w:val="00E0574C"/>
    <w:rsid w:val="00E05880"/>
    <w:rsid w:val="00E05BF5"/>
    <w:rsid w:val="00E06049"/>
    <w:rsid w:val="00E06595"/>
    <w:rsid w:val="00E06615"/>
    <w:rsid w:val="00E066A4"/>
    <w:rsid w:val="00E0703E"/>
    <w:rsid w:val="00E07227"/>
    <w:rsid w:val="00E1005D"/>
    <w:rsid w:val="00E1059A"/>
    <w:rsid w:val="00E10711"/>
    <w:rsid w:val="00E10A6F"/>
    <w:rsid w:val="00E10EAA"/>
    <w:rsid w:val="00E1104A"/>
    <w:rsid w:val="00E11264"/>
    <w:rsid w:val="00E1139D"/>
    <w:rsid w:val="00E116D2"/>
    <w:rsid w:val="00E118A2"/>
    <w:rsid w:val="00E11FC1"/>
    <w:rsid w:val="00E1201F"/>
    <w:rsid w:val="00E121A1"/>
    <w:rsid w:val="00E1246E"/>
    <w:rsid w:val="00E125D4"/>
    <w:rsid w:val="00E12714"/>
    <w:rsid w:val="00E128FD"/>
    <w:rsid w:val="00E12C60"/>
    <w:rsid w:val="00E12F98"/>
    <w:rsid w:val="00E1301E"/>
    <w:rsid w:val="00E131DC"/>
    <w:rsid w:val="00E13AEF"/>
    <w:rsid w:val="00E13EED"/>
    <w:rsid w:val="00E140D2"/>
    <w:rsid w:val="00E141A4"/>
    <w:rsid w:val="00E14302"/>
    <w:rsid w:val="00E1478C"/>
    <w:rsid w:val="00E14D8B"/>
    <w:rsid w:val="00E153A7"/>
    <w:rsid w:val="00E15851"/>
    <w:rsid w:val="00E15FE1"/>
    <w:rsid w:val="00E16109"/>
    <w:rsid w:val="00E16427"/>
    <w:rsid w:val="00E167A5"/>
    <w:rsid w:val="00E16E08"/>
    <w:rsid w:val="00E170BD"/>
    <w:rsid w:val="00E17C2C"/>
    <w:rsid w:val="00E17ED4"/>
    <w:rsid w:val="00E20280"/>
    <w:rsid w:val="00E204CA"/>
    <w:rsid w:val="00E20830"/>
    <w:rsid w:val="00E20CB9"/>
    <w:rsid w:val="00E20E9A"/>
    <w:rsid w:val="00E213DF"/>
    <w:rsid w:val="00E21BE1"/>
    <w:rsid w:val="00E21BE9"/>
    <w:rsid w:val="00E21D89"/>
    <w:rsid w:val="00E21DDC"/>
    <w:rsid w:val="00E21E69"/>
    <w:rsid w:val="00E21E83"/>
    <w:rsid w:val="00E22478"/>
    <w:rsid w:val="00E225C7"/>
    <w:rsid w:val="00E226F5"/>
    <w:rsid w:val="00E22D5A"/>
    <w:rsid w:val="00E22D83"/>
    <w:rsid w:val="00E22DA9"/>
    <w:rsid w:val="00E22DB6"/>
    <w:rsid w:val="00E232E9"/>
    <w:rsid w:val="00E234B8"/>
    <w:rsid w:val="00E2378F"/>
    <w:rsid w:val="00E2392C"/>
    <w:rsid w:val="00E23B4C"/>
    <w:rsid w:val="00E23D9A"/>
    <w:rsid w:val="00E23E3C"/>
    <w:rsid w:val="00E23EC2"/>
    <w:rsid w:val="00E23FA5"/>
    <w:rsid w:val="00E2432B"/>
    <w:rsid w:val="00E243D5"/>
    <w:rsid w:val="00E246B9"/>
    <w:rsid w:val="00E24C4A"/>
    <w:rsid w:val="00E24C59"/>
    <w:rsid w:val="00E24CB3"/>
    <w:rsid w:val="00E24F56"/>
    <w:rsid w:val="00E24FE1"/>
    <w:rsid w:val="00E251E2"/>
    <w:rsid w:val="00E252C7"/>
    <w:rsid w:val="00E25371"/>
    <w:rsid w:val="00E25403"/>
    <w:rsid w:val="00E254E6"/>
    <w:rsid w:val="00E254EE"/>
    <w:rsid w:val="00E256FD"/>
    <w:rsid w:val="00E25B68"/>
    <w:rsid w:val="00E260AB"/>
    <w:rsid w:val="00E261B2"/>
    <w:rsid w:val="00E26254"/>
    <w:rsid w:val="00E262AA"/>
    <w:rsid w:val="00E2651F"/>
    <w:rsid w:val="00E269D1"/>
    <w:rsid w:val="00E26C03"/>
    <w:rsid w:val="00E26CDF"/>
    <w:rsid w:val="00E26F62"/>
    <w:rsid w:val="00E27011"/>
    <w:rsid w:val="00E27094"/>
    <w:rsid w:val="00E27674"/>
    <w:rsid w:val="00E2775F"/>
    <w:rsid w:val="00E27977"/>
    <w:rsid w:val="00E27B62"/>
    <w:rsid w:val="00E27D34"/>
    <w:rsid w:val="00E27D92"/>
    <w:rsid w:val="00E3021E"/>
    <w:rsid w:val="00E307B5"/>
    <w:rsid w:val="00E30A6F"/>
    <w:rsid w:val="00E30C61"/>
    <w:rsid w:val="00E30F62"/>
    <w:rsid w:val="00E31049"/>
    <w:rsid w:val="00E311FC"/>
    <w:rsid w:val="00E31527"/>
    <w:rsid w:val="00E316C8"/>
    <w:rsid w:val="00E31725"/>
    <w:rsid w:val="00E319A3"/>
    <w:rsid w:val="00E31B50"/>
    <w:rsid w:val="00E31D2B"/>
    <w:rsid w:val="00E3218D"/>
    <w:rsid w:val="00E32294"/>
    <w:rsid w:val="00E32360"/>
    <w:rsid w:val="00E32699"/>
    <w:rsid w:val="00E32D22"/>
    <w:rsid w:val="00E33140"/>
    <w:rsid w:val="00E336F1"/>
    <w:rsid w:val="00E33B5B"/>
    <w:rsid w:val="00E33BD8"/>
    <w:rsid w:val="00E33C8A"/>
    <w:rsid w:val="00E33F61"/>
    <w:rsid w:val="00E34174"/>
    <w:rsid w:val="00E3470A"/>
    <w:rsid w:val="00E34779"/>
    <w:rsid w:val="00E34E25"/>
    <w:rsid w:val="00E3528F"/>
    <w:rsid w:val="00E35484"/>
    <w:rsid w:val="00E357B0"/>
    <w:rsid w:val="00E3587D"/>
    <w:rsid w:val="00E36534"/>
    <w:rsid w:val="00E36582"/>
    <w:rsid w:val="00E36708"/>
    <w:rsid w:val="00E36963"/>
    <w:rsid w:val="00E36B77"/>
    <w:rsid w:val="00E36CAF"/>
    <w:rsid w:val="00E36F20"/>
    <w:rsid w:val="00E37307"/>
    <w:rsid w:val="00E37A4F"/>
    <w:rsid w:val="00E37D9F"/>
    <w:rsid w:val="00E40630"/>
    <w:rsid w:val="00E407DE"/>
    <w:rsid w:val="00E40C63"/>
    <w:rsid w:val="00E40CEE"/>
    <w:rsid w:val="00E40E71"/>
    <w:rsid w:val="00E4167D"/>
    <w:rsid w:val="00E418FF"/>
    <w:rsid w:val="00E41923"/>
    <w:rsid w:val="00E41CA2"/>
    <w:rsid w:val="00E4245D"/>
    <w:rsid w:val="00E424B9"/>
    <w:rsid w:val="00E425A0"/>
    <w:rsid w:val="00E429B4"/>
    <w:rsid w:val="00E42AC8"/>
    <w:rsid w:val="00E42BB6"/>
    <w:rsid w:val="00E42CB4"/>
    <w:rsid w:val="00E42D3F"/>
    <w:rsid w:val="00E42FD6"/>
    <w:rsid w:val="00E43074"/>
    <w:rsid w:val="00E43433"/>
    <w:rsid w:val="00E434F7"/>
    <w:rsid w:val="00E4353E"/>
    <w:rsid w:val="00E43C57"/>
    <w:rsid w:val="00E43F4E"/>
    <w:rsid w:val="00E43FB3"/>
    <w:rsid w:val="00E43FD1"/>
    <w:rsid w:val="00E440A0"/>
    <w:rsid w:val="00E446B0"/>
    <w:rsid w:val="00E4481E"/>
    <w:rsid w:val="00E44A7C"/>
    <w:rsid w:val="00E44C3E"/>
    <w:rsid w:val="00E44EE9"/>
    <w:rsid w:val="00E44F95"/>
    <w:rsid w:val="00E454EC"/>
    <w:rsid w:val="00E45719"/>
    <w:rsid w:val="00E45721"/>
    <w:rsid w:val="00E45B61"/>
    <w:rsid w:val="00E45B73"/>
    <w:rsid w:val="00E45BBC"/>
    <w:rsid w:val="00E45E04"/>
    <w:rsid w:val="00E4602E"/>
    <w:rsid w:val="00E46234"/>
    <w:rsid w:val="00E46574"/>
    <w:rsid w:val="00E465AD"/>
    <w:rsid w:val="00E46AC9"/>
    <w:rsid w:val="00E4705D"/>
    <w:rsid w:val="00E47CE8"/>
    <w:rsid w:val="00E47F52"/>
    <w:rsid w:val="00E50071"/>
    <w:rsid w:val="00E50651"/>
    <w:rsid w:val="00E50A0E"/>
    <w:rsid w:val="00E50B34"/>
    <w:rsid w:val="00E50C35"/>
    <w:rsid w:val="00E50DB2"/>
    <w:rsid w:val="00E512FB"/>
    <w:rsid w:val="00E51DBC"/>
    <w:rsid w:val="00E51E53"/>
    <w:rsid w:val="00E522B2"/>
    <w:rsid w:val="00E522BC"/>
    <w:rsid w:val="00E525FC"/>
    <w:rsid w:val="00E529C3"/>
    <w:rsid w:val="00E52AF4"/>
    <w:rsid w:val="00E52B68"/>
    <w:rsid w:val="00E5340D"/>
    <w:rsid w:val="00E5363B"/>
    <w:rsid w:val="00E539DD"/>
    <w:rsid w:val="00E53DDA"/>
    <w:rsid w:val="00E53DF8"/>
    <w:rsid w:val="00E54033"/>
    <w:rsid w:val="00E543E0"/>
    <w:rsid w:val="00E54471"/>
    <w:rsid w:val="00E544A3"/>
    <w:rsid w:val="00E545C6"/>
    <w:rsid w:val="00E54AAC"/>
    <w:rsid w:val="00E54D9C"/>
    <w:rsid w:val="00E54DB5"/>
    <w:rsid w:val="00E54DBA"/>
    <w:rsid w:val="00E55486"/>
    <w:rsid w:val="00E5576B"/>
    <w:rsid w:val="00E5595E"/>
    <w:rsid w:val="00E55AF7"/>
    <w:rsid w:val="00E55DCB"/>
    <w:rsid w:val="00E55E38"/>
    <w:rsid w:val="00E55EDD"/>
    <w:rsid w:val="00E55F17"/>
    <w:rsid w:val="00E567CD"/>
    <w:rsid w:val="00E56F6A"/>
    <w:rsid w:val="00E57056"/>
    <w:rsid w:val="00E57127"/>
    <w:rsid w:val="00E57182"/>
    <w:rsid w:val="00E57391"/>
    <w:rsid w:val="00E5764A"/>
    <w:rsid w:val="00E57777"/>
    <w:rsid w:val="00E5793B"/>
    <w:rsid w:val="00E57D64"/>
    <w:rsid w:val="00E57E87"/>
    <w:rsid w:val="00E57EAD"/>
    <w:rsid w:val="00E60408"/>
    <w:rsid w:val="00E607F8"/>
    <w:rsid w:val="00E608BA"/>
    <w:rsid w:val="00E6097F"/>
    <w:rsid w:val="00E60CDD"/>
    <w:rsid w:val="00E60CF7"/>
    <w:rsid w:val="00E60DDF"/>
    <w:rsid w:val="00E61030"/>
    <w:rsid w:val="00E6160F"/>
    <w:rsid w:val="00E61768"/>
    <w:rsid w:val="00E61E50"/>
    <w:rsid w:val="00E6217C"/>
    <w:rsid w:val="00E622C3"/>
    <w:rsid w:val="00E6250E"/>
    <w:rsid w:val="00E62BE9"/>
    <w:rsid w:val="00E62C92"/>
    <w:rsid w:val="00E63129"/>
    <w:rsid w:val="00E632BF"/>
    <w:rsid w:val="00E635D6"/>
    <w:rsid w:val="00E63911"/>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954"/>
    <w:rsid w:val="00E66F24"/>
    <w:rsid w:val="00E67342"/>
    <w:rsid w:val="00E67853"/>
    <w:rsid w:val="00E67ABC"/>
    <w:rsid w:val="00E67ADA"/>
    <w:rsid w:val="00E67C62"/>
    <w:rsid w:val="00E67E1F"/>
    <w:rsid w:val="00E67EF0"/>
    <w:rsid w:val="00E70378"/>
    <w:rsid w:val="00E70447"/>
    <w:rsid w:val="00E705CC"/>
    <w:rsid w:val="00E7099A"/>
    <w:rsid w:val="00E70EDF"/>
    <w:rsid w:val="00E70F82"/>
    <w:rsid w:val="00E711F6"/>
    <w:rsid w:val="00E71220"/>
    <w:rsid w:val="00E712B7"/>
    <w:rsid w:val="00E71602"/>
    <w:rsid w:val="00E718C9"/>
    <w:rsid w:val="00E71B00"/>
    <w:rsid w:val="00E71C3E"/>
    <w:rsid w:val="00E7244E"/>
    <w:rsid w:val="00E72589"/>
    <w:rsid w:val="00E727D2"/>
    <w:rsid w:val="00E72D85"/>
    <w:rsid w:val="00E73258"/>
    <w:rsid w:val="00E73627"/>
    <w:rsid w:val="00E73667"/>
    <w:rsid w:val="00E73768"/>
    <w:rsid w:val="00E743D2"/>
    <w:rsid w:val="00E747AC"/>
    <w:rsid w:val="00E754E4"/>
    <w:rsid w:val="00E755B3"/>
    <w:rsid w:val="00E75C21"/>
    <w:rsid w:val="00E75D52"/>
    <w:rsid w:val="00E75F72"/>
    <w:rsid w:val="00E7611C"/>
    <w:rsid w:val="00E76279"/>
    <w:rsid w:val="00E765D7"/>
    <w:rsid w:val="00E77038"/>
    <w:rsid w:val="00E7772F"/>
    <w:rsid w:val="00E77807"/>
    <w:rsid w:val="00E778B6"/>
    <w:rsid w:val="00E77AED"/>
    <w:rsid w:val="00E77C00"/>
    <w:rsid w:val="00E77EB8"/>
    <w:rsid w:val="00E800ED"/>
    <w:rsid w:val="00E80113"/>
    <w:rsid w:val="00E80279"/>
    <w:rsid w:val="00E80455"/>
    <w:rsid w:val="00E80590"/>
    <w:rsid w:val="00E8072F"/>
    <w:rsid w:val="00E80CCD"/>
    <w:rsid w:val="00E80D20"/>
    <w:rsid w:val="00E80E9C"/>
    <w:rsid w:val="00E811DB"/>
    <w:rsid w:val="00E81710"/>
    <w:rsid w:val="00E8171D"/>
    <w:rsid w:val="00E81877"/>
    <w:rsid w:val="00E81BA8"/>
    <w:rsid w:val="00E820A4"/>
    <w:rsid w:val="00E820AD"/>
    <w:rsid w:val="00E8212C"/>
    <w:rsid w:val="00E827C5"/>
    <w:rsid w:val="00E82822"/>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AF"/>
    <w:rsid w:val="00E84EF4"/>
    <w:rsid w:val="00E84FAC"/>
    <w:rsid w:val="00E851FB"/>
    <w:rsid w:val="00E85345"/>
    <w:rsid w:val="00E853E2"/>
    <w:rsid w:val="00E8558B"/>
    <w:rsid w:val="00E8565A"/>
    <w:rsid w:val="00E85675"/>
    <w:rsid w:val="00E85A36"/>
    <w:rsid w:val="00E85BF0"/>
    <w:rsid w:val="00E85E2C"/>
    <w:rsid w:val="00E864B1"/>
    <w:rsid w:val="00E86B76"/>
    <w:rsid w:val="00E86C3F"/>
    <w:rsid w:val="00E86CA8"/>
    <w:rsid w:val="00E873CB"/>
    <w:rsid w:val="00E8766F"/>
    <w:rsid w:val="00E876C6"/>
    <w:rsid w:val="00E90089"/>
    <w:rsid w:val="00E9011C"/>
    <w:rsid w:val="00E90156"/>
    <w:rsid w:val="00E905A1"/>
    <w:rsid w:val="00E9112C"/>
    <w:rsid w:val="00E9146F"/>
    <w:rsid w:val="00E9149B"/>
    <w:rsid w:val="00E916DE"/>
    <w:rsid w:val="00E918B9"/>
    <w:rsid w:val="00E918DF"/>
    <w:rsid w:val="00E91DEC"/>
    <w:rsid w:val="00E91E40"/>
    <w:rsid w:val="00E92038"/>
    <w:rsid w:val="00E921ED"/>
    <w:rsid w:val="00E9235D"/>
    <w:rsid w:val="00E923C1"/>
    <w:rsid w:val="00E927A0"/>
    <w:rsid w:val="00E92B1B"/>
    <w:rsid w:val="00E92B4B"/>
    <w:rsid w:val="00E92BB9"/>
    <w:rsid w:val="00E92BC1"/>
    <w:rsid w:val="00E92C0F"/>
    <w:rsid w:val="00E92C24"/>
    <w:rsid w:val="00E9304D"/>
    <w:rsid w:val="00E930E4"/>
    <w:rsid w:val="00E9333C"/>
    <w:rsid w:val="00E934BF"/>
    <w:rsid w:val="00E93639"/>
    <w:rsid w:val="00E93A74"/>
    <w:rsid w:val="00E94187"/>
    <w:rsid w:val="00E9447C"/>
    <w:rsid w:val="00E94B5B"/>
    <w:rsid w:val="00E94CC7"/>
    <w:rsid w:val="00E94D73"/>
    <w:rsid w:val="00E94E51"/>
    <w:rsid w:val="00E9535E"/>
    <w:rsid w:val="00E95695"/>
    <w:rsid w:val="00E95A61"/>
    <w:rsid w:val="00E95A8F"/>
    <w:rsid w:val="00E95C7C"/>
    <w:rsid w:val="00E9607D"/>
    <w:rsid w:val="00E96351"/>
    <w:rsid w:val="00E964DF"/>
    <w:rsid w:val="00E9658E"/>
    <w:rsid w:val="00E9665C"/>
    <w:rsid w:val="00E96768"/>
    <w:rsid w:val="00E9681B"/>
    <w:rsid w:val="00E96B58"/>
    <w:rsid w:val="00E96B92"/>
    <w:rsid w:val="00E96E5B"/>
    <w:rsid w:val="00E96F79"/>
    <w:rsid w:val="00E97256"/>
    <w:rsid w:val="00E9760E"/>
    <w:rsid w:val="00E97754"/>
    <w:rsid w:val="00E979EF"/>
    <w:rsid w:val="00E97AC6"/>
    <w:rsid w:val="00E97BD4"/>
    <w:rsid w:val="00E97D19"/>
    <w:rsid w:val="00E97EBF"/>
    <w:rsid w:val="00EA0135"/>
    <w:rsid w:val="00EA05D5"/>
    <w:rsid w:val="00EA0A55"/>
    <w:rsid w:val="00EA0A5B"/>
    <w:rsid w:val="00EA10A5"/>
    <w:rsid w:val="00EA13DA"/>
    <w:rsid w:val="00EA1759"/>
    <w:rsid w:val="00EA17A0"/>
    <w:rsid w:val="00EA17B6"/>
    <w:rsid w:val="00EA1897"/>
    <w:rsid w:val="00EA1945"/>
    <w:rsid w:val="00EA1DBB"/>
    <w:rsid w:val="00EA1E33"/>
    <w:rsid w:val="00EA25CC"/>
    <w:rsid w:val="00EA25FF"/>
    <w:rsid w:val="00EA27DE"/>
    <w:rsid w:val="00EA2AC3"/>
    <w:rsid w:val="00EA2AC6"/>
    <w:rsid w:val="00EA2E8D"/>
    <w:rsid w:val="00EA3353"/>
    <w:rsid w:val="00EA34C1"/>
    <w:rsid w:val="00EA35C4"/>
    <w:rsid w:val="00EA369E"/>
    <w:rsid w:val="00EA3A0E"/>
    <w:rsid w:val="00EA3A39"/>
    <w:rsid w:val="00EA3C36"/>
    <w:rsid w:val="00EA41B4"/>
    <w:rsid w:val="00EA4424"/>
    <w:rsid w:val="00EA4475"/>
    <w:rsid w:val="00EA45B4"/>
    <w:rsid w:val="00EA4688"/>
    <w:rsid w:val="00EA4B34"/>
    <w:rsid w:val="00EA4C72"/>
    <w:rsid w:val="00EA5559"/>
    <w:rsid w:val="00EA55FD"/>
    <w:rsid w:val="00EA5772"/>
    <w:rsid w:val="00EA5FD1"/>
    <w:rsid w:val="00EA619E"/>
    <w:rsid w:val="00EA6995"/>
    <w:rsid w:val="00EA6BC3"/>
    <w:rsid w:val="00EA6BE0"/>
    <w:rsid w:val="00EA6BFD"/>
    <w:rsid w:val="00EA7284"/>
    <w:rsid w:val="00EA7960"/>
    <w:rsid w:val="00EA7C4C"/>
    <w:rsid w:val="00EA7CA9"/>
    <w:rsid w:val="00EA7D4D"/>
    <w:rsid w:val="00EB00C5"/>
    <w:rsid w:val="00EB0CC9"/>
    <w:rsid w:val="00EB0D9A"/>
    <w:rsid w:val="00EB1098"/>
    <w:rsid w:val="00EB110F"/>
    <w:rsid w:val="00EB111E"/>
    <w:rsid w:val="00EB1482"/>
    <w:rsid w:val="00EB171A"/>
    <w:rsid w:val="00EB1970"/>
    <w:rsid w:val="00EB1B6F"/>
    <w:rsid w:val="00EB1B98"/>
    <w:rsid w:val="00EB1CE6"/>
    <w:rsid w:val="00EB2188"/>
    <w:rsid w:val="00EB2380"/>
    <w:rsid w:val="00EB23AE"/>
    <w:rsid w:val="00EB3035"/>
    <w:rsid w:val="00EB3135"/>
    <w:rsid w:val="00EB349D"/>
    <w:rsid w:val="00EB3688"/>
    <w:rsid w:val="00EB38D4"/>
    <w:rsid w:val="00EB3BD2"/>
    <w:rsid w:val="00EB3F42"/>
    <w:rsid w:val="00EB409F"/>
    <w:rsid w:val="00EB43FE"/>
    <w:rsid w:val="00EB45A7"/>
    <w:rsid w:val="00EB4683"/>
    <w:rsid w:val="00EB4A4F"/>
    <w:rsid w:val="00EB4DE5"/>
    <w:rsid w:val="00EB4FB8"/>
    <w:rsid w:val="00EB50D3"/>
    <w:rsid w:val="00EB5380"/>
    <w:rsid w:val="00EB56B1"/>
    <w:rsid w:val="00EB5A30"/>
    <w:rsid w:val="00EB5B82"/>
    <w:rsid w:val="00EB5CF1"/>
    <w:rsid w:val="00EB6324"/>
    <w:rsid w:val="00EB67AB"/>
    <w:rsid w:val="00EB69BE"/>
    <w:rsid w:val="00EB6A2F"/>
    <w:rsid w:val="00EB6A6A"/>
    <w:rsid w:val="00EB71E6"/>
    <w:rsid w:val="00EB7572"/>
    <w:rsid w:val="00EB7F43"/>
    <w:rsid w:val="00EC0284"/>
    <w:rsid w:val="00EC099F"/>
    <w:rsid w:val="00EC0A3B"/>
    <w:rsid w:val="00EC0A5C"/>
    <w:rsid w:val="00EC0B1C"/>
    <w:rsid w:val="00EC0C9F"/>
    <w:rsid w:val="00EC105F"/>
    <w:rsid w:val="00EC1675"/>
    <w:rsid w:val="00EC233F"/>
    <w:rsid w:val="00EC243C"/>
    <w:rsid w:val="00EC25D8"/>
    <w:rsid w:val="00EC2A11"/>
    <w:rsid w:val="00EC2A27"/>
    <w:rsid w:val="00EC33FA"/>
    <w:rsid w:val="00EC349A"/>
    <w:rsid w:val="00EC351C"/>
    <w:rsid w:val="00EC3968"/>
    <w:rsid w:val="00EC3A50"/>
    <w:rsid w:val="00EC3B8D"/>
    <w:rsid w:val="00EC3F4B"/>
    <w:rsid w:val="00EC3FF3"/>
    <w:rsid w:val="00EC4379"/>
    <w:rsid w:val="00EC442A"/>
    <w:rsid w:val="00EC4860"/>
    <w:rsid w:val="00EC4C93"/>
    <w:rsid w:val="00EC4D8B"/>
    <w:rsid w:val="00EC50BD"/>
    <w:rsid w:val="00EC52E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8A1"/>
    <w:rsid w:val="00EC7C45"/>
    <w:rsid w:val="00ED0174"/>
    <w:rsid w:val="00ED0342"/>
    <w:rsid w:val="00ED0693"/>
    <w:rsid w:val="00ED0759"/>
    <w:rsid w:val="00ED0C08"/>
    <w:rsid w:val="00ED0D88"/>
    <w:rsid w:val="00ED0EAF"/>
    <w:rsid w:val="00ED10DF"/>
    <w:rsid w:val="00ED1239"/>
    <w:rsid w:val="00ED13B2"/>
    <w:rsid w:val="00ED1806"/>
    <w:rsid w:val="00ED2564"/>
    <w:rsid w:val="00ED2631"/>
    <w:rsid w:val="00ED2B08"/>
    <w:rsid w:val="00ED2B72"/>
    <w:rsid w:val="00ED2EF1"/>
    <w:rsid w:val="00ED3125"/>
    <w:rsid w:val="00ED31E8"/>
    <w:rsid w:val="00ED3241"/>
    <w:rsid w:val="00ED372A"/>
    <w:rsid w:val="00ED383D"/>
    <w:rsid w:val="00ED398B"/>
    <w:rsid w:val="00ED3A99"/>
    <w:rsid w:val="00ED3AF9"/>
    <w:rsid w:val="00ED3D7F"/>
    <w:rsid w:val="00ED44A3"/>
    <w:rsid w:val="00ED44F2"/>
    <w:rsid w:val="00ED4814"/>
    <w:rsid w:val="00ED53EB"/>
    <w:rsid w:val="00ED5456"/>
    <w:rsid w:val="00ED5637"/>
    <w:rsid w:val="00ED5B6A"/>
    <w:rsid w:val="00ED5C72"/>
    <w:rsid w:val="00ED5DFB"/>
    <w:rsid w:val="00ED658A"/>
    <w:rsid w:val="00ED6773"/>
    <w:rsid w:val="00ED6838"/>
    <w:rsid w:val="00ED6D3A"/>
    <w:rsid w:val="00ED7106"/>
    <w:rsid w:val="00ED716B"/>
    <w:rsid w:val="00ED71F7"/>
    <w:rsid w:val="00ED7318"/>
    <w:rsid w:val="00ED74A5"/>
    <w:rsid w:val="00ED7570"/>
    <w:rsid w:val="00ED7A73"/>
    <w:rsid w:val="00EE01DB"/>
    <w:rsid w:val="00EE039E"/>
    <w:rsid w:val="00EE0619"/>
    <w:rsid w:val="00EE0A56"/>
    <w:rsid w:val="00EE0AD6"/>
    <w:rsid w:val="00EE0AF1"/>
    <w:rsid w:val="00EE0BAC"/>
    <w:rsid w:val="00EE0C59"/>
    <w:rsid w:val="00EE0FB2"/>
    <w:rsid w:val="00EE14DF"/>
    <w:rsid w:val="00EE1897"/>
    <w:rsid w:val="00EE1B32"/>
    <w:rsid w:val="00EE242E"/>
    <w:rsid w:val="00EE277A"/>
    <w:rsid w:val="00EE2A4F"/>
    <w:rsid w:val="00EE2B0B"/>
    <w:rsid w:val="00EE2C20"/>
    <w:rsid w:val="00EE2DDA"/>
    <w:rsid w:val="00EE2E1D"/>
    <w:rsid w:val="00EE300F"/>
    <w:rsid w:val="00EE3199"/>
    <w:rsid w:val="00EE3B57"/>
    <w:rsid w:val="00EE3D23"/>
    <w:rsid w:val="00EE4103"/>
    <w:rsid w:val="00EE4106"/>
    <w:rsid w:val="00EE42C3"/>
    <w:rsid w:val="00EE4683"/>
    <w:rsid w:val="00EE46C5"/>
    <w:rsid w:val="00EE478C"/>
    <w:rsid w:val="00EE487A"/>
    <w:rsid w:val="00EE4C7C"/>
    <w:rsid w:val="00EE4DB1"/>
    <w:rsid w:val="00EE50D9"/>
    <w:rsid w:val="00EE5642"/>
    <w:rsid w:val="00EE5AC7"/>
    <w:rsid w:val="00EE5AF9"/>
    <w:rsid w:val="00EE60EF"/>
    <w:rsid w:val="00EE6137"/>
    <w:rsid w:val="00EE6428"/>
    <w:rsid w:val="00EE6738"/>
    <w:rsid w:val="00EE674B"/>
    <w:rsid w:val="00EE6A8E"/>
    <w:rsid w:val="00EE71C8"/>
    <w:rsid w:val="00EE71D4"/>
    <w:rsid w:val="00EE737F"/>
    <w:rsid w:val="00EE767E"/>
    <w:rsid w:val="00EE76ED"/>
    <w:rsid w:val="00EE7B24"/>
    <w:rsid w:val="00EE7E1A"/>
    <w:rsid w:val="00EF0013"/>
    <w:rsid w:val="00EF019B"/>
    <w:rsid w:val="00EF03EB"/>
    <w:rsid w:val="00EF0775"/>
    <w:rsid w:val="00EF0838"/>
    <w:rsid w:val="00EF0BC9"/>
    <w:rsid w:val="00EF0DCD"/>
    <w:rsid w:val="00EF10B2"/>
    <w:rsid w:val="00EF11D4"/>
    <w:rsid w:val="00EF1526"/>
    <w:rsid w:val="00EF1720"/>
    <w:rsid w:val="00EF1DE7"/>
    <w:rsid w:val="00EF2092"/>
    <w:rsid w:val="00EF210F"/>
    <w:rsid w:val="00EF2335"/>
    <w:rsid w:val="00EF2423"/>
    <w:rsid w:val="00EF29FE"/>
    <w:rsid w:val="00EF2B39"/>
    <w:rsid w:val="00EF310B"/>
    <w:rsid w:val="00EF33BC"/>
    <w:rsid w:val="00EF3A75"/>
    <w:rsid w:val="00EF3D0C"/>
    <w:rsid w:val="00EF3D85"/>
    <w:rsid w:val="00EF3E9E"/>
    <w:rsid w:val="00EF4409"/>
    <w:rsid w:val="00EF44E9"/>
    <w:rsid w:val="00EF450D"/>
    <w:rsid w:val="00EF45D7"/>
    <w:rsid w:val="00EF45F1"/>
    <w:rsid w:val="00EF4611"/>
    <w:rsid w:val="00EF47C3"/>
    <w:rsid w:val="00EF4863"/>
    <w:rsid w:val="00EF48BC"/>
    <w:rsid w:val="00EF4967"/>
    <w:rsid w:val="00EF4E64"/>
    <w:rsid w:val="00EF5373"/>
    <w:rsid w:val="00EF541C"/>
    <w:rsid w:val="00EF5483"/>
    <w:rsid w:val="00EF586E"/>
    <w:rsid w:val="00EF58F0"/>
    <w:rsid w:val="00EF5A9C"/>
    <w:rsid w:val="00EF5BD7"/>
    <w:rsid w:val="00EF5CC9"/>
    <w:rsid w:val="00EF5D62"/>
    <w:rsid w:val="00EF5FEC"/>
    <w:rsid w:val="00EF6027"/>
    <w:rsid w:val="00EF6099"/>
    <w:rsid w:val="00EF6183"/>
    <w:rsid w:val="00EF61D5"/>
    <w:rsid w:val="00EF625A"/>
    <w:rsid w:val="00EF676F"/>
    <w:rsid w:val="00EF6DAE"/>
    <w:rsid w:val="00EF6F6B"/>
    <w:rsid w:val="00EF6FB7"/>
    <w:rsid w:val="00EF6FC3"/>
    <w:rsid w:val="00EF71BD"/>
    <w:rsid w:val="00EF72CB"/>
    <w:rsid w:val="00EF72D1"/>
    <w:rsid w:val="00EF736B"/>
    <w:rsid w:val="00EF74A5"/>
    <w:rsid w:val="00EF7651"/>
    <w:rsid w:val="00EF7E81"/>
    <w:rsid w:val="00EF7F1C"/>
    <w:rsid w:val="00F000B1"/>
    <w:rsid w:val="00F000FC"/>
    <w:rsid w:val="00F00336"/>
    <w:rsid w:val="00F0039A"/>
    <w:rsid w:val="00F008B6"/>
    <w:rsid w:val="00F0093A"/>
    <w:rsid w:val="00F00B97"/>
    <w:rsid w:val="00F00BFA"/>
    <w:rsid w:val="00F00F8C"/>
    <w:rsid w:val="00F01233"/>
    <w:rsid w:val="00F017DE"/>
    <w:rsid w:val="00F01C9D"/>
    <w:rsid w:val="00F01F50"/>
    <w:rsid w:val="00F02370"/>
    <w:rsid w:val="00F024EB"/>
    <w:rsid w:val="00F02871"/>
    <w:rsid w:val="00F029BA"/>
    <w:rsid w:val="00F02C83"/>
    <w:rsid w:val="00F02E24"/>
    <w:rsid w:val="00F0301F"/>
    <w:rsid w:val="00F032DC"/>
    <w:rsid w:val="00F03DFF"/>
    <w:rsid w:val="00F03E8D"/>
    <w:rsid w:val="00F0422A"/>
    <w:rsid w:val="00F043FC"/>
    <w:rsid w:val="00F0456C"/>
    <w:rsid w:val="00F046EF"/>
    <w:rsid w:val="00F049F3"/>
    <w:rsid w:val="00F04AF2"/>
    <w:rsid w:val="00F04CE7"/>
    <w:rsid w:val="00F04E85"/>
    <w:rsid w:val="00F05C75"/>
    <w:rsid w:val="00F066D7"/>
    <w:rsid w:val="00F0681C"/>
    <w:rsid w:val="00F069B7"/>
    <w:rsid w:val="00F06B66"/>
    <w:rsid w:val="00F06F01"/>
    <w:rsid w:val="00F06F97"/>
    <w:rsid w:val="00F070F8"/>
    <w:rsid w:val="00F070FF"/>
    <w:rsid w:val="00F07174"/>
    <w:rsid w:val="00F0728D"/>
    <w:rsid w:val="00F0763C"/>
    <w:rsid w:val="00F07843"/>
    <w:rsid w:val="00F07AD7"/>
    <w:rsid w:val="00F07DCF"/>
    <w:rsid w:val="00F07E00"/>
    <w:rsid w:val="00F07F57"/>
    <w:rsid w:val="00F1013C"/>
    <w:rsid w:val="00F10277"/>
    <w:rsid w:val="00F107B8"/>
    <w:rsid w:val="00F10BFD"/>
    <w:rsid w:val="00F10CD3"/>
    <w:rsid w:val="00F10D66"/>
    <w:rsid w:val="00F112BC"/>
    <w:rsid w:val="00F1157C"/>
    <w:rsid w:val="00F11592"/>
    <w:rsid w:val="00F11EC8"/>
    <w:rsid w:val="00F12084"/>
    <w:rsid w:val="00F120DD"/>
    <w:rsid w:val="00F1261F"/>
    <w:rsid w:val="00F12702"/>
    <w:rsid w:val="00F128CE"/>
    <w:rsid w:val="00F12BB8"/>
    <w:rsid w:val="00F12C6F"/>
    <w:rsid w:val="00F135E6"/>
    <w:rsid w:val="00F13DB6"/>
    <w:rsid w:val="00F1429A"/>
    <w:rsid w:val="00F14449"/>
    <w:rsid w:val="00F14896"/>
    <w:rsid w:val="00F14A28"/>
    <w:rsid w:val="00F14A92"/>
    <w:rsid w:val="00F14A98"/>
    <w:rsid w:val="00F14AF9"/>
    <w:rsid w:val="00F14C76"/>
    <w:rsid w:val="00F153DE"/>
    <w:rsid w:val="00F15596"/>
    <w:rsid w:val="00F15AD5"/>
    <w:rsid w:val="00F15F0F"/>
    <w:rsid w:val="00F161E1"/>
    <w:rsid w:val="00F1621C"/>
    <w:rsid w:val="00F169C6"/>
    <w:rsid w:val="00F16EE6"/>
    <w:rsid w:val="00F174C5"/>
    <w:rsid w:val="00F17518"/>
    <w:rsid w:val="00F179D9"/>
    <w:rsid w:val="00F20038"/>
    <w:rsid w:val="00F2003F"/>
    <w:rsid w:val="00F20241"/>
    <w:rsid w:val="00F20D01"/>
    <w:rsid w:val="00F21139"/>
    <w:rsid w:val="00F21296"/>
    <w:rsid w:val="00F213AF"/>
    <w:rsid w:val="00F2193C"/>
    <w:rsid w:val="00F21E9D"/>
    <w:rsid w:val="00F21FA9"/>
    <w:rsid w:val="00F21FAD"/>
    <w:rsid w:val="00F21FF6"/>
    <w:rsid w:val="00F22117"/>
    <w:rsid w:val="00F2222C"/>
    <w:rsid w:val="00F2235F"/>
    <w:rsid w:val="00F22726"/>
    <w:rsid w:val="00F22875"/>
    <w:rsid w:val="00F228E8"/>
    <w:rsid w:val="00F22A4C"/>
    <w:rsid w:val="00F22C3C"/>
    <w:rsid w:val="00F22C80"/>
    <w:rsid w:val="00F23438"/>
    <w:rsid w:val="00F2356E"/>
    <w:rsid w:val="00F23684"/>
    <w:rsid w:val="00F237CB"/>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6D7B"/>
    <w:rsid w:val="00F2709B"/>
    <w:rsid w:val="00F27238"/>
    <w:rsid w:val="00F27295"/>
    <w:rsid w:val="00F2765F"/>
    <w:rsid w:val="00F27875"/>
    <w:rsid w:val="00F27955"/>
    <w:rsid w:val="00F279CE"/>
    <w:rsid w:val="00F27ACD"/>
    <w:rsid w:val="00F27ED9"/>
    <w:rsid w:val="00F301ED"/>
    <w:rsid w:val="00F302B8"/>
    <w:rsid w:val="00F302FE"/>
    <w:rsid w:val="00F3037A"/>
    <w:rsid w:val="00F303E3"/>
    <w:rsid w:val="00F30870"/>
    <w:rsid w:val="00F309EE"/>
    <w:rsid w:val="00F30B02"/>
    <w:rsid w:val="00F30D13"/>
    <w:rsid w:val="00F30E8A"/>
    <w:rsid w:val="00F30F77"/>
    <w:rsid w:val="00F30F87"/>
    <w:rsid w:val="00F31123"/>
    <w:rsid w:val="00F3147C"/>
    <w:rsid w:val="00F3148A"/>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681"/>
    <w:rsid w:val="00F35B9A"/>
    <w:rsid w:val="00F35D62"/>
    <w:rsid w:val="00F36161"/>
    <w:rsid w:val="00F36548"/>
    <w:rsid w:val="00F3664C"/>
    <w:rsid w:val="00F36826"/>
    <w:rsid w:val="00F36AF3"/>
    <w:rsid w:val="00F36B36"/>
    <w:rsid w:val="00F36E8F"/>
    <w:rsid w:val="00F37149"/>
    <w:rsid w:val="00F3721E"/>
    <w:rsid w:val="00F3748B"/>
    <w:rsid w:val="00F374D2"/>
    <w:rsid w:val="00F37B45"/>
    <w:rsid w:val="00F37C77"/>
    <w:rsid w:val="00F37F3F"/>
    <w:rsid w:val="00F400D4"/>
    <w:rsid w:val="00F40220"/>
    <w:rsid w:val="00F40245"/>
    <w:rsid w:val="00F40662"/>
    <w:rsid w:val="00F406F8"/>
    <w:rsid w:val="00F4077C"/>
    <w:rsid w:val="00F40D4A"/>
    <w:rsid w:val="00F40F3E"/>
    <w:rsid w:val="00F41319"/>
    <w:rsid w:val="00F41343"/>
    <w:rsid w:val="00F4145B"/>
    <w:rsid w:val="00F416A5"/>
    <w:rsid w:val="00F416E7"/>
    <w:rsid w:val="00F41C15"/>
    <w:rsid w:val="00F41FAA"/>
    <w:rsid w:val="00F42366"/>
    <w:rsid w:val="00F42659"/>
    <w:rsid w:val="00F42C90"/>
    <w:rsid w:val="00F43177"/>
    <w:rsid w:val="00F4347E"/>
    <w:rsid w:val="00F43679"/>
    <w:rsid w:val="00F436E2"/>
    <w:rsid w:val="00F43826"/>
    <w:rsid w:val="00F43856"/>
    <w:rsid w:val="00F438C6"/>
    <w:rsid w:val="00F43E2B"/>
    <w:rsid w:val="00F442B1"/>
    <w:rsid w:val="00F44467"/>
    <w:rsid w:val="00F44652"/>
    <w:rsid w:val="00F44806"/>
    <w:rsid w:val="00F44AA0"/>
    <w:rsid w:val="00F44C34"/>
    <w:rsid w:val="00F44EAA"/>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9BD"/>
    <w:rsid w:val="00F47A2C"/>
    <w:rsid w:val="00F5009E"/>
    <w:rsid w:val="00F506E6"/>
    <w:rsid w:val="00F508C1"/>
    <w:rsid w:val="00F50AC1"/>
    <w:rsid w:val="00F517FD"/>
    <w:rsid w:val="00F51882"/>
    <w:rsid w:val="00F519E0"/>
    <w:rsid w:val="00F51BCB"/>
    <w:rsid w:val="00F51C8A"/>
    <w:rsid w:val="00F51E29"/>
    <w:rsid w:val="00F51ED0"/>
    <w:rsid w:val="00F5204E"/>
    <w:rsid w:val="00F52181"/>
    <w:rsid w:val="00F523E6"/>
    <w:rsid w:val="00F529BF"/>
    <w:rsid w:val="00F52FB9"/>
    <w:rsid w:val="00F53279"/>
    <w:rsid w:val="00F5337E"/>
    <w:rsid w:val="00F5381E"/>
    <w:rsid w:val="00F53903"/>
    <w:rsid w:val="00F53C64"/>
    <w:rsid w:val="00F53DDB"/>
    <w:rsid w:val="00F5409B"/>
    <w:rsid w:val="00F5409C"/>
    <w:rsid w:val="00F54266"/>
    <w:rsid w:val="00F54531"/>
    <w:rsid w:val="00F545FE"/>
    <w:rsid w:val="00F54645"/>
    <w:rsid w:val="00F54874"/>
    <w:rsid w:val="00F54942"/>
    <w:rsid w:val="00F54AF1"/>
    <w:rsid w:val="00F554A7"/>
    <w:rsid w:val="00F5585D"/>
    <w:rsid w:val="00F55C12"/>
    <w:rsid w:val="00F55DC1"/>
    <w:rsid w:val="00F55EC6"/>
    <w:rsid w:val="00F55FF7"/>
    <w:rsid w:val="00F563D1"/>
    <w:rsid w:val="00F56754"/>
    <w:rsid w:val="00F567C9"/>
    <w:rsid w:val="00F568C0"/>
    <w:rsid w:val="00F568D9"/>
    <w:rsid w:val="00F56AD4"/>
    <w:rsid w:val="00F56AF3"/>
    <w:rsid w:val="00F56D12"/>
    <w:rsid w:val="00F56DD4"/>
    <w:rsid w:val="00F56DFE"/>
    <w:rsid w:val="00F571F2"/>
    <w:rsid w:val="00F574A1"/>
    <w:rsid w:val="00F57539"/>
    <w:rsid w:val="00F5759E"/>
    <w:rsid w:val="00F57647"/>
    <w:rsid w:val="00F5789C"/>
    <w:rsid w:val="00F57CD2"/>
    <w:rsid w:val="00F602AB"/>
    <w:rsid w:val="00F602BD"/>
    <w:rsid w:val="00F603CA"/>
    <w:rsid w:val="00F60CEE"/>
    <w:rsid w:val="00F61B14"/>
    <w:rsid w:val="00F61B34"/>
    <w:rsid w:val="00F61EE4"/>
    <w:rsid w:val="00F61FDA"/>
    <w:rsid w:val="00F62252"/>
    <w:rsid w:val="00F627C8"/>
    <w:rsid w:val="00F62E59"/>
    <w:rsid w:val="00F63040"/>
    <w:rsid w:val="00F6318B"/>
    <w:rsid w:val="00F63411"/>
    <w:rsid w:val="00F635A6"/>
    <w:rsid w:val="00F6377A"/>
    <w:rsid w:val="00F63B0C"/>
    <w:rsid w:val="00F63B9D"/>
    <w:rsid w:val="00F63DE8"/>
    <w:rsid w:val="00F640EC"/>
    <w:rsid w:val="00F64137"/>
    <w:rsid w:val="00F642F0"/>
    <w:rsid w:val="00F64703"/>
    <w:rsid w:val="00F647A3"/>
    <w:rsid w:val="00F647C9"/>
    <w:rsid w:val="00F64B4C"/>
    <w:rsid w:val="00F64E64"/>
    <w:rsid w:val="00F64F72"/>
    <w:rsid w:val="00F656C3"/>
    <w:rsid w:val="00F65B34"/>
    <w:rsid w:val="00F65BEB"/>
    <w:rsid w:val="00F65D5F"/>
    <w:rsid w:val="00F6600A"/>
    <w:rsid w:val="00F6615C"/>
    <w:rsid w:val="00F6624C"/>
    <w:rsid w:val="00F66436"/>
    <w:rsid w:val="00F668DF"/>
    <w:rsid w:val="00F66957"/>
    <w:rsid w:val="00F66B2E"/>
    <w:rsid w:val="00F66BB4"/>
    <w:rsid w:val="00F6706D"/>
    <w:rsid w:val="00F672CD"/>
    <w:rsid w:val="00F672F1"/>
    <w:rsid w:val="00F67500"/>
    <w:rsid w:val="00F67579"/>
    <w:rsid w:val="00F675E3"/>
    <w:rsid w:val="00F678A8"/>
    <w:rsid w:val="00F67A7B"/>
    <w:rsid w:val="00F67B54"/>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17A"/>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DFB"/>
    <w:rsid w:val="00F74F5C"/>
    <w:rsid w:val="00F751CB"/>
    <w:rsid w:val="00F751FD"/>
    <w:rsid w:val="00F75CE3"/>
    <w:rsid w:val="00F7606B"/>
    <w:rsid w:val="00F7609A"/>
    <w:rsid w:val="00F762E3"/>
    <w:rsid w:val="00F7637D"/>
    <w:rsid w:val="00F7638A"/>
    <w:rsid w:val="00F763F3"/>
    <w:rsid w:val="00F7691F"/>
    <w:rsid w:val="00F76B15"/>
    <w:rsid w:val="00F76F6F"/>
    <w:rsid w:val="00F772D0"/>
    <w:rsid w:val="00F773DD"/>
    <w:rsid w:val="00F776AE"/>
    <w:rsid w:val="00F778BF"/>
    <w:rsid w:val="00F779BA"/>
    <w:rsid w:val="00F77A1B"/>
    <w:rsid w:val="00F80074"/>
    <w:rsid w:val="00F8020E"/>
    <w:rsid w:val="00F8071B"/>
    <w:rsid w:val="00F807C9"/>
    <w:rsid w:val="00F80B9E"/>
    <w:rsid w:val="00F80D55"/>
    <w:rsid w:val="00F80F70"/>
    <w:rsid w:val="00F813BA"/>
    <w:rsid w:val="00F81B69"/>
    <w:rsid w:val="00F81D52"/>
    <w:rsid w:val="00F821B2"/>
    <w:rsid w:val="00F823A4"/>
    <w:rsid w:val="00F82487"/>
    <w:rsid w:val="00F828CA"/>
    <w:rsid w:val="00F829C6"/>
    <w:rsid w:val="00F82C5B"/>
    <w:rsid w:val="00F82C8B"/>
    <w:rsid w:val="00F82DA6"/>
    <w:rsid w:val="00F82E3D"/>
    <w:rsid w:val="00F82FC2"/>
    <w:rsid w:val="00F836C6"/>
    <w:rsid w:val="00F83712"/>
    <w:rsid w:val="00F8388D"/>
    <w:rsid w:val="00F838EB"/>
    <w:rsid w:val="00F83A8A"/>
    <w:rsid w:val="00F83F45"/>
    <w:rsid w:val="00F83FBE"/>
    <w:rsid w:val="00F8408C"/>
    <w:rsid w:val="00F841A7"/>
    <w:rsid w:val="00F843AA"/>
    <w:rsid w:val="00F848EF"/>
    <w:rsid w:val="00F852BD"/>
    <w:rsid w:val="00F852F4"/>
    <w:rsid w:val="00F85662"/>
    <w:rsid w:val="00F856C4"/>
    <w:rsid w:val="00F86375"/>
    <w:rsid w:val="00F86526"/>
    <w:rsid w:val="00F866A0"/>
    <w:rsid w:val="00F866B1"/>
    <w:rsid w:val="00F8671D"/>
    <w:rsid w:val="00F86731"/>
    <w:rsid w:val="00F8690F"/>
    <w:rsid w:val="00F86AA7"/>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007"/>
    <w:rsid w:val="00F93325"/>
    <w:rsid w:val="00F936CC"/>
    <w:rsid w:val="00F93E50"/>
    <w:rsid w:val="00F9413C"/>
    <w:rsid w:val="00F945B2"/>
    <w:rsid w:val="00F945B6"/>
    <w:rsid w:val="00F94883"/>
    <w:rsid w:val="00F94A73"/>
    <w:rsid w:val="00F94AC5"/>
    <w:rsid w:val="00F94B6A"/>
    <w:rsid w:val="00F94B93"/>
    <w:rsid w:val="00F9542A"/>
    <w:rsid w:val="00F954BD"/>
    <w:rsid w:val="00F9574B"/>
    <w:rsid w:val="00F958E3"/>
    <w:rsid w:val="00F959DB"/>
    <w:rsid w:val="00F95C16"/>
    <w:rsid w:val="00F95F51"/>
    <w:rsid w:val="00F96290"/>
    <w:rsid w:val="00F96795"/>
    <w:rsid w:val="00F968AC"/>
    <w:rsid w:val="00F968C9"/>
    <w:rsid w:val="00F96AB8"/>
    <w:rsid w:val="00F96B30"/>
    <w:rsid w:val="00F96D53"/>
    <w:rsid w:val="00F96ED9"/>
    <w:rsid w:val="00F96FB2"/>
    <w:rsid w:val="00F96FB5"/>
    <w:rsid w:val="00F97A02"/>
    <w:rsid w:val="00F97D0B"/>
    <w:rsid w:val="00F97D2E"/>
    <w:rsid w:val="00FA0339"/>
    <w:rsid w:val="00FA0395"/>
    <w:rsid w:val="00FA03E7"/>
    <w:rsid w:val="00FA04FF"/>
    <w:rsid w:val="00FA07BB"/>
    <w:rsid w:val="00FA09AB"/>
    <w:rsid w:val="00FA106C"/>
    <w:rsid w:val="00FA178E"/>
    <w:rsid w:val="00FA1C96"/>
    <w:rsid w:val="00FA20B3"/>
    <w:rsid w:val="00FA20F1"/>
    <w:rsid w:val="00FA2148"/>
    <w:rsid w:val="00FA2344"/>
    <w:rsid w:val="00FA2603"/>
    <w:rsid w:val="00FA27BD"/>
    <w:rsid w:val="00FA2A61"/>
    <w:rsid w:val="00FA2DC2"/>
    <w:rsid w:val="00FA3076"/>
    <w:rsid w:val="00FA3226"/>
    <w:rsid w:val="00FA3E1D"/>
    <w:rsid w:val="00FA46C1"/>
    <w:rsid w:val="00FA499F"/>
    <w:rsid w:val="00FA4B12"/>
    <w:rsid w:val="00FA4DD8"/>
    <w:rsid w:val="00FA4E1E"/>
    <w:rsid w:val="00FA4EE4"/>
    <w:rsid w:val="00FA4F79"/>
    <w:rsid w:val="00FA5036"/>
    <w:rsid w:val="00FA5370"/>
    <w:rsid w:val="00FA5411"/>
    <w:rsid w:val="00FA54C8"/>
    <w:rsid w:val="00FA5616"/>
    <w:rsid w:val="00FA5654"/>
    <w:rsid w:val="00FA572C"/>
    <w:rsid w:val="00FA5768"/>
    <w:rsid w:val="00FA57C1"/>
    <w:rsid w:val="00FA5983"/>
    <w:rsid w:val="00FA598D"/>
    <w:rsid w:val="00FA5DA0"/>
    <w:rsid w:val="00FA5E4C"/>
    <w:rsid w:val="00FA618C"/>
    <w:rsid w:val="00FA61D8"/>
    <w:rsid w:val="00FA6609"/>
    <w:rsid w:val="00FA676D"/>
    <w:rsid w:val="00FA6B6A"/>
    <w:rsid w:val="00FA6CAA"/>
    <w:rsid w:val="00FA6DEA"/>
    <w:rsid w:val="00FA6E19"/>
    <w:rsid w:val="00FA70C7"/>
    <w:rsid w:val="00FA718C"/>
    <w:rsid w:val="00FA71EA"/>
    <w:rsid w:val="00FA77A5"/>
    <w:rsid w:val="00FA77B4"/>
    <w:rsid w:val="00FA7955"/>
    <w:rsid w:val="00FA7E79"/>
    <w:rsid w:val="00FA7FCE"/>
    <w:rsid w:val="00FB03E8"/>
    <w:rsid w:val="00FB05EA"/>
    <w:rsid w:val="00FB060B"/>
    <w:rsid w:val="00FB0A79"/>
    <w:rsid w:val="00FB0C6E"/>
    <w:rsid w:val="00FB125E"/>
    <w:rsid w:val="00FB150D"/>
    <w:rsid w:val="00FB165F"/>
    <w:rsid w:val="00FB1887"/>
    <w:rsid w:val="00FB18DA"/>
    <w:rsid w:val="00FB1BAA"/>
    <w:rsid w:val="00FB20CD"/>
    <w:rsid w:val="00FB2182"/>
    <w:rsid w:val="00FB2573"/>
    <w:rsid w:val="00FB29F6"/>
    <w:rsid w:val="00FB2C38"/>
    <w:rsid w:val="00FB2C86"/>
    <w:rsid w:val="00FB2FD0"/>
    <w:rsid w:val="00FB3400"/>
    <w:rsid w:val="00FB342E"/>
    <w:rsid w:val="00FB3509"/>
    <w:rsid w:val="00FB36BD"/>
    <w:rsid w:val="00FB3831"/>
    <w:rsid w:val="00FB38B0"/>
    <w:rsid w:val="00FB3D15"/>
    <w:rsid w:val="00FB43F0"/>
    <w:rsid w:val="00FB4759"/>
    <w:rsid w:val="00FB4913"/>
    <w:rsid w:val="00FB4965"/>
    <w:rsid w:val="00FB4AF5"/>
    <w:rsid w:val="00FB4EF8"/>
    <w:rsid w:val="00FB50A7"/>
    <w:rsid w:val="00FB528C"/>
    <w:rsid w:val="00FB554A"/>
    <w:rsid w:val="00FB554C"/>
    <w:rsid w:val="00FB5B35"/>
    <w:rsid w:val="00FB5E10"/>
    <w:rsid w:val="00FB624E"/>
    <w:rsid w:val="00FB648A"/>
    <w:rsid w:val="00FB65F9"/>
    <w:rsid w:val="00FB695D"/>
    <w:rsid w:val="00FB6D52"/>
    <w:rsid w:val="00FB6DE2"/>
    <w:rsid w:val="00FB757D"/>
    <w:rsid w:val="00FB7A82"/>
    <w:rsid w:val="00FB7CC5"/>
    <w:rsid w:val="00FB7EBB"/>
    <w:rsid w:val="00FB7FAF"/>
    <w:rsid w:val="00FC0206"/>
    <w:rsid w:val="00FC07B9"/>
    <w:rsid w:val="00FC0953"/>
    <w:rsid w:val="00FC0C72"/>
    <w:rsid w:val="00FC0D62"/>
    <w:rsid w:val="00FC0DC9"/>
    <w:rsid w:val="00FC0EB1"/>
    <w:rsid w:val="00FC1549"/>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3FFE"/>
    <w:rsid w:val="00FC401B"/>
    <w:rsid w:val="00FC40B7"/>
    <w:rsid w:val="00FC465B"/>
    <w:rsid w:val="00FC46FE"/>
    <w:rsid w:val="00FC47DD"/>
    <w:rsid w:val="00FC486B"/>
    <w:rsid w:val="00FC4C85"/>
    <w:rsid w:val="00FC520C"/>
    <w:rsid w:val="00FC540C"/>
    <w:rsid w:val="00FC541E"/>
    <w:rsid w:val="00FC5540"/>
    <w:rsid w:val="00FC564A"/>
    <w:rsid w:val="00FC59E1"/>
    <w:rsid w:val="00FC5E07"/>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79D"/>
    <w:rsid w:val="00FD0851"/>
    <w:rsid w:val="00FD086A"/>
    <w:rsid w:val="00FD0E93"/>
    <w:rsid w:val="00FD0EBA"/>
    <w:rsid w:val="00FD1D87"/>
    <w:rsid w:val="00FD201A"/>
    <w:rsid w:val="00FD21EE"/>
    <w:rsid w:val="00FD2969"/>
    <w:rsid w:val="00FD2C04"/>
    <w:rsid w:val="00FD2F0A"/>
    <w:rsid w:val="00FD312D"/>
    <w:rsid w:val="00FD33B5"/>
    <w:rsid w:val="00FD33DD"/>
    <w:rsid w:val="00FD35CC"/>
    <w:rsid w:val="00FD36CA"/>
    <w:rsid w:val="00FD3F5B"/>
    <w:rsid w:val="00FD4426"/>
    <w:rsid w:val="00FD4887"/>
    <w:rsid w:val="00FD49DE"/>
    <w:rsid w:val="00FD4E7C"/>
    <w:rsid w:val="00FD5010"/>
    <w:rsid w:val="00FD508A"/>
    <w:rsid w:val="00FD51DE"/>
    <w:rsid w:val="00FD546D"/>
    <w:rsid w:val="00FD549B"/>
    <w:rsid w:val="00FD5644"/>
    <w:rsid w:val="00FD57C2"/>
    <w:rsid w:val="00FD5ADF"/>
    <w:rsid w:val="00FD5B0C"/>
    <w:rsid w:val="00FD5C1A"/>
    <w:rsid w:val="00FD5DBC"/>
    <w:rsid w:val="00FD6185"/>
    <w:rsid w:val="00FD6286"/>
    <w:rsid w:val="00FD6458"/>
    <w:rsid w:val="00FD645D"/>
    <w:rsid w:val="00FD65B6"/>
    <w:rsid w:val="00FD68DC"/>
    <w:rsid w:val="00FD76C3"/>
    <w:rsid w:val="00FD7B72"/>
    <w:rsid w:val="00FD7EA2"/>
    <w:rsid w:val="00FE038A"/>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58B"/>
    <w:rsid w:val="00FE2874"/>
    <w:rsid w:val="00FE2B13"/>
    <w:rsid w:val="00FE2C1B"/>
    <w:rsid w:val="00FE2CBB"/>
    <w:rsid w:val="00FE2DC5"/>
    <w:rsid w:val="00FE34B5"/>
    <w:rsid w:val="00FE384D"/>
    <w:rsid w:val="00FE3AC9"/>
    <w:rsid w:val="00FE3BF0"/>
    <w:rsid w:val="00FE3C27"/>
    <w:rsid w:val="00FE42A0"/>
    <w:rsid w:val="00FE4528"/>
    <w:rsid w:val="00FE45C0"/>
    <w:rsid w:val="00FE4640"/>
    <w:rsid w:val="00FE4ED1"/>
    <w:rsid w:val="00FE51F1"/>
    <w:rsid w:val="00FE5244"/>
    <w:rsid w:val="00FE5979"/>
    <w:rsid w:val="00FE5D19"/>
    <w:rsid w:val="00FE5E75"/>
    <w:rsid w:val="00FE6189"/>
    <w:rsid w:val="00FE653F"/>
    <w:rsid w:val="00FE66F3"/>
    <w:rsid w:val="00FE67A1"/>
    <w:rsid w:val="00FE6B3B"/>
    <w:rsid w:val="00FE6C15"/>
    <w:rsid w:val="00FE6C5B"/>
    <w:rsid w:val="00FE7129"/>
    <w:rsid w:val="00FE73BF"/>
    <w:rsid w:val="00FE767F"/>
    <w:rsid w:val="00FE76E4"/>
    <w:rsid w:val="00FE7990"/>
    <w:rsid w:val="00FE7A19"/>
    <w:rsid w:val="00FE7B5B"/>
    <w:rsid w:val="00FF00AB"/>
    <w:rsid w:val="00FF022D"/>
    <w:rsid w:val="00FF028A"/>
    <w:rsid w:val="00FF034A"/>
    <w:rsid w:val="00FF03F3"/>
    <w:rsid w:val="00FF0C0A"/>
    <w:rsid w:val="00FF0C94"/>
    <w:rsid w:val="00FF0D27"/>
    <w:rsid w:val="00FF0DE7"/>
    <w:rsid w:val="00FF0E8F"/>
    <w:rsid w:val="00FF0EE5"/>
    <w:rsid w:val="00FF1179"/>
    <w:rsid w:val="00FF122A"/>
    <w:rsid w:val="00FF1869"/>
    <w:rsid w:val="00FF1D12"/>
    <w:rsid w:val="00FF1D62"/>
    <w:rsid w:val="00FF1FCB"/>
    <w:rsid w:val="00FF23D7"/>
    <w:rsid w:val="00FF2624"/>
    <w:rsid w:val="00FF26F6"/>
    <w:rsid w:val="00FF2958"/>
    <w:rsid w:val="00FF2C73"/>
    <w:rsid w:val="00FF2F15"/>
    <w:rsid w:val="00FF2FEC"/>
    <w:rsid w:val="00FF301B"/>
    <w:rsid w:val="00FF31F9"/>
    <w:rsid w:val="00FF3365"/>
    <w:rsid w:val="00FF3601"/>
    <w:rsid w:val="00FF3774"/>
    <w:rsid w:val="00FF3859"/>
    <w:rsid w:val="00FF3BA1"/>
    <w:rsid w:val="00FF433E"/>
    <w:rsid w:val="00FF4349"/>
    <w:rsid w:val="00FF4399"/>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6E76"/>
    <w:rsid w:val="00FF73C1"/>
    <w:rsid w:val="00FF7537"/>
    <w:rsid w:val="00FF75EC"/>
    <w:rsid w:val="00FF7982"/>
    <w:rsid w:val="00FF79B8"/>
    <w:rsid w:val="00FF7E76"/>
    <w:rsid w:val="015123B9"/>
    <w:rsid w:val="02C866AB"/>
    <w:rsid w:val="02ED4929"/>
    <w:rsid w:val="031E7B26"/>
    <w:rsid w:val="04FF212C"/>
    <w:rsid w:val="05832D5D"/>
    <w:rsid w:val="067526A6"/>
    <w:rsid w:val="0AB15C77"/>
    <w:rsid w:val="0BA94BA0"/>
    <w:rsid w:val="0BAA1044"/>
    <w:rsid w:val="0C2661F0"/>
    <w:rsid w:val="0CF12CA2"/>
    <w:rsid w:val="0D136775"/>
    <w:rsid w:val="0EF21F34"/>
    <w:rsid w:val="0F867E4B"/>
    <w:rsid w:val="12655CC4"/>
    <w:rsid w:val="148B578A"/>
    <w:rsid w:val="15681628"/>
    <w:rsid w:val="158346B4"/>
    <w:rsid w:val="1B1065FB"/>
    <w:rsid w:val="1DE026A3"/>
    <w:rsid w:val="1EF6594F"/>
    <w:rsid w:val="20457135"/>
    <w:rsid w:val="213A031C"/>
    <w:rsid w:val="21770EE1"/>
    <w:rsid w:val="221A1EFC"/>
    <w:rsid w:val="22E72A57"/>
    <w:rsid w:val="230E1A60"/>
    <w:rsid w:val="27C9064C"/>
    <w:rsid w:val="2959155B"/>
    <w:rsid w:val="2A305142"/>
    <w:rsid w:val="2AC1560A"/>
    <w:rsid w:val="2AED28A3"/>
    <w:rsid w:val="2C4753EA"/>
    <w:rsid w:val="2C626979"/>
    <w:rsid w:val="2F1C72B3"/>
    <w:rsid w:val="32C20171"/>
    <w:rsid w:val="336527DB"/>
    <w:rsid w:val="33F251B1"/>
    <w:rsid w:val="364F4412"/>
    <w:rsid w:val="36D87F64"/>
    <w:rsid w:val="379522F8"/>
    <w:rsid w:val="397054C4"/>
    <w:rsid w:val="39B60304"/>
    <w:rsid w:val="3A03179B"/>
    <w:rsid w:val="3A1122D3"/>
    <w:rsid w:val="3A1F234D"/>
    <w:rsid w:val="3C5E791A"/>
    <w:rsid w:val="3C95467F"/>
    <w:rsid w:val="3CC86CCC"/>
    <w:rsid w:val="3CD64F45"/>
    <w:rsid w:val="3CE27D8E"/>
    <w:rsid w:val="3DF31B27"/>
    <w:rsid w:val="3E3068D7"/>
    <w:rsid w:val="3F0F2990"/>
    <w:rsid w:val="41BE244C"/>
    <w:rsid w:val="422E75D1"/>
    <w:rsid w:val="42864D18"/>
    <w:rsid w:val="437B6846"/>
    <w:rsid w:val="44ED72D0"/>
    <w:rsid w:val="4530540F"/>
    <w:rsid w:val="45B61DB8"/>
    <w:rsid w:val="45DB35CC"/>
    <w:rsid w:val="45EF0E26"/>
    <w:rsid w:val="464253F9"/>
    <w:rsid w:val="464F0AEA"/>
    <w:rsid w:val="46737CA9"/>
    <w:rsid w:val="497F0713"/>
    <w:rsid w:val="4A8E50B1"/>
    <w:rsid w:val="4ACC3E2B"/>
    <w:rsid w:val="4B1B26BD"/>
    <w:rsid w:val="4BE34F89"/>
    <w:rsid w:val="4C8C73CE"/>
    <w:rsid w:val="4D32480B"/>
    <w:rsid w:val="4EEC05F8"/>
    <w:rsid w:val="5076286F"/>
    <w:rsid w:val="508D1967"/>
    <w:rsid w:val="50DC644B"/>
    <w:rsid w:val="55AC6D33"/>
    <w:rsid w:val="55D74D5D"/>
    <w:rsid w:val="56270168"/>
    <w:rsid w:val="58E7636A"/>
    <w:rsid w:val="591B4091"/>
    <w:rsid w:val="5B9E711E"/>
    <w:rsid w:val="5CFE6ECC"/>
    <w:rsid w:val="5D607E16"/>
    <w:rsid w:val="5EF552A7"/>
    <w:rsid w:val="5F103E8F"/>
    <w:rsid w:val="60D07D7A"/>
    <w:rsid w:val="61583E74"/>
    <w:rsid w:val="62CE653B"/>
    <w:rsid w:val="65314B5F"/>
    <w:rsid w:val="65644F35"/>
    <w:rsid w:val="65670581"/>
    <w:rsid w:val="66383CCB"/>
    <w:rsid w:val="66F61BBC"/>
    <w:rsid w:val="682E35D8"/>
    <w:rsid w:val="6848469A"/>
    <w:rsid w:val="68B63CF9"/>
    <w:rsid w:val="6AB029CA"/>
    <w:rsid w:val="6AC76600"/>
    <w:rsid w:val="6BAE0CB8"/>
    <w:rsid w:val="6C6D2921"/>
    <w:rsid w:val="6CC83FFB"/>
    <w:rsid w:val="6DB30807"/>
    <w:rsid w:val="6E42415D"/>
    <w:rsid w:val="717402AD"/>
    <w:rsid w:val="71B37E4C"/>
    <w:rsid w:val="727644F9"/>
    <w:rsid w:val="72BD3ED6"/>
    <w:rsid w:val="736F3422"/>
    <w:rsid w:val="73B07597"/>
    <w:rsid w:val="73C44DF0"/>
    <w:rsid w:val="74352E35"/>
    <w:rsid w:val="74934EEE"/>
    <w:rsid w:val="75387844"/>
    <w:rsid w:val="76452218"/>
    <w:rsid w:val="765B1A3C"/>
    <w:rsid w:val="7BA06143"/>
    <w:rsid w:val="7C547659"/>
    <w:rsid w:val="7D67555F"/>
    <w:rsid w:val="7D676F18"/>
    <w:rsid w:val="7F520B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603AC20"/>
  <w15:docId w15:val="{9C97DBFA-9D38-4DF1-8B9A-245B5BD4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qFormat="1"/>
    <w:lsdException w:name="heading 9" w:semiHidden="1" w:qFormat="1"/>
    <w:lsdException w:name="index 1" w:semiHidden="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lsdException w:name="annotation text" w:qFormat="1"/>
    <w:lsdException w:name="header" w:uiPriority="99" w:qFormat="1"/>
    <w:lsdException w:name="footer"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uiPriority="99" w:qFormat="1"/>
    <w:lsdException w:name="endnote text" w:semiHidden="1" w:uiPriority="99" w:qFormat="1"/>
    <w:lsdException w:name="table of authorities" w:semiHidden="1"/>
    <w:lsdException w:name="macro" w:semiHidden="1"/>
    <w:lsdException w:name="toa heading" w:semiHidden="1"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qFormat="1"/>
    <w:lsdException w:name="Body Text" w:uiPriority="99"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uiPriority="99" w:qFormat="1"/>
    <w:lsdException w:name="Date" w:uiPriority="99" w:qFormat="1"/>
    <w:lsdException w:name="Body Text First Indent" w:semiHidden="1" w:qFormat="1"/>
    <w:lsdException w:name="Body Text First Indent 2" w:semiHidden="1" w:qFormat="1"/>
    <w:lsdException w:name="Note Heading" w:uiPriority="99"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lsdException w:name="Hyperlink" w:uiPriority="99" w:qFormat="1"/>
    <w:lsdException w:name="FollowedHyperlink" w:semiHidden="1"/>
    <w:lsdException w:name="Strong" w:qFormat="1"/>
    <w:lsdException w:name="Emphasis" w:qFormat="1"/>
    <w:lsdException w:name="Document Map" w:semiHidden="1" w:uiPriority="99" w:qFormat="1"/>
    <w:lsdException w:name="Plain Text" w:qFormat="1"/>
    <w:lsdException w:name="E-mail Signature" w:semiHidden="1"/>
    <w:lsdException w:name="HTML Top of Form" w:semiHidden="1" w:uiPriority="99" w:unhideWhenUsed="1"/>
    <w:lsdException w:name="HTML Bottom of Form" w:semiHidden="1" w:uiPriority="99" w:unhideWhenUsed="1"/>
    <w:lsdException w:name="Normal (Web)"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12" w:lineRule="auto"/>
      <w:jc w:val="both"/>
    </w:pPr>
    <w:rPr>
      <w:rFonts w:ascii="宋体" w:hAnsi="宋体" w:cs="宋体"/>
      <w:sz w:val="24"/>
      <w:szCs w:val="24"/>
    </w:rPr>
  </w:style>
  <w:style w:type="paragraph" w:styleId="1">
    <w:name w:val="heading 1"/>
    <w:basedOn w:val="a"/>
    <w:next w:val="a"/>
    <w:link w:val="10"/>
    <w:autoRedefine/>
    <w:uiPriority w:val="99"/>
    <w:qFormat/>
    <w:pPr>
      <w:keepNext/>
      <w:keepLines/>
      <w:numPr>
        <w:numId w:val="1"/>
      </w:numPr>
      <w:spacing w:before="60" w:after="60" w:line="360" w:lineRule="auto"/>
      <w:jc w:val="center"/>
      <w:outlineLvl w:val="0"/>
    </w:pPr>
    <w:rPr>
      <w:rFonts w:ascii="Calibri" w:eastAsia="黑体" w:hAnsi="Calibri" w:cs="Times New Roman"/>
      <w:b/>
      <w:bCs/>
      <w:kern w:val="44"/>
      <w:sz w:val="28"/>
      <w:szCs w:val="28"/>
    </w:rPr>
  </w:style>
  <w:style w:type="paragraph" w:styleId="2">
    <w:name w:val="heading 2"/>
    <w:basedOn w:val="a"/>
    <w:next w:val="a"/>
    <w:link w:val="20"/>
    <w:autoRedefine/>
    <w:qFormat/>
    <w:pPr>
      <w:keepNext/>
      <w:keepLines/>
      <w:numPr>
        <w:numId w:val="2"/>
      </w:numPr>
      <w:spacing w:before="60" w:after="60"/>
      <w:outlineLvl w:val="1"/>
    </w:pPr>
    <w:rPr>
      <w:rFonts w:ascii="Arial" w:hAnsi="Arial" w:cs="Times New Roman"/>
      <w:b/>
      <w:bCs/>
      <w:kern w:val="2"/>
      <w:sz w:val="21"/>
      <w:szCs w:val="21"/>
    </w:rPr>
  </w:style>
  <w:style w:type="paragraph" w:styleId="3">
    <w:name w:val="heading 3"/>
    <w:basedOn w:val="a"/>
    <w:next w:val="a"/>
    <w:link w:val="31"/>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autoRedefine/>
    <w:uiPriority w:val="9"/>
    <w:qFormat/>
    <w:pPr>
      <w:keepNext/>
      <w:keepLines/>
      <w:spacing w:before="60" w:after="60"/>
      <w:outlineLvl w:val="3"/>
    </w:pPr>
    <w:rPr>
      <w:rFonts w:asciiTheme="minorEastAsia" w:eastAsiaTheme="minorEastAsia" w:hAnsiTheme="minorEastAsia" w:cs="Times New Roman"/>
      <w:b/>
      <w:bCs/>
      <w:kern w:val="2"/>
      <w:sz w:val="21"/>
      <w:szCs w:val="28"/>
    </w:rPr>
  </w:style>
  <w:style w:type="paragraph" w:styleId="5">
    <w:name w:val="heading 5"/>
    <w:basedOn w:val="a"/>
    <w:next w:val="a"/>
    <w:link w:val="50"/>
    <w:autoRedefine/>
    <w:uiPriority w:val="9"/>
    <w:qFormat/>
    <w:pPr>
      <w:keepNext/>
      <w:keepLines/>
      <w:spacing w:before="60" w:after="60"/>
      <w:ind w:leftChars="50" w:left="50"/>
      <w:outlineLvl w:val="4"/>
    </w:pPr>
    <w:rPr>
      <w:rFonts w:ascii="Calibri" w:hAnsi="Calibri" w:cs="Times New Roman"/>
      <w:b/>
      <w:bCs/>
      <w:kern w:val="2"/>
      <w:sz w:val="21"/>
      <w:szCs w:val="28"/>
    </w:rPr>
  </w:style>
  <w:style w:type="paragraph" w:styleId="6">
    <w:name w:val="heading 6"/>
    <w:basedOn w:val="a"/>
    <w:next w:val="a"/>
    <w:link w:val="60"/>
    <w:autoRedefine/>
    <w:uiPriority w:val="9"/>
    <w:qFormat/>
    <w:pPr>
      <w:keepNext/>
      <w:keepLines/>
      <w:spacing w:before="60" w:after="60"/>
      <w:ind w:left="567" w:hanging="567"/>
      <w:outlineLvl w:val="5"/>
    </w:pPr>
    <w:rPr>
      <w:rFonts w:asciiTheme="majorHAnsi" w:hAnsiTheme="majorHAnsi" w:cstheme="majorBidi"/>
      <w:b/>
      <w:bCs/>
      <w:sz w:val="21"/>
    </w:rPr>
  </w:style>
  <w:style w:type="paragraph" w:styleId="7">
    <w:name w:val="heading 7"/>
    <w:basedOn w:val="a"/>
    <w:next w:val="a"/>
    <w:link w:val="70"/>
    <w:autoRedefine/>
    <w:uiPriority w:val="9"/>
    <w:qFormat/>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uiPriority w:val="39"/>
    <w:qFormat/>
    <w:pPr>
      <w:ind w:leftChars="1200" w:left="2520"/>
    </w:pPr>
    <w:rPr>
      <w:rFonts w:asciiTheme="minorHAnsi" w:eastAsiaTheme="minorEastAsia" w:hAnsiTheme="minorHAnsi" w:cstheme="minorBidi"/>
      <w:kern w:val="2"/>
      <w:sz w:val="21"/>
      <w:szCs w:val="22"/>
    </w:rPr>
  </w:style>
  <w:style w:type="paragraph" w:styleId="a3">
    <w:name w:val="Note Heading"/>
    <w:basedOn w:val="a"/>
    <w:next w:val="a"/>
    <w:link w:val="a4"/>
    <w:autoRedefine/>
    <w:uiPriority w:val="99"/>
    <w:qFormat/>
    <w:pPr>
      <w:jc w:val="center"/>
    </w:pPr>
    <w:rPr>
      <w:rFonts w:ascii="Times New Roman" w:hAnsi="Times New Roman" w:cs="Times New Roman"/>
      <w:kern w:val="2"/>
      <w:sz w:val="21"/>
      <w:szCs w:val="21"/>
    </w:rPr>
  </w:style>
  <w:style w:type="paragraph" w:styleId="a5">
    <w:name w:val="Normal Indent"/>
    <w:basedOn w:val="a"/>
    <w:qFormat/>
    <w:pPr>
      <w:ind w:firstLine="420"/>
    </w:pPr>
    <w:rPr>
      <w:rFonts w:ascii="Times New Roman" w:hAnsi="Times New Roman" w:cs="Times New Roman"/>
      <w:kern w:val="2"/>
      <w:sz w:val="21"/>
      <w:szCs w:val="21"/>
    </w:rPr>
  </w:style>
  <w:style w:type="paragraph" w:styleId="a6">
    <w:name w:val="Document Map"/>
    <w:basedOn w:val="a"/>
    <w:link w:val="a7"/>
    <w:autoRedefine/>
    <w:uiPriority w:val="99"/>
    <w:semiHidden/>
    <w:qFormat/>
    <w:pPr>
      <w:kinsoku w:val="0"/>
      <w:autoSpaceDE w:val="0"/>
      <w:autoSpaceDN w:val="0"/>
      <w:adjustRightInd w:val="0"/>
      <w:snapToGrid w:val="0"/>
      <w:textAlignment w:val="baseline"/>
    </w:pPr>
    <w:rPr>
      <w:rFonts w:ascii="Arial" w:hAnsi="Calibri" w:cs="Times New Roman"/>
      <w:color w:val="000000"/>
      <w:kern w:val="2"/>
      <w:sz w:val="18"/>
      <w:szCs w:val="18"/>
    </w:rPr>
  </w:style>
  <w:style w:type="paragraph" w:styleId="a8">
    <w:name w:val="toa heading"/>
    <w:basedOn w:val="a"/>
    <w:next w:val="a"/>
    <w:autoRedefine/>
    <w:semiHidden/>
    <w:qFormat/>
    <w:pPr>
      <w:kinsoku w:val="0"/>
      <w:autoSpaceDE w:val="0"/>
      <w:autoSpaceDN w:val="0"/>
      <w:adjustRightInd w:val="0"/>
      <w:snapToGrid w:val="0"/>
      <w:spacing w:before="120"/>
      <w:textAlignment w:val="baseline"/>
    </w:pPr>
    <w:rPr>
      <w:rFonts w:ascii="Arial" w:hAnsi="Arial" w:cs="Times New Roman"/>
      <w:b/>
      <w:bCs/>
      <w:color w:val="000000"/>
      <w:kern w:val="2"/>
      <w:sz w:val="21"/>
      <w:szCs w:val="21"/>
    </w:rPr>
  </w:style>
  <w:style w:type="paragraph" w:styleId="a9">
    <w:name w:val="annotation text"/>
    <w:basedOn w:val="a"/>
    <w:link w:val="aa"/>
    <w:autoRedefine/>
    <w:qFormat/>
    <w:rPr>
      <w:rFonts w:ascii="Times New Roman" w:hAnsi="Times New Roman" w:cs="Times New Roman"/>
      <w:kern w:val="2"/>
      <w:sz w:val="21"/>
      <w:szCs w:val="21"/>
    </w:rPr>
  </w:style>
  <w:style w:type="paragraph" w:styleId="ab">
    <w:name w:val="Salutation"/>
    <w:basedOn w:val="a"/>
    <w:next w:val="a"/>
    <w:link w:val="ac"/>
    <w:autoRedefine/>
    <w:uiPriority w:val="99"/>
    <w:qFormat/>
    <w:pPr>
      <w:jc w:val="center"/>
    </w:pPr>
    <w:rPr>
      <w:rFonts w:ascii="Times New Roman" w:hAnsi="Times New Roman" w:cs="Times New Roman"/>
      <w:kern w:val="2"/>
      <w:sz w:val="18"/>
      <w:szCs w:val="18"/>
    </w:rPr>
  </w:style>
  <w:style w:type="paragraph" w:styleId="30">
    <w:name w:val="Body Text 3"/>
    <w:basedOn w:val="a"/>
    <w:link w:val="32"/>
    <w:semiHidden/>
    <w:qFormat/>
    <w:pPr>
      <w:spacing w:after="120"/>
    </w:pPr>
    <w:rPr>
      <w:sz w:val="16"/>
      <w:szCs w:val="16"/>
    </w:rPr>
  </w:style>
  <w:style w:type="paragraph" w:styleId="33">
    <w:name w:val="List Bullet 3"/>
    <w:basedOn w:val="a"/>
    <w:autoRedefine/>
    <w:qFormat/>
    <w:pPr>
      <w:tabs>
        <w:tab w:val="left" w:pos="1200"/>
      </w:tabs>
    </w:pPr>
    <w:rPr>
      <w:rFonts w:ascii="Times New Roman" w:hAnsi="Times New Roman" w:cs="Times New Roman"/>
      <w:kern w:val="2"/>
      <w:sz w:val="21"/>
      <w:szCs w:val="21"/>
    </w:rPr>
  </w:style>
  <w:style w:type="paragraph" w:styleId="ad">
    <w:name w:val="Body Text"/>
    <w:basedOn w:val="a"/>
    <w:link w:val="ae"/>
    <w:uiPriority w:val="99"/>
    <w:qFormat/>
    <w:pPr>
      <w:spacing w:after="120"/>
    </w:pPr>
    <w:rPr>
      <w:rFonts w:ascii="Times New Roman" w:hAnsi="Times New Roman" w:cs="Times New Roman"/>
      <w:kern w:val="2"/>
      <w:sz w:val="21"/>
      <w:szCs w:val="21"/>
    </w:rPr>
  </w:style>
  <w:style w:type="paragraph" w:styleId="af">
    <w:name w:val="Body Text Indent"/>
    <w:basedOn w:val="a"/>
    <w:link w:val="af0"/>
    <w:semiHidden/>
    <w:qFormat/>
    <w:pPr>
      <w:spacing w:after="120"/>
      <w:ind w:leftChars="200" w:left="420"/>
    </w:pPr>
  </w:style>
  <w:style w:type="paragraph" w:styleId="51">
    <w:name w:val="toc 5"/>
    <w:basedOn w:val="a"/>
    <w:next w:val="a"/>
    <w:autoRedefine/>
    <w:uiPriority w:val="39"/>
    <w:qFormat/>
    <w:pPr>
      <w:ind w:leftChars="800" w:left="1680"/>
    </w:pPr>
    <w:rPr>
      <w:rFonts w:asciiTheme="minorHAnsi" w:eastAsiaTheme="minorEastAsia" w:hAnsiTheme="minorHAnsi" w:cstheme="minorBidi"/>
      <w:kern w:val="2"/>
      <w:sz w:val="21"/>
      <w:szCs w:val="22"/>
    </w:rPr>
  </w:style>
  <w:style w:type="paragraph" w:styleId="34">
    <w:name w:val="toc 3"/>
    <w:basedOn w:val="a"/>
    <w:next w:val="a"/>
    <w:link w:val="35"/>
    <w:autoRedefine/>
    <w:uiPriority w:val="39"/>
    <w:qFormat/>
    <w:pPr>
      <w:spacing w:after="100" w:line="276" w:lineRule="auto"/>
      <w:ind w:left="440"/>
    </w:pPr>
    <w:rPr>
      <w:rFonts w:ascii="Calibri" w:hAnsi="Calibri" w:cs="Times New Roman"/>
      <w:sz w:val="22"/>
      <w:szCs w:val="22"/>
    </w:rPr>
  </w:style>
  <w:style w:type="paragraph" w:styleId="af1">
    <w:name w:val="Plain Text"/>
    <w:basedOn w:val="a"/>
    <w:link w:val="af2"/>
    <w:autoRedefine/>
    <w:qFormat/>
    <w:rPr>
      <w:rFonts w:hAnsi="Courier New" w:cs="Times New Roman"/>
      <w:kern w:val="2"/>
      <w:sz w:val="21"/>
      <w:szCs w:val="20"/>
    </w:rPr>
  </w:style>
  <w:style w:type="paragraph" w:styleId="8">
    <w:name w:val="toc 8"/>
    <w:basedOn w:val="a"/>
    <w:next w:val="a"/>
    <w:autoRedefine/>
    <w:uiPriority w:val="39"/>
    <w:qFormat/>
    <w:pPr>
      <w:ind w:leftChars="1400" w:left="2940"/>
    </w:pPr>
    <w:rPr>
      <w:rFonts w:asciiTheme="minorHAnsi" w:eastAsiaTheme="minorEastAsia" w:hAnsiTheme="minorHAnsi" w:cstheme="minorBidi"/>
      <w:kern w:val="2"/>
      <w:sz w:val="21"/>
      <w:szCs w:val="22"/>
    </w:rPr>
  </w:style>
  <w:style w:type="paragraph" w:styleId="af3">
    <w:name w:val="Date"/>
    <w:basedOn w:val="a"/>
    <w:next w:val="a"/>
    <w:link w:val="af4"/>
    <w:autoRedefine/>
    <w:uiPriority w:val="99"/>
    <w:qFormat/>
    <w:pPr>
      <w:ind w:leftChars="2500" w:left="100"/>
    </w:pPr>
    <w:rPr>
      <w:rFonts w:ascii="Times New Roman" w:hAnsi="Times New Roman" w:cs="Times New Roman"/>
      <w:kern w:val="2"/>
      <w:sz w:val="21"/>
      <w:szCs w:val="21"/>
    </w:rPr>
  </w:style>
  <w:style w:type="paragraph" w:styleId="21">
    <w:name w:val="Body Text Indent 2"/>
    <w:basedOn w:val="a"/>
    <w:link w:val="22"/>
    <w:semiHidden/>
    <w:qFormat/>
    <w:pPr>
      <w:spacing w:after="120" w:line="480" w:lineRule="auto"/>
      <w:ind w:leftChars="200" w:left="420"/>
    </w:pPr>
  </w:style>
  <w:style w:type="paragraph" w:styleId="af5">
    <w:name w:val="endnote text"/>
    <w:basedOn w:val="a"/>
    <w:link w:val="af6"/>
    <w:autoRedefine/>
    <w:uiPriority w:val="99"/>
    <w:semiHidden/>
    <w:qFormat/>
    <w:pPr>
      <w:kinsoku w:val="0"/>
      <w:autoSpaceDE w:val="0"/>
      <w:autoSpaceDN w:val="0"/>
      <w:adjustRightInd w:val="0"/>
      <w:snapToGrid w:val="0"/>
      <w:textAlignment w:val="baseline"/>
    </w:pPr>
    <w:rPr>
      <w:rFonts w:ascii="Arial" w:hAnsi="Arial" w:cs="Arial"/>
      <w:color w:val="000000"/>
      <w:sz w:val="21"/>
      <w:szCs w:val="21"/>
    </w:rPr>
  </w:style>
  <w:style w:type="paragraph" w:styleId="af7">
    <w:name w:val="Balloon Text"/>
    <w:basedOn w:val="a"/>
    <w:link w:val="af8"/>
    <w:autoRedefine/>
    <w:uiPriority w:val="99"/>
    <w:qFormat/>
    <w:rPr>
      <w:rFonts w:ascii="Calibri" w:hAnsi="Calibri" w:cs="Times New Roman"/>
      <w:kern w:val="2"/>
      <w:sz w:val="18"/>
      <w:szCs w:val="18"/>
    </w:rPr>
  </w:style>
  <w:style w:type="paragraph" w:styleId="af9">
    <w:name w:val="footer"/>
    <w:basedOn w:val="a"/>
    <w:link w:val="afa"/>
    <w:autoRedefine/>
    <w:uiPriority w:val="99"/>
    <w:qFormat/>
    <w:pPr>
      <w:tabs>
        <w:tab w:val="center" w:pos="4153"/>
        <w:tab w:val="right" w:pos="8306"/>
      </w:tabs>
      <w:snapToGrid w:val="0"/>
    </w:pPr>
    <w:rPr>
      <w:rFonts w:ascii="Calibri" w:hAnsi="Calibri" w:cs="Times New Roman"/>
      <w:kern w:val="2"/>
      <w:sz w:val="18"/>
      <w:szCs w:val="18"/>
    </w:rPr>
  </w:style>
  <w:style w:type="paragraph" w:styleId="afb">
    <w:name w:val="header"/>
    <w:basedOn w:val="a"/>
    <w:link w:val="afc"/>
    <w:autoRedefine/>
    <w:uiPriority w:val="99"/>
    <w:qFormat/>
    <w:pPr>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11">
    <w:name w:val="toc 1"/>
    <w:basedOn w:val="a"/>
    <w:next w:val="a"/>
    <w:autoRedefine/>
    <w:uiPriority w:val="39"/>
    <w:qFormat/>
    <w:pPr>
      <w:tabs>
        <w:tab w:val="left" w:pos="1260"/>
        <w:tab w:val="right" w:leader="dot" w:pos="8823"/>
      </w:tabs>
      <w:spacing w:line="360" w:lineRule="auto"/>
    </w:pPr>
    <w:rPr>
      <w:rFonts w:ascii="Times New Roman" w:hAnsi="Times New Roman" w:cs="Times New Roman"/>
      <w:kern w:val="2"/>
      <w:sz w:val="21"/>
      <w:szCs w:val="21"/>
    </w:rPr>
  </w:style>
  <w:style w:type="paragraph" w:styleId="41">
    <w:name w:val="toc 4"/>
    <w:basedOn w:val="a"/>
    <w:next w:val="a"/>
    <w:autoRedefine/>
    <w:uiPriority w:val="39"/>
    <w:qFormat/>
    <w:pPr>
      <w:ind w:leftChars="600" w:left="1260"/>
    </w:pPr>
    <w:rPr>
      <w:rFonts w:asciiTheme="minorHAnsi" w:eastAsiaTheme="minorEastAsia" w:hAnsiTheme="minorHAnsi" w:cstheme="minorBidi"/>
      <w:kern w:val="2"/>
      <w:sz w:val="21"/>
      <w:szCs w:val="22"/>
    </w:rPr>
  </w:style>
  <w:style w:type="paragraph" w:styleId="61">
    <w:name w:val="toc 6"/>
    <w:basedOn w:val="a"/>
    <w:next w:val="a"/>
    <w:autoRedefine/>
    <w:uiPriority w:val="39"/>
    <w:qFormat/>
    <w:pPr>
      <w:ind w:leftChars="1000" w:left="2100"/>
    </w:pPr>
    <w:rPr>
      <w:rFonts w:asciiTheme="minorHAnsi" w:eastAsiaTheme="minorEastAsia" w:hAnsiTheme="minorHAnsi" w:cstheme="minorBidi"/>
      <w:kern w:val="2"/>
      <w:sz w:val="21"/>
      <w:szCs w:val="22"/>
    </w:rPr>
  </w:style>
  <w:style w:type="paragraph" w:styleId="36">
    <w:name w:val="Body Text Indent 3"/>
    <w:basedOn w:val="a"/>
    <w:link w:val="37"/>
    <w:semiHidden/>
    <w:qFormat/>
    <w:pPr>
      <w:spacing w:after="120"/>
      <w:ind w:leftChars="200" w:left="420"/>
    </w:pPr>
    <w:rPr>
      <w:sz w:val="16"/>
      <w:szCs w:val="16"/>
    </w:rPr>
  </w:style>
  <w:style w:type="paragraph" w:styleId="23">
    <w:name w:val="toc 2"/>
    <w:basedOn w:val="a"/>
    <w:next w:val="a"/>
    <w:link w:val="24"/>
    <w:autoRedefine/>
    <w:uiPriority w:val="39"/>
    <w:qFormat/>
    <w:pPr>
      <w:ind w:leftChars="200" w:left="420"/>
    </w:pPr>
    <w:rPr>
      <w:rFonts w:ascii="Times New Roman" w:hAnsi="Times New Roman" w:cs="Times New Roman"/>
      <w:kern w:val="2"/>
      <w:sz w:val="21"/>
      <w:szCs w:val="21"/>
    </w:rPr>
  </w:style>
  <w:style w:type="paragraph" w:styleId="9">
    <w:name w:val="toc 9"/>
    <w:basedOn w:val="a"/>
    <w:next w:val="a"/>
    <w:autoRedefine/>
    <w:uiPriority w:val="39"/>
    <w:qFormat/>
    <w:pPr>
      <w:ind w:leftChars="1600" w:left="3360"/>
    </w:pPr>
    <w:rPr>
      <w:rFonts w:asciiTheme="minorHAnsi" w:eastAsiaTheme="minorEastAsia" w:hAnsiTheme="minorHAnsi" w:cstheme="minorBidi"/>
      <w:kern w:val="2"/>
      <w:sz w:val="21"/>
      <w:szCs w:val="22"/>
    </w:rPr>
  </w:style>
  <w:style w:type="paragraph" w:styleId="25">
    <w:name w:val="Body Text 2"/>
    <w:basedOn w:val="a"/>
    <w:link w:val="26"/>
    <w:semiHidden/>
    <w:qFormat/>
    <w:pPr>
      <w:spacing w:after="120" w:line="480" w:lineRule="auto"/>
    </w:pPr>
  </w:style>
  <w:style w:type="paragraph" w:styleId="afd">
    <w:name w:val="Normal (Web)"/>
    <w:basedOn w:val="a"/>
    <w:link w:val="afe"/>
    <w:autoRedefine/>
    <w:uiPriority w:val="99"/>
    <w:qFormat/>
    <w:pPr>
      <w:spacing w:before="100" w:beforeAutospacing="1" w:after="100" w:afterAutospacing="1"/>
      <w:jc w:val="center"/>
    </w:pPr>
  </w:style>
  <w:style w:type="paragraph" w:styleId="12">
    <w:name w:val="index 1"/>
    <w:basedOn w:val="a"/>
    <w:next w:val="a"/>
    <w:link w:val="110"/>
    <w:autoRedefine/>
    <w:semiHidden/>
    <w:qFormat/>
    <w:pPr>
      <w:ind w:firstLine="420"/>
    </w:pPr>
    <w:rPr>
      <w:rFonts w:cs="Times New Roman"/>
      <w:color w:val="000000"/>
      <w:sz w:val="21"/>
      <w:szCs w:val="21"/>
    </w:rPr>
  </w:style>
  <w:style w:type="paragraph" w:styleId="aff">
    <w:name w:val="Title"/>
    <w:basedOn w:val="a"/>
    <w:next w:val="a"/>
    <w:link w:val="aff0"/>
    <w:autoRedefine/>
    <w:uiPriority w:val="10"/>
    <w:qFormat/>
    <w:pPr>
      <w:spacing w:before="240" w:after="60"/>
      <w:jc w:val="center"/>
      <w:outlineLvl w:val="0"/>
    </w:pPr>
    <w:rPr>
      <w:rFonts w:asciiTheme="majorHAnsi" w:hAnsiTheme="majorHAnsi" w:cstheme="majorBidi"/>
      <w:b/>
      <w:bCs/>
      <w:kern w:val="2"/>
      <w:sz w:val="32"/>
      <w:szCs w:val="32"/>
    </w:rPr>
  </w:style>
  <w:style w:type="paragraph" w:styleId="aff1">
    <w:name w:val="annotation subject"/>
    <w:basedOn w:val="a9"/>
    <w:next w:val="a9"/>
    <w:link w:val="aff2"/>
    <w:autoRedefine/>
    <w:uiPriority w:val="99"/>
    <w:qFormat/>
    <w:rPr>
      <w:rFonts w:ascii="Calibri" w:hAnsi="Calibri"/>
      <w:b/>
      <w:bCs/>
      <w:szCs w:val="22"/>
    </w:rPr>
  </w:style>
  <w:style w:type="paragraph" w:styleId="aff3">
    <w:name w:val="Body Text First Indent"/>
    <w:basedOn w:val="ad"/>
    <w:link w:val="aff4"/>
    <w:semiHidden/>
    <w:qFormat/>
    <w:pPr>
      <w:widowControl/>
      <w:ind w:firstLineChars="100" w:firstLine="420"/>
      <w:jc w:val="left"/>
    </w:pPr>
    <w:rPr>
      <w:rFonts w:ascii="宋体" w:hAnsi="宋体" w:cs="宋体"/>
      <w:kern w:val="0"/>
      <w:sz w:val="24"/>
      <w:szCs w:val="24"/>
    </w:rPr>
  </w:style>
  <w:style w:type="paragraph" w:styleId="27">
    <w:name w:val="Body Text First Indent 2"/>
    <w:basedOn w:val="af"/>
    <w:link w:val="28"/>
    <w:semiHidden/>
    <w:qFormat/>
    <w:pPr>
      <w:ind w:firstLine="420"/>
    </w:pPr>
  </w:style>
  <w:style w:type="table" w:styleId="aff5">
    <w:name w:val="Table Grid"/>
    <w:basedOn w:val="a1"/>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endnote reference"/>
    <w:basedOn w:val="a0"/>
    <w:link w:val="Style178"/>
    <w:autoRedefine/>
    <w:uiPriority w:val="99"/>
    <w:semiHidden/>
    <w:qFormat/>
    <w:rPr>
      <w:rFonts w:asciiTheme="majorHAnsi" w:hAnsiTheme="majorHAnsi" w:cstheme="majorBidi"/>
      <w:b/>
      <w:bCs/>
      <w:kern w:val="2"/>
      <w:sz w:val="32"/>
      <w:szCs w:val="32"/>
    </w:rPr>
  </w:style>
  <w:style w:type="paragraph" w:customStyle="1" w:styleId="Style178">
    <w:name w:val="_Style 178"/>
    <w:basedOn w:val="Style124"/>
    <w:next w:val="aff7"/>
    <w:link w:val="aff6"/>
    <w:autoRedefine/>
    <w:uiPriority w:val="10"/>
    <w:semiHidden/>
    <w:qFormat/>
    <w:pPr>
      <w:spacing w:before="240" w:after="60"/>
      <w:jc w:val="center"/>
      <w:outlineLvl w:val="0"/>
    </w:pPr>
    <w:rPr>
      <w:rFonts w:asciiTheme="majorHAnsi" w:hAnsiTheme="majorHAnsi" w:cstheme="majorBidi"/>
      <w:b/>
      <w:bCs/>
      <w:kern w:val="2"/>
      <w:sz w:val="32"/>
      <w:szCs w:val="32"/>
    </w:rPr>
  </w:style>
  <w:style w:type="paragraph" w:customStyle="1" w:styleId="Style124">
    <w:name w:val="_Style 124"/>
    <w:link w:val="Style1240"/>
    <w:autoRedefine/>
    <w:semiHidden/>
    <w:qFormat/>
    <w:pPr>
      <w:widowControl w:val="0"/>
      <w:jc w:val="both"/>
    </w:pPr>
    <w:rPr>
      <w:rFonts w:ascii="宋体" w:hAnsi="宋体" w:cs="宋体"/>
      <w:sz w:val="21"/>
      <w:szCs w:val="21"/>
    </w:rPr>
  </w:style>
  <w:style w:type="paragraph" w:styleId="aff7">
    <w:name w:val="List Paragraph"/>
    <w:basedOn w:val="a"/>
    <w:link w:val="aff8"/>
    <w:autoRedefine/>
    <w:uiPriority w:val="99"/>
    <w:qFormat/>
    <w:pPr>
      <w:ind w:left="1200" w:hanging="720"/>
    </w:pPr>
    <w:rPr>
      <w:rFonts w:asciiTheme="minorEastAsia" w:eastAsiaTheme="minorEastAsia" w:hAnsiTheme="minorEastAsia" w:cs="Times New Roman"/>
      <w:kern w:val="2"/>
    </w:rPr>
  </w:style>
  <w:style w:type="character" w:styleId="aff9">
    <w:name w:val="Hyperlink"/>
    <w:basedOn w:val="a0"/>
    <w:link w:val="Style294"/>
    <w:autoRedefine/>
    <w:uiPriority w:val="99"/>
    <w:qFormat/>
    <w:rPr>
      <w:rFonts w:ascii="宋体" w:hAnsi="宋体" w:cs="宋体"/>
      <w:szCs w:val="24"/>
    </w:rPr>
  </w:style>
  <w:style w:type="paragraph" w:customStyle="1" w:styleId="Style294">
    <w:name w:val="_Style 294"/>
    <w:basedOn w:val="Style229"/>
    <w:link w:val="aff9"/>
    <w:autoRedefine/>
    <w:uiPriority w:val="99"/>
    <w:semiHidden/>
    <w:qFormat/>
    <w:pPr>
      <w:snapToGrid w:val="0"/>
    </w:pPr>
  </w:style>
  <w:style w:type="paragraph" w:customStyle="1" w:styleId="Style229">
    <w:name w:val="_Style 229"/>
    <w:autoRedefine/>
    <w:semiHidden/>
    <w:qFormat/>
    <w:rPr>
      <w:rFonts w:ascii="宋体" w:hAnsi="宋体" w:cs="宋体"/>
      <w:szCs w:val="24"/>
    </w:rPr>
  </w:style>
  <w:style w:type="character" w:styleId="affa">
    <w:name w:val="annotation reference"/>
    <w:basedOn w:val="a0"/>
    <w:link w:val="Style920"/>
    <w:autoRedefine/>
    <w:qFormat/>
    <w:rPr>
      <w:rFonts w:eastAsia="宋体" w:cs="Times New Roman"/>
      <w:kern w:val="2"/>
      <w:sz w:val="21"/>
      <w:szCs w:val="21"/>
      <w:lang w:val="en-US" w:eastAsia="zh-CN" w:bidi="ar-SA"/>
    </w:rPr>
  </w:style>
  <w:style w:type="paragraph" w:customStyle="1" w:styleId="Style920">
    <w:name w:val="_Style 920"/>
    <w:basedOn w:val="Style853"/>
    <w:link w:val="affa"/>
    <w:autoRedefine/>
    <w:uiPriority w:val="99"/>
    <w:qFormat/>
    <w:pPr>
      <w:snapToGrid w:val="0"/>
    </w:pPr>
  </w:style>
  <w:style w:type="paragraph" w:customStyle="1" w:styleId="Style853">
    <w:name w:val="_Style 853"/>
    <w:autoRedefine/>
    <w:semiHidden/>
    <w:qFormat/>
    <w:pPr>
      <w:widowControl w:val="0"/>
      <w:jc w:val="both"/>
    </w:pPr>
    <w:rPr>
      <w:rFonts w:ascii="宋体" w:hAnsi="宋体" w:cs="宋体"/>
      <w:sz w:val="24"/>
      <w:szCs w:val="24"/>
    </w:rPr>
  </w:style>
  <w:style w:type="paragraph" w:customStyle="1" w:styleId="Style127">
    <w:name w:val="_Style 127"/>
    <w:basedOn w:val="Style124"/>
    <w:next w:val="aff7"/>
    <w:link w:val="38"/>
    <w:autoRedefine/>
    <w:uiPriority w:val="9"/>
    <w:qFormat/>
    <w:pPr>
      <w:keepNext/>
      <w:keepLines/>
      <w:numPr>
        <w:numId w:val="3"/>
      </w:numPr>
      <w:spacing w:before="60" w:after="60"/>
      <w:outlineLvl w:val="2"/>
    </w:pPr>
    <w:rPr>
      <w:rFonts w:ascii="Calibri" w:hAnsi="Calibri" w:cs="Times New Roman"/>
      <w:b/>
      <w:bCs/>
      <w:kern w:val="2"/>
    </w:rPr>
  </w:style>
  <w:style w:type="character" w:customStyle="1" w:styleId="10">
    <w:name w:val="标题 1 字符"/>
    <w:basedOn w:val="a0"/>
    <w:link w:val="1"/>
    <w:autoRedefine/>
    <w:uiPriority w:val="99"/>
    <w:qFormat/>
    <w:rPr>
      <w:rFonts w:eastAsia="黑体"/>
      <w:b/>
      <w:bCs/>
      <w:kern w:val="44"/>
      <w:sz w:val="28"/>
      <w:szCs w:val="28"/>
    </w:rPr>
  </w:style>
  <w:style w:type="character" w:customStyle="1" w:styleId="20">
    <w:name w:val="标题 2 字符"/>
    <w:basedOn w:val="a0"/>
    <w:link w:val="2"/>
    <w:autoRedefine/>
    <w:qFormat/>
    <w:rPr>
      <w:rFonts w:ascii="Arial" w:hAnsi="Arial"/>
      <w:b/>
      <w:bCs/>
      <w:kern w:val="2"/>
      <w:sz w:val="21"/>
      <w:szCs w:val="21"/>
    </w:rPr>
  </w:style>
  <w:style w:type="character" w:customStyle="1" w:styleId="38">
    <w:name w:val="标题 3 字符"/>
    <w:basedOn w:val="a0"/>
    <w:link w:val="Style127"/>
    <w:autoRedefine/>
    <w:uiPriority w:val="9"/>
    <w:qFormat/>
    <w:rPr>
      <w:b/>
      <w:bCs/>
      <w:kern w:val="2"/>
      <w:sz w:val="21"/>
      <w:szCs w:val="21"/>
    </w:rPr>
  </w:style>
  <w:style w:type="character" w:customStyle="1" w:styleId="40">
    <w:name w:val="标题 4 字符"/>
    <w:basedOn w:val="a0"/>
    <w:link w:val="4"/>
    <w:autoRedefine/>
    <w:uiPriority w:val="9"/>
    <w:qFormat/>
    <w:rPr>
      <w:rFonts w:asciiTheme="minorEastAsia" w:eastAsiaTheme="minorEastAsia" w:hAnsiTheme="minorEastAsia"/>
      <w:b/>
      <w:bCs/>
      <w:kern w:val="2"/>
      <w:sz w:val="21"/>
      <w:szCs w:val="28"/>
    </w:rPr>
  </w:style>
  <w:style w:type="character" w:customStyle="1" w:styleId="50">
    <w:name w:val="标题 5 字符"/>
    <w:basedOn w:val="a0"/>
    <w:link w:val="5"/>
    <w:autoRedefine/>
    <w:uiPriority w:val="9"/>
    <w:qFormat/>
    <w:rPr>
      <w:b/>
      <w:bCs/>
      <w:kern w:val="2"/>
      <w:sz w:val="21"/>
      <w:szCs w:val="28"/>
    </w:rPr>
  </w:style>
  <w:style w:type="paragraph" w:customStyle="1" w:styleId="TOC1">
    <w:name w:val="TOC 标题1"/>
    <w:basedOn w:val="1"/>
    <w:next w:val="a"/>
    <w:autoRedefine/>
    <w:uiPriority w:val="39"/>
    <w:semiHidden/>
    <w:qFormat/>
    <w:pPr>
      <w:widowControl/>
      <w:spacing w:before="480" w:after="0" w:line="276" w:lineRule="auto"/>
      <w:outlineLvl w:val="9"/>
    </w:pPr>
    <w:rPr>
      <w:rFonts w:ascii="Cambria" w:eastAsia="宋体" w:hAnsi="Cambria"/>
      <w:color w:val="365F91"/>
      <w:kern w:val="0"/>
    </w:rPr>
  </w:style>
  <w:style w:type="character" w:customStyle="1" w:styleId="aa">
    <w:name w:val="批注文字 字符"/>
    <w:basedOn w:val="a0"/>
    <w:link w:val="a9"/>
    <w:autoRedefine/>
    <w:qFormat/>
    <w:rPr>
      <w:rFonts w:ascii="Times New Roman" w:hAnsi="Times New Roman"/>
      <w:kern w:val="2"/>
      <w:sz w:val="21"/>
      <w:szCs w:val="21"/>
    </w:rPr>
  </w:style>
  <w:style w:type="character" w:customStyle="1" w:styleId="af8">
    <w:name w:val="批注框文本 字符"/>
    <w:basedOn w:val="a0"/>
    <w:link w:val="af7"/>
    <w:autoRedefine/>
    <w:uiPriority w:val="99"/>
    <w:qFormat/>
    <w:rPr>
      <w:kern w:val="2"/>
      <w:sz w:val="18"/>
      <w:szCs w:val="18"/>
    </w:rPr>
  </w:style>
  <w:style w:type="character" w:customStyle="1" w:styleId="ac">
    <w:name w:val="称呼 字符"/>
    <w:basedOn w:val="a0"/>
    <w:link w:val="ab"/>
    <w:autoRedefine/>
    <w:uiPriority w:val="99"/>
    <w:qFormat/>
    <w:rPr>
      <w:rFonts w:ascii="Times New Roman" w:hAnsi="Times New Roman"/>
      <w:kern w:val="2"/>
      <w:sz w:val="18"/>
      <w:szCs w:val="18"/>
    </w:rPr>
  </w:style>
  <w:style w:type="character" w:customStyle="1" w:styleId="notnullcss1">
    <w:name w:val="notnullcss1"/>
    <w:basedOn w:val="a0"/>
    <w:autoRedefine/>
    <w:uiPriority w:val="99"/>
    <w:qFormat/>
    <w:rPr>
      <w:rFonts w:eastAsia="宋体" w:cs="Times New Roman"/>
      <w:color w:val="FF0000"/>
      <w:kern w:val="2"/>
      <w:sz w:val="24"/>
      <w:szCs w:val="24"/>
      <w:lang w:val="en-US" w:eastAsia="zh-CN" w:bidi="ar-SA"/>
    </w:rPr>
  </w:style>
  <w:style w:type="paragraph" w:customStyle="1" w:styleId="xl61">
    <w:name w:val="xl61"/>
    <w:basedOn w:val="a"/>
    <w:autoRedefine/>
    <w:uiPriority w:val="99"/>
    <w:qFormat/>
    <w:pPr>
      <w:spacing w:before="100" w:after="100"/>
      <w:jc w:val="right"/>
    </w:pPr>
    <w:rPr>
      <w:rFonts w:ascii="Arial Unicode MS" w:eastAsia="Arial Unicode MS" w:hAnsi="Times New Roman" w:cs="Times New Roman"/>
      <w:sz w:val="18"/>
      <w:szCs w:val="18"/>
    </w:rPr>
  </w:style>
  <w:style w:type="character" w:customStyle="1" w:styleId="aff2">
    <w:name w:val="批注主题 字符"/>
    <w:basedOn w:val="aa"/>
    <w:link w:val="aff1"/>
    <w:autoRedefine/>
    <w:uiPriority w:val="99"/>
    <w:qFormat/>
    <w:rPr>
      <w:rFonts w:ascii="Times New Roman" w:hAnsi="Times New Roman"/>
      <w:b/>
      <w:bCs/>
      <w:kern w:val="2"/>
      <w:sz w:val="21"/>
      <w:szCs w:val="22"/>
    </w:rPr>
  </w:style>
  <w:style w:type="character" w:customStyle="1" w:styleId="afc">
    <w:name w:val="页眉 字符"/>
    <w:basedOn w:val="a0"/>
    <w:link w:val="afb"/>
    <w:autoRedefine/>
    <w:uiPriority w:val="99"/>
    <w:qFormat/>
    <w:rPr>
      <w:kern w:val="2"/>
      <w:sz w:val="18"/>
      <w:szCs w:val="18"/>
    </w:rPr>
  </w:style>
  <w:style w:type="character" w:customStyle="1" w:styleId="afa">
    <w:name w:val="页脚 字符"/>
    <w:basedOn w:val="a0"/>
    <w:link w:val="af9"/>
    <w:autoRedefine/>
    <w:uiPriority w:val="99"/>
    <w:qFormat/>
    <w:rPr>
      <w:kern w:val="2"/>
      <w:sz w:val="18"/>
      <w:szCs w:val="18"/>
    </w:rPr>
  </w:style>
  <w:style w:type="character" w:customStyle="1" w:styleId="af2">
    <w:name w:val="纯文本 字符"/>
    <w:basedOn w:val="a0"/>
    <w:link w:val="af1"/>
    <w:autoRedefine/>
    <w:qFormat/>
    <w:rPr>
      <w:rFonts w:ascii="宋体" w:hAnsi="Courier New"/>
      <w:kern w:val="2"/>
      <w:sz w:val="21"/>
    </w:rPr>
  </w:style>
  <w:style w:type="character" w:customStyle="1" w:styleId="headline-content2">
    <w:name w:val="headline-content2"/>
    <w:basedOn w:val="a0"/>
    <w:autoRedefine/>
    <w:qFormat/>
    <w:rPr>
      <w:rFonts w:eastAsia="宋体" w:cs="Times New Roman"/>
      <w:kern w:val="2"/>
      <w:sz w:val="24"/>
      <w:szCs w:val="24"/>
      <w:lang w:val="en-US" w:eastAsia="zh-CN" w:bidi="ar-SA"/>
    </w:rPr>
  </w:style>
  <w:style w:type="character" w:customStyle="1" w:styleId="ae">
    <w:name w:val="正文文本 字符"/>
    <w:basedOn w:val="a0"/>
    <w:link w:val="ad"/>
    <w:autoRedefine/>
    <w:uiPriority w:val="99"/>
    <w:qFormat/>
    <w:rPr>
      <w:rFonts w:ascii="Times New Roman" w:hAnsi="Times New Roman"/>
      <w:kern w:val="2"/>
      <w:sz w:val="21"/>
      <w:szCs w:val="21"/>
    </w:rPr>
  </w:style>
  <w:style w:type="paragraph" w:customStyle="1" w:styleId="write2">
    <w:name w:val="write2"/>
    <w:basedOn w:val="a"/>
    <w:autoRedefine/>
    <w:uiPriority w:val="99"/>
    <w:qFormat/>
    <w:pPr>
      <w:tabs>
        <w:tab w:val="left" w:pos="709"/>
      </w:tabs>
      <w:overflowPunct w:val="0"/>
      <w:autoSpaceDE w:val="0"/>
      <w:autoSpaceDN w:val="0"/>
      <w:adjustRightInd w:val="0"/>
      <w:textAlignment w:val="baseline"/>
    </w:pPr>
    <w:rPr>
      <w:rFonts w:ascii="Helvetica-Narrow" w:hAnsi="Helvetica-Narrow" w:cs="Times New Roman"/>
      <w:sz w:val="21"/>
      <w:lang w:val="en-AU"/>
    </w:rPr>
  </w:style>
  <w:style w:type="character" w:customStyle="1" w:styleId="af4">
    <w:name w:val="日期 字符"/>
    <w:basedOn w:val="a0"/>
    <w:link w:val="af3"/>
    <w:autoRedefine/>
    <w:uiPriority w:val="99"/>
    <w:qFormat/>
    <w:rPr>
      <w:rFonts w:ascii="Times New Roman" w:hAnsi="Times New Roman"/>
      <w:kern w:val="2"/>
      <w:sz w:val="21"/>
      <w:szCs w:val="21"/>
    </w:rPr>
  </w:style>
  <w:style w:type="character" w:customStyle="1" w:styleId="a4">
    <w:name w:val="注释标题 字符"/>
    <w:basedOn w:val="a0"/>
    <w:link w:val="a3"/>
    <w:autoRedefine/>
    <w:uiPriority w:val="99"/>
    <w:qFormat/>
    <w:rPr>
      <w:rFonts w:ascii="Times New Roman" w:hAnsi="Times New Roman"/>
      <w:kern w:val="2"/>
      <w:sz w:val="21"/>
      <w:szCs w:val="21"/>
    </w:rPr>
  </w:style>
  <w:style w:type="paragraph" w:customStyle="1" w:styleId="52">
    <w:name w:val="标题5"/>
    <w:basedOn w:val="a"/>
    <w:autoRedefine/>
    <w:qFormat/>
    <w:pPr>
      <w:keepNext/>
      <w:keepLines/>
      <w:spacing w:before="60" w:after="60"/>
      <w:ind w:hangingChars="200" w:hanging="420"/>
      <w:outlineLvl w:val="4"/>
    </w:pPr>
    <w:rPr>
      <w:rFonts w:cs="Times New Roman"/>
      <w:b/>
      <w:bCs/>
      <w:kern w:val="2"/>
      <w:sz w:val="21"/>
      <w:szCs w:val="21"/>
    </w:rPr>
  </w:style>
  <w:style w:type="paragraph" w:customStyle="1" w:styleId="13">
    <w:name w:val="修订1"/>
    <w:link w:val="Style395"/>
    <w:autoRedefine/>
    <w:uiPriority w:val="99"/>
    <w:semiHidden/>
    <w:qFormat/>
    <w:rPr>
      <w:kern w:val="2"/>
      <w:sz w:val="21"/>
      <w:szCs w:val="22"/>
    </w:rPr>
  </w:style>
  <w:style w:type="character" w:customStyle="1" w:styleId="Char">
    <w:name w:val="正文的样式 Char"/>
    <w:basedOn w:val="a0"/>
    <w:link w:val="affb"/>
    <w:autoRedefine/>
    <w:qFormat/>
    <w:rPr>
      <w:kern w:val="2"/>
      <w:sz w:val="21"/>
      <w:szCs w:val="24"/>
    </w:rPr>
  </w:style>
  <w:style w:type="paragraph" w:customStyle="1" w:styleId="affb">
    <w:name w:val="正文的样式"/>
    <w:basedOn w:val="a"/>
    <w:link w:val="Char"/>
    <w:qFormat/>
    <w:pPr>
      <w:spacing w:before="100" w:after="100"/>
    </w:pPr>
    <w:rPr>
      <w:rFonts w:ascii="Calibri" w:hAnsi="Calibri" w:cs="Times New Roman"/>
      <w:kern w:val="2"/>
      <w:sz w:val="21"/>
    </w:rPr>
  </w:style>
  <w:style w:type="character" w:customStyle="1" w:styleId="a7">
    <w:name w:val="文档结构图 字符"/>
    <w:basedOn w:val="a0"/>
    <w:link w:val="a6"/>
    <w:autoRedefine/>
    <w:uiPriority w:val="99"/>
    <w:semiHidden/>
    <w:qFormat/>
    <w:rPr>
      <w:rFonts w:ascii="Arial"/>
      <w:color w:val="000000"/>
      <w:kern w:val="2"/>
      <w:sz w:val="18"/>
      <w:szCs w:val="18"/>
    </w:rPr>
  </w:style>
  <w:style w:type="character" w:styleId="affc">
    <w:name w:val="Placeholder Text"/>
    <w:basedOn w:val="a0"/>
    <w:link w:val="Style189"/>
    <w:autoRedefine/>
    <w:uiPriority w:val="99"/>
    <w:qFormat/>
    <w:rPr>
      <w:rFonts w:ascii="宋体" w:hAnsi="宋体" w:cs="宋体"/>
      <w:sz w:val="24"/>
      <w:szCs w:val="24"/>
    </w:rPr>
  </w:style>
  <w:style w:type="paragraph" w:customStyle="1" w:styleId="Style189">
    <w:name w:val="_Style 189"/>
    <w:basedOn w:val="Style124"/>
    <w:link w:val="affc"/>
    <w:autoRedefine/>
    <w:uiPriority w:val="99"/>
    <w:qFormat/>
    <w:pPr>
      <w:snapToGrid w:val="0"/>
    </w:pPr>
  </w:style>
  <w:style w:type="character" w:customStyle="1" w:styleId="aff0">
    <w:name w:val="标题 字符"/>
    <w:basedOn w:val="a0"/>
    <w:link w:val="aff"/>
    <w:autoRedefine/>
    <w:uiPriority w:val="10"/>
    <w:qFormat/>
    <w:rPr>
      <w:rFonts w:asciiTheme="majorHAnsi" w:hAnsiTheme="majorHAnsi" w:cstheme="majorBidi"/>
      <w:b/>
      <w:bCs/>
      <w:kern w:val="2"/>
      <w:sz w:val="32"/>
      <w:szCs w:val="32"/>
    </w:rPr>
  </w:style>
  <w:style w:type="paragraph" w:styleId="affd">
    <w:name w:val="No Spacing"/>
    <w:link w:val="14"/>
    <w:autoRedefine/>
    <w:uiPriority w:val="1"/>
    <w:qFormat/>
    <w:pPr>
      <w:widowControl w:val="0"/>
      <w:jc w:val="both"/>
    </w:pPr>
    <w:rPr>
      <w:kern w:val="2"/>
      <w:sz w:val="21"/>
      <w:szCs w:val="22"/>
    </w:rPr>
  </w:style>
  <w:style w:type="character" w:customStyle="1" w:styleId="60">
    <w:name w:val="标题 6 字符"/>
    <w:basedOn w:val="a0"/>
    <w:link w:val="6"/>
    <w:autoRedefine/>
    <w:uiPriority w:val="9"/>
    <w:qFormat/>
    <w:rPr>
      <w:rFonts w:asciiTheme="majorHAnsi" w:hAnsiTheme="majorHAnsi" w:cstheme="majorBidi"/>
      <w:b/>
      <w:bCs/>
      <w:sz w:val="21"/>
      <w:szCs w:val="24"/>
    </w:rPr>
  </w:style>
  <w:style w:type="character" w:customStyle="1" w:styleId="af6">
    <w:name w:val="尾注文本 字符"/>
    <w:basedOn w:val="a0"/>
    <w:link w:val="af5"/>
    <w:autoRedefine/>
    <w:uiPriority w:val="99"/>
    <w:semiHidden/>
    <w:qFormat/>
    <w:rPr>
      <w:rFonts w:ascii="Arial" w:hAnsi="Arial" w:cs="Arial"/>
      <w:color w:val="000000"/>
      <w:sz w:val="21"/>
      <w:szCs w:val="21"/>
    </w:rPr>
  </w:style>
  <w:style w:type="character" w:customStyle="1" w:styleId="Char1">
    <w:name w:val="批注主题 Char1"/>
    <w:basedOn w:val="aa"/>
    <w:autoRedefine/>
    <w:uiPriority w:val="99"/>
    <w:semiHidden/>
    <w:qFormat/>
    <w:rPr>
      <w:rFonts w:ascii="Times New Roman" w:eastAsia="宋体" w:hAnsi="Times New Roman" w:cs="Times New Roman"/>
      <w:b/>
      <w:bCs/>
      <w:kern w:val="2"/>
      <w:sz w:val="21"/>
      <w:szCs w:val="21"/>
    </w:rPr>
  </w:style>
  <w:style w:type="character" w:customStyle="1" w:styleId="span">
    <w:name w:val="span_"/>
    <w:basedOn w:val="a0"/>
    <w:autoRedefine/>
    <w:qFormat/>
  </w:style>
  <w:style w:type="paragraph" w:customStyle="1" w:styleId="39">
    <w:name w:val="标题  3"/>
    <w:basedOn w:val="a"/>
    <w:next w:val="a"/>
    <w:link w:val="3Char"/>
    <w:autoRedefine/>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3Char">
    <w:name w:val="标题  3 Char"/>
    <w:basedOn w:val="a0"/>
    <w:link w:val="39"/>
    <w:autoRedefine/>
    <w:qFormat/>
    <w:rPr>
      <w:rFonts w:ascii="Times New Roman" w:hAnsi="Times New Roman"/>
      <w:b/>
      <w:kern w:val="2"/>
      <w:sz w:val="21"/>
      <w:szCs w:val="24"/>
    </w:rPr>
  </w:style>
  <w:style w:type="character" w:customStyle="1" w:styleId="70">
    <w:name w:val="标题 7 字符"/>
    <w:basedOn w:val="a0"/>
    <w:link w:val="7"/>
    <w:autoRedefine/>
    <w:uiPriority w:val="9"/>
    <w:qFormat/>
    <w:rPr>
      <w:rFonts w:ascii="宋体" w:hAnsi="宋体" w:cs="宋体"/>
      <w:b/>
      <w:bCs/>
      <w:sz w:val="24"/>
      <w:szCs w:val="24"/>
    </w:rPr>
  </w:style>
  <w:style w:type="character" w:customStyle="1" w:styleId="15">
    <w:name w:val="批注主题 字符1"/>
    <w:basedOn w:val="aa"/>
    <w:link w:val="Style245"/>
    <w:autoRedefine/>
    <w:uiPriority w:val="99"/>
    <w:semiHidden/>
    <w:qFormat/>
    <w:rPr>
      <w:rFonts w:ascii="Times New Roman" w:hAnsi="Times New Roman"/>
      <w:kern w:val="2"/>
      <w:sz w:val="21"/>
      <w:szCs w:val="21"/>
    </w:rPr>
  </w:style>
  <w:style w:type="paragraph" w:customStyle="1" w:styleId="Style245">
    <w:name w:val="_Style 245"/>
    <w:basedOn w:val="Style229"/>
    <w:next w:val="aff7"/>
    <w:link w:val="15"/>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character" w:customStyle="1" w:styleId="4Char">
    <w:name w:val="标题 4 Char"/>
    <w:autoRedefine/>
    <w:uiPriority w:val="9"/>
    <w:qFormat/>
    <w:rPr>
      <w:rFonts w:ascii="Cambria" w:hAnsi="Cambria"/>
      <w:b/>
      <w:bCs/>
      <w:kern w:val="2"/>
      <w:sz w:val="21"/>
      <w:szCs w:val="28"/>
    </w:rPr>
  </w:style>
  <w:style w:type="paragraph" w:customStyle="1" w:styleId="42">
    <w:name w:val="4"/>
    <w:basedOn w:val="a"/>
    <w:next w:val="aff7"/>
    <w:autoRedefine/>
    <w:uiPriority w:val="34"/>
    <w:qFormat/>
    <w:pPr>
      <w:ind w:firstLine="420"/>
    </w:pPr>
    <w:rPr>
      <w:rFonts w:ascii="Calibri" w:hAnsi="Calibri" w:cs="Times New Roman"/>
      <w:kern w:val="2"/>
      <w:sz w:val="21"/>
      <w:szCs w:val="22"/>
    </w:rPr>
  </w:style>
  <w:style w:type="paragraph" w:customStyle="1" w:styleId="3a">
    <w:name w:val="3"/>
    <w:basedOn w:val="a"/>
    <w:next w:val="aff7"/>
    <w:link w:val="Style303"/>
    <w:autoRedefine/>
    <w:uiPriority w:val="34"/>
    <w:qFormat/>
    <w:pPr>
      <w:ind w:firstLine="420"/>
    </w:pPr>
    <w:rPr>
      <w:rFonts w:ascii="Calibri" w:hAnsi="Calibri" w:cs="Times New Roman"/>
      <w:kern w:val="2"/>
      <w:sz w:val="21"/>
      <w:szCs w:val="22"/>
    </w:rPr>
  </w:style>
  <w:style w:type="character" w:customStyle="1" w:styleId="3Char0">
    <w:name w:val="标题 3 Char"/>
    <w:autoRedefine/>
    <w:uiPriority w:val="9"/>
    <w:qFormat/>
    <w:rPr>
      <w:b/>
      <w:bCs/>
      <w:kern w:val="2"/>
      <w:sz w:val="21"/>
      <w:szCs w:val="32"/>
    </w:rPr>
  </w:style>
  <w:style w:type="paragraph" w:customStyle="1" w:styleId="29">
    <w:name w:val="2"/>
    <w:basedOn w:val="a"/>
    <w:next w:val="aff7"/>
    <w:link w:val="Style472"/>
    <w:autoRedefine/>
    <w:uiPriority w:val="34"/>
    <w:qFormat/>
    <w:pPr>
      <w:ind w:firstLine="420"/>
    </w:pPr>
    <w:rPr>
      <w:rFonts w:ascii="Calibri" w:hAnsi="Calibri" w:cs="Times New Roman"/>
      <w:kern w:val="2"/>
      <w:sz w:val="21"/>
      <w:szCs w:val="22"/>
    </w:rPr>
  </w:style>
  <w:style w:type="paragraph" w:customStyle="1" w:styleId="16">
    <w:name w:val="1"/>
    <w:basedOn w:val="a"/>
    <w:next w:val="aff7"/>
    <w:link w:val="Style785"/>
    <w:autoRedefine/>
    <w:uiPriority w:val="34"/>
    <w:qFormat/>
    <w:pPr>
      <w:ind w:firstLine="420"/>
    </w:pPr>
    <w:rPr>
      <w:rFonts w:ascii="Calibri" w:hAnsi="Calibri" w:cs="Times New Roman"/>
      <w:kern w:val="2"/>
      <w:sz w:val="21"/>
      <w:szCs w:val="22"/>
    </w:rPr>
  </w:style>
  <w:style w:type="paragraph" w:customStyle="1" w:styleId="TableParagraph">
    <w:name w:val="Table Paragraph"/>
    <w:basedOn w:val="a"/>
    <w:autoRedefine/>
    <w:uiPriority w:val="1"/>
    <w:qFormat/>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autoRedefine/>
    <w:qFormat/>
    <w:rPr>
      <w:rFonts w:ascii="Times New Roman" w:hAnsi="Times New Roman"/>
      <w:sz w:val="21"/>
      <w:szCs w:val="21"/>
    </w:rPr>
  </w:style>
  <w:style w:type="character" w:customStyle="1" w:styleId="3Char1">
    <w:name w:val="标题 3 Char1"/>
    <w:autoRedefine/>
    <w:uiPriority w:val="9"/>
    <w:qFormat/>
    <w:rPr>
      <w:b/>
      <w:bCs/>
      <w:kern w:val="2"/>
      <w:sz w:val="21"/>
      <w:szCs w:val="32"/>
    </w:rPr>
  </w:style>
  <w:style w:type="character" w:customStyle="1" w:styleId="2Char">
    <w:name w:val="标题 2 Char"/>
    <w:autoRedefine/>
    <w:qFormat/>
    <w:rPr>
      <w:rFonts w:ascii="Arial" w:hAnsi="Arial"/>
      <w:b/>
      <w:bCs/>
      <w:kern w:val="2"/>
      <w:sz w:val="21"/>
      <w:szCs w:val="21"/>
    </w:rPr>
  </w:style>
  <w:style w:type="character" w:customStyle="1" w:styleId="5Char">
    <w:name w:val="标题 5 Char"/>
    <w:autoRedefine/>
    <w:uiPriority w:val="9"/>
    <w:qFormat/>
    <w:rPr>
      <w:b/>
      <w:bCs/>
      <w:kern w:val="2"/>
      <w:sz w:val="21"/>
      <w:szCs w:val="28"/>
    </w:rPr>
  </w:style>
  <w:style w:type="paragraph" w:customStyle="1" w:styleId="Style90">
    <w:name w:val="_Style 90"/>
    <w:basedOn w:val="a"/>
    <w:next w:val="aff7"/>
    <w:autoRedefine/>
    <w:uiPriority w:val="34"/>
    <w:semiHidden/>
    <w:qFormat/>
    <w:pPr>
      <w:ind w:firstLine="420"/>
    </w:pPr>
    <w:rPr>
      <w:rFonts w:ascii="Calibri" w:hAnsi="Calibri" w:cs="Times New Roman"/>
      <w:kern w:val="2"/>
      <w:sz w:val="21"/>
      <w:szCs w:val="22"/>
    </w:rPr>
  </w:style>
  <w:style w:type="character" w:customStyle="1" w:styleId="Char2">
    <w:name w:val="称呼 Char"/>
    <w:autoRedefine/>
    <w:uiPriority w:val="99"/>
    <w:qFormat/>
    <w:rPr>
      <w:rFonts w:ascii="Times New Roman" w:hAnsi="Times New Roman"/>
      <w:kern w:val="2"/>
      <w:sz w:val="21"/>
      <w:szCs w:val="21"/>
    </w:rPr>
  </w:style>
  <w:style w:type="character" w:customStyle="1" w:styleId="fontstyle01">
    <w:name w:val="fontstyle01"/>
    <w:autoRedefine/>
    <w:qFormat/>
    <w:rPr>
      <w:rFonts w:ascii="FZLTSK--GBK1-0" w:hAnsi="FZLTSK--GBK1-0" w:hint="default"/>
      <w:color w:val="000000"/>
      <w:sz w:val="20"/>
      <w:szCs w:val="20"/>
    </w:rPr>
  </w:style>
  <w:style w:type="paragraph" w:customStyle="1" w:styleId="Style93">
    <w:name w:val="_Style 93"/>
    <w:basedOn w:val="a"/>
    <w:next w:val="aff7"/>
    <w:autoRedefine/>
    <w:uiPriority w:val="34"/>
    <w:semiHidden/>
    <w:qFormat/>
    <w:pPr>
      <w:ind w:firstLine="420"/>
    </w:pPr>
    <w:rPr>
      <w:rFonts w:ascii="Calibri" w:hAnsi="Calibri" w:cs="Times New Roman"/>
      <w:kern w:val="2"/>
      <w:sz w:val="21"/>
      <w:szCs w:val="22"/>
    </w:rPr>
  </w:style>
  <w:style w:type="character" w:customStyle="1" w:styleId="Char10">
    <w:name w:val="批注文字 Char1"/>
    <w:autoRedefine/>
    <w:uiPriority w:val="99"/>
    <w:qFormat/>
    <w:rPr>
      <w:rFonts w:ascii="Times New Roman" w:hAnsi="Times New Roman"/>
      <w:kern w:val="2"/>
      <w:sz w:val="21"/>
      <w:szCs w:val="21"/>
    </w:rPr>
  </w:style>
  <w:style w:type="character" w:customStyle="1" w:styleId="5Char1">
    <w:name w:val="标题 5 Char1"/>
    <w:autoRedefine/>
    <w:uiPriority w:val="9"/>
    <w:qFormat/>
    <w:rPr>
      <w:b/>
      <w:bCs/>
      <w:kern w:val="2"/>
      <w:sz w:val="21"/>
      <w:szCs w:val="28"/>
    </w:rPr>
  </w:style>
  <w:style w:type="character" w:customStyle="1" w:styleId="17">
    <w:name w:val="批注文字 字符1"/>
    <w:autoRedefine/>
    <w:uiPriority w:val="99"/>
    <w:semiHidden/>
    <w:qFormat/>
    <w:locked/>
    <w:rPr>
      <w:rFonts w:ascii="Times New Roman" w:hAnsi="Times New Roman"/>
      <w:kern w:val="2"/>
      <w:sz w:val="21"/>
      <w:szCs w:val="21"/>
    </w:rPr>
  </w:style>
  <w:style w:type="character" w:customStyle="1" w:styleId="2Char1">
    <w:name w:val="标题 2 Char1"/>
    <w:autoRedefine/>
    <w:qFormat/>
    <w:rPr>
      <w:rFonts w:ascii="Arial" w:hAnsi="Arial"/>
      <w:b/>
      <w:bCs/>
      <w:kern w:val="2"/>
      <w:sz w:val="21"/>
      <w:szCs w:val="21"/>
    </w:rPr>
  </w:style>
  <w:style w:type="character" w:customStyle="1" w:styleId="Char20">
    <w:name w:val="批注文字 Char2"/>
    <w:autoRedefine/>
    <w:uiPriority w:val="99"/>
    <w:qFormat/>
    <w:rPr>
      <w:rFonts w:ascii="Times New Roman" w:hAnsi="Times New Roman"/>
      <w:kern w:val="2"/>
      <w:sz w:val="21"/>
      <w:szCs w:val="21"/>
    </w:rPr>
  </w:style>
  <w:style w:type="character" w:customStyle="1" w:styleId="5Char2">
    <w:name w:val="标题 5 Char2"/>
    <w:autoRedefine/>
    <w:uiPriority w:val="9"/>
    <w:qFormat/>
    <w:rPr>
      <w:b/>
      <w:bCs/>
      <w:kern w:val="2"/>
      <w:sz w:val="21"/>
      <w:szCs w:val="28"/>
    </w:rPr>
  </w:style>
  <w:style w:type="paragraph" w:customStyle="1" w:styleId="Style100">
    <w:name w:val="_Style 100"/>
    <w:basedOn w:val="a"/>
    <w:next w:val="aff7"/>
    <w:autoRedefine/>
    <w:uiPriority w:val="34"/>
    <w:semiHidden/>
    <w:qFormat/>
    <w:pPr>
      <w:ind w:firstLine="420"/>
    </w:pPr>
    <w:rPr>
      <w:rFonts w:ascii="Calibri" w:hAnsi="Calibri" w:cs="Times New Roman"/>
      <w:kern w:val="2"/>
      <w:sz w:val="21"/>
      <w:szCs w:val="22"/>
    </w:rPr>
  </w:style>
  <w:style w:type="character" w:customStyle="1" w:styleId="3Char2">
    <w:name w:val="标题 3 Char2"/>
    <w:autoRedefine/>
    <w:uiPriority w:val="9"/>
    <w:qFormat/>
    <w:rPr>
      <w:b/>
      <w:bCs/>
      <w:kern w:val="2"/>
      <w:sz w:val="21"/>
      <w:szCs w:val="32"/>
    </w:rPr>
  </w:style>
  <w:style w:type="character" w:customStyle="1" w:styleId="3Char3">
    <w:name w:val="标题 3 Char3"/>
    <w:autoRedefine/>
    <w:uiPriority w:val="9"/>
    <w:qFormat/>
    <w:rPr>
      <w:b/>
      <w:bCs/>
      <w:kern w:val="2"/>
      <w:sz w:val="21"/>
      <w:szCs w:val="32"/>
    </w:rPr>
  </w:style>
  <w:style w:type="character" w:customStyle="1" w:styleId="Char3">
    <w:name w:val="批注文字 Char3"/>
    <w:autoRedefine/>
    <w:qFormat/>
    <w:rPr>
      <w:rFonts w:ascii="Times New Roman" w:hAnsi="Times New Roman"/>
      <w:kern w:val="2"/>
      <w:sz w:val="21"/>
      <w:szCs w:val="21"/>
    </w:rPr>
  </w:style>
  <w:style w:type="character" w:customStyle="1" w:styleId="font11">
    <w:name w:val="font11"/>
    <w:basedOn w:val="a0"/>
    <w:autoRedefine/>
    <w:semiHidden/>
    <w:qFormat/>
    <w:rPr>
      <w:rFonts w:ascii="Times New Roman" w:hAnsi="Times New Roman" w:cs="Times New Roman" w:hint="default"/>
      <w:color w:val="000000"/>
      <w:sz w:val="20"/>
      <w:szCs w:val="20"/>
      <w:u w:val="none"/>
    </w:rPr>
  </w:style>
  <w:style w:type="character" w:customStyle="1" w:styleId="font21">
    <w:name w:val="font21"/>
    <w:basedOn w:val="a0"/>
    <w:autoRedefine/>
    <w:semiHidden/>
    <w:qFormat/>
    <w:rPr>
      <w:rFonts w:ascii="宋体" w:eastAsia="宋体" w:hAnsi="宋体" w:hint="eastAsia"/>
      <w:color w:val="000000"/>
      <w:sz w:val="20"/>
      <w:szCs w:val="20"/>
      <w:u w:val="none"/>
    </w:rPr>
  </w:style>
  <w:style w:type="character" w:customStyle="1" w:styleId="font31">
    <w:name w:val="font31"/>
    <w:basedOn w:val="a0"/>
    <w:autoRedefine/>
    <w:semiHidden/>
    <w:qFormat/>
    <w:rPr>
      <w:rFonts w:ascii="宋体" w:eastAsia="宋体" w:hAnsi="宋体" w:hint="eastAsia"/>
      <w:color w:val="000000"/>
      <w:sz w:val="20"/>
      <w:szCs w:val="20"/>
      <w:u w:val="none"/>
    </w:rPr>
  </w:style>
  <w:style w:type="paragraph" w:customStyle="1" w:styleId="18">
    <w:name w:val="正文1"/>
    <w:link w:val="Style378"/>
    <w:semiHidden/>
    <w:qFormat/>
    <w:pPr>
      <w:jc w:val="both"/>
    </w:pPr>
    <w:rPr>
      <w:rFonts w:ascii="宋体" w:hAnsi="宋体" w:cs="宋体"/>
      <w:kern w:val="2"/>
      <w:sz w:val="21"/>
      <w:szCs w:val="21"/>
    </w:rPr>
  </w:style>
  <w:style w:type="paragraph" w:customStyle="1" w:styleId="19">
    <w:name w:val="列出段落1"/>
    <w:basedOn w:val="a"/>
    <w:autoRedefine/>
    <w:semiHidden/>
    <w:qFormat/>
    <w:pPr>
      <w:ind w:firstLine="420"/>
    </w:pPr>
    <w:rPr>
      <w:rFonts w:ascii="Calibri" w:hAnsi="Calibri" w:cs="Times New Roman"/>
      <w:kern w:val="2"/>
      <w:sz w:val="21"/>
      <w:szCs w:val="21"/>
    </w:rPr>
  </w:style>
  <w:style w:type="character" w:customStyle="1" w:styleId="aff4">
    <w:name w:val="正文首行缩进 字符"/>
    <w:basedOn w:val="ae"/>
    <w:link w:val="aff3"/>
    <w:autoRedefine/>
    <w:semiHidden/>
    <w:qFormat/>
    <w:rPr>
      <w:rFonts w:ascii="宋体" w:hAnsi="宋体" w:cs="宋体"/>
      <w:kern w:val="2"/>
      <w:sz w:val="24"/>
      <w:szCs w:val="24"/>
    </w:rPr>
  </w:style>
  <w:style w:type="character" w:customStyle="1" w:styleId="af0">
    <w:name w:val="正文文本缩进 字符"/>
    <w:basedOn w:val="a0"/>
    <w:link w:val="af"/>
    <w:autoRedefine/>
    <w:semiHidden/>
    <w:qFormat/>
    <w:rPr>
      <w:rFonts w:ascii="宋体" w:hAnsi="宋体" w:cs="宋体"/>
      <w:sz w:val="24"/>
      <w:szCs w:val="24"/>
    </w:rPr>
  </w:style>
  <w:style w:type="character" w:customStyle="1" w:styleId="28">
    <w:name w:val="正文首行缩进 2 字符"/>
    <w:basedOn w:val="af0"/>
    <w:link w:val="27"/>
    <w:autoRedefine/>
    <w:semiHidden/>
    <w:qFormat/>
    <w:rPr>
      <w:rFonts w:ascii="宋体" w:hAnsi="宋体" w:cs="宋体"/>
      <w:sz w:val="24"/>
      <w:szCs w:val="24"/>
    </w:rPr>
  </w:style>
  <w:style w:type="character" w:customStyle="1" w:styleId="26">
    <w:name w:val="正文文本 2 字符"/>
    <w:basedOn w:val="a0"/>
    <w:link w:val="25"/>
    <w:autoRedefine/>
    <w:semiHidden/>
    <w:qFormat/>
    <w:rPr>
      <w:rFonts w:ascii="宋体" w:hAnsi="宋体" w:cs="宋体"/>
      <w:sz w:val="24"/>
      <w:szCs w:val="24"/>
    </w:rPr>
  </w:style>
  <w:style w:type="character" w:customStyle="1" w:styleId="32">
    <w:name w:val="正文文本 3 字符"/>
    <w:basedOn w:val="a0"/>
    <w:link w:val="30"/>
    <w:autoRedefine/>
    <w:semiHidden/>
    <w:qFormat/>
    <w:rPr>
      <w:rFonts w:ascii="宋体" w:hAnsi="宋体" w:cs="宋体"/>
      <w:sz w:val="16"/>
      <w:szCs w:val="16"/>
    </w:rPr>
  </w:style>
  <w:style w:type="character" w:customStyle="1" w:styleId="22">
    <w:name w:val="正文文本缩进 2 字符"/>
    <w:basedOn w:val="a0"/>
    <w:link w:val="21"/>
    <w:autoRedefine/>
    <w:semiHidden/>
    <w:qFormat/>
    <w:rPr>
      <w:rFonts w:ascii="宋体" w:hAnsi="宋体" w:cs="宋体"/>
      <w:sz w:val="24"/>
      <w:szCs w:val="24"/>
    </w:rPr>
  </w:style>
  <w:style w:type="character" w:customStyle="1" w:styleId="37">
    <w:name w:val="正文文本缩进 3 字符"/>
    <w:basedOn w:val="a0"/>
    <w:link w:val="36"/>
    <w:autoRedefine/>
    <w:semiHidden/>
    <w:qFormat/>
    <w:rPr>
      <w:rFonts w:ascii="宋体" w:hAnsi="宋体" w:cs="宋体"/>
      <w:sz w:val="16"/>
      <w:szCs w:val="16"/>
    </w:rPr>
  </w:style>
  <w:style w:type="table" w:customStyle="1" w:styleId="g3">
    <w:name w:val="g3"/>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TOC10">
    <w:name w:val="TOC 1 字符"/>
    <w:basedOn w:val="Style124"/>
    <w:next w:val="aff7"/>
    <w:autoRedefine/>
    <w:uiPriority w:val="99"/>
    <w:semiHidden/>
    <w:qFormat/>
    <w:pPr>
      <w:keepNext/>
      <w:keepLines/>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Style124"/>
    <w:next w:val="aff7"/>
    <w:autoRedefine/>
    <w:semiHidden/>
    <w:qFormat/>
    <w:pPr>
      <w:keepNext/>
      <w:keepLines/>
      <w:spacing w:before="60" w:after="60"/>
      <w:outlineLvl w:val="1"/>
    </w:pPr>
    <w:rPr>
      <w:rFonts w:ascii="Arial" w:hAnsi="Arial" w:cs="Times New Roman"/>
      <w:b/>
      <w:bCs/>
      <w:kern w:val="2"/>
    </w:rPr>
  </w:style>
  <w:style w:type="paragraph" w:customStyle="1" w:styleId="Style12711">
    <w:name w:val="_Style 12711"/>
    <w:basedOn w:val="Style124"/>
    <w:next w:val="aff7"/>
    <w:link w:val="Style1270"/>
    <w:autoRedefine/>
    <w:uiPriority w:val="9"/>
    <w:qFormat/>
    <w:pPr>
      <w:keepNext/>
      <w:keepLines/>
      <w:numPr>
        <w:ilvl w:val="1"/>
        <w:numId w:val="4"/>
      </w:numPr>
      <w:spacing w:before="60" w:after="60"/>
      <w:jc w:val="left"/>
      <w:outlineLvl w:val="2"/>
    </w:pPr>
    <w:rPr>
      <w:rFonts w:ascii="Calibri" w:hAnsi="Calibri" w:cs="Times New Roman"/>
      <w:b/>
      <w:bCs/>
      <w:kern w:val="2"/>
    </w:rPr>
  </w:style>
  <w:style w:type="paragraph" w:customStyle="1" w:styleId="Style128">
    <w:name w:val="_Style 128"/>
    <w:basedOn w:val="Style124"/>
    <w:next w:val="aff7"/>
    <w:autoRedefine/>
    <w:uiPriority w:val="9"/>
    <w:semiHidden/>
    <w:qFormat/>
    <w:pPr>
      <w:keepNext/>
      <w:keepLines/>
      <w:spacing w:before="60" w:after="60"/>
      <w:ind w:left="426"/>
      <w:outlineLvl w:val="3"/>
    </w:pPr>
    <w:rPr>
      <w:rFonts w:asciiTheme="minorEastAsia" w:eastAsiaTheme="minorEastAsia" w:hAnsiTheme="minorEastAsia" w:cs="Times New Roman"/>
      <w:b/>
      <w:bCs/>
      <w:kern w:val="2"/>
      <w:szCs w:val="28"/>
    </w:rPr>
  </w:style>
  <w:style w:type="paragraph" w:customStyle="1" w:styleId="Style129">
    <w:name w:val="_Style 129"/>
    <w:basedOn w:val="Style124"/>
    <w:next w:val="aff7"/>
    <w:autoRedefine/>
    <w:uiPriority w:val="9"/>
    <w:semiHidden/>
    <w:qFormat/>
    <w:pPr>
      <w:keepNext/>
      <w:keepLines/>
      <w:spacing w:before="60" w:after="60"/>
      <w:ind w:left="545" w:hanging="440"/>
      <w:outlineLvl w:val="4"/>
    </w:pPr>
    <w:rPr>
      <w:rFonts w:ascii="Calibri" w:hAnsi="Calibri" w:cs="Times New Roman"/>
      <w:b/>
      <w:bCs/>
      <w:kern w:val="2"/>
      <w:szCs w:val="28"/>
    </w:rPr>
  </w:style>
  <w:style w:type="paragraph" w:customStyle="1" w:styleId="Style130">
    <w:name w:val="_Style 130"/>
    <w:basedOn w:val="Style124"/>
    <w:next w:val="aff7"/>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131">
    <w:name w:val="_Style 131"/>
    <w:basedOn w:val="Style124"/>
    <w:next w:val="aff7"/>
    <w:autoRedefine/>
    <w:uiPriority w:val="9"/>
    <w:semiHidden/>
    <w:qFormat/>
    <w:pPr>
      <w:keepNext/>
      <w:keepLines/>
      <w:spacing w:before="240" w:after="64" w:line="320" w:lineRule="auto"/>
      <w:outlineLvl w:val="6"/>
    </w:pPr>
    <w:rPr>
      <w:b/>
      <w:bCs/>
    </w:rPr>
  </w:style>
  <w:style w:type="character" w:customStyle="1" w:styleId="Style132">
    <w:name w:val="_Style 132"/>
    <w:autoRedefine/>
    <w:uiPriority w:val="1"/>
    <w:semiHidden/>
    <w:qFormat/>
  </w:style>
  <w:style w:type="character" w:customStyle="1" w:styleId="Style134">
    <w:name w:val="_Style 134"/>
    <w:basedOn w:val="Style132"/>
    <w:autoRedefine/>
    <w:uiPriority w:val="99"/>
    <w:semiHidden/>
    <w:qFormat/>
    <w:rPr>
      <w:rFonts w:eastAsia="黑体"/>
      <w:b/>
      <w:bCs/>
      <w:kern w:val="44"/>
      <w:sz w:val="28"/>
      <w:szCs w:val="44"/>
    </w:rPr>
  </w:style>
  <w:style w:type="character" w:customStyle="1" w:styleId="2CharCharChar0">
    <w:name w:val="标题 2 Char Char Char 字符"/>
    <w:basedOn w:val="Style132"/>
    <w:autoRedefine/>
    <w:semiHidden/>
    <w:qFormat/>
    <w:rPr>
      <w:rFonts w:ascii="Arial" w:hAnsi="Arial"/>
      <w:b/>
      <w:bCs/>
      <w:kern w:val="2"/>
      <w:sz w:val="21"/>
      <w:szCs w:val="21"/>
    </w:rPr>
  </w:style>
  <w:style w:type="character" w:customStyle="1" w:styleId="Style136">
    <w:name w:val="_Style 136"/>
    <w:basedOn w:val="Style132"/>
    <w:autoRedefine/>
    <w:uiPriority w:val="9"/>
    <w:semiHidden/>
    <w:qFormat/>
    <w:rPr>
      <w:b/>
      <w:bCs/>
      <w:kern w:val="2"/>
      <w:sz w:val="21"/>
      <w:szCs w:val="32"/>
    </w:rPr>
  </w:style>
  <w:style w:type="character" w:customStyle="1" w:styleId="Style137">
    <w:name w:val="_Style 137"/>
    <w:basedOn w:val="Style132"/>
    <w:autoRedefine/>
    <w:uiPriority w:val="9"/>
    <w:semiHidden/>
    <w:qFormat/>
    <w:rPr>
      <w:rFonts w:asciiTheme="minorEastAsia" w:eastAsiaTheme="minorEastAsia" w:hAnsiTheme="minorEastAsia"/>
      <w:b/>
      <w:bCs/>
      <w:kern w:val="2"/>
      <w:sz w:val="21"/>
      <w:szCs w:val="28"/>
    </w:rPr>
  </w:style>
  <w:style w:type="character" w:customStyle="1" w:styleId="Style138">
    <w:name w:val="_Style 138"/>
    <w:basedOn w:val="Style132"/>
    <w:autoRedefine/>
    <w:uiPriority w:val="9"/>
    <w:semiHidden/>
    <w:qFormat/>
    <w:rPr>
      <w:b/>
      <w:bCs/>
      <w:kern w:val="2"/>
      <w:sz w:val="21"/>
      <w:szCs w:val="28"/>
    </w:rPr>
  </w:style>
  <w:style w:type="paragraph" w:customStyle="1" w:styleId="Style139">
    <w:name w:val="_Style 139"/>
    <w:basedOn w:val="TOC10"/>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40">
    <w:name w:val="_Style 140"/>
    <w:basedOn w:val="Style124"/>
    <w:next w:val="aff7"/>
    <w:autoRedefine/>
    <w:uiPriority w:val="39"/>
    <w:semiHidden/>
    <w:qFormat/>
    <w:pPr>
      <w:tabs>
        <w:tab w:val="left" w:pos="1260"/>
        <w:tab w:val="right" w:leader="dot" w:pos="8823"/>
      </w:tabs>
      <w:spacing w:line="360" w:lineRule="auto"/>
    </w:pPr>
    <w:rPr>
      <w:rFonts w:ascii="Times New Roman" w:hAnsi="Times New Roman" w:cs="Times New Roman"/>
      <w:kern w:val="2"/>
    </w:rPr>
  </w:style>
  <w:style w:type="paragraph" w:customStyle="1" w:styleId="Style141">
    <w:name w:val="_Style 141"/>
    <w:basedOn w:val="Style124"/>
    <w:next w:val="aff7"/>
    <w:autoRedefine/>
    <w:uiPriority w:val="39"/>
    <w:semiHidden/>
    <w:qFormat/>
    <w:pPr>
      <w:ind w:leftChars="200" w:left="420"/>
    </w:pPr>
    <w:rPr>
      <w:rFonts w:ascii="Times New Roman" w:hAnsi="Times New Roman" w:cs="Times New Roman"/>
      <w:kern w:val="2"/>
    </w:rPr>
  </w:style>
  <w:style w:type="character" w:customStyle="1" w:styleId="Style142">
    <w:name w:val="_Style 142"/>
    <w:basedOn w:val="Style132"/>
    <w:autoRedefine/>
    <w:uiPriority w:val="99"/>
    <w:semiHidden/>
    <w:qFormat/>
    <w:rPr>
      <w:rFonts w:cs="Times New Roman"/>
      <w:color w:val="0000FF"/>
      <w:u w:val="single"/>
    </w:rPr>
  </w:style>
  <w:style w:type="character" w:customStyle="1" w:styleId="Style143">
    <w:name w:val="_Style 143"/>
    <w:basedOn w:val="Style132"/>
    <w:autoRedefine/>
    <w:semiHidden/>
    <w:qFormat/>
    <w:rPr>
      <w:rFonts w:eastAsia="宋体" w:cs="Times New Roman"/>
      <w:kern w:val="2"/>
      <w:sz w:val="21"/>
      <w:szCs w:val="21"/>
      <w:lang w:val="en-US" w:eastAsia="zh-CN" w:bidi="ar-SA"/>
    </w:rPr>
  </w:style>
  <w:style w:type="paragraph" w:customStyle="1" w:styleId="affe">
    <w:name w:val="正文缩进 字符"/>
    <w:basedOn w:val="Style124"/>
    <w:link w:val="Style1619"/>
    <w:semiHidden/>
    <w:qFormat/>
    <w:rPr>
      <w:rFonts w:ascii="Times New Roman" w:hAnsi="Times New Roman" w:cs="Times New Roman"/>
      <w:kern w:val="2"/>
    </w:rPr>
  </w:style>
  <w:style w:type="character" w:customStyle="1" w:styleId="Style145">
    <w:name w:val="_Style 145"/>
    <w:basedOn w:val="Style132"/>
    <w:autoRedefine/>
    <w:semiHidden/>
    <w:qFormat/>
    <w:rPr>
      <w:rFonts w:ascii="Times New Roman" w:eastAsia="宋体" w:hAnsi="Times New Roman" w:cs="Times New Roman"/>
      <w:szCs w:val="21"/>
    </w:rPr>
  </w:style>
  <w:style w:type="paragraph" w:customStyle="1" w:styleId="afff">
    <w:name w:val="引文目录标题 字符"/>
    <w:basedOn w:val="Style124"/>
    <w:link w:val="Style1214"/>
    <w:autoRedefine/>
    <w:uiPriority w:val="99"/>
    <w:semiHidden/>
    <w:qFormat/>
    <w:rPr>
      <w:rFonts w:ascii="Calibri" w:hAnsi="Calibri" w:cs="Times New Roman"/>
      <w:kern w:val="2"/>
      <w:sz w:val="18"/>
      <w:szCs w:val="18"/>
    </w:rPr>
  </w:style>
  <w:style w:type="character" w:customStyle="1" w:styleId="Style147">
    <w:name w:val="_Style 147"/>
    <w:basedOn w:val="Style132"/>
    <w:autoRedefine/>
    <w:uiPriority w:val="99"/>
    <w:semiHidden/>
    <w:qFormat/>
    <w:rPr>
      <w:rFonts w:ascii="Calibri" w:eastAsia="宋体" w:hAnsi="Calibri" w:cs="Times New Roman"/>
      <w:sz w:val="18"/>
      <w:szCs w:val="18"/>
    </w:rPr>
  </w:style>
  <w:style w:type="paragraph" w:customStyle="1" w:styleId="Style148">
    <w:name w:val="_Style 148"/>
    <w:basedOn w:val="Style124"/>
    <w:next w:val="aff7"/>
    <w:autoRedefine/>
    <w:uiPriority w:val="99"/>
    <w:semiHidden/>
    <w:qFormat/>
    <w:rPr>
      <w:rFonts w:ascii="Times New Roman" w:hAnsi="Times New Roman" w:cs="Times New Roman"/>
      <w:kern w:val="2"/>
    </w:rPr>
  </w:style>
  <w:style w:type="character" w:customStyle="1" w:styleId="Style149">
    <w:name w:val="_Style 149"/>
    <w:basedOn w:val="Style132"/>
    <w:autoRedefine/>
    <w:uiPriority w:val="99"/>
    <w:semiHidden/>
    <w:qFormat/>
    <w:rPr>
      <w:rFonts w:ascii="Times New Roman" w:eastAsia="宋体" w:hAnsi="Times New Roman" w:cs="Times New Roman"/>
      <w:szCs w:val="21"/>
    </w:rPr>
  </w:style>
  <w:style w:type="character" w:customStyle="1" w:styleId="Style150">
    <w:name w:val="_Style 150"/>
    <w:basedOn w:val="Style132"/>
    <w:autoRedefine/>
    <w:uiPriority w:val="99"/>
    <w:semiHidden/>
    <w:qFormat/>
    <w:rPr>
      <w:rFonts w:eastAsia="宋体" w:cs="Times New Roman"/>
      <w:color w:val="FF0000"/>
      <w:kern w:val="2"/>
      <w:sz w:val="24"/>
      <w:szCs w:val="24"/>
      <w:lang w:val="en-US" w:eastAsia="zh-CN" w:bidi="ar-SA"/>
    </w:rPr>
  </w:style>
  <w:style w:type="paragraph" w:customStyle="1" w:styleId="Style151">
    <w:name w:val="_Style 151"/>
    <w:basedOn w:val="Style124"/>
    <w:autoRedefine/>
    <w:uiPriority w:val="99"/>
    <w:semiHidden/>
    <w:qFormat/>
    <w:pPr>
      <w:spacing w:before="100" w:after="100"/>
      <w:jc w:val="right"/>
    </w:pPr>
    <w:rPr>
      <w:rFonts w:ascii="Arial Unicode MS" w:eastAsia="Arial Unicode MS" w:hAnsi="Times New Roman" w:cs="Times New Roman"/>
      <w:sz w:val="18"/>
      <w:szCs w:val="18"/>
    </w:rPr>
  </w:style>
  <w:style w:type="paragraph" w:customStyle="1" w:styleId="Style152">
    <w:name w:val="_Style 152"/>
    <w:basedOn w:val="Style124"/>
    <w:autoRedefine/>
    <w:uiPriority w:val="99"/>
    <w:semiHidden/>
    <w:qFormat/>
    <w:pPr>
      <w:jc w:val="left"/>
    </w:pPr>
    <w:rPr>
      <w:rFonts w:ascii="Calibri" w:hAnsi="Calibri" w:cs="Times New Roman"/>
      <w:kern w:val="2"/>
      <w:szCs w:val="22"/>
    </w:rPr>
  </w:style>
  <w:style w:type="character" w:customStyle="1" w:styleId="Style153">
    <w:name w:val="_Style 153"/>
    <w:basedOn w:val="Style145"/>
    <w:autoRedefine/>
    <w:uiPriority w:val="99"/>
    <w:semiHidden/>
    <w:qFormat/>
    <w:rPr>
      <w:rFonts w:ascii="Calibri" w:eastAsia="宋体" w:hAnsi="Calibri" w:cs="Times New Roman"/>
      <w:b/>
      <w:bCs/>
      <w:szCs w:val="21"/>
    </w:rPr>
  </w:style>
  <w:style w:type="paragraph" w:customStyle="1" w:styleId="Style154">
    <w:name w:val="_Style 154"/>
    <w:basedOn w:val="affe"/>
    <w:autoRedefine/>
    <w:uiPriority w:val="99"/>
    <w:semiHidden/>
    <w:qFormat/>
    <w:rPr>
      <w:rFonts w:ascii="Calibri" w:hAnsi="Calibri"/>
      <w:b/>
      <w:bCs/>
      <w:szCs w:val="22"/>
    </w:rPr>
  </w:style>
  <w:style w:type="paragraph" w:customStyle="1" w:styleId="Style155">
    <w:name w:val="_Style 155"/>
    <w:basedOn w:val="Style124"/>
    <w:next w:val="aff7"/>
    <w:autoRedefine/>
    <w:uiPriority w:val="39"/>
    <w:semiHidden/>
    <w:qFormat/>
    <w:pPr>
      <w:spacing w:after="100" w:line="276" w:lineRule="auto"/>
      <w:ind w:left="440"/>
    </w:pPr>
    <w:rPr>
      <w:rFonts w:ascii="Calibri" w:hAnsi="Calibri" w:cs="Times New Roman"/>
      <w:sz w:val="22"/>
      <w:szCs w:val="22"/>
    </w:rPr>
  </w:style>
  <w:style w:type="paragraph" w:customStyle="1" w:styleId="Style156">
    <w:name w:val="_Style 156"/>
    <w:basedOn w:val="Style124"/>
    <w:autoRedefine/>
    <w:uiPriority w:val="99"/>
    <w:semiHidden/>
    <w:qFormat/>
    <w:pPr>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Style157">
    <w:name w:val="_Style 157"/>
    <w:basedOn w:val="Style132"/>
    <w:autoRedefine/>
    <w:uiPriority w:val="99"/>
    <w:semiHidden/>
    <w:qFormat/>
    <w:rPr>
      <w:rFonts w:ascii="Calibri" w:eastAsia="宋体" w:hAnsi="Calibri" w:cs="Times New Roman"/>
      <w:sz w:val="18"/>
      <w:szCs w:val="18"/>
    </w:rPr>
  </w:style>
  <w:style w:type="paragraph" w:customStyle="1" w:styleId="Style158">
    <w:name w:val="_Style 158"/>
    <w:basedOn w:val="Style124"/>
    <w:autoRedefine/>
    <w:uiPriority w:val="99"/>
    <w:semiHidden/>
    <w:qFormat/>
    <w:pPr>
      <w:tabs>
        <w:tab w:val="center" w:pos="4153"/>
        <w:tab w:val="right" w:pos="8306"/>
      </w:tabs>
      <w:snapToGrid w:val="0"/>
    </w:pPr>
    <w:rPr>
      <w:rFonts w:ascii="Calibri" w:hAnsi="Calibri" w:cs="Times New Roman"/>
      <w:kern w:val="2"/>
      <w:sz w:val="18"/>
      <w:szCs w:val="18"/>
    </w:rPr>
  </w:style>
  <w:style w:type="character" w:customStyle="1" w:styleId="Style159">
    <w:name w:val="_Style 159"/>
    <w:basedOn w:val="Style132"/>
    <w:autoRedefine/>
    <w:uiPriority w:val="99"/>
    <w:semiHidden/>
    <w:qFormat/>
    <w:rPr>
      <w:rFonts w:ascii="Calibri" w:eastAsia="宋体" w:hAnsi="Calibri" w:cs="Times New Roman"/>
      <w:sz w:val="18"/>
      <w:szCs w:val="18"/>
    </w:rPr>
  </w:style>
  <w:style w:type="paragraph" w:customStyle="1" w:styleId="Style160">
    <w:name w:val="_Style 160"/>
    <w:basedOn w:val="Style124"/>
    <w:link w:val="Style1600"/>
    <w:autoRedefine/>
    <w:semiHidden/>
    <w:qFormat/>
    <w:pPr>
      <w:ind w:firstLineChars="200" w:firstLine="480"/>
    </w:pPr>
    <w:rPr>
      <w:rFonts w:hAnsi="Courier New" w:cs="Times New Roman"/>
      <w:kern w:val="2"/>
      <w:szCs w:val="20"/>
    </w:rPr>
  </w:style>
  <w:style w:type="character" w:customStyle="1" w:styleId="Style161">
    <w:name w:val="_Style 161"/>
    <w:basedOn w:val="Style132"/>
    <w:autoRedefine/>
    <w:semiHidden/>
    <w:qFormat/>
    <w:rPr>
      <w:rFonts w:ascii="宋体" w:eastAsia="宋体" w:hAnsi="Courier New" w:cs="Times New Roman"/>
      <w:szCs w:val="20"/>
    </w:rPr>
  </w:style>
  <w:style w:type="character" w:customStyle="1" w:styleId="Style162">
    <w:name w:val="_Style 162"/>
    <w:basedOn w:val="Style132"/>
    <w:autoRedefine/>
    <w:semiHidden/>
    <w:qFormat/>
    <w:rPr>
      <w:rFonts w:eastAsia="宋体" w:cs="Times New Roman"/>
      <w:kern w:val="2"/>
      <w:sz w:val="24"/>
      <w:szCs w:val="24"/>
      <w:lang w:val="en-US" w:eastAsia="zh-CN" w:bidi="ar-SA"/>
    </w:rPr>
  </w:style>
  <w:style w:type="paragraph" w:customStyle="1" w:styleId="Style163">
    <w:name w:val="_Style 163"/>
    <w:basedOn w:val="Style124"/>
    <w:autoRedefine/>
    <w:uiPriority w:val="99"/>
    <w:semiHidden/>
    <w:qFormat/>
    <w:pPr>
      <w:spacing w:after="120"/>
    </w:pPr>
    <w:rPr>
      <w:rFonts w:ascii="Times New Roman" w:hAnsi="Times New Roman" w:cs="Times New Roman"/>
      <w:kern w:val="2"/>
    </w:rPr>
  </w:style>
  <w:style w:type="character" w:customStyle="1" w:styleId="Style164">
    <w:name w:val="_Style 164"/>
    <w:basedOn w:val="Style132"/>
    <w:autoRedefine/>
    <w:uiPriority w:val="99"/>
    <w:semiHidden/>
    <w:qFormat/>
    <w:rPr>
      <w:rFonts w:ascii="Times New Roman" w:eastAsia="宋体" w:hAnsi="Times New Roman" w:cs="Times New Roman"/>
      <w:szCs w:val="21"/>
    </w:rPr>
  </w:style>
  <w:style w:type="paragraph" w:customStyle="1" w:styleId="Style165">
    <w:name w:val="_Style 165"/>
    <w:basedOn w:val="Style124"/>
    <w:autoRedefine/>
    <w:uiPriority w:val="99"/>
    <w:semiHidden/>
    <w:qFormat/>
    <w:pPr>
      <w:tabs>
        <w:tab w:val="left" w:pos="709"/>
      </w:tabs>
      <w:overflowPunct w:val="0"/>
      <w:autoSpaceDE w:val="0"/>
      <w:autoSpaceDN w:val="0"/>
      <w:adjustRightInd w:val="0"/>
      <w:textAlignment w:val="baseline"/>
    </w:pPr>
    <w:rPr>
      <w:rFonts w:ascii="Helvetica-Narrow" w:hAnsi="Helvetica-Narrow" w:cs="Times New Roman"/>
      <w:lang w:val="en-AU"/>
    </w:rPr>
  </w:style>
  <w:style w:type="paragraph" w:customStyle="1" w:styleId="Style166">
    <w:name w:val="_Style 166"/>
    <w:basedOn w:val="Style124"/>
    <w:next w:val="aff7"/>
    <w:autoRedefine/>
    <w:uiPriority w:val="99"/>
    <w:semiHidden/>
    <w:qFormat/>
    <w:pPr>
      <w:ind w:leftChars="2500" w:left="100"/>
    </w:pPr>
    <w:rPr>
      <w:rFonts w:ascii="Times New Roman" w:hAnsi="Times New Roman" w:cs="Times New Roman"/>
      <w:kern w:val="2"/>
    </w:rPr>
  </w:style>
  <w:style w:type="character" w:customStyle="1" w:styleId="Style167">
    <w:name w:val="_Style 167"/>
    <w:basedOn w:val="Style132"/>
    <w:autoRedefine/>
    <w:uiPriority w:val="99"/>
    <w:semiHidden/>
    <w:qFormat/>
    <w:rPr>
      <w:rFonts w:ascii="Times New Roman" w:eastAsia="宋体" w:hAnsi="Times New Roman" w:cs="Times New Roman"/>
      <w:szCs w:val="21"/>
    </w:rPr>
  </w:style>
  <w:style w:type="paragraph" w:customStyle="1" w:styleId="Style168">
    <w:name w:val="_Style 168"/>
    <w:basedOn w:val="Style124"/>
    <w:next w:val="aff7"/>
    <w:autoRedefine/>
    <w:uiPriority w:val="99"/>
    <w:semiHidden/>
    <w:qFormat/>
    <w:pPr>
      <w:jc w:val="center"/>
    </w:pPr>
    <w:rPr>
      <w:rFonts w:ascii="Times New Roman" w:hAnsi="Times New Roman" w:cs="Times New Roman"/>
      <w:kern w:val="2"/>
    </w:rPr>
  </w:style>
  <w:style w:type="character" w:customStyle="1" w:styleId="Style169">
    <w:name w:val="_Style 169"/>
    <w:basedOn w:val="Style132"/>
    <w:autoRedefine/>
    <w:uiPriority w:val="99"/>
    <w:semiHidden/>
    <w:qFormat/>
    <w:rPr>
      <w:rFonts w:ascii="Times New Roman" w:eastAsia="宋体" w:hAnsi="Times New Roman" w:cs="Times New Roman"/>
      <w:szCs w:val="21"/>
    </w:rPr>
  </w:style>
  <w:style w:type="paragraph" w:customStyle="1" w:styleId="Style170">
    <w:name w:val="_Style 170"/>
    <w:basedOn w:val="Style124"/>
    <w:next w:val="aff7"/>
    <w:autoRedefine/>
    <w:semiHidden/>
    <w:qFormat/>
    <w:pPr>
      <w:spacing w:before="120"/>
    </w:pPr>
    <w:rPr>
      <w:rFonts w:ascii="Arial" w:hAnsi="Arial" w:cs="Times New Roman"/>
      <w:b/>
      <w:bCs/>
      <w:kern w:val="2"/>
    </w:rPr>
  </w:style>
  <w:style w:type="paragraph" w:customStyle="1" w:styleId="Style171">
    <w:name w:val="_Style 171"/>
    <w:basedOn w:val="Style124"/>
    <w:autoRedefine/>
    <w:semiHidden/>
    <w:qFormat/>
    <w:pPr>
      <w:keepNext/>
      <w:keepLines/>
      <w:spacing w:before="60" w:after="60"/>
      <w:ind w:hangingChars="200" w:hanging="420"/>
      <w:outlineLvl w:val="4"/>
    </w:pPr>
    <w:rPr>
      <w:rFonts w:cs="Times New Roman"/>
      <w:b/>
      <w:bCs/>
      <w:kern w:val="2"/>
    </w:rPr>
  </w:style>
  <w:style w:type="paragraph" w:customStyle="1" w:styleId="Style172">
    <w:name w:val="_Style 172"/>
    <w:autoRedefine/>
    <w:hidden/>
    <w:uiPriority w:val="99"/>
    <w:semiHidden/>
    <w:qFormat/>
    <w:rPr>
      <w:kern w:val="2"/>
      <w:szCs w:val="22"/>
    </w:rPr>
  </w:style>
  <w:style w:type="character" w:customStyle="1" w:styleId="Style173">
    <w:name w:val="_Style 173"/>
    <w:basedOn w:val="Style132"/>
    <w:autoRedefine/>
    <w:semiHidden/>
    <w:qFormat/>
    <w:rPr>
      <w:kern w:val="2"/>
      <w:sz w:val="21"/>
      <w:szCs w:val="24"/>
    </w:rPr>
  </w:style>
  <w:style w:type="paragraph" w:customStyle="1" w:styleId="Style174">
    <w:name w:val="_Style 174"/>
    <w:basedOn w:val="Style124"/>
    <w:autoRedefine/>
    <w:semiHidden/>
    <w:qFormat/>
    <w:pPr>
      <w:spacing w:before="100" w:after="100"/>
    </w:pPr>
    <w:rPr>
      <w:rFonts w:ascii="Calibri" w:hAnsi="Calibri" w:cs="Times New Roman"/>
      <w:kern w:val="2"/>
    </w:rPr>
  </w:style>
  <w:style w:type="paragraph" w:customStyle="1" w:styleId="Style175">
    <w:name w:val="_Style 175"/>
    <w:basedOn w:val="Style124"/>
    <w:autoRedefine/>
    <w:uiPriority w:val="99"/>
    <w:semiHidden/>
    <w:qFormat/>
    <w:rPr>
      <w:rFonts w:hAnsi="Calibri" w:cs="Times New Roman"/>
      <w:kern w:val="2"/>
      <w:sz w:val="18"/>
      <w:szCs w:val="18"/>
    </w:rPr>
  </w:style>
  <w:style w:type="character" w:customStyle="1" w:styleId="Style176">
    <w:name w:val="_Style 176"/>
    <w:basedOn w:val="Style132"/>
    <w:autoRedefine/>
    <w:uiPriority w:val="99"/>
    <w:semiHidden/>
    <w:qFormat/>
    <w:rPr>
      <w:rFonts w:ascii="宋体"/>
      <w:kern w:val="2"/>
      <w:sz w:val="18"/>
      <w:szCs w:val="18"/>
    </w:rPr>
  </w:style>
  <w:style w:type="character" w:customStyle="1" w:styleId="Style177">
    <w:name w:val="_Style 177"/>
    <w:basedOn w:val="Style132"/>
    <w:autoRedefine/>
    <w:uiPriority w:val="99"/>
    <w:semiHidden/>
    <w:qFormat/>
    <w:rPr>
      <w:color w:val="auto"/>
    </w:rPr>
  </w:style>
  <w:style w:type="character" w:customStyle="1" w:styleId="Style179">
    <w:name w:val="_Style 179"/>
    <w:basedOn w:val="Style132"/>
    <w:autoRedefine/>
    <w:uiPriority w:val="10"/>
    <w:semiHidden/>
    <w:qFormat/>
    <w:rPr>
      <w:rFonts w:asciiTheme="majorHAnsi" w:hAnsiTheme="majorHAnsi" w:cstheme="majorBidi"/>
      <w:b/>
      <w:bCs/>
      <w:kern w:val="2"/>
      <w:sz w:val="32"/>
      <w:szCs w:val="32"/>
    </w:rPr>
  </w:style>
  <w:style w:type="paragraph" w:customStyle="1" w:styleId="Style180">
    <w:name w:val="_Style 180"/>
    <w:autoRedefine/>
    <w:uiPriority w:val="1"/>
    <w:semiHidden/>
    <w:qFormat/>
    <w:pPr>
      <w:widowControl w:val="0"/>
      <w:jc w:val="both"/>
    </w:pPr>
    <w:rPr>
      <w:kern w:val="2"/>
      <w:sz w:val="24"/>
      <w:szCs w:val="24"/>
    </w:rPr>
  </w:style>
  <w:style w:type="paragraph" w:customStyle="1" w:styleId="Style181">
    <w:name w:val="_Style 181"/>
    <w:basedOn w:val="Style124"/>
    <w:next w:val="aff7"/>
    <w:autoRedefine/>
    <w:uiPriority w:val="39"/>
    <w:semiHidden/>
    <w:qFormat/>
    <w:pPr>
      <w:ind w:leftChars="600" w:left="1260"/>
    </w:pPr>
    <w:rPr>
      <w:rFonts w:asciiTheme="minorHAnsi" w:eastAsiaTheme="minorEastAsia" w:hAnsiTheme="minorHAnsi" w:cstheme="minorBidi"/>
      <w:kern w:val="2"/>
      <w:szCs w:val="22"/>
    </w:rPr>
  </w:style>
  <w:style w:type="paragraph" w:customStyle="1" w:styleId="Style182">
    <w:name w:val="_Style 182"/>
    <w:basedOn w:val="Style124"/>
    <w:next w:val="aff7"/>
    <w:autoRedefine/>
    <w:uiPriority w:val="39"/>
    <w:semiHidden/>
    <w:qFormat/>
    <w:pPr>
      <w:ind w:leftChars="800" w:left="1680"/>
    </w:pPr>
    <w:rPr>
      <w:rFonts w:asciiTheme="minorHAnsi" w:eastAsiaTheme="minorEastAsia" w:hAnsiTheme="minorHAnsi" w:cstheme="minorBidi"/>
      <w:kern w:val="2"/>
      <w:szCs w:val="22"/>
    </w:rPr>
  </w:style>
  <w:style w:type="paragraph" w:customStyle="1" w:styleId="Style183">
    <w:name w:val="_Style 183"/>
    <w:basedOn w:val="Style124"/>
    <w:next w:val="aff7"/>
    <w:autoRedefine/>
    <w:uiPriority w:val="39"/>
    <w:semiHidden/>
    <w:qFormat/>
    <w:pPr>
      <w:ind w:leftChars="1000" w:left="2100"/>
    </w:pPr>
    <w:rPr>
      <w:rFonts w:asciiTheme="minorHAnsi" w:eastAsiaTheme="minorEastAsia" w:hAnsiTheme="minorHAnsi" w:cstheme="minorBidi"/>
      <w:kern w:val="2"/>
      <w:szCs w:val="22"/>
    </w:rPr>
  </w:style>
  <w:style w:type="paragraph" w:customStyle="1" w:styleId="Style184">
    <w:name w:val="_Style 184"/>
    <w:basedOn w:val="Style124"/>
    <w:next w:val="aff7"/>
    <w:autoRedefine/>
    <w:uiPriority w:val="39"/>
    <w:semiHidden/>
    <w:qFormat/>
    <w:pPr>
      <w:ind w:leftChars="1200" w:left="2520"/>
    </w:pPr>
    <w:rPr>
      <w:rFonts w:asciiTheme="minorHAnsi" w:eastAsiaTheme="minorEastAsia" w:hAnsiTheme="minorHAnsi" w:cstheme="minorBidi"/>
      <w:kern w:val="2"/>
      <w:szCs w:val="22"/>
    </w:rPr>
  </w:style>
  <w:style w:type="paragraph" w:customStyle="1" w:styleId="Style185">
    <w:name w:val="_Style 185"/>
    <w:basedOn w:val="Style124"/>
    <w:next w:val="aff7"/>
    <w:autoRedefine/>
    <w:uiPriority w:val="39"/>
    <w:semiHidden/>
    <w:qFormat/>
    <w:pPr>
      <w:ind w:leftChars="1400" w:left="2940"/>
    </w:pPr>
    <w:rPr>
      <w:rFonts w:asciiTheme="minorHAnsi" w:eastAsiaTheme="minorEastAsia" w:hAnsiTheme="minorHAnsi" w:cstheme="minorBidi"/>
      <w:kern w:val="2"/>
      <w:szCs w:val="22"/>
    </w:rPr>
  </w:style>
  <w:style w:type="paragraph" w:customStyle="1" w:styleId="Style186">
    <w:name w:val="_Style 186"/>
    <w:basedOn w:val="Style124"/>
    <w:next w:val="aff7"/>
    <w:autoRedefine/>
    <w:uiPriority w:val="39"/>
    <w:semiHidden/>
    <w:qFormat/>
    <w:pPr>
      <w:ind w:leftChars="1600" w:left="3360"/>
    </w:pPr>
    <w:rPr>
      <w:rFonts w:asciiTheme="minorHAnsi" w:eastAsiaTheme="minorEastAsia" w:hAnsiTheme="minorHAnsi" w:cstheme="minorBidi"/>
      <w:kern w:val="2"/>
      <w:szCs w:val="22"/>
    </w:rPr>
  </w:style>
  <w:style w:type="character" w:customStyle="1" w:styleId="Style187">
    <w:name w:val="_Style 187"/>
    <w:basedOn w:val="Style132"/>
    <w:autoRedefine/>
    <w:uiPriority w:val="9"/>
    <w:semiHidden/>
    <w:qFormat/>
    <w:rPr>
      <w:rFonts w:asciiTheme="majorHAnsi" w:hAnsiTheme="majorHAnsi" w:cstheme="majorBidi"/>
      <w:b/>
      <w:bCs/>
      <w:sz w:val="21"/>
      <w:szCs w:val="24"/>
    </w:rPr>
  </w:style>
  <w:style w:type="paragraph" w:customStyle="1" w:styleId="Style188">
    <w:name w:val="_Style 188"/>
    <w:basedOn w:val="Style124"/>
    <w:autoRedefine/>
    <w:uiPriority w:val="99"/>
    <w:semiHidden/>
    <w:qFormat/>
    <w:pPr>
      <w:spacing w:before="100" w:beforeAutospacing="1" w:after="100" w:afterAutospacing="1"/>
    </w:pPr>
  </w:style>
  <w:style w:type="character" w:customStyle="1" w:styleId="Style190">
    <w:name w:val="_Style 190"/>
    <w:basedOn w:val="Style132"/>
    <w:autoRedefine/>
    <w:uiPriority w:val="99"/>
    <w:semiHidden/>
    <w:qFormat/>
    <w:rPr>
      <w:rFonts w:ascii="宋体" w:hAnsi="宋体" w:cs="宋体"/>
      <w:sz w:val="21"/>
      <w:szCs w:val="24"/>
    </w:rPr>
  </w:style>
  <w:style w:type="character" w:customStyle="1" w:styleId="Style191">
    <w:name w:val="_Style 191"/>
    <w:basedOn w:val="Style132"/>
    <w:autoRedefine/>
    <w:uiPriority w:val="99"/>
    <w:semiHidden/>
    <w:qFormat/>
    <w:rPr>
      <w:vertAlign w:val="superscript"/>
    </w:rPr>
  </w:style>
  <w:style w:type="character" w:customStyle="1" w:styleId="Style192">
    <w:name w:val="_Style 192"/>
    <w:basedOn w:val="Style145"/>
    <w:autoRedefine/>
    <w:uiPriority w:val="99"/>
    <w:semiHidden/>
    <w:qFormat/>
    <w:rPr>
      <w:rFonts w:ascii="Times New Roman" w:eastAsia="宋体" w:hAnsi="Times New Roman" w:cs="Times New Roman"/>
      <w:b/>
      <w:bCs/>
      <w:szCs w:val="21"/>
    </w:rPr>
  </w:style>
  <w:style w:type="paragraph" w:customStyle="1" w:styleId="Style193">
    <w:name w:val="_Style 193"/>
    <w:basedOn w:val="Style124"/>
    <w:next w:val="aff7"/>
    <w:autoRedefine/>
    <w:semiHidden/>
    <w:qFormat/>
    <w:pPr>
      <w:ind w:firstLineChars="200" w:firstLine="420"/>
    </w:pPr>
    <w:rPr>
      <w:rFonts w:cs="Times New Roman"/>
      <w:color w:val="000000"/>
    </w:rPr>
  </w:style>
  <w:style w:type="character" w:customStyle="1" w:styleId="Style194">
    <w:name w:val="_Style 194"/>
    <w:basedOn w:val="Style132"/>
    <w:autoRedefine/>
    <w:semiHidden/>
    <w:qFormat/>
  </w:style>
  <w:style w:type="paragraph" w:customStyle="1" w:styleId="Style195">
    <w:name w:val="_Style 195"/>
    <w:basedOn w:val="Style124"/>
    <w:autoRedefine/>
    <w:semiHidden/>
    <w:qFormat/>
    <w:pPr>
      <w:ind w:firstLineChars="200" w:firstLine="420"/>
    </w:pPr>
    <w:rPr>
      <w:rFonts w:ascii="Times New Roman" w:hAnsi="Times New Roman" w:cs="Times New Roman"/>
      <w:kern w:val="2"/>
    </w:rPr>
  </w:style>
  <w:style w:type="paragraph" w:customStyle="1" w:styleId="Style196">
    <w:name w:val="_Style 196"/>
    <w:basedOn w:val="Style124"/>
    <w:autoRedefine/>
    <w:semiHidden/>
    <w:qFormat/>
    <w:pPr>
      <w:tabs>
        <w:tab w:val="left" w:pos="1200"/>
      </w:tabs>
    </w:pPr>
    <w:rPr>
      <w:rFonts w:ascii="Times New Roman" w:hAnsi="Times New Roman" w:cs="Times New Roman"/>
      <w:kern w:val="2"/>
    </w:rPr>
  </w:style>
  <w:style w:type="paragraph" w:customStyle="1" w:styleId="Style197">
    <w:name w:val="_Style 197"/>
    <w:basedOn w:val="Style124"/>
    <w:next w:val="aff7"/>
    <w:autoRedefine/>
    <w:semiHidden/>
    <w:qFormat/>
    <w:pPr>
      <w:keepNext/>
      <w:keepLines/>
      <w:spacing w:before="100" w:beforeAutospacing="1" w:after="100" w:afterAutospacing="1" w:line="415" w:lineRule="auto"/>
    </w:pPr>
    <w:rPr>
      <w:rFonts w:ascii="Times New Roman" w:hAnsi="Times New Roman" w:cs="Times New Roman"/>
      <w:b/>
      <w:kern w:val="2"/>
    </w:rPr>
  </w:style>
  <w:style w:type="character" w:customStyle="1" w:styleId="35">
    <w:name w:val="目录 3 字符"/>
    <w:basedOn w:val="Style132"/>
    <w:link w:val="34"/>
    <w:autoRedefine/>
    <w:semiHidden/>
    <w:qFormat/>
    <w:rPr>
      <w:sz w:val="22"/>
      <w:szCs w:val="22"/>
    </w:rPr>
  </w:style>
  <w:style w:type="character" w:customStyle="1" w:styleId="Style199">
    <w:name w:val="_Style 199"/>
    <w:basedOn w:val="Style132"/>
    <w:autoRedefine/>
    <w:uiPriority w:val="9"/>
    <w:semiHidden/>
    <w:qFormat/>
    <w:rPr>
      <w:rFonts w:ascii="宋体" w:hAnsi="宋体" w:cs="宋体"/>
      <w:b/>
      <w:bCs/>
      <w:sz w:val="24"/>
      <w:szCs w:val="24"/>
    </w:rPr>
  </w:style>
  <w:style w:type="character" w:customStyle="1" w:styleId="Style200">
    <w:name w:val="_Style 200"/>
    <w:basedOn w:val="Style145"/>
    <w:autoRedefine/>
    <w:uiPriority w:val="99"/>
    <w:semiHidden/>
    <w:qFormat/>
    <w:rPr>
      <w:rFonts w:ascii="Times New Roman" w:eastAsia="宋体" w:hAnsi="Times New Roman" w:cs="Times New Roman"/>
      <w:b/>
      <w:bCs/>
      <w:szCs w:val="21"/>
    </w:rPr>
  </w:style>
  <w:style w:type="character" w:customStyle="1" w:styleId="Style201">
    <w:name w:val="_Style 201"/>
    <w:autoRedefine/>
    <w:uiPriority w:val="9"/>
    <w:semiHidden/>
    <w:qFormat/>
    <w:rPr>
      <w:rFonts w:ascii="Cambria" w:hAnsi="Cambria"/>
      <w:b/>
      <w:bCs/>
      <w:kern w:val="2"/>
      <w:sz w:val="21"/>
      <w:szCs w:val="28"/>
    </w:rPr>
  </w:style>
  <w:style w:type="paragraph" w:customStyle="1" w:styleId="Style202">
    <w:name w:val="_Style 202"/>
    <w:basedOn w:val="Style124"/>
    <w:next w:val="ab"/>
    <w:autoRedefine/>
    <w:uiPriority w:val="34"/>
    <w:semiHidden/>
    <w:qFormat/>
    <w:pPr>
      <w:ind w:firstLineChars="200" w:firstLine="420"/>
    </w:pPr>
    <w:rPr>
      <w:rFonts w:ascii="Calibri" w:hAnsi="Calibri" w:cs="Times New Roman"/>
      <w:kern w:val="2"/>
      <w:szCs w:val="22"/>
    </w:rPr>
  </w:style>
  <w:style w:type="paragraph" w:customStyle="1" w:styleId="Style203">
    <w:name w:val="_Style 203"/>
    <w:basedOn w:val="Style124"/>
    <w:next w:val="ab"/>
    <w:autoRedefine/>
    <w:uiPriority w:val="34"/>
    <w:semiHidden/>
    <w:qFormat/>
    <w:pPr>
      <w:ind w:firstLineChars="200" w:firstLine="420"/>
    </w:pPr>
    <w:rPr>
      <w:rFonts w:ascii="Calibri" w:hAnsi="Calibri" w:cs="Times New Roman"/>
      <w:kern w:val="2"/>
      <w:szCs w:val="22"/>
    </w:rPr>
  </w:style>
  <w:style w:type="character" w:customStyle="1" w:styleId="Style204">
    <w:name w:val="_Style 204"/>
    <w:autoRedefine/>
    <w:uiPriority w:val="9"/>
    <w:semiHidden/>
    <w:qFormat/>
    <w:rPr>
      <w:b/>
      <w:bCs/>
      <w:kern w:val="2"/>
      <w:sz w:val="21"/>
      <w:szCs w:val="32"/>
    </w:rPr>
  </w:style>
  <w:style w:type="paragraph" w:customStyle="1" w:styleId="Style205">
    <w:name w:val="_Style 205"/>
    <w:basedOn w:val="Style124"/>
    <w:next w:val="ab"/>
    <w:autoRedefine/>
    <w:uiPriority w:val="34"/>
    <w:semiHidden/>
    <w:qFormat/>
    <w:pPr>
      <w:ind w:firstLineChars="200" w:firstLine="420"/>
    </w:pPr>
    <w:rPr>
      <w:rFonts w:ascii="Calibri" w:hAnsi="Calibri" w:cs="Times New Roman"/>
      <w:kern w:val="2"/>
      <w:szCs w:val="22"/>
    </w:rPr>
  </w:style>
  <w:style w:type="paragraph" w:customStyle="1" w:styleId="Style206">
    <w:name w:val="_Style 206"/>
    <w:basedOn w:val="Style124"/>
    <w:next w:val="ab"/>
    <w:autoRedefine/>
    <w:uiPriority w:val="34"/>
    <w:semiHidden/>
    <w:qFormat/>
    <w:pPr>
      <w:ind w:firstLineChars="200" w:firstLine="420"/>
    </w:pPr>
    <w:rPr>
      <w:rFonts w:ascii="Calibri" w:hAnsi="Calibri" w:cs="Times New Roman"/>
      <w:kern w:val="2"/>
      <w:szCs w:val="22"/>
    </w:rPr>
  </w:style>
  <w:style w:type="paragraph" w:customStyle="1" w:styleId="Style207">
    <w:name w:val="_Style 207"/>
    <w:basedOn w:val="Style124"/>
    <w:autoRedefine/>
    <w:uiPriority w:val="1"/>
    <w:semiHidden/>
    <w:qFormat/>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208">
    <w:name w:val="_Style 208"/>
    <w:autoRedefine/>
    <w:semiHidden/>
    <w:qFormat/>
    <w:rPr>
      <w:rFonts w:ascii="Times New Roman" w:hAnsi="Times New Roman"/>
      <w:kern w:val="2"/>
      <w:sz w:val="21"/>
      <w:szCs w:val="21"/>
    </w:rPr>
  </w:style>
  <w:style w:type="character" w:customStyle="1" w:styleId="Style209">
    <w:name w:val="_Style 209"/>
    <w:autoRedefine/>
    <w:uiPriority w:val="9"/>
    <w:semiHidden/>
    <w:qFormat/>
    <w:rPr>
      <w:b/>
      <w:bCs/>
      <w:kern w:val="2"/>
      <w:sz w:val="21"/>
      <w:szCs w:val="32"/>
    </w:rPr>
  </w:style>
  <w:style w:type="character" w:customStyle="1" w:styleId="2CharCharCharChar">
    <w:name w:val="标题 2 Char Char Char Char"/>
    <w:autoRedefine/>
    <w:semiHidden/>
    <w:qFormat/>
    <w:rPr>
      <w:rFonts w:ascii="Arial" w:hAnsi="Arial"/>
      <w:b/>
      <w:bCs/>
      <w:kern w:val="2"/>
      <w:sz w:val="21"/>
      <w:szCs w:val="21"/>
    </w:rPr>
  </w:style>
  <w:style w:type="character" w:customStyle="1" w:styleId="Style211">
    <w:name w:val="_Style 211"/>
    <w:autoRedefine/>
    <w:uiPriority w:val="9"/>
    <w:semiHidden/>
    <w:qFormat/>
    <w:rPr>
      <w:b/>
      <w:bCs/>
      <w:kern w:val="2"/>
      <w:sz w:val="21"/>
      <w:szCs w:val="28"/>
    </w:rPr>
  </w:style>
  <w:style w:type="paragraph" w:customStyle="1" w:styleId="Style212">
    <w:name w:val="_Style 212"/>
    <w:basedOn w:val="Style124"/>
    <w:next w:val="ab"/>
    <w:autoRedefine/>
    <w:uiPriority w:val="34"/>
    <w:semiHidden/>
    <w:qFormat/>
    <w:pPr>
      <w:ind w:firstLineChars="200" w:firstLine="420"/>
    </w:pPr>
    <w:rPr>
      <w:rFonts w:ascii="Calibri" w:hAnsi="Calibri" w:cs="Times New Roman"/>
      <w:kern w:val="2"/>
      <w:szCs w:val="22"/>
    </w:rPr>
  </w:style>
  <w:style w:type="character" w:customStyle="1" w:styleId="Style213">
    <w:name w:val="_Style 213"/>
    <w:autoRedefine/>
    <w:uiPriority w:val="99"/>
    <w:semiHidden/>
    <w:qFormat/>
    <w:rPr>
      <w:rFonts w:ascii="Times New Roman" w:hAnsi="Times New Roman"/>
      <w:kern w:val="2"/>
      <w:sz w:val="21"/>
      <w:szCs w:val="21"/>
    </w:rPr>
  </w:style>
  <w:style w:type="character" w:customStyle="1" w:styleId="Style214">
    <w:name w:val="_Style 214"/>
    <w:autoRedefine/>
    <w:semiHidden/>
    <w:qFormat/>
    <w:rPr>
      <w:rFonts w:ascii="FZLTSK--GBK1-0" w:hAnsi="FZLTSK--GBK1-0" w:hint="default"/>
      <w:color w:val="000000"/>
      <w:sz w:val="20"/>
      <w:szCs w:val="20"/>
    </w:rPr>
  </w:style>
  <w:style w:type="paragraph" w:customStyle="1" w:styleId="Style215">
    <w:name w:val="_Style 215"/>
    <w:basedOn w:val="Style124"/>
    <w:next w:val="ab"/>
    <w:autoRedefine/>
    <w:uiPriority w:val="34"/>
    <w:semiHidden/>
    <w:qFormat/>
    <w:pPr>
      <w:ind w:firstLineChars="200" w:firstLine="420"/>
    </w:pPr>
    <w:rPr>
      <w:rFonts w:ascii="Calibri" w:hAnsi="Calibri" w:cs="Times New Roman"/>
      <w:kern w:val="2"/>
      <w:szCs w:val="22"/>
    </w:rPr>
  </w:style>
  <w:style w:type="character" w:customStyle="1" w:styleId="Style216">
    <w:name w:val="_Style 216"/>
    <w:autoRedefine/>
    <w:uiPriority w:val="99"/>
    <w:semiHidden/>
    <w:qFormat/>
    <w:rPr>
      <w:rFonts w:ascii="Times New Roman" w:hAnsi="Times New Roman"/>
      <w:kern w:val="2"/>
      <w:sz w:val="21"/>
      <w:szCs w:val="21"/>
    </w:rPr>
  </w:style>
  <w:style w:type="character" w:customStyle="1" w:styleId="Style217">
    <w:name w:val="_Style 217"/>
    <w:autoRedefine/>
    <w:uiPriority w:val="9"/>
    <w:semiHidden/>
    <w:qFormat/>
    <w:rPr>
      <w:b/>
      <w:bCs/>
      <w:kern w:val="2"/>
      <w:sz w:val="21"/>
      <w:szCs w:val="28"/>
    </w:rPr>
  </w:style>
  <w:style w:type="character" w:customStyle="1" w:styleId="Style218">
    <w:name w:val="_Style 218"/>
    <w:autoRedefine/>
    <w:uiPriority w:val="99"/>
    <w:semiHidden/>
    <w:qFormat/>
    <w:locked/>
    <w:rPr>
      <w:rFonts w:ascii="Times New Roman" w:hAnsi="Times New Roman"/>
      <w:kern w:val="2"/>
      <w:sz w:val="21"/>
      <w:szCs w:val="21"/>
    </w:rPr>
  </w:style>
  <w:style w:type="character" w:customStyle="1" w:styleId="2CharCharCharChar1">
    <w:name w:val="标题 2 Char Char Char Char1"/>
    <w:autoRedefine/>
    <w:semiHidden/>
    <w:qFormat/>
    <w:rPr>
      <w:rFonts w:ascii="Arial" w:hAnsi="Arial"/>
      <w:b/>
      <w:bCs/>
      <w:kern w:val="2"/>
      <w:sz w:val="21"/>
      <w:szCs w:val="21"/>
    </w:rPr>
  </w:style>
  <w:style w:type="character" w:customStyle="1" w:styleId="Style220">
    <w:name w:val="_Style 220"/>
    <w:autoRedefine/>
    <w:uiPriority w:val="99"/>
    <w:semiHidden/>
    <w:qFormat/>
    <w:rPr>
      <w:rFonts w:ascii="Times New Roman" w:hAnsi="Times New Roman"/>
      <w:kern w:val="2"/>
      <w:sz w:val="21"/>
      <w:szCs w:val="21"/>
    </w:rPr>
  </w:style>
  <w:style w:type="character" w:customStyle="1" w:styleId="Style221">
    <w:name w:val="_Style 221"/>
    <w:autoRedefine/>
    <w:uiPriority w:val="9"/>
    <w:semiHidden/>
    <w:qFormat/>
    <w:rPr>
      <w:b/>
      <w:bCs/>
      <w:kern w:val="2"/>
      <w:sz w:val="21"/>
      <w:szCs w:val="28"/>
    </w:rPr>
  </w:style>
  <w:style w:type="paragraph" w:customStyle="1" w:styleId="Style222">
    <w:name w:val="_Style 222"/>
    <w:basedOn w:val="Style124"/>
    <w:next w:val="ab"/>
    <w:autoRedefine/>
    <w:uiPriority w:val="34"/>
    <w:semiHidden/>
    <w:qFormat/>
    <w:pPr>
      <w:ind w:firstLineChars="200" w:firstLine="420"/>
    </w:pPr>
    <w:rPr>
      <w:rFonts w:ascii="Calibri" w:hAnsi="Calibri" w:cs="Times New Roman"/>
      <w:kern w:val="2"/>
      <w:szCs w:val="22"/>
    </w:rPr>
  </w:style>
  <w:style w:type="character" w:customStyle="1" w:styleId="Style223">
    <w:name w:val="_Style 223"/>
    <w:autoRedefine/>
    <w:uiPriority w:val="9"/>
    <w:semiHidden/>
    <w:qFormat/>
    <w:rPr>
      <w:b/>
      <w:bCs/>
      <w:kern w:val="2"/>
      <w:sz w:val="21"/>
      <w:szCs w:val="32"/>
    </w:rPr>
  </w:style>
  <w:style w:type="character" w:customStyle="1" w:styleId="Style224">
    <w:name w:val="_Style 224"/>
    <w:autoRedefine/>
    <w:uiPriority w:val="9"/>
    <w:semiHidden/>
    <w:qFormat/>
    <w:rPr>
      <w:b/>
      <w:bCs/>
      <w:kern w:val="2"/>
      <w:sz w:val="21"/>
      <w:szCs w:val="32"/>
    </w:rPr>
  </w:style>
  <w:style w:type="character" w:customStyle="1" w:styleId="Style225">
    <w:name w:val="_Style 225"/>
    <w:autoRedefine/>
    <w:semiHidden/>
    <w:qFormat/>
    <w:rPr>
      <w:rFonts w:ascii="Times New Roman" w:hAnsi="Times New Roman"/>
      <w:kern w:val="2"/>
      <w:sz w:val="21"/>
      <w:szCs w:val="21"/>
    </w:rPr>
  </w:style>
  <w:style w:type="table" w:customStyle="1" w:styleId="g6">
    <w:name w:val="g6"/>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7">
    <w:name w:val="g7"/>
    <w:autoRedefine/>
    <w:uiPriority w:val="99"/>
    <w:semiHidden/>
    <w:unhideWhenUsed/>
    <w:qFormat/>
    <w:tblPr>
      <w:tblCellMar>
        <w:top w:w="0" w:type="dxa"/>
        <w:left w:w="108" w:type="dxa"/>
        <w:bottom w:w="0" w:type="dxa"/>
        <w:right w:w="108" w:type="dxa"/>
      </w:tblCellMar>
    </w:tblPr>
  </w:style>
  <w:style w:type="table" w:customStyle="1" w:styleId="g11">
    <w:name w:val="g11"/>
    <w:autoRedefine/>
    <w:qFormat/>
    <w:rPr>
      <w:rFonts w:ascii="Arial" w:eastAsiaTheme="minorEastAsia" w:hAnsi="Arial" w:cs="Arial"/>
      <w:color w:val="000000"/>
    </w:rPr>
    <w:tblPr>
      <w:tblCellMar>
        <w:top w:w="0" w:type="dxa"/>
        <w:left w:w="0" w:type="dxa"/>
        <w:bottom w:w="0" w:type="dxa"/>
        <w:right w:w="0" w:type="dxa"/>
      </w:tblCellMar>
    </w:tblPr>
  </w:style>
  <w:style w:type="paragraph" w:customStyle="1" w:styleId="1a">
    <w:name w:val="索引 1 字符"/>
    <w:basedOn w:val="Style229"/>
    <w:next w:val="aff7"/>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1">
    <w:name w:val="标题 2 Char Char Char1"/>
    <w:basedOn w:val="Style229"/>
    <w:next w:val="aff7"/>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232">
    <w:name w:val="_Style 232"/>
    <w:basedOn w:val="Style229"/>
    <w:next w:val="aff7"/>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233">
    <w:name w:val="_Style 233"/>
    <w:basedOn w:val="Style229"/>
    <w:next w:val="aff7"/>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234">
    <w:name w:val="_Style 234"/>
    <w:basedOn w:val="Style229"/>
    <w:next w:val="aff7"/>
    <w:autoRedefine/>
    <w:uiPriority w:val="9"/>
    <w:semiHidden/>
    <w:qFormat/>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Style235">
    <w:name w:val="_Style 235"/>
    <w:basedOn w:val="Style229"/>
    <w:next w:val="aff7"/>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236">
    <w:name w:val="_Style 236"/>
    <w:basedOn w:val="Style229"/>
    <w:next w:val="aff7"/>
    <w:autoRedefine/>
    <w:uiPriority w:val="9"/>
    <w:semiHidden/>
    <w:qFormat/>
    <w:pPr>
      <w:keepNext/>
      <w:keepLines/>
      <w:spacing w:before="240" w:after="64" w:line="320" w:lineRule="auto"/>
      <w:outlineLvl w:val="6"/>
    </w:pPr>
    <w:rPr>
      <w:b/>
      <w:bCs/>
      <w:sz w:val="24"/>
    </w:rPr>
  </w:style>
  <w:style w:type="character" w:customStyle="1" w:styleId="Style237">
    <w:name w:val="_Style 237"/>
    <w:autoRedefine/>
    <w:uiPriority w:val="1"/>
    <w:semiHidden/>
    <w:qFormat/>
  </w:style>
  <w:style w:type="character" w:customStyle="1" w:styleId="Style239">
    <w:name w:val="_Style 239"/>
    <w:basedOn w:val="Style237"/>
    <w:autoRedefine/>
    <w:uiPriority w:val="99"/>
    <w:semiHidden/>
    <w:qFormat/>
    <w:rPr>
      <w:rFonts w:eastAsia="黑体"/>
      <w:b/>
      <w:bCs/>
      <w:kern w:val="44"/>
      <w:sz w:val="28"/>
      <w:szCs w:val="44"/>
    </w:rPr>
  </w:style>
  <w:style w:type="character" w:customStyle="1" w:styleId="2CharCharChar10">
    <w:name w:val="标题 2 Char Char Char 字符1"/>
    <w:basedOn w:val="Style237"/>
    <w:autoRedefine/>
    <w:semiHidden/>
    <w:qFormat/>
    <w:rPr>
      <w:rFonts w:ascii="Arial" w:hAnsi="Arial"/>
      <w:b/>
      <w:bCs/>
      <w:kern w:val="2"/>
      <w:sz w:val="21"/>
      <w:szCs w:val="21"/>
    </w:rPr>
  </w:style>
  <w:style w:type="character" w:customStyle="1" w:styleId="Style241">
    <w:name w:val="_Style 241"/>
    <w:basedOn w:val="Style237"/>
    <w:autoRedefine/>
    <w:uiPriority w:val="9"/>
    <w:semiHidden/>
    <w:qFormat/>
    <w:rPr>
      <w:b/>
      <w:bCs/>
      <w:kern w:val="2"/>
      <w:sz w:val="21"/>
      <w:szCs w:val="32"/>
    </w:rPr>
  </w:style>
  <w:style w:type="character" w:customStyle="1" w:styleId="Style242">
    <w:name w:val="_Style 242"/>
    <w:basedOn w:val="Style237"/>
    <w:autoRedefine/>
    <w:uiPriority w:val="9"/>
    <w:semiHidden/>
    <w:qFormat/>
    <w:rPr>
      <w:rFonts w:asciiTheme="minorEastAsia" w:eastAsiaTheme="minorEastAsia" w:hAnsiTheme="minorEastAsia"/>
      <w:b/>
      <w:bCs/>
      <w:kern w:val="2"/>
      <w:sz w:val="21"/>
      <w:szCs w:val="28"/>
    </w:rPr>
  </w:style>
  <w:style w:type="character" w:customStyle="1" w:styleId="Style243">
    <w:name w:val="_Style 243"/>
    <w:basedOn w:val="Style237"/>
    <w:autoRedefine/>
    <w:uiPriority w:val="9"/>
    <w:semiHidden/>
    <w:qFormat/>
    <w:rPr>
      <w:b/>
      <w:bCs/>
      <w:kern w:val="2"/>
      <w:sz w:val="21"/>
      <w:szCs w:val="28"/>
    </w:rPr>
  </w:style>
  <w:style w:type="paragraph" w:customStyle="1" w:styleId="Style244">
    <w:name w:val="_Style 244"/>
    <w:basedOn w:val="1a"/>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246">
    <w:name w:val="_Style 246"/>
    <w:basedOn w:val="Style229"/>
    <w:next w:val="aff7"/>
    <w:autoRedefine/>
    <w:uiPriority w:val="39"/>
    <w:semiHidden/>
    <w:qFormat/>
    <w:pPr>
      <w:widowControl w:val="0"/>
      <w:ind w:leftChars="200" w:left="420"/>
      <w:jc w:val="both"/>
    </w:pPr>
    <w:rPr>
      <w:rFonts w:ascii="Times New Roman" w:hAnsi="Times New Roman" w:cs="Times New Roman"/>
      <w:kern w:val="2"/>
      <w:szCs w:val="21"/>
    </w:rPr>
  </w:style>
  <w:style w:type="character" w:customStyle="1" w:styleId="Style247">
    <w:name w:val="_Style 247"/>
    <w:basedOn w:val="Style237"/>
    <w:autoRedefine/>
    <w:uiPriority w:val="99"/>
    <w:semiHidden/>
    <w:qFormat/>
    <w:rPr>
      <w:rFonts w:cs="Times New Roman"/>
      <w:color w:val="0000FF"/>
      <w:u w:val="single"/>
    </w:rPr>
  </w:style>
  <w:style w:type="character" w:customStyle="1" w:styleId="Style248">
    <w:name w:val="_Style 248"/>
    <w:basedOn w:val="Style237"/>
    <w:autoRedefine/>
    <w:semiHidden/>
    <w:qFormat/>
    <w:rPr>
      <w:rFonts w:eastAsia="宋体" w:cs="Times New Roman"/>
      <w:kern w:val="2"/>
      <w:sz w:val="21"/>
      <w:szCs w:val="21"/>
      <w:lang w:val="en-US" w:eastAsia="zh-CN" w:bidi="ar-SA"/>
    </w:rPr>
  </w:style>
  <w:style w:type="paragraph" w:customStyle="1" w:styleId="Style249">
    <w:name w:val="_Style 249"/>
    <w:basedOn w:val="Style229"/>
    <w:autoRedefine/>
    <w:semiHidden/>
    <w:qFormat/>
    <w:pPr>
      <w:widowControl w:val="0"/>
    </w:pPr>
    <w:rPr>
      <w:rFonts w:ascii="Times New Roman" w:hAnsi="Times New Roman" w:cs="Times New Roman"/>
      <w:kern w:val="2"/>
      <w:szCs w:val="21"/>
    </w:rPr>
  </w:style>
  <w:style w:type="character" w:customStyle="1" w:styleId="Style250">
    <w:name w:val="_Style 250"/>
    <w:basedOn w:val="Style237"/>
    <w:autoRedefine/>
    <w:semiHidden/>
    <w:qFormat/>
    <w:rPr>
      <w:rFonts w:ascii="Times New Roman" w:eastAsia="宋体" w:hAnsi="Times New Roman" w:cs="Times New Roman"/>
      <w:szCs w:val="21"/>
    </w:rPr>
  </w:style>
  <w:style w:type="paragraph" w:customStyle="1" w:styleId="Style251">
    <w:name w:val="_Style 251"/>
    <w:basedOn w:val="Style229"/>
    <w:autoRedefine/>
    <w:uiPriority w:val="99"/>
    <w:semiHidden/>
    <w:qFormat/>
    <w:pPr>
      <w:widowControl w:val="0"/>
      <w:jc w:val="both"/>
    </w:pPr>
    <w:rPr>
      <w:rFonts w:ascii="Calibri" w:hAnsi="Calibri" w:cs="Times New Roman"/>
      <w:kern w:val="2"/>
      <w:sz w:val="18"/>
      <w:szCs w:val="18"/>
    </w:rPr>
  </w:style>
  <w:style w:type="character" w:customStyle="1" w:styleId="Style252">
    <w:name w:val="_Style 252"/>
    <w:basedOn w:val="Style237"/>
    <w:autoRedefine/>
    <w:uiPriority w:val="99"/>
    <w:semiHidden/>
    <w:qFormat/>
    <w:rPr>
      <w:rFonts w:ascii="Calibri" w:eastAsia="宋体" w:hAnsi="Calibri" w:cs="Times New Roman"/>
      <w:sz w:val="18"/>
      <w:szCs w:val="18"/>
    </w:rPr>
  </w:style>
  <w:style w:type="paragraph" w:customStyle="1" w:styleId="Style253">
    <w:name w:val="_Style 253"/>
    <w:basedOn w:val="Style229"/>
    <w:next w:val="aff7"/>
    <w:autoRedefine/>
    <w:uiPriority w:val="99"/>
    <w:semiHidden/>
    <w:qFormat/>
    <w:pPr>
      <w:widowControl w:val="0"/>
      <w:jc w:val="both"/>
    </w:pPr>
    <w:rPr>
      <w:rFonts w:ascii="Times New Roman" w:hAnsi="Times New Roman" w:cs="Times New Roman"/>
      <w:kern w:val="2"/>
      <w:szCs w:val="21"/>
    </w:rPr>
  </w:style>
  <w:style w:type="character" w:customStyle="1" w:styleId="Style254">
    <w:name w:val="_Style 254"/>
    <w:basedOn w:val="Style237"/>
    <w:autoRedefine/>
    <w:uiPriority w:val="99"/>
    <w:semiHidden/>
    <w:qFormat/>
    <w:rPr>
      <w:rFonts w:ascii="Times New Roman" w:eastAsia="宋体" w:hAnsi="Times New Roman" w:cs="Times New Roman"/>
      <w:szCs w:val="21"/>
    </w:rPr>
  </w:style>
  <w:style w:type="character" w:customStyle="1" w:styleId="Style255">
    <w:name w:val="_Style 255"/>
    <w:basedOn w:val="Style237"/>
    <w:autoRedefine/>
    <w:uiPriority w:val="99"/>
    <w:semiHidden/>
    <w:qFormat/>
    <w:rPr>
      <w:rFonts w:eastAsia="宋体" w:cs="Times New Roman"/>
      <w:color w:val="FF0000"/>
      <w:kern w:val="2"/>
      <w:sz w:val="24"/>
      <w:szCs w:val="24"/>
      <w:lang w:val="en-US" w:eastAsia="zh-CN" w:bidi="ar-SA"/>
    </w:rPr>
  </w:style>
  <w:style w:type="paragraph" w:customStyle="1" w:styleId="Style256">
    <w:name w:val="_Style 256"/>
    <w:basedOn w:val="Style229"/>
    <w:autoRedefine/>
    <w:uiPriority w:val="99"/>
    <w:semiHidden/>
    <w:qFormat/>
    <w:pPr>
      <w:spacing w:before="100" w:after="100"/>
      <w:jc w:val="right"/>
    </w:pPr>
    <w:rPr>
      <w:rFonts w:ascii="Arial Unicode MS" w:eastAsia="Arial Unicode MS" w:hAnsi="Times New Roman" w:cs="Times New Roman"/>
      <w:sz w:val="18"/>
      <w:szCs w:val="18"/>
    </w:rPr>
  </w:style>
  <w:style w:type="paragraph" w:customStyle="1" w:styleId="Style257">
    <w:name w:val="_Style 257"/>
    <w:basedOn w:val="Style22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258">
    <w:name w:val="_Style 258"/>
    <w:basedOn w:val="Style250"/>
    <w:autoRedefine/>
    <w:uiPriority w:val="99"/>
    <w:semiHidden/>
    <w:qFormat/>
    <w:rPr>
      <w:rFonts w:ascii="Calibri" w:eastAsia="宋体" w:hAnsi="Calibri" w:cs="Times New Roman"/>
      <w:b/>
      <w:bCs/>
      <w:szCs w:val="21"/>
    </w:rPr>
  </w:style>
  <w:style w:type="paragraph" w:customStyle="1" w:styleId="Style259">
    <w:name w:val="_Style 259"/>
    <w:basedOn w:val="Style249"/>
    <w:autoRedefine/>
    <w:uiPriority w:val="99"/>
    <w:semiHidden/>
    <w:qFormat/>
    <w:rPr>
      <w:rFonts w:ascii="Calibri" w:hAnsi="Calibri"/>
      <w:b/>
      <w:bCs/>
      <w:szCs w:val="22"/>
    </w:rPr>
  </w:style>
  <w:style w:type="paragraph" w:customStyle="1" w:styleId="Style260">
    <w:name w:val="_Style 260"/>
    <w:basedOn w:val="Style229"/>
    <w:next w:val="aff7"/>
    <w:autoRedefine/>
    <w:uiPriority w:val="39"/>
    <w:semiHidden/>
    <w:qFormat/>
    <w:pPr>
      <w:spacing w:after="100" w:line="276" w:lineRule="auto"/>
      <w:ind w:left="440"/>
    </w:pPr>
    <w:rPr>
      <w:rFonts w:ascii="Calibri" w:hAnsi="Calibri" w:cs="Times New Roman"/>
      <w:sz w:val="22"/>
      <w:szCs w:val="22"/>
    </w:rPr>
  </w:style>
  <w:style w:type="paragraph" w:customStyle="1" w:styleId="Style261">
    <w:name w:val="_Style 261"/>
    <w:basedOn w:val="Style229"/>
    <w:autoRedefine/>
    <w:uiPriority w:val="99"/>
    <w:semiHidden/>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Style262">
    <w:name w:val="_Style 262"/>
    <w:basedOn w:val="Style237"/>
    <w:autoRedefine/>
    <w:uiPriority w:val="99"/>
    <w:semiHidden/>
    <w:qFormat/>
    <w:rPr>
      <w:rFonts w:ascii="Calibri" w:eastAsia="宋体" w:hAnsi="Calibri" w:cs="Times New Roman"/>
      <w:sz w:val="18"/>
      <w:szCs w:val="18"/>
    </w:rPr>
  </w:style>
  <w:style w:type="paragraph" w:customStyle="1" w:styleId="Style263">
    <w:name w:val="_Style 263"/>
    <w:basedOn w:val="Style229"/>
    <w:autoRedefine/>
    <w:uiPriority w:val="99"/>
    <w:semiHidden/>
    <w:qFormat/>
    <w:pPr>
      <w:widowControl w:val="0"/>
      <w:tabs>
        <w:tab w:val="center" w:pos="4153"/>
        <w:tab w:val="right" w:pos="8306"/>
      </w:tabs>
      <w:snapToGrid w:val="0"/>
    </w:pPr>
    <w:rPr>
      <w:rFonts w:ascii="Calibri" w:hAnsi="Calibri" w:cs="Times New Roman"/>
      <w:kern w:val="2"/>
      <w:sz w:val="18"/>
      <w:szCs w:val="18"/>
    </w:rPr>
  </w:style>
  <w:style w:type="character" w:customStyle="1" w:styleId="Style264">
    <w:name w:val="_Style 264"/>
    <w:basedOn w:val="Style237"/>
    <w:autoRedefine/>
    <w:uiPriority w:val="99"/>
    <w:semiHidden/>
    <w:qFormat/>
    <w:rPr>
      <w:rFonts w:ascii="Calibri" w:eastAsia="宋体" w:hAnsi="Calibri" w:cs="Times New Roman"/>
      <w:sz w:val="18"/>
      <w:szCs w:val="18"/>
    </w:rPr>
  </w:style>
  <w:style w:type="paragraph" w:customStyle="1" w:styleId="Style265">
    <w:name w:val="_Style 265"/>
    <w:basedOn w:val="Style229"/>
    <w:autoRedefine/>
    <w:semiHidden/>
    <w:qFormat/>
    <w:pPr>
      <w:widowControl w:val="0"/>
      <w:jc w:val="both"/>
    </w:pPr>
    <w:rPr>
      <w:rFonts w:hAnsi="Courier New" w:cs="Times New Roman"/>
      <w:kern w:val="2"/>
      <w:szCs w:val="20"/>
    </w:rPr>
  </w:style>
  <w:style w:type="character" w:customStyle="1" w:styleId="Style266">
    <w:name w:val="_Style 266"/>
    <w:basedOn w:val="Style237"/>
    <w:autoRedefine/>
    <w:semiHidden/>
    <w:qFormat/>
    <w:rPr>
      <w:rFonts w:ascii="宋体" w:eastAsia="宋体" w:hAnsi="Courier New" w:cs="Times New Roman"/>
      <w:szCs w:val="20"/>
    </w:rPr>
  </w:style>
  <w:style w:type="character" w:customStyle="1" w:styleId="Style267">
    <w:name w:val="_Style 267"/>
    <w:basedOn w:val="Style237"/>
    <w:autoRedefine/>
    <w:semiHidden/>
    <w:qFormat/>
    <w:rPr>
      <w:rFonts w:eastAsia="宋体" w:cs="Times New Roman"/>
      <w:kern w:val="2"/>
      <w:sz w:val="24"/>
      <w:szCs w:val="24"/>
      <w:lang w:val="en-US" w:eastAsia="zh-CN" w:bidi="ar-SA"/>
    </w:rPr>
  </w:style>
  <w:style w:type="paragraph" w:customStyle="1" w:styleId="Style268">
    <w:name w:val="_Style 268"/>
    <w:basedOn w:val="Style229"/>
    <w:autoRedefine/>
    <w:uiPriority w:val="99"/>
    <w:semiHidden/>
    <w:qFormat/>
    <w:pPr>
      <w:widowControl w:val="0"/>
      <w:spacing w:after="120"/>
      <w:jc w:val="both"/>
    </w:pPr>
    <w:rPr>
      <w:rFonts w:ascii="Times New Roman" w:hAnsi="Times New Roman" w:cs="Times New Roman"/>
      <w:kern w:val="2"/>
      <w:szCs w:val="21"/>
    </w:rPr>
  </w:style>
  <w:style w:type="character" w:customStyle="1" w:styleId="Style269">
    <w:name w:val="_Style 269"/>
    <w:basedOn w:val="Style237"/>
    <w:autoRedefine/>
    <w:uiPriority w:val="99"/>
    <w:semiHidden/>
    <w:qFormat/>
    <w:rPr>
      <w:rFonts w:ascii="Times New Roman" w:eastAsia="宋体" w:hAnsi="Times New Roman" w:cs="Times New Roman"/>
      <w:szCs w:val="21"/>
    </w:rPr>
  </w:style>
  <w:style w:type="paragraph" w:customStyle="1" w:styleId="Style270">
    <w:name w:val="_Style 270"/>
    <w:basedOn w:val="Style229"/>
    <w:autoRedefine/>
    <w:uiPriority w:val="99"/>
    <w:semiHidden/>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Style271">
    <w:name w:val="_Style 271"/>
    <w:basedOn w:val="Style229"/>
    <w:next w:val="aff7"/>
    <w:autoRedefine/>
    <w:uiPriority w:val="99"/>
    <w:semiHidden/>
    <w:qFormat/>
    <w:pPr>
      <w:widowControl w:val="0"/>
      <w:ind w:leftChars="2500" w:left="100"/>
      <w:jc w:val="both"/>
    </w:pPr>
    <w:rPr>
      <w:rFonts w:ascii="Times New Roman" w:hAnsi="Times New Roman" w:cs="Times New Roman"/>
      <w:kern w:val="2"/>
      <w:szCs w:val="21"/>
    </w:rPr>
  </w:style>
  <w:style w:type="character" w:customStyle="1" w:styleId="Style272">
    <w:name w:val="_Style 272"/>
    <w:basedOn w:val="Style237"/>
    <w:autoRedefine/>
    <w:uiPriority w:val="99"/>
    <w:semiHidden/>
    <w:qFormat/>
    <w:rPr>
      <w:rFonts w:ascii="Times New Roman" w:eastAsia="宋体" w:hAnsi="Times New Roman" w:cs="Times New Roman"/>
      <w:szCs w:val="21"/>
    </w:rPr>
  </w:style>
  <w:style w:type="paragraph" w:customStyle="1" w:styleId="Style273">
    <w:name w:val="_Style 273"/>
    <w:basedOn w:val="Style229"/>
    <w:next w:val="aff7"/>
    <w:autoRedefine/>
    <w:uiPriority w:val="99"/>
    <w:semiHidden/>
    <w:qFormat/>
    <w:pPr>
      <w:widowControl w:val="0"/>
      <w:jc w:val="center"/>
    </w:pPr>
    <w:rPr>
      <w:rFonts w:ascii="Times New Roman" w:hAnsi="Times New Roman" w:cs="Times New Roman"/>
      <w:kern w:val="2"/>
      <w:szCs w:val="21"/>
    </w:rPr>
  </w:style>
  <w:style w:type="character" w:customStyle="1" w:styleId="Style274">
    <w:name w:val="_Style 274"/>
    <w:basedOn w:val="Style237"/>
    <w:autoRedefine/>
    <w:uiPriority w:val="99"/>
    <w:semiHidden/>
    <w:qFormat/>
    <w:rPr>
      <w:rFonts w:ascii="Times New Roman" w:eastAsia="宋体" w:hAnsi="Times New Roman" w:cs="Times New Roman"/>
      <w:szCs w:val="21"/>
    </w:rPr>
  </w:style>
  <w:style w:type="paragraph" w:customStyle="1" w:styleId="Style275">
    <w:name w:val="_Style 275"/>
    <w:basedOn w:val="Style229"/>
    <w:next w:val="aff7"/>
    <w:autoRedefine/>
    <w:semiHidden/>
    <w:qFormat/>
    <w:pPr>
      <w:widowControl w:val="0"/>
      <w:spacing w:before="120"/>
      <w:jc w:val="both"/>
    </w:pPr>
    <w:rPr>
      <w:rFonts w:ascii="Arial" w:hAnsi="Arial" w:cs="Times New Roman"/>
      <w:b/>
      <w:bCs/>
      <w:kern w:val="2"/>
      <w:szCs w:val="21"/>
    </w:rPr>
  </w:style>
  <w:style w:type="paragraph" w:customStyle="1" w:styleId="Style276">
    <w:name w:val="_Style 276"/>
    <w:basedOn w:val="Style229"/>
    <w:autoRedefine/>
    <w:semiHidden/>
    <w:qFormat/>
    <w:pPr>
      <w:keepNext/>
      <w:keepLines/>
      <w:widowControl w:val="0"/>
      <w:spacing w:before="60" w:after="60"/>
      <w:ind w:hangingChars="200" w:hanging="420"/>
      <w:jc w:val="both"/>
      <w:outlineLvl w:val="4"/>
    </w:pPr>
    <w:rPr>
      <w:rFonts w:cs="Times New Roman"/>
      <w:b/>
      <w:bCs/>
      <w:kern w:val="2"/>
      <w:szCs w:val="21"/>
    </w:rPr>
  </w:style>
  <w:style w:type="paragraph" w:customStyle="1" w:styleId="Style277">
    <w:name w:val="_Style 277"/>
    <w:autoRedefine/>
    <w:hidden/>
    <w:uiPriority w:val="99"/>
    <w:semiHidden/>
    <w:qFormat/>
    <w:rPr>
      <w:kern w:val="2"/>
      <w:szCs w:val="22"/>
    </w:rPr>
  </w:style>
  <w:style w:type="character" w:customStyle="1" w:styleId="afe">
    <w:name w:val="普通(网站) 字符"/>
    <w:basedOn w:val="Style237"/>
    <w:link w:val="afd"/>
    <w:autoRedefine/>
    <w:uiPriority w:val="99"/>
    <w:qFormat/>
    <w:rPr>
      <w:rFonts w:ascii="宋体" w:hAnsi="宋体" w:cs="宋体"/>
      <w:sz w:val="24"/>
      <w:szCs w:val="24"/>
    </w:rPr>
  </w:style>
  <w:style w:type="paragraph" w:customStyle="1" w:styleId="Style279">
    <w:name w:val="_Style 279"/>
    <w:basedOn w:val="Style229"/>
    <w:autoRedefine/>
    <w:semiHidden/>
    <w:qFormat/>
    <w:pPr>
      <w:widowControl w:val="0"/>
      <w:spacing w:before="100" w:after="100"/>
      <w:jc w:val="both"/>
    </w:pPr>
    <w:rPr>
      <w:rFonts w:ascii="Calibri" w:hAnsi="Calibri" w:cs="Times New Roman"/>
      <w:kern w:val="2"/>
    </w:rPr>
  </w:style>
  <w:style w:type="paragraph" w:customStyle="1" w:styleId="Style280">
    <w:name w:val="_Style 280"/>
    <w:basedOn w:val="Style229"/>
    <w:autoRedefine/>
    <w:uiPriority w:val="99"/>
    <w:semiHidden/>
    <w:qFormat/>
    <w:pPr>
      <w:widowControl w:val="0"/>
      <w:jc w:val="both"/>
    </w:pPr>
    <w:rPr>
      <w:rFonts w:hAnsi="Calibri" w:cs="Times New Roman"/>
      <w:kern w:val="2"/>
      <w:sz w:val="18"/>
      <w:szCs w:val="18"/>
    </w:rPr>
  </w:style>
  <w:style w:type="character" w:customStyle="1" w:styleId="Style281">
    <w:name w:val="_Style 281"/>
    <w:basedOn w:val="Style237"/>
    <w:autoRedefine/>
    <w:uiPriority w:val="99"/>
    <w:semiHidden/>
    <w:qFormat/>
    <w:rPr>
      <w:rFonts w:ascii="宋体"/>
      <w:kern w:val="2"/>
      <w:sz w:val="18"/>
      <w:szCs w:val="18"/>
    </w:rPr>
  </w:style>
  <w:style w:type="character" w:customStyle="1" w:styleId="Style282">
    <w:name w:val="_Style 282"/>
    <w:basedOn w:val="Style237"/>
    <w:autoRedefine/>
    <w:uiPriority w:val="99"/>
    <w:semiHidden/>
    <w:qFormat/>
    <w:rPr>
      <w:color w:val="auto"/>
    </w:rPr>
  </w:style>
  <w:style w:type="paragraph" w:customStyle="1" w:styleId="Style283">
    <w:name w:val="_Style 283"/>
    <w:basedOn w:val="Style229"/>
    <w:next w:val="aff7"/>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character" w:customStyle="1" w:styleId="Style284">
    <w:name w:val="_Style 284"/>
    <w:basedOn w:val="Style237"/>
    <w:autoRedefine/>
    <w:uiPriority w:val="10"/>
    <w:semiHidden/>
    <w:qFormat/>
    <w:rPr>
      <w:rFonts w:asciiTheme="majorHAnsi" w:hAnsiTheme="majorHAnsi" w:cstheme="majorBidi"/>
      <w:b/>
      <w:bCs/>
      <w:kern w:val="2"/>
      <w:sz w:val="32"/>
      <w:szCs w:val="32"/>
    </w:rPr>
  </w:style>
  <w:style w:type="paragraph" w:customStyle="1" w:styleId="Style285">
    <w:name w:val="_Style 285"/>
    <w:autoRedefine/>
    <w:uiPriority w:val="1"/>
    <w:semiHidden/>
    <w:qFormat/>
    <w:pPr>
      <w:widowControl w:val="0"/>
      <w:jc w:val="both"/>
    </w:pPr>
    <w:rPr>
      <w:kern w:val="2"/>
      <w:szCs w:val="22"/>
    </w:rPr>
  </w:style>
  <w:style w:type="paragraph" w:customStyle="1" w:styleId="Style286">
    <w:name w:val="_Style 286"/>
    <w:basedOn w:val="Style229"/>
    <w:next w:val="aff7"/>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287">
    <w:name w:val="_Style 287"/>
    <w:basedOn w:val="Style229"/>
    <w:next w:val="aff7"/>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288">
    <w:name w:val="_Style 288"/>
    <w:basedOn w:val="Style229"/>
    <w:next w:val="aff7"/>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289">
    <w:name w:val="_Style 289"/>
    <w:basedOn w:val="Style229"/>
    <w:next w:val="aff7"/>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290">
    <w:name w:val="_Style 290"/>
    <w:basedOn w:val="Style229"/>
    <w:next w:val="aff7"/>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291">
    <w:name w:val="_Style 291"/>
    <w:basedOn w:val="Style229"/>
    <w:next w:val="aff7"/>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character" w:customStyle="1" w:styleId="Style292">
    <w:name w:val="_Style 292"/>
    <w:basedOn w:val="Style237"/>
    <w:autoRedefine/>
    <w:uiPriority w:val="9"/>
    <w:semiHidden/>
    <w:qFormat/>
    <w:rPr>
      <w:rFonts w:asciiTheme="majorHAnsi" w:hAnsiTheme="majorHAnsi" w:cstheme="majorBidi"/>
      <w:b/>
      <w:bCs/>
      <w:sz w:val="21"/>
      <w:szCs w:val="24"/>
    </w:rPr>
  </w:style>
  <w:style w:type="paragraph" w:customStyle="1" w:styleId="Style293">
    <w:name w:val="_Style 293"/>
    <w:basedOn w:val="Style229"/>
    <w:autoRedefine/>
    <w:uiPriority w:val="99"/>
    <w:semiHidden/>
    <w:qFormat/>
    <w:pPr>
      <w:spacing w:before="100" w:beforeAutospacing="1" w:after="100" w:afterAutospacing="1"/>
    </w:pPr>
    <w:rPr>
      <w:sz w:val="24"/>
    </w:rPr>
  </w:style>
  <w:style w:type="character" w:customStyle="1" w:styleId="Style295">
    <w:name w:val="_Style 295"/>
    <w:basedOn w:val="Style237"/>
    <w:autoRedefine/>
    <w:uiPriority w:val="99"/>
    <w:semiHidden/>
    <w:qFormat/>
    <w:rPr>
      <w:rFonts w:ascii="宋体" w:hAnsi="宋体" w:cs="宋体"/>
      <w:sz w:val="21"/>
      <w:szCs w:val="24"/>
    </w:rPr>
  </w:style>
  <w:style w:type="character" w:customStyle="1" w:styleId="Style296">
    <w:name w:val="_Style 296"/>
    <w:basedOn w:val="Style237"/>
    <w:autoRedefine/>
    <w:uiPriority w:val="99"/>
    <w:semiHidden/>
    <w:qFormat/>
    <w:rPr>
      <w:vertAlign w:val="superscript"/>
    </w:rPr>
  </w:style>
  <w:style w:type="character" w:customStyle="1" w:styleId="Style297">
    <w:name w:val="_Style 297"/>
    <w:basedOn w:val="Style250"/>
    <w:autoRedefine/>
    <w:uiPriority w:val="99"/>
    <w:semiHidden/>
    <w:qFormat/>
    <w:rPr>
      <w:rFonts w:ascii="Times New Roman" w:eastAsia="宋体" w:hAnsi="Times New Roman" w:cs="Times New Roman"/>
      <w:b/>
      <w:bCs/>
      <w:szCs w:val="21"/>
    </w:rPr>
  </w:style>
  <w:style w:type="paragraph" w:customStyle="1" w:styleId="Style298">
    <w:name w:val="_Style 298"/>
    <w:basedOn w:val="Style229"/>
    <w:next w:val="aff7"/>
    <w:autoRedefine/>
    <w:semiHidden/>
    <w:qFormat/>
    <w:pPr>
      <w:ind w:firstLineChars="200" w:firstLine="420"/>
    </w:pPr>
    <w:rPr>
      <w:rFonts w:cs="Times New Roman"/>
      <w:color w:val="000000"/>
      <w:szCs w:val="21"/>
    </w:rPr>
  </w:style>
  <w:style w:type="character" w:customStyle="1" w:styleId="Style299">
    <w:name w:val="_Style 299"/>
    <w:basedOn w:val="Style237"/>
    <w:autoRedefine/>
    <w:semiHidden/>
    <w:qFormat/>
  </w:style>
  <w:style w:type="paragraph" w:customStyle="1" w:styleId="Style300">
    <w:name w:val="_Style 300"/>
    <w:basedOn w:val="Style229"/>
    <w:autoRedefine/>
    <w:semiHidden/>
    <w:qFormat/>
    <w:pPr>
      <w:widowControl w:val="0"/>
      <w:ind w:firstLineChars="200" w:firstLine="420"/>
      <w:jc w:val="both"/>
    </w:pPr>
    <w:rPr>
      <w:rFonts w:ascii="Times New Roman" w:hAnsi="Times New Roman" w:cs="Times New Roman"/>
      <w:kern w:val="2"/>
      <w:szCs w:val="21"/>
    </w:rPr>
  </w:style>
  <w:style w:type="paragraph" w:customStyle="1" w:styleId="Style301">
    <w:name w:val="_Style 301"/>
    <w:basedOn w:val="Style229"/>
    <w:autoRedefine/>
    <w:semiHidden/>
    <w:qFormat/>
    <w:pPr>
      <w:widowControl w:val="0"/>
      <w:tabs>
        <w:tab w:val="left" w:pos="1200"/>
      </w:tabs>
      <w:jc w:val="both"/>
    </w:pPr>
    <w:rPr>
      <w:rFonts w:ascii="Times New Roman" w:hAnsi="Times New Roman" w:cs="Times New Roman"/>
      <w:kern w:val="2"/>
      <w:szCs w:val="21"/>
    </w:rPr>
  </w:style>
  <w:style w:type="paragraph" w:customStyle="1" w:styleId="Style302">
    <w:name w:val="_Style 302"/>
    <w:basedOn w:val="Style229"/>
    <w:next w:val="aff7"/>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303">
    <w:name w:val="_Style 303"/>
    <w:basedOn w:val="Style237"/>
    <w:link w:val="3a"/>
    <w:autoRedefine/>
    <w:uiPriority w:val="34"/>
    <w:semiHidden/>
    <w:qFormat/>
    <w:rPr>
      <w:kern w:val="2"/>
      <w:sz w:val="21"/>
      <w:szCs w:val="22"/>
    </w:rPr>
  </w:style>
  <w:style w:type="character" w:customStyle="1" w:styleId="Style304">
    <w:name w:val="_Style 304"/>
    <w:basedOn w:val="Style237"/>
    <w:autoRedefine/>
    <w:uiPriority w:val="9"/>
    <w:semiHidden/>
    <w:qFormat/>
    <w:rPr>
      <w:rFonts w:ascii="宋体" w:hAnsi="宋体" w:cs="宋体"/>
      <w:b/>
      <w:bCs/>
      <w:sz w:val="24"/>
      <w:szCs w:val="24"/>
    </w:rPr>
  </w:style>
  <w:style w:type="character" w:customStyle="1" w:styleId="Style305">
    <w:name w:val="_Style 305"/>
    <w:basedOn w:val="Style250"/>
    <w:autoRedefine/>
    <w:uiPriority w:val="99"/>
    <w:semiHidden/>
    <w:qFormat/>
    <w:rPr>
      <w:rFonts w:ascii="Times New Roman" w:eastAsia="宋体" w:hAnsi="Times New Roman" w:cs="Times New Roman"/>
      <w:b/>
      <w:bCs/>
      <w:szCs w:val="21"/>
    </w:rPr>
  </w:style>
  <w:style w:type="character" w:customStyle="1" w:styleId="Style306">
    <w:name w:val="_Style 306"/>
    <w:autoRedefine/>
    <w:uiPriority w:val="9"/>
    <w:semiHidden/>
    <w:qFormat/>
    <w:rPr>
      <w:rFonts w:ascii="Cambria" w:hAnsi="Cambria"/>
      <w:b/>
      <w:bCs/>
      <w:kern w:val="2"/>
      <w:sz w:val="21"/>
      <w:szCs w:val="28"/>
    </w:rPr>
  </w:style>
  <w:style w:type="paragraph" w:customStyle="1" w:styleId="Style307">
    <w:name w:val="_Style 307"/>
    <w:basedOn w:val="Style229"/>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afff0">
    <w:name w:val="无间隔 字符"/>
    <w:basedOn w:val="Style229"/>
    <w:next w:val="a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309">
    <w:name w:val="_Style 309"/>
    <w:autoRedefine/>
    <w:uiPriority w:val="9"/>
    <w:semiHidden/>
    <w:qFormat/>
    <w:rPr>
      <w:b/>
      <w:bCs/>
      <w:kern w:val="2"/>
      <w:sz w:val="21"/>
      <w:szCs w:val="32"/>
    </w:rPr>
  </w:style>
  <w:style w:type="paragraph" w:customStyle="1" w:styleId="Style310">
    <w:name w:val="_Style 310"/>
    <w:basedOn w:val="Style229"/>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311">
    <w:name w:val="_Style 311"/>
    <w:basedOn w:val="Style229"/>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312">
    <w:name w:val="_Style 312"/>
    <w:basedOn w:val="Style229"/>
    <w:autoRedefine/>
    <w:uiPriority w:val="1"/>
    <w:semiHidden/>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313">
    <w:name w:val="_Style 313"/>
    <w:autoRedefine/>
    <w:semiHidden/>
    <w:qFormat/>
    <w:rPr>
      <w:rFonts w:ascii="Times New Roman" w:hAnsi="Times New Roman"/>
      <w:kern w:val="2"/>
      <w:sz w:val="21"/>
      <w:szCs w:val="21"/>
    </w:rPr>
  </w:style>
  <w:style w:type="character" w:customStyle="1" w:styleId="Style314">
    <w:name w:val="_Style 314"/>
    <w:autoRedefine/>
    <w:uiPriority w:val="9"/>
    <w:semiHidden/>
    <w:qFormat/>
    <w:rPr>
      <w:b/>
      <w:bCs/>
      <w:kern w:val="2"/>
      <w:sz w:val="21"/>
      <w:szCs w:val="32"/>
    </w:rPr>
  </w:style>
  <w:style w:type="character" w:customStyle="1" w:styleId="2CharCharCharChar2">
    <w:name w:val="标题 2 Char Char Char Char2"/>
    <w:autoRedefine/>
    <w:semiHidden/>
    <w:qFormat/>
    <w:rPr>
      <w:rFonts w:ascii="Arial" w:hAnsi="Arial"/>
      <w:b/>
      <w:bCs/>
      <w:kern w:val="2"/>
      <w:sz w:val="21"/>
      <w:szCs w:val="21"/>
    </w:rPr>
  </w:style>
  <w:style w:type="character" w:customStyle="1" w:styleId="Style316">
    <w:name w:val="_Style 316"/>
    <w:autoRedefine/>
    <w:uiPriority w:val="9"/>
    <w:semiHidden/>
    <w:qFormat/>
    <w:rPr>
      <w:b/>
      <w:bCs/>
      <w:kern w:val="2"/>
      <w:sz w:val="21"/>
      <w:szCs w:val="28"/>
    </w:rPr>
  </w:style>
  <w:style w:type="paragraph" w:customStyle="1" w:styleId="Style317">
    <w:name w:val="_Style 317"/>
    <w:basedOn w:val="Style229"/>
    <w:next w:val="a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318">
    <w:name w:val="_Style 318"/>
    <w:autoRedefine/>
    <w:uiPriority w:val="99"/>
    <w:semiHidden/>
    <w:qFormat/>
    <w:rPr>
      <w:rFonts w:ascii="Times New Roman" w:hAnsi="Times New Roman"/>
      <w:kern w:val="2"/>
      <w:sz w:val="21"/>
      <w:szCs w:val="21"/>
    </w:rPr>
  </w:style>
  <w:style w:type="character" w:customStyle="1" w:styleId="Style319">
    <w:name w:val="_Style 319"/>
    <w:autoRedefine/>
    <w:semiHidden/>
    <w:qFormat/>
    <w:rPr>
      <w:rFonts w:ascii="FZLTSK--GBK1-0" w:hAnsi="FZLTSK--GBK1-0" w:hint="default"/>
      <w:color w:val="000000"/>
      <w:sz w:val="20"/>
      <w:szCs w:val="20"/>
    </w:rPr>
  </w:style>
  <w:style w:type="paragraph" w:customStyle="1" w:styleId="Style320">
    <w:name w:val="_Style 320"/>
    <w:basedOn w:val="Style229"/>
    <w:next w:val="a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321">
    <w:name w:val="_Style 321"/>
    <w:autoRedefine/>
    <w:uiPriority w:val="99"/>
    <w:semiHidden/>
    <w:qFormat/>
    <w:rPr>
      <w:rFonts w:ascii="Times New Roman" w:hAnsi="Times New Roman"/>
      <w:kern w:val="2"/>
      <w:sz w:val="21"/>
      <w:szCs w:val="21"/>
    </w:rPr>
  </w:style>
  <w:style w:type="character" w:customStyle="1" w:styleId="Style322">
    <w:name w:val="_Style 322"/>
    <w:autoRedefine/>
    <w:uiPriority w:val="9"/>
    <w:semiHidden/>
    <w:qFormat/>
    <w:rPr>
      <w:b/>
      <w:bCs/>
      <w:kern w:val="2"/>
      <w:sz w:val="21"/>
      <w:szCs w:val="28"/>
    </w:rPr>
  </w:style>
  <w:style w:type="character" w:customStyle="1" w:styleId="Style323">
    <w:name w:val="_Style 323"/>
    <w:autoRedefine/>
    <w:uiPriority w:val="99"/>
    <w:semiHidden/>
    <w:qFormat/>
    <w:locked/>
    <w:rPr>
      <w:rFonts w:ascii="Times New Roman" w:hAnsi="Times New Roman"/>
      <w:kern w:val="2"/>
      <w:sz w:val="21"/>
      <w:szCs w:val="21"/>
    </w:rPr>
  </w:style>
  <w:style w:type="character" w:customStyle="1" w:styleId="2CharCharCharChar11">
    <w:name w:val="标题 2 Char Char Char Char11"/>
    <w:autoRedefine/>
    <w:semiHidden/>
    <w:qFormat/>
    <w:rPr>
      <w:rFonts w:ascii="Arial" w:hAnsi="Arial"/>
      <w:b/>
      <w:bCs/>
      <w:kern w:val="2"/>
      <w:sz w:val="21"/>
      <w:szCs w:val="21"/>
    </w:rPr>
  </w:style>
  <w:style w:type="character" w:customStyle="1" w:styleId="Style325">
    <w:name w:val="_Style 325"/>
    <w:autoRedefine/>
    <w:uiPriority w:val="99"/>
    <w:semiHidden/>
    <w:qFormat/>
    <w:rPr>
      <w:rFonts w:ascii="Times New Roman" w:hAnsi="Times New Roman"/>
      <w:kern w:val="2"/>
      <w:sz w:val="21"/>
      <w:szCs w:val="21"/>
    </w:rPr>
  </w:style>
  <w:style w:type="character" w:customStyle="1" w:styleId="Style326">
    <w:name w:val="_Style 326"/>
    <w:autoRedefine/>
    <w:uiPriority w:val="9"/>
    <w:semiHidden/>
    <w:qFormat/>
    <w:rPr>
      <w:b/>
      <w:bCs/>
      <w:kern w:val="2"/>
      <w:sz w:val="21"/>
      <w:szCs w:val="28"/>
    </w:rPr>
  </w:style>
  <w:style w:type="paragraph" w:customStyle="1" w:styleId="Style327">
    <w:name w:val="_Style 327"/>
    <w:basedOn w:val="Style229"/>
    <w:next w:val="a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328">
    <w:name w:val="_Style 328"/>
    <w:autoRedefine/>
    <w:uiPriority w:val="9"/>
    <w:semiHidden/>
    <w:qFormat/>
    <w:rPr>
      <w:b/>
      <w:bCs/>
      <w:kern w:val="2"/>
      <w:sz w:val="21"/>
      <w:szCs w:val="32"/>
    </w:rPr>
  </w:style>
  <w:style w:type="character" w:customStyle="1" w:styleId="Style329">
    <w:name w:val="_Style 329"/>
    <w:autoRedefine/>
    <w:uiPriority w:val="9"/>
    <w:semiHidden/>
    <w:qFormat/>
    <w:rPr>
      <w:b/>
      <w:bCs/>
      <w:kern w:val="2"/>
      <w:sz w:val="21"/>
      <w:szCs w:val="32"/>
    </w:rPr>
  </w:style>
  <w:style w:type="character" w:customStyle="1" w:styleId="Style330">
    <w:name w:val="_Style 330"/>
    <w:autoRedefine/>
    <w:semiHidden/>
    <w:qFormat/>
    <w:rPr>
      <w:rFonts w:ascii="Times New Roman" w:hAnsi="Times New Roman"/>
      <w:kern w:val="2"/>
      <w:sz w:val="21"/>
      <w:szCs w:val="21"/>
    </w:rPr>
  </w:style>
  <w:style w:type="paragraph" w:customStyle="1" w:styleId="Style331">
    <w:name w:val="_Style 331"/>
    <w:autoRedefine/>
    <w:semiHidden/>
    <w:qFormat/>
    <w:rPr>
      <w:rFonts w:ascii="宋体" w:hAnsi="宋体" w:cs="宋体"/>
      <w:szCs w:val="24"/>
    </w:rPr>
  </w:style>
  <w:style w:type="paragraph" w:customStyle="1" w:styleId="Style332">
    <w:name w:val="_Style 332"/>
    <w:basedOn w:val="Style331"/>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333">
    <w:name w:val="_Style 333"/>
    <w:basedOn w:val="Style331"/>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334">
    <w:name w:val="_Style 334"/>
    <w:basedOn w:val="Style331"/>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335">
    <w:name w:val="_Style 335"/>
    <w:basedOn w:val="Style331"/>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336">
    <w:name w:val="_Style 336"/>
    <w:basedOn w:val="Style331"/>
    <w:autoRedefine/>
    <w:uiPriority w:val="9"/>
    <w:semiHidden/>
    <w:qFormat/>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Style337">
    <w:name w:val="_Style 337"/>
    <w:basedOn w:val="Style331"/>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338">
    <w:name w:val="_Style 338"/>
    <w:basedOn w:val="Style331"/>
    <w:autoRedefine/>
    <w:uiPriority w:val="9"/>
    <w:semiHidden/>
    <w:qFormat/>
    <w:pPr>
      <w:keepNext/>
      <w:keepLines/>
      <w:spacing w:before="240" w:after="64" w:line="320" w:lineRule="auto"/>
      <w:outlineLvl w:val="6"/>
    </w:pPr>
    <w:rPr>
      <w:b/>
      <w:bCs/>
      <w:sz w:val="24"/>
    </w:rPr>
  </w:style>
  <w:style w:type="character" w:customStyle="1" w:styleId="Style339">
    <w:name w:val="_Style 339"/>
    <w:autoRedefine/>
    <w:uiPriority w:val="1"/>
    <w:semiHidden/>
    <w:qFormat/>
  </w:style>
  <w:style w:type="paragraph" w:customStyle="1" w:styleId="Style340">
    <w:name w:val="_Style 340"/>
    <w:basedOn w:val="Style331"/>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341">
    <w:name w:val="_Style 341"/>
    <w:basedOn w:val="Style331"/>
    <w:autoRedefine/>
    <w:uiPriority w:val="99"/>
    <w:semiHidden/>
    <w:qFormat/>
    <w:pPr>
      <w:widowControl w:val="0"/>
      <w:jc w:val="center"/>
    </w:pPr>
    <w:rPr>
      <w:rFonts w:ascii="Times New Roman" w:hAnsi="Times New Roman" w:cs="Times New Roman"/>
      <w:kern w:val="2"/>
      <w:szCs w:val="21"/>
    </w:rPr>
  </w:style>
  <w:style w:type="paragraph" w:customStyle="1" w:styleId="Style342">
    <w:name w:val="_Style 342"/>
    <w:basedOn w:val="Style331"/>
    <w:autoRedefine/>
    <w:semiHidden/>
    <w:qFormat/>
    <w:pPr>
      <w:widowControl w:val="0"/>
      <w:ind w:firstLineChars="200" w:firstLine="420"/>
      <w:jc w:val="both"/>
    </w:pPr>
    <w:rPr>
      <w:rFonts w:ascii="Times New Roman" w:hAnsi="Times New Roman" w:cs="Times New Roman"/>
      <w:kern w:val="2"/>
      <w:szCs w:val="21"/>
    </w:rPr>
  </w:style>
  <w:style w:type="paragraph" w:customStyle="1" w:styleId="Style343">
    <w:name w:val="_Style 343"/>
    <w:basedOn w:val="Style331"/>
    <w:autoRedefine/>
    <w:uiPriority w:val="99"/>
    <w:semiHidden/>
    <w:qFormat/>
    <w:pPr>
      <w:widowControl w:val="0"/>
      <w:jc w:val="both"/>
    </w:pPr>
    <w:rPr>
      <w:rFonts w:hAnsi="Calibri" w:cs="Times New Roman"/>
      <w:kern w:val="2"/>
      <w:sz w:val="18"/>
      <w:szCs w:val="18"/>
    </w:rPr>
  </w:style>
  <w:style w:type="paragraph" w:customStyle="1" w:styleId="Style344">
    <w:name w:val="_Style 344"/>
    <w:basedOn w:val="Style331"/>
    <w:autoRedefine/>
    <w:semiHidden/>
    <w:qFormat/>
    <w:pPr>
      <w:widowControl w:val="0"/>
      <w:spacing w:before="120"/>
      <w:jc w:val="both"/>
    </w:pPr>
    <w:rPr>
      <w:rFonts w:ascii="Arial" w:hAnsi="Arial" w:cs="Times New Roman"/>
      <w:b/>
      <w:bCs/>
      <w:kern w:val="2"/>
      <w:szCs w:val="21"/>
    </w:rPr>
  </w:style>
  <w:style w:type="paragraph" w:customStyle="1" w:styleId="Style345">
    <w:name w:val="_Style 345"/>
    <w:basedOn w:val="Style331"/>
    <w:autoRedefine/>
    <w:semiHidden/>
    <w:qFormat/>
    <w:pPr>
      <w:widowControl w:val="0"/>
    </w:pPr>
    <w:rPr>
      <w:rFonts w:ascii="Times New Roman" w:hAnsi="Times New Roman" w:cs="Times New Roman"/>
      <w:kern w:val="2"/>
      <w:szCs w:val="21"/>
    </w:rPr>
  </w:style>
  <w:style w:type="paragraph" w:customStyle="1" w:styleId="Style346">
    <w:name w:val="_Style 346"/>
    <w:basedOn w:val="Style331"/>
    <w:autoRedefine/>
    <w:uiPriority w:val="99"/>
    <w:semiHidden/>
    <w:qFormat/>
    <w:pPr>
      <w:widowControl w:val="0"/>
      <w:jc w:val="both"/>
    </w:pPr>
    <w:rPr>
      <w:rFonts w:ascii="Times New Roman" w:hAnsi="Times New Roman" w:cs="Times New Roman"/>
      <w:kern w:val="2"/>
      <w:szCs w:val="21"/>
    </w:rPr>
  </w:style>
  <w:style w:type="paragraph" w:customStyle="1" w:styleId="Style347">
    <w:name w:val="_Style 347"/>
    <w:basedOn w:val="Style331"/>
    <w:autoRedefine/>
    <w:semiHidden/>
    <w:qFormat/>
    <w:pPr>
      <w:widowControl w:val="0"/>
      <w:tabs>
        <w:tab w:val="left" w:pos="1200"/>
      </w:tabs>
      <w:jc w:val="both"/>
    </w:pPr>
    <w:rPr>
      <w:rFonts w:ascii="Times New Roman" w:hAnsi="Times New Roman" w:cs="Times New Roman"/>
      <w:kern w:val="2"/>
      <w:szCs w:val="21"/>
    </w:rPr>
  </w:style>
  <w:style w:type="paragraph" w:customStyle="1" w:styleId="Style348">
    <w:name w:val="_Style 348"/>
    <w:basedOn w:val="Style331"/>
    <w:autoRedefine/>
    <w:uiPriority w:val="99"/>
    <w:semiHidden/>
    <w:qFormat/>
    <w:pPr>
      <w:widowControl w:val="0"/>
      <w:spacing w:after="120"/>
      <w:jc w:val="both"/>
    </w:pPr>
    <w:rPr>
      <w:rFonts w:ascii="Times New Roman" w:hAnsi="Times New Roman" w:cs="Times New Roman"/>
      <w:kern w:val="2"/>
      <w:szCs w:val="21"/>
    </w:rPr>
  </w:style>
  <w:style w:type="paragraph" w:customStyle="1" w:styleId="Style349">
    <w:name w:val="_Style 349"/>
    <w:basedOn w:val="Style331"/>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350">
    <w:name w:val="_Style 350"/>
    <w:basedOn w:val="Style331"/>
    <w:autoRedefine/>
    <w:uiPriority w:val="39"/>
    <w:semiHidden/>
    <w:qFormat/>
    <w:pPr>
      <w:spacing w:after="100" w:line="276" w:lineRule="auto"/>
      <w:ind w:left="440"/>
    </w:pPr>
    <w:rPr>
      <w:rFonts w:ascii="Calibri" w:hAnsi="Calibri" w:cs="Times New Roman"/>
      <w:sz w:val="22"/>
      <w:szCs w:val="22"/>
    </w:rPr>
  </w:style>
  <w:style w:type="paragraph" w:customStyle="1" w:styleId="Style351">
    <w:name w:val="_Style 351"/>
    <w:basedOn w:val="Style331"/>
    <w:autoRedefine/>
    <w:semiHidden/>
    <w:qFormat/>
    <w:pPr>
      <w:widowControl w:val="0"/>
      <w:jc w:val="both"/>
    </w:pPr>
    <w:rPr>
      <w:rFonts w:hAnsi="Courier New" w:cs="Times New Roman"/>
      <w:kern w:val="2"/>
      <w:szCs w:val="20"/>
    </w:rPr>
  </w:style>
  <w:style w:type="paragraph" w:customStyle="1" w:styleId="Style352">
    <w:name w:val="_Style 352"/>
    <w:basedOn w:val="Style331"/>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353">
    <w:name w:val="_Style 353"/>
    <w:basedOn w:val="Style331"/>
    <w:autoRedefine/>
    <w:uiPriority w:val="99"/>
    <w:semiHidden/>
    <w:qFormat/>
    <w:pPr>
      <w:widowControl w:val="0"/>
      <w:ind w:leftChars="2500" w:left="100"/>
      <w:jc w:val="both"/>
    </w:pPr>
    <w:rPr>
      <w:rFonts w:ascii="Times New Roman" w:hAnsi="Times New Roman" w:cs="Times New Roman"/>
      <w:kern w:val="2"/>
      <w:szCs w:val="21"/>
    </w:rPr>
  </w:style>
  <w:style w:type="paragraph" w:customStyle="1" w:styleId="Style354">
    <w:name w:val="_Style 354"/>
    <w:basedOn w:val="Style331"/>
    <w:autoRedefine/>
    <w:uiPriority w:val="99"/>
    <w:semiHidden/>
    <w:qFormat/>
    <w:pPr>
      <w:snapToGrid w:val="0"/>
    </w:pPr>
  </w:style>
  <w:style w:type="paragraph" w:customStyle="1" w:styleId="Style355">
    <w:name w:val="_Style 355"/>
    <w:basedOn w:val="Style331"/>
    <w:autoRedefine/>
    <w:uiPriority w:val="99"/>
    <w:semiHidden/>
    <w:qFormat/>
    <w:pPr>
      <w:widowControl w:val="0"/>
      <w:jc w:val="both"/>
    </w:pPr>
    <w:rPr>
      <w:rFonts w:ascii="Calibri" w:hAnsi="Calibri" w:cs="Times New Roman"/>
      <w:kern w:val="2"/>
      <w:sz w:val="18"/>
      <w:szCs w:val="18"/>
    </w:rPr>
  </w:style>
  <w:style w:type="paragraph" w:customStyle="1" w:styleId="Style356">
    <w:name w:val="_Style 356"/>
    <w:basedOn w:val="Style331"/>
    <w:autoRedefine/>
    <w:uiPriority w:val="99"/>
    <w:semiHidden/>
    <w:qFormat/>
    <w:pPr>
      <w:widowControl w:val="0"/>
      <w:tabs>
        <w:tab w:val="center" w:pos="4153"/>
        <w:tab w:val="right" w:pos="8306"/>
      </w:tabs>
      <w:snapToGrid w:val="0"/>
    </w:pPr>
    <w:rPr>
      <w:rFonts w:ascii="Calibri" w:hAnsi="Calibri" w:cs="Times New Roman"/>
      <w:kern w:val="2"/>
      <w:sz w:val="18"/>
      <w:szCs w:val="18"/>
    </w:rPr>
  </w:style>
  <w:style w:type="paragraph" w:customStyle="1" w:styleId="Style357">
    <w:name w:val="_Style 357"/>
    <w:basedOn w:val="Style331"/>
    <w:autoRedefine/>
    <w:uiPriority w:val="99"/>
    <w:semiHidden/>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358">
    <w:name w:val="_Style 358"/>
    <w:basedOn w:val="Style331"/>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359">
    <w:name w:val="_Style 359"/>
    <w:basedOn w:val="Style331"/>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360">
    <w:name w:val="_Style 360"/>
    <w:basedOn w:val="Style331"/>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361">
    <w:name w:val="_Style 361"/>
    <w:basedOn w:val="Style331"/>
    <w:autoRedefine/>
    <w:uiPriority w:val="39"/>
    <w:semiHidden/>
    <w:qFormat/>
    <w:pPr>
      <w:widowControl w:val="0"/>
      <w:ind w:leftChars="200" w:left="420"/>
      <w:jc w:val="both"/>
    </w:pPr>
    <w:rPr>
      <w:rFonts w:ascii="Times New Roman" w:hAnsi="Times New Roman" w:cs="Times New Roman"/>
      <w:kern w:val="2"/>
      <w:szCs w:val="21"/>
    </w:rPr>
  </w:style>
  <w:style w:type="paragraph" w:customStyle="1" w:styleId="Style362">
    <w:name w:val="_Style 362"/>
    <w:basedOn w:val="Style331"/>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paragraph" w:customStyle="1" w:styleId="Style363">
    <w:name w:val="_Style 363"/>
    <w:basedOn w:val="Style331"/>
    <w:autoRedefine/>
    <w:uiPriority w:val="99"/>
    <w:semiHidden/>
    <w:qFormat/>
    <w:pPr>
      <w:spacing w:before="100" w:beforeAutospacing="1" w:after="100" w:afterAutospacing="1"/>
    </w:pPr>
    <w:rPr>
      <w:sz w:val="24"/>
    </w:rPr>
  </w:style>
  <w:style w:type="paragraph" w:customStyle="1" w:styleId="Style364">
    <w:name w:val="_Style 364"/>
    <w:basedOn w:val="Style331"/>
    <w:autoRedefine/>
    <w:semiHidden/>
    <w:qFormat/>
    <w:pPr>
      <w:ind w:firstLineChars="200" w:firstLine="420"/>
    </w:pPr>
    <w:rPr>
      <w:rFonts w:cs="Times New Roman"/>
      <w:color w:val="000000"/>
      <w:szCs w:val="21"/>
    </w:rPr>
  </w:style>
  <w:style w:type="paragraph" w:customStyle="1" w:styleId="Style365">
    <w:name w:val="_Style 365"/>
    <w:basedOn w:val="Style331"/>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366">
    <w:name w:val="_Style 366"/>
    <w:basedOn w:val="Style345"/>
    <w:autoRedefine/>
    <w:uiPriority w:val="99"/>
    <w:semiHidden/>
    <w:qFormat/>
    <w:rPr>
      <w:rFonts w:ascii="Calibri" w:hAnsi="Calibri"/>
      <w:b/>
      <w:bCs/>
      <w:szCs w:val="22"/>
    </w:rPr>
  </w:style>
  <w:style w:type="character" w:customStyle="1" w:styleId="Style367">
    <w:name w:val="_Style 367"/>
    <w:basedOn w:val="Style339"/>
    <w:autoRedefine/>
    <w:uiPriority w:val="99"/>
    <w:semiHidden/>
    <w:qFormat/>
    <w:rPr>
      <w:vertAlign w:val="superscript"/>
    </w:rPr>
  </w:style>
  <w:style w:type="character" w:customStyle="1" w:styleId="Style368">
    <w:name w:val="_Style 368"/>
    <w:basedOn w:val="Style339"/>
    <w:autoRedefine/>
    <w:uiPriority w:val="99"/>
    <w:semiHidden/>
    <w:qFormat/>
    <w:rPr>
      <w:rFonts w:cs="Times New Roman"/>
      <w:color w:val="0000FF"/>
      <w:u w:val="single"/>
    </w:rPr>
  </w:style>
  <w:style w:type="character" w:customStyle="1" w:styleId="Style369">
    <w:name w:val="_Style 369"/>
    <w:basedOn w:val="Style339"/>
    <w:autoRedefine/>
    <w:semiHidden/>
    <w:qFormat/>
    <w:rPr>
      <w:rFonts w:eastAsia="宋体" w:cs="Times New Roman"/>
      <w:kern w:val="2"/>
      <w:sz w:val="21"/>
      <w:szCs w:val="21"/>
      <w:lang w:val="en-US" w:eastAsia="zh-CN" w:bidi="ar-SA"/>
    </w:rPr>
  </w:style>
  <w:style w:type="character" w:customStyle="1" w:styleId="Style370">
    <w:name w:val="_Style 370"/>
    <w:basedOn w:val="Style339"/>
    <w:autoRedefine/>
    <w:uiPriority w:val="99"/>
    <w:semiHidden/>
    <w:qFormat/>
    <w:rPr>
      <w:rFonts w:eastAsia="黑体"/>
      <w:b/>
      <w:bCs/>
      <w:kern w:val="44"/>
      <w:sz w:val="28"/>
      <w:szCs w:val="44"/>
    </w:rPr>
  </w:style>
  <w:style w:type="character" w:customStyle="1" w:styleId="Style371">
    <w:name w:val="_Style 371"/>
    <w:basedOn w:val="Style339"/>
    <w:autoRedefine/>
    <w:semiHidden/>
    <w:qFormat/>
    <w:rPr>
      <w:rFonts w:ascii="Arial" w:hAnsi="Arial"/>
      <w:b/>
      <w:bCs/>
      <w:kern w:val="2"/>
      <w:sz w:val="21"/>
      <w:szCs w:val="21"/>
    </w:rPr>
  </w:style>
  <w:style w:type="character" w:customStyle="1" w:styleId="Style372">
    <w:name w:val="_Style 372"/>
    <w:basedOn w:val="Style339"/>
    <w:autoRedefine/>
    <w:uiPriority w:val="9"/>
    <w:semiHidden/>
    <w:qFormat/>
    <w:rPr>
      <w:b/>
      <w:bCs/>
      <w:kern w:val="2"/>
      <w:sz w:val="21"/>
      <w:szCs w:val="32"/>
    </w:rPr>
  </w:style>
  <w:style w:type="character" w:customStyle="1" w:styleId="Style373">
    <w:name w:val="_Style 373"/>
    <w:basedOn w:val="Style339"/>
    <w:autoRedefine/>
    <w:uiPriority w:val="9"/>
    <w:semiHidden/>
    <w:qFormat/>
    <w:rPr>
      <w:rFonts w:asciiTheme="minorEastAsia" w:eastAsiaTheme="minorEastAsia" w:hAnsiTheme="minorEastAsia"/>
      <w:b/>
      <w:bCs/>
      <w:kern w:val="2"/>
      <w:sz w:val="21"/>
      <w:szCs w:val="28"/>
    </w:rPr>
  </w:style>
  <w:style w:type="character" w:customStyle="1" w:styleId="Style374">
    <w:name w:val="_Style 374"/>
    <w:basedOn w:val="Style339"/>
    <w:autoRedefine/>
    <w:uiPriority w:val="9"/>
    <w:semiHidden/>
    <w:qFormat/>
    <w:rPr>
      <w:b/>
      <w:bCs/>
      <w:kern w:val="2"/>
      <w:sz w:val="21"/>
      <w:szCs w:val="28"/>
    </w:rPr>
  </w:style>
  <w:style w:type="paragraph" w:customStyle="1" w:styleId="Style375">
    <w:name w:val="_Style 375"/>
    <w:basedOn w:val="Style332"/>
    <w:autoRedefine/>
    <w:uiPriority w:val="39"/>
    <w:semiHidden/>
    <w:qFormat/>
    <w:pPr>
      <w:widowControl/>
      <w:spacing w:before="480" w:after="0" w:line="276" w:lineRule="auto"/>
      <w:outlineLvl w:val="9"/>
    </w:pPr>
    <w:rPr>
      <w:rFonts w:ascii="Cambria" w:eastAsia="宋体" w:hAnsi="Cambria"/>
      <w:color w:val="365F91"/>
      <w:kern w:val="0"/>
      <w:szCs w:val="28"/>
    </w:rPr>
  </w:style>
  <w:style w:type="character" w:customStyle="1" w:styleId="Style376">
    <w:name w:val="_Style 376"/>
    <w:basedOn w:val="Style339"/>
    <w:autoRedefine/>
    <w:semiHidden/>
    <w:qFormat/>
    <w:rPr>
      <w:rFonts w:ascii="Times New Roman" w:eastAsia="宋体" w:hAnsi="Times New Roman" w:cs="Times New Roman"/>
      <w:szCs w:val="21"/>
    </w:rPr>
  </w:style>
  <w:style w:type="character" w:customStyle="1" w:styleId="Style377">
    <w:name w:val="_Style 377"/>
    <w:basedOn w:val="Style339"/>
    <w:autoRedefine/>
    <w:uiPriority w:val="99"/>
    <w:semiHidden/>
    <w:qFormat/>
    <w:rPr>
      <w:rFonts w:ascii="Calibri" w:eastAsia="宋体" w:hAnsi="Calibri" w:cs="Times New Roman"/>
      <w:sz w:val="18"/>
      <w:szCs w:val="18"/>
    </w:rPr>
  </w:style>
  <w:style w:type="character" w:customStyle="1" w:styleId="Style378">
    <w:name w:val="_Style 378"/>
    <w:basedOn w:val="Style339"/>
    <w:link w:val="18"/>
    <w:autoRedefine/>
    <w:semiHidden/>
    <w:qFormat/>
    <w:rPr>
      <w:rFonts w:ascii="宋体" w:hAnsi="宋体" w:cs="宋体"/>
      <w:kern w:val="2"/>
      <w:sz w:val="21"/>
      <w:szCs w:val="21"/>
    </w:rPr>
  </w:style>
  <w:style w:type="character" w:customStyle="1" w:styleId="Style379">
    <w:name w:val="_Style 379"/>
    <w:basedOn w:val="Style339"/>
    <w:autoRedefine/>
    <w:uiPriority w:val="99"/>
    <w:semiHidden/>
    <w:qFormat/>
    <w:rPr>
      <w:rFonts w:eastAsia="宋体" w:cs="Times New Roman"/>
      <w:color w:val="FF0000"/>
      <w:kern w:val="2"/>
      <w:sz w:val="24"/>
      <w:szCs w:val="24"/>
      <w:lang w:val="en-US" w:eastAsia="zh-CN" w:bidi="ar-SA"/>
    </w:rPr>
  </w:style>
  <w:style w:type="paragraph" w:customStyle="1" w:styleId="Style380">
    <w:name w:val="_Style 380"/>
    <w:basedOn w:val="Style331"/>
    <w:autoRedefine/>
    <w:uiPriority w:val="99"/>
    <w:semiHidden/>
    <w:qFormat/>
    <w:pPr>
      <w:spacing w:before="100" w:after="100"/>
      <w:jc w:val="right"/>
    </w:pPr>
    <w:rPr>
      <w:rFonts w:ascii="Arial Unicode MS" w:eastAsia="Arial Unicode MS" w:hAnsi="Times New Roman" w:cs="Times New Roman"/>
      <w:sz w:val="18"/>
      <w:szCs w:val="18"/>
    </w:rPr>
  </w:style>
  <w:style w:type="paragraph" w:customStyle="1" w:styleId="Style381">
    <w:name w:val="_Style 381"/>
    <w:basedOn w:val="Style331"/>
    <w:autoRedefine/>
    <w:uiPriority w:val="99"/>
    <w:semiHidden/>
    <w:qFormat/>
    <w:pPr>
      <w:widowControl w:val="0"/>
      <w:ind w:firstLineChars="200" w:firstLine="420"/>
      <w:jc w:val="both"/>
    </w:pPr>
    <w:rPr>
      <w:rFonts w:ascii="Calibri" w:hAnsi="Calibri" w:cs="Times New Roman"/>
      <w:kern w:val="2"/>
      <w:szCs w:val="22"/>
    </w:rPr>
  </w:style>
  <w:style w:type="character" w:customStyle="1" w:styleId="Style382">
    <w:name w:val="_Style 382"/>
    <w:basedOn w:val="Style376"/>
    <w:autoRedefine/>
    <w:uiPriority w:val="99"/>
    <w:semiHidden/>
    <w:qFormat/>
    <w:rPr>
      <w:rFonts w:ascii="Calibri" w:eastAsia="宋体" w:hAnsi="Calibri" w:cs="Times New Roman"/>
      <w:b/>
      <w:bCs/>
      <w:szCs w:val="21"/>
    </w:rPr>
  </w:style>
  <w:style w:type="character" w:customStyle="1" w:styleId="Style383">
    <w:name w:val="_Style 383"/>
    <w:basedOn w:val="Style339"/>
    <w:autoRedefine/>
    <w:uiPriority w:val="99"/>
    <w:semiHidden/>
    <w:qFormat/>
    <w:rPr>
      <w:rFonts w:ascii="Calibri" w:eastAsia="宋体" w:hAnsi="Calibri" w:cs="Times New Roman"/>
      <w:sz w:val="18"/>
      <w:szCs w:val="18"/>
    </w:rPr>
  </w:style>
  <w:style w:type="character" w:customStyle="1" w:styleId="Style384">
    <w:name w:val="_Style 384"/>
    <w:basedOn w:val="Style339"/>
    <w:autoRedefine/>
    <w:uiPriority w:val="99"/>
    <w:semiHidden/>
    <w:qFormat/>
    <w:rPr>
      <w:rFonts w:ascii="Calibri" w:eastAsia="宋体" w:hAnsi="Calibri" w:cs="Times New Roman"/>
      <w:sz w:val="18"/>
      <w:szCs w:val="18"/>
    </w:rPr>
  </w:style>
  <w:style w:type="character" w:customStyle="1" w:styleId="Style385">
    <w:name w:val="_Style 385"/>
    <w:basedOn w:val="Style339"/>
    <w:autoRedefine/>
    <w:semiHidden/>
    <w:qFormat/>
    <w:rPr>
      <w:rFonts w:ascii="宋体" w:eastAsia="宋体" w:hAnsi="Courier New" w:cs="Times New Roman"/>
      <w:szCs w:val="20"/>
    </w:rPr>
  </w:style>
  <w:style w:type="character" w:customStyle="1" w:styleId="Style386">
    <w:name w:val="_Style 386"/>
    <w:basedOn w:val="Style339"/>
    <w:autoRedefine/>
    <w:semiHidden/>
    <w:qFormat/>
    <w:rPr>
      <w:rFonts w:eastAsia="宋体" w:cs="Times New Roman"/>
      <w:kern w:val="2"/>
      <w:sz w:val="24"/>
      <w:szCs w:val="24"/>
      <w:lang w:val="en-US" w:eastAsia="zh-CN" w:bidi="ar-SA"/>
    </w:rPr>
  </w:style>
  <w:style w:type="character" w:customStyle="1" w:styleId="Style387">
    <w:name w:val="_Style 387"/>
    <w:basedOn w:val="Style339"/>
    <w:autoRedefine/>
    <w:uiPriority w:val="99"/>
    <w:semiHidden/>
    <w:qFormat/>
    <w:rPr>
      <w:rFonts w:ascii="Times New Roman" w:eastAsia="宋体" w:hAnsi="Times New Roman" w:cs="Times New Roman"/>
      <w:szCs w:val="21"/>
    </w:rPr>
  </w:style>
  <w:style w:type="paragraph" w:customStyle="1" w:styleId="Style388">
    <w:name w:val="_Style 388"/>
    <w:basedOn w:val="Style331"/>
    <w:autoRedefine/>
    <w:uiPriority w:val="99"/>
    <w:semiHidden/>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Style389">
    <w:name w:val="_Style 389"/>
    <w:basedOn w:val="Style339"/>
    <w:autoRedefine/>
    <w:uiPriority w:val="99"/>
    <w:semiHidden/>
    <w:qFormat/>
    <w:rPr>
      <w:rFonts w:ascii="Times New Roman" w:eastAsia="宋体" w:hAnsi="Times New Roman" w:cs="Times New Roman"/>
      <w:szCs w:val="21"/>
    </w:rPr>
  </w:style>
  <w:style w:type="character" w:customStyle="1" w:styleId="Style390">
    <w:name w:val="_Style 390"/>
    <w:basedOn w:val="Style339"/>
    <w:autoRedefine/>
    <w:uiPriority w:val="99"/>
    <w:semiHidden/>
    <w:qFormat/>
    <w:rPr>
      <w:rFonts w:ascii="Times New Roman" w:eastAsia="宋体" w:hAnsi="Times New Roman" w:cs="Times New Roman"/>
      <w:szCs w:val="21"/>
    </w:rPr>
  </w:style>
  <w:style w:type="paragraph" w:customStyle="1" w:styleId="Style391">
    <w:name w:val="_Style 391"/>
    <w:basedOn w:val="Style331"/>
    <w:autoRedefine/>
    <w:semiHidden/>
    <w:qFormat/>
    <w:pPr>
      <w:keepNext/>
      <w:keepLines/>
      <w:widowControl w:val="0"/>
      <w:spacing w:before="60" w:after="60"/>
      <w:ind w:hangingChars="200" w:hanging="420"/>
      <w:jc w:val="both"/>
      <w:outlineLvl w:val="4"/>
    </w:pPr>
    <w:rPr>
      <w:rFonts w:cs="Times New Roman"/>
      <w:b/>
      <w:bCs/>
      <w:kern w:val="2"/>
      <w:szCs w:val="21"/>
    </w:rPr>
  </w:style>
  <w:style w:type="paragraph" w:customStyle="1" w:styleId="Style392">
    <w:name w:val="_Style 392"/>
    <w:autoRedefine/>
    <w:hidden/>
    <w:uiPriority w:val="99"/>
    <w:semiHidden/>
    <w:qFormat/>
    <w:rPr>
      <w:kern w:val="2"/>
      <w:szCs w:val="22"/>
    </w:rPr>
  </w:style>
  <w:style w:type="character" w:customStyle="1" w:styleId="Style393">
    <w:name w:val="_Style 393"/>
    <w:basedOn w:val="Style339"/>
    <w:autoRedefine/>
    <w:semiHidden/>
    <w:qFormat/>
    <w:rPr>
      <w:kern w:val="2"/>
      <w:sz w:val="21"/>
      <w:szCs w:val="24"/>
    </w:rPr>
  </w:style>
  <w:style w:type="paragraph" w:customStyle="1" w:styleId="Style394">
    <w:name w:val="_Style 394"/>
    <w:basedOn w:val="Style331"/>
    <w:autoRedefine/>
    <w:semiHidden/>
    <w:qFormat/>
    <w:pPr>
      <w:widowControl w:val="0"/>
      <w:spacing w:before="100" w:after="100"/>
      <w:jc w:val="both"/>
    </w:pPr>
    <w:rPr>
      <w:rFonts w:ascii="Calibri" w:hAnsi="Calibri" w:cs="Times New Roman"/>
      <w:kern w:val="2"/>
    </w:rPr>
  </w:style>
  <w:style w:type="character" w:customStyle="1" w:styleId="Style395">
    <w:name w:val="_Style 395"/>
    <w:basedOn w:val="Style339"/>
    <w:link w:val="13"/>
    <w:autoRedefine/>
    <w:uiPriority w:val="99"/>
    <w:semiHidden/>
    <w:qFormat/>
    <w:rPr>
      <w:kern w:val="2"/>
      <w:sz w:val="21"/>
      <w:szCs w:val="22"/>
    </w:rPr>
  </w:style>
  <w:style w:type="character" w:customStyle="1" w:styleId="Style396">
    <w:name w:val="_Style 396"/>
    <w:basedOn w:val="Style339"/>
    <w:autoRedefine/>
    <w:uiPriority w:val="99"/>
    <w:semiHidden/>
    <w:qFormat/>
    <w:rPr>
      <w:color w:val="auto"/>
    </w:rPr>
  </w:style>
  <w:style w:type="character" w:customStyle="1" w:styleId="Style397">
    <w:name w:val="_Style 397"/>
    <w:basedOn w:val="Style339"/>
    <w:autoRedefine/>
    <w:uiPriority w:val="10"/>
    <w:semiHidden/>
    <w:qFormat/>
    <w:rPr>
      <w:rFonts w:asciiTheme="majorHAnsi" w:hAnsiTheme="majorHAnsi" w:cstheme="majorBidi"/>
      <w:b/>
      <w:bCs/>
      <w:kern w:val="2"/>
      <w:sz w:val="32"/>
      <w:szCs w:val="32"/>
    </w:rPr>
  </w:style>
  <w:style w:type="paragraph" w:customStyle="1" w:styleId="Style398">
    <w:name w:val="_Style 398"/>
    <w:autoRedefine/>
    <w:uiPriority w:val="1"/>
    <w:semiHidden/>
    <w:qFormat/>
    <w:pPr>
      <w:widowControl w:val="0"/>
      <w:jc w:val="both"/>
    </w:pPr>
    <w:rPr>
      <w:kern w:val="2"/>
      <w:szCs w:val="22"/>
    </w:rPr>
  </w:style>
  <w:style w:type="character" w:customStyle="1" w:styleId="Style399">
    <w:name w:val="_Style 399"/>
    <w:basedOn w:val="Style339"/>
    <w:autoRedefine/>
    <w:uiPriority w:val="9"/>
    <w:semiHidden/>
    <w:qFormat/>
    <w:rPr>
      <w:rFonts w:asciiTheme="majorHAnsi" w:hAnsiTheme="majorHAnsi" w:cstheme="majorBidi"/>
      <w:b/>
      <w:bCs/>
      <w:sz w:val="21"/>
      <w:szCs w:val="24"/>
    </w:rPr>
  </w:style>
  <w:style w:type="character" w:customStyle="1" w:styleId="Style400">
    <w:name w:val="_Style 400"/>
    <w:basedOn w:val="Style339"/>
    <w:autoRedefine/>
    <w:uiPriority w:val="99"/>
    <w:semiHidden/>
    <w:qFormat/>
    <w:rPr>
      <w:rFonts w:ascii="宋体" w:hAnsi="宋体" w:cs="宋体"/>
      <w:sz w:val="21"/>
      <w:szCs w:val="24"/>
    </w:rPr>
  </w:style>
  <w:style w:type="character" w:customStyle="1" w:styleId="Style401">
    <w:name w:val="_Style 401"/>
    <w:basedOn w:val="Style376"/>
    <w:autoRedefine/>
    <w:uiPriority w:val="99"/>
    <w:semiHidden/>
    <w:qFormat/>
    <w:rPr>
      <w:rFonts w:ascii="Times New Roman" w:eastAsia="宋体" w:hAnsi="Times New Roman" w:cs="Times New Roman"/>
      <w:b/>
      <w:bCs/>
      <w:szCs w:val="21"/>
    </w:rPr>
  </w:style>
  <w:style w:type="character" w:customStyle="1" w:styleId="Style402">
    <w:name w:val="_Style 402"/>
    <w:basedOn w:val="Style339"/>
    <w:autoRedefine/>
    <w:semiHidden/>
    <w:qFormat/>
  </w:style>
  <w:style w:type="paragraph" w:customStyle="1" w:styleId="Style403">
    <w:name w:val="_Style 403"/>
    <w:basedOn w:val="Style331"/>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404">
    <w:name w:val="_Style 404"/>
    <w:basedOn w:val="Style339"/>
    <w:autoRedefine/>
    <w:semiHidden/>
    <w:qFormat/>
    <w:rPr>
      <w:rFonts w:ascii="Times New Roman" w:hAnsi="Times New Roman"/>
      <w:b/>
      <w:kern w:val="2"/>
      <w:sz w:val="21"/>
      <w:szCs w:val="24"/>
    </w:rPr>
  </w:style>
  <w:style w:type="character" w:customStyle="1" w:styleId="Style405">
    <w:name w:val="_Style 405"/>
    <w:basedOn w:val="Style339"/>
    <w:autoRedefine/>
    <w:uiPriority w:val="9"/>
    <w:semiHidden/>
    <w:qFormat/>
    <w:rPr>
      <w:rFonts w:ascii="宋体" w:hAnsi="宋体" w:cs="宋体"/>
      <w:b/>
      <w:bCs/>
      <w:sz w:val="24"/>
      <w:szCs w:val="24"/>
    </w:rPr>
  </w:style>
  <w:style w:type="character" w:customStyle="1" w:styleId="Style406">
    <w:name w:val="_Style 406"/>
    <w:basedOn w:val="Style376"/>
    <w:autoRedefine/>
    <w:uiPriority w:val="99"/>
    <w:semiHidden/>
    <w:qFormat/>
    <w:rPr>
      <w:rFonts w:ascii="Times New Roman" w:eastAsia="宋体" w:hAnsi="Times New Roman" w:cs="Times New Roman"/>
      <w:b/>
      <w:bCs/>
      <w:szCs w:val="21"/>
    </w:rPr>
  </w:style>
  <w:style w:type="character" w:customStyle="1" w:styleId="Style407">
    <w:name w:val="_Style 407"/>
    <w:autoRedefine/>
    <w:uiPriority w:val="9"/>
    <w:semiHidden/>
    <w:qFormat/>
    <w:rPr>
      <w:rFonts w:ascii="Cambria" w:hAnsi="Cambria"/>
      <w:b/>
      <w:bCs/>
      <w:kern w:val="2"/>
      <w:sz w:val="21"/>
      <w:szCs w:val="28"/>
    </w:rPr>
  </w:style>
  <w:style w:type="paragraph" w:customStyle="1" w:styleId="Style408">
    <w:name w:val="_Style 408"/>
    <w:basedOn w:val="Style331"/>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409">
    <w:name w:val="_Style 409"/>
    <w:basedOn w:val="Style331"/>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410">
    <w:name w:val="_Style 410"/>
    <w:autoRedefine/>
    <w:uiPriority w:val="9"/>
    <w:semiHidden/>
    <w:qFormat/>
    <w:rPr>
      <w:b/>
      <w:bCs/>
      <w:kern w:val="2"/>
      <w:sz w:val="21"/>
      <w:szCs w:val="32"/>
    </w:rPr>
  </w:style>
  <w:style w:type="paragraph" w:customStyle="1" w:styleId="Style411">
    <w:name w:val="_Style 411"/>
    <w:basedOn w:val="Style331"/>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412">
    <w:name w:val="_Style 412"/>
    <w:basedOn w:val="Style331"/>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413">
    <w:name w:val="_Style 413"/>
    <w:basedOn w:val="Style331"/>
    <w:autoRedefine/>
    <w:uiPriority w:val="1"/>
    <w:semiHidden/>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414">
    <w:name w:val="_Style 414"/>
    <w:autoRedefine/>
    <w:semiHidden/>
    <w:qFormat/>
    <w:rPr>
      <w:rFonts w:ascii="Times New Roman" w:hAnsi="Times New Roman"/>
      <w:kern w:val="2"/>
      <w:sz w:val="21"/>
      <w:szCs w:val="21"/>
    </w:rPr>
  </w:style>
  <w:style w:type="character" w:customStyle="1" w:styleId="Style415">
    <w:name w:val="_Style 415"/>
    <w:autoRedefine/>
    <w:uiPriority w:val="9"/>
    <w:semiHidden/>
    <w:qFormat/>
    <w:rPr>
      <w:b/>
      <w:bCs/>
      <w:kern w:val="2"/>
      <w:sz w:val="21"/>
      <w:szCs w:val="32"/>
    </w:rPr>
  </w:style>
  <w:style w:type="character" w:customStyle="1" w:styleId="Style416">
    <w:name w:val="_Style 416"/>
    <w:autoRedefine/>
    <w:semiHidden/>
    <w:qFormat/>
    <w:rPr>
      <w:rFonts w:ascii="Arial" w:hAnsi="Arial"/>
      <w:b/>
      <w:bCs/>
      <w:kern w:val="2"/>
      <w:sz w:val="21"/>
      <w:szCs w:val="21"/>
    </w:rPr>
  </w:style>
  <w:style w:type="character" w:customStyle="1" w:styleId="Style417">
    <w:name w:val="_Style 417"/>
    <w:autoRedefine/>
    <w:uiPriority w:val="9"/>
    <w:semiHidden/>
    <w:qFormat/>
    <w:rPr>
      <w:b/>
      <w:bCs/>
      <w:kern w:val="2"/>
      <w:sz w:val="21"/>
      <w:szCs w:val="28"/>
    </w:rPr>
  </w:style>
  <w:style w:type="paragraph" w:customStyle="1" w:styleId="Style418">
    <w:name w:val="_Style 418"/>
    <w:basedOn w:val="Style331"/>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419">
    <w:name w:val="_Style 419"/>
    <w:autoRedefine/>
    <w:uiPriority w:val="99"/>
    <w:semiHidden/>
    <w:qFormat/>
    <w:rPr>
      <w:rFonts w:ascii="Times New Roman" w:hAnsi="Times New Roman"/>
      <w:kern w:val="2"/>
      <w:sz w:val="21"/>
      <w:szCs w:val="21"/>
    </w:rPr>
  </w:style>
  <w:style w:type="character" w:customStyle="1" w:styleId="Style420">
    <w:name w:val="_Style 420"/>
    <w:autoRedefine/>
    <w:semiHidden/>
    <w:qFormat/>
    <w:rPr>
      <w:rFonts w:ascii="FZLTSK--GBK1-0" w:hAnsi="FZLTSK--GBK1-0" w:hint="default"/>
      <w:color w:val="000000"/>
      <w:sz w:val="20"/>
      <w:szCs w:val="20"/>
    </w:rPr>
  </w:style>
  <w:style w:type="paragraph" w:customStyle="1" w:styleId="Style421">
    <w:name w:val="_Style 421"/>
    <w:basedOn w:val="Style331"/>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422">
    <w:name w:val="_Style 422"/>
    <w:autoRedefine/>
    <w:uiPriority w:val="99"/>
    <w:semiHidden/>
    <w:qFormat/>
    <w:rPr>
      <w:rFonts w:ascii="Times New Roman" w:hAnsi="Times New Roman"/>
      <w:kern w:val="2"/>
      <w:sz w:val="21"/>
      <w:szCs w:val="21"/>
    </w:rPr>
  </w:style>
  <w:style w:type="character" w:customStyle="1" w:styleId="Style423">
    <w:name w:val="_Style 423"/>
    <w:autoRedefine/>
    <w:uiPriority w:val="9"/>
    <w:semiHidden/>
    <w:qFormat/>
    <w:rPr>
      <w:b/>
      <w:bCs/>
      <w:kern w:val="2"/>
      <w:sz w:val="21"/>
      <w:szCs w:val="28"/>
    </w:rPr>
  </w:style>
  <w:style w:type="character" w:customStyle="1" w:styleId="Style424">
    <w:name w:val="_Style 424"/>
    <w:autoRedefine/>
    <w:uiPriority w:val="99"/>
    <w:semiHidden/>
    <w:qFormat/>
    <w:locked/>
    <w:rPr>
      <w:rFonts w:ascii="Times New Roman" w:hAnsi="Times New Roman"/>
      <w:kern w:val="2"/>
      <w:sz w:val="21"/>
      <w:szCs w:val="21"/>
    </w:rPr>
  </w:style>
  <w:style w:type="character" w:customStyle="1" w:styleId="Style425">
    <w:name w:val="_Style 425"/>
    <w:autoRedefine/>
    <w:semiHidden/>
    <w:qFormat/>
    <w:rPr>
      <w:rFonts w:ascii="Arial" w:hAnsi="Arial"/>
      <w:b/>
      <w:bCs/>
      <w:kern w:val="2"/>
      <w:sz w:val="21"/>
      <w:szCs w:val="21"/>
    </w:rPr>
  </w:style>
  <w:style w:type="character" w:customStyle="1" w:styleId="Style426">
    <w:name w:val="_Style 426"/>
    <w:autoRedefine/>
    <w:uiPriority w:val="99"/>
    <w:semiHidden/>
    <w:qFormat/>
    <w:rPr>
      <w:rFonts w:ascii="Times New Roman" w:hAnsi="Times New Roman"/>
      <w:kern w:val="2"/>
      <w:sz w:val="21"/>
      <w:szCs w:val="21"/>
    </w:rPr>
  </w:style>
  <w:style w:type="character" w:customStyle="1" w:styleId="Style427">
    <w:name w:val="_Style 427"/>
    <w:autoRedefine/>
    <w:uiPriority w:val="9"/>
    <w:semiHidden/>
    <w:qFormat/>
    <w:rPr>
      <w:b/>
      <w:bCs/>
      <w:kern w:val="2"/>
      <w:sz w:val="21"/>
      <w:szCs w:val="28"/>
    </w:rPr>
  </w:style>
  <w:style w:type="paragraph" w:customStyle="1" w:styleId="Style428">
    <w:name w:val="_Style 428"/>
    <w:basedOn w:val="Style331"/>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429">
    <w:name w:val="_Style 429"/>
    <w:autoRedefine/>
    <w:uiPriority w:val="9"/>
    <w:semiHidden/>
    <w:qFormat/>
    <w:rPr>
      <w:b/>
      <w:bCs/>
      <w:kern w:val="2"/>
      <w:sz w:val="21"/>
      <w:szCs w:val="32"/>
    </w:rPr>
  </w:style>
  <w:style w:type="character" w:customStyle="1" w:styleId="Style430">
    <w:name w:val="_Style 430"/>
    <w:autoRedefine/>
    <w:uiPriority w:val="9"/>
    <w:semiHidden/>
    <w:qFormat/>
    <w:rPr>
      <w:b/>
      <w:bCs/>
      <w:kern w:val="2"/>
      <w:sz w:val="21"/>
      <w:szCs w:val="32"/>
    </w:rPr>
  </w:style>
  <w:style w:type="character" w:customStyle="1" w:styleId="Style431">
    <w:name w:val="_Style 431"/>
    <w:autoRedefine/>
    <w:semiHidden/>
    <w:qFormat/>
    <w:rPr>
      <w:rFonts w:ascii="Times New Roman" w:hAnsi="Times New Roman"/>
      <w:kern w:val="2"/>
      <w:sz w:val="21"/>
      <w:szCs w:val="21"/>
    </w:rPr>
  </w:style>
  <w:style w:type="character" w:customStyle="1" w:styleId="Style432">
    <w:name w:val="_Style 432"/>
    <w:basedOn w:val="Style237"/>
    <w:autoRedefine/>
    <w:uiPriority w:val="34"/>
    <w:semiHidden/>
    <w:qFormat/>
    <w:rPr>
      <w:kern w:val="2"/>
      <w:szCs w:val="22"/>
    </w:rPr>
  </w:style>
  <w:style w:type="character" w:customStyle="1" w:styleId="150">
    <w:name w:val="15"/>
    <w:basedOn w:val="a0"/>
    <w:autoRedefine/>
    <w:semiHidden/>
    <w:qFormat/>
    <w:rPr>
      <w:rFonts w:ascii="宋体" w:eastAsia="宋体" w:hAnsi="宋体" w:hint="eastAsia"/>
      <w:color w:val="000000"/>
      <w:sz w:val="22"/>
      <w:szCs w:val="22"/>
    </w:rPr>
  </w:style>
  <w:style w:type="character" w:customStyle="1" w:styleId="160">
    <w:name w:val="16"/>
    <w:basedOn w:val="a0"/>
    <w:autoRedefine/>
    <w:semiHidden/>
    <w:qFormat/>
    <w:rPr>
      <w:rFonts w:ascii="Times New Roman" w:hAnsi="Times New Roman" w:cs="Times New Roman" w:hint="default"/>
      <w:color w:val="000000"/>
      <w:sz w:val="22"/>
      <w:szCs w:val="22"/>
    </w:rPr>
  </w:style>
  <w:style w:type="character" w:customStyle="1" w:styleId="170">
    <w:name w:val="17"/>
    <w:basedOn w:val="a0"/>
    <w:autoRedefine/>
    <w:semiHidden/>
    <w:qFormat/>
    <w:rPr>
      <w:rFonts w:ascii="宋体" w:eastAsia="宋体" w:hAnsi="宋体" w:hint="eastAsia"/>
      <w:color w:val="000000"/>
      <w:sz w:val="21"/>
      <w:szCs w:val="21"/>
    </w:rPr>
  </w:style>
  <w:style w:type="paragraph" w:customStyle="1" w:styleId="Style438">
    <w:name w:val="_Style 438"/>
    <w:basedOn w:val="a"/>
    <w:next w:val="a"/>
    <w:autoRedefine/>
    <w:uiPriority w:val="39"/>
    <w:semiHidden/>
    <w:qFormat/>
    <w:pPr>
      <w:ind w:leftChars="1200" w:left="2520"/>
    </w:pPr>
    <w:rPr>
      <w:rFonts w:asciiTheme="minorHAnsi" w:eastAsiaTheme="minorEastAsia" w:hAnsiTheme="minorHAnsi" w:cstheme="minorBidi"/>
      <w:kern w:val="2"/>
      <w:sz w:val="21"/>
      <w:szCs w:val="22"/>
    </w:rPr>
  </w:style>
  <w:style w:type="paragraph" w:customStyle="1" w:styleId="Style439">
    <w:name w:val="_Style 439"/>
    <w:basedOn w:val="a"/>
    <w:next w:val="a"/>
    <w:autoRedefine/>
    <w:uiPriority w:val="39"/>
    <w:semiHidden/>
    <w:qFormat/>
    <w:pPr>
      <w:ind w:leftChars="800" w:left="1680"/>
    </w:pPr>
    <w:rPr>
      <w:rFonts w:asciiTheme="minorHAnsi" w:eastAsiaTheme="minorEastAsia" w:hAnsiTheme="minorHAnsi" w:cstheme="minorBidi"/>
      <w:kern w:val="2"/>
      <w:sz w:val="21"/>
      <w:szCs w:val="22"/>
    </w:rPr>
  </w:style>
  <w:style w:type="paragraph" w:customStyle="1" w:styleId="Style440">
    <w:name w:val="_Style 440"/>
    <w:basedOn w:val="a"/>
    <w:next w:val="a"/>
    <w:autoRedefine/>
    <w:uiPriority w:val="39"/>
    <w:semiHidden/>
    <w:qFormat/>
    <w:pPr>
      <w:spacing w:after="100" w:line="276" w:lineRule="auto"/>
      <w:ind w:left="440"/>
    </w:pPr>
    <w:rPr>
      <w:rFonts w:ascii="Calibri" w:hAnsi="Calibri" w:cs="Times New Roman"/>
      <w:sz w:val="22"/>
      <w:szCs w:val="22"/>
    </w:rPr>
  </w:style>
  <w:style w:type="paragraph" w:customStyle="1" w:styleId="Style441">
    <w:name w:val="_Style 441"/>
    <w:basedOn w:val="a"/>
    <w:next w:val="a"/>
    <w:autoRedefine/>
    <w:uiPriority w:val="39"/>
    <w:semiHidden/>
    <w:qFormat/>
    <w:pPr>
      <w:ind w:leftChars="1400" w:left="2940"/>
    </w:pPr>
    <w:rPr>
      <w:rFonts w:asciiTheme="minorHAnsi" w:eastAsiaTheme="minorEastAsia" w:hAnsiTheme="minorHAnsi" w:cstheme="minorBidi"/>
      <w:kern w:val="2"/>
      <w:sz w:val="21"/>
      <w:szCs w:val="22"/>
    </w:rPr>
  </w:style>
  <w:style w:type="paragraph" w:customStyle="1" w:styleId="Style442">
    <w:name w:val="_Style 442"/>
    <w:basedOn w:val="a"/>
    <w:next w:val="a"/>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443">
    <w:name w:val="_Style 443"/>
    <w:basedOn w:val="a"/>
    <w:next w:val="a"/>
    <w:autoRedefine/>
    <w:uiPriority w:val="39"/>
    <w:semiHidden/>
    <w:qFormat/>
    <w:pPr>
      <w:ind w:leftChars="600" w:left="1260"/>
    </w:pPr>
    <w:rPr>
      <w:rFonts w:asciiTheme="minorHAnsi" w:eastAsiaTheme="minorEastAsia" w:hAnsiTheme="minorHAnsi" w:cstheme="minorBidi"/>
      <w:kern w:val="2"/>
      <w:sz w:val="21"/>
      <w:szCs w:val="22"/>
    </w:rPr>
  </w:style>
  <w:style w:type="paragraph" w:customStyle="1" w:styleId="Style444">
    <w:name w:val="_Style 444"/>
    <w:basedOn w:val="a"/>
    <w:next w:val="a"/>
    <w:autoRedefine/>
    <w:uiPriority w:val="39"/>
    <w:semiHidden/>
    <w:qFormat/>
    <w:pPr>
      <w:ind w:leftChars="1000" w:left="2100"/>
    </w:pPr>
    <w:rPr>
      <w:rFonts w:asciiTheme="minorHAnsi" w:eastAsiaTheme="minorEastAsia" w:hAnsiTheme="minorHAnsi" w:cstheme="minorBidi"/>
      <w:kern w:val="2"/>
      <w:sz w:val="21"/>
      <w:szCs w:val="22"/>
    </w:rPr>
  </w:style>
  <w:style w:type="paragraph" w:customStyle="1" w:styleId="Style445">
    <w:name w:val="_Style 445"/>
    <w:basedOn w:val="a"/>
    <w:next w:val="a"/>
    <w:autoRedefine/>
    <w:uiPriority w:val="39"/>
    <w:semiHidden/>
    <w:qFormat/>
    <w:pPr>
      <w:ind w:leftChars="200" w:left="420"/>
    </w:pPr>
    <w:rPr>
      <w:rFonts w:ascii="Times New Roman" w:hAnsi="Times New Roman" w:cs="Times New Roman"/>
      <w:kern w:val="2"/>
      <w:sz w:val="21"/>
      <w:szCs w:val="21"/>
    </w:rPr>
  </w:style>
  <w:style w:type="paragraph" w:customStyle="1" w:styleId="Style446">
    <w:name w:val="_Style 446"/>
    <w:basedOn w:val="a"/>
    <w:next w:val="a"/>
    <w:autoRedefine/>
    <w:uiPriority w:val="39"/>
    <w:semiHidden/>
    <w:qFormat/>
    <w:pPr>
      <w:ind w:leftChars="1600" w:left="3360"/>
    </w:pPr>
    <w:rPr>
      <w:rFonts w:asciiTheme="minorHAnsi" w:eastAsiaTheme="minorEastAsia" w:hAnsiTheme="minorHAnsi" w:cstheme="minorBidi"/>
      <w:kern w:val="2"/>
      <w:sz w:val="21"/>
      <w:szCs w:val="22"/>
    </w:rPr>
  </w:style>
  <w:style w:type="paragraph" w:customStyle="1" w:styleId="Style447">
    <w:name w:val="_Style 447"/>
    <w:basedOn w:val="a"/>
    <w:next w:val="a"/>
    <w:autoRedefine/>
    <w:semiHidden/>
    <w:qFormat/>
    <w:pPr>
      <w:ind w:firstLine="420"/>
    </w:pPr>
    <w:rPr>
      <w:rFonts w:cs="Times New Roman"/>
      <w:color w:val="000000"/>
      <w:sz w:val="21"/>
      <w:szCs w:val="21"/>
    </w:rPr>
  </w:style>
  <w:style w:type="character" w:customStyle="1" w:styleId="Style448">
    <w:name w:val="_Style 448"/>
    <w:basedOn w:val="a0"/>
    <w:autoRedefine/>
    <w:uiPriority w:val="99"/>
    <w:semiHidden/>
    <w:qFormat/>
    <w:rPr>
      <w:rFonts w:cs="Times New Roman"/>
      <w:color w:val="0000FF"/>
      <w:u w:val="single"/>
    </w:rPr>
  </w:style>
  <w:style w:type="character" w:customStyle="1" w:styleId="Style449">
    <w:name w:val="_Style 449"/>
    <w:basedOn w:val="a0"/>
    <w:autoRedefine/>
    <w:semiHidden/>
    <w:qFormat/>
    <w:rPr>
      <w:rFonts w:eastAsia="宋体" w:cs="Times New Roman"/>
      <w:kern w:val="2"/>
      <w:sz w:val="21"/>
      <w:szCs w:val="21"/>
      <w:lang w:val="en-US" w:eastAsia="zh-CN" w:bidi="ar-SA"/>
    </w:rPr>
  </w:style>
  <w:style w:type="paragraph" w:customStyle="1" w:styleId="Style450">
    <w:name w:val="_Style 450"/>
    <w:basedOn w:val="1"/>
    <w:next w:val="a"/>
    <w:autoRedefine/>
    <w:uiPriority w:val="39"/>
    <w:semiHidden/>
    <w:qFormat/>
    <w:pPr>
      <w:widowControl/>
      <w:spacing w:before="480" w:after="0" w:line="276" w:lineRule="auto"/>
      <w:outlineLvl w:val="9"/>
    </w:pPr>
    <w:rPr>
      <w:rFonts w:ascii="Cambria" w:eastAsia="宋体" w:hAnsi="Cambria"/>
      <w:color w:val="365F91"/>
      <w:kern w:val="0"/>
    </w:rPr>
  </w:style>
  <w:style w:type="paragraph" w:customStyle="1" w:styleId="Style451">
    <w:name w:val="_Style 451"/>
    <w:basedOn w:val="a"/>
    <w:autoRedefine/>
    <w:semiHidden/>
    <w:qFormat/>
    <w:pPr>
      <w:keepNext/>
      <w:keepLines/>
      <w:spacing w:before="60" w:after="60"/>
      <w:ind w:hangingChars="200" w:hanging="420"/>
      <w:outlineLvl w:val="4"/>
    </w:pPr>
    <w:rPr>
      <w:rFonts w:cs="Times New Roman"/>
      <w:b/>
      <w:bCs/>
      <w:kern w:val="2"/>
      <w:sz w:val="21"/>
      <w:szCs w:val="21"/>
    </w:rPr>
  </w:style>
  <w:style w:type="paragraph" w:customStyle="1" w:styleId="Style452">
    <w:name w:val="_Style 452"/>
    <w:autoRedefine/>
    <w:hidden/>
    <w:uiPriority w:val="99"/>
    <w:semiHidden/>
    <w:qFormat/>
    <w:rPr>
      <w:kern w:val="2"/>
      <w:sz w:val="21"/>
      <w:szCs w:val="22"/>
    </w:rPr>
  </w:style>
  <w:style w:type="character" w:customStyle="1" w:styleId="Style453">
    <w:name w:val="_Style 453"/>
    <w:basedOn w:val="a0"/>
    <w:autoRedefine/>
    <w:semiHidden/>
    <w:qFormat/>
    <w:rPr>
      <w:kern w:val="2"/>
      <w:sz w:val="21"/>
      <w:szCs w:val="24"/>
    </w:rPr>
  </w:style>
  <w:style w:type="paragraph" w:customStyle="1" w:styleId="Style454">
    <w:name w:val="_Style 454"/>
    <w:basedOn w:val="a"/>
    <w:autoRedefine/>
    <w:semiHidden/>
    <w:qFormat/>
    <w:pPr>
      <w:spacing w:before="100" w:after="100"/>
    </w:pPr>
    <w:rPr>
      <w:rFonts w:ascii="Calibri" w:hAnsi="Calibri" w:cs="Times New Roman"/>
      <w:kern w:val="2"/>
      <w:sz w:val="21"/>
    </w:rPr>
  </w:style>
  <w:style w:type="character" w:customStyle="1" w:styleId="Style455">
    <w:name w:val="_Style 455"/>
    <w:basedOn w:val="a0"/>
    <w:autoRedefine/>
    <w:uiPriority w:val="99"/>
    <w:semiHidden/>
    <w:qFormat/>
    <w:rPr>
      <w:color w:val="auto"/>
    </w:rPr>
  </w:style>
  <w:style w:type="paragraph" w:customStyle="1" w:styleId="Style456">
    <w:name w:val="_Style 456"/>
    <w:autoRedefine/>
    <w:uiPriority w:val="1"/>
    <w:semiHidden/>
    <w:qFormat/>
    <w:pPr>
      <w:widowControl w:val="0"/>
      <w:jc w:val="both"/>
    </w:pPr>
    <w:rPr>
      <w:kern w:val="2"/>
      <w:sz w:val="21"/>
      <w:szCs w:val="22"/>
    </w:rPr>
  </w:style>
  <w:style w:type="paragraph" w:customStyle="1" w:styleId="Style457">
    <w:name w:val="_Style 457"/>
    <w:basedOn w:val="a"/>
    <w:next w:val="a"/>
    <w:autoRedefine/>
    <w:semiHidden/>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Style458">
    <w:name w:val="_Style 458"/>
    <w:basedOn w:val="a0"/>
    <w:autoRedefine/>
    <w:semiHidden/>
    <w:qFormat/>
    <w:rPr>
      <w:rFonts w:ascii="Times New Roman" w:hAnsi="Times New Roman"/>
      <w:b/>
      <w:kern w:val="2"/>
      <w:sz w:val="21"/>
      <w:szCs w:val="24"/>
    </w:rPr>
  </w:style>
  <w:style w:type="character" w:customStyle="1" w:styleId="Style459">
    <w:name w:val="_Style 459"/>
    <w:basedOn w:val="aa"/>
    <w:autoRedefine/>
    <w:uiPriority w:val="99"/>
    <w:semiHidden/>
    <w:qFormat/>
    <w:rPr>
      <w:rFonts w:ascii="Times New Roman" w:eastAsia="宋体" w:hAnsi="Times New Roman" w:cs="Times New Roman"/>
      <w:b/>
      <w:bCs/>
      <w:kern w:val="2"/>
      <w:sz w:val="21"/>
      <w:szCs w:val="21"/>
    </w:rPr>
  </w:style>
  <w:style w:type="paragraph" w:customStyle="1" w:styleId="Style460">
    <w:name w:val="_Style 460"/>
    <w:basedOn w:val="a"/>
    <w:next w:val="aff7"/>
    <w:autoRedefine/>
    <w:uiPriority w:val="34"/>
    <w:semiHidden/>
    <w:qFormat/>
    <w:pPr>
      <w:ind w:firstLine="420"/>
    </w:pPr>
    <w:rPr>
      <w:rFonts w:ascii="Calibri" w:hAnsi="Calibri" w:cs="Times New Roman"/>
      <w:kern w:val="2"/>
      <w:sz w:val="21"/>
      <w:szCs w:val="22"/>
    </w:rPr>
  </w:style>
  <w:style w:type="paragraph" w:customStyle="1" w:styleId="Style461">
    <w:name w:val="_Style 461"/>
    <w:basedOn w:val="a"/>
    <w:next w:val="aff7"/>
    <w:autoRedefine/>
    <w:uiPriority w:val="34"/>
    <w:semiHidden/>
    <w:qFormat/>
    <w:pPr>
      <w:ind w:firstLine="420"/>
    </w:pPr>
    <w:rPr>
      <w:rFonts w:ascii="Calibri" w:hAnsi="Calibri" w:cs="Times New Roman"/>
      <w:kern w:val="2"/>
      <w:sz w:val="21"/>
      <w:szCs w:val="22"/>
    </w:rPr>
  </w:style>
  <w:style w:type="paragraph" w:customStyle="1" w:styleId="Style462">
    <w:name w:val="_Style 462"/>
    <w:basedOn w:val="a"/>
    <w:next w:val="aff7"/>
    <w:autoRedefine/>
    <w:uiPriority w:val="34"/>
    <w:semiHidden/>
    <w:qFormat/>
    <w:pPr>
      <w:ind w:firstLine="420"/>
    </w:pPr>
    <w:rPr>
      <w:rFonts w:ascii="Calibri" w:hAnsi="Calibri" w:cs="Times New Roman"/>
      <w:kern w:val="2"/>
      <w:sz w:val="21"/>
      <w:szCs w:val="22"/>
    </w:rPr>
  </w:style>
  <w:style w:type="paragraph" w:customStyle="1" w:styleId="Style463">
    <w:name w:val="_Style 463"/>
    <w:basedOn w:val="a"/>
    <w:next w:val="aff7"/>
    <w:autoRedefine/>
    <w:uiPriority w:val="34"/>
    <w:semiHidden/>
    <w:qFormat/>
    <w:pPr>
      <w:ind w:firstLine="420"/>
    </w:pPr>
    <w:rPr>
      <w:rFonts w:ascii="Calibri" w:hAnsi="Calibri" w:cs="Times New Roman"/>
      <w:kern w:val="2"/>
      <w:sz w:val="21"/>
      <w:szCs w:val="22"/>
    </w:rPr>
  </w:style>
  <w:style w:type="character" w:customStyle="1" w:styleId="Style464">
    <w:name w:val="_Style 464"/>
    <w:autoRedefine/>
    <w:uiPriority w:val="99"/>
    <w:semiHidden/>
    <w:qFormat/>
    <w:locked/>
    <w:rPr>
      <w:rFonts w:ascii="Times New Roman" w:hAnsi="Times New Roman"/>
      <w:kern w:val="2"/>
      <w:sz w:val="21"/>
      <w:szCs w:val="21"/>
    </w:rPr>
  </w:style>
  <w:style w:type="paragraph" w:customStyle="1" w:styleId="Style465">
    <w:name w:val="_Style 465"/>
    <w:autoRedefine/>
    <w:semiHidden/>
    <w:qFormat/>
    <w:pPr>
      <w:jc w:val="both"/>
    </w:pPr>
    <w:rPr>
      <w:rFonts w:ascii="宋体" w:hAnsi="宋体" w:cs="宋体"/>
      <w:kern w:val="2"/>
      <w:sz w:val="21"/>
      <w:szCs w:val="21"/>
    </w:rPr>
  </w:style>
  <w:style w:type="paragraph" w:customStyle="1" w:styleId="Style466">
    <w:name w:val="_Style 466"/>
    <w:basedOn w:val="a"/>
    <w:autoRedefine/>
    <w:semiHidden/>
    <w:qFormat/>
    <w:pPr>
      <w:ind w:firstLine="420"/>
    </w:pPr>
    <w:rPr>
      <w:rFonts w:ascii="Calibri" w:hAnsi="Calibri" w:cs="Times New Roman"/>
      <w:kern w:val="2"/>
      <w:sz w:val="21"/>
      <w:szCs w:val="21"/>
    </w:rPr>
  </w:style>
  <w:style w:type="paragraph" w:customStyle="1" w:styleId="Style467">
    <w:name w:val="_Style 467"/>
    <w:basedOn w:val="ad"/>
    <w:autoRedefine/>
    <w:uiPriority w:val="99"/>
    <w:semiHidden/>
    <w:qFormat/>
    <w:pPr>
      <w:widowControl/>
      <w:ind w:firstLineChars="100" w:firstLine="420"/>
      <w:jc w:val="left"/>
    </w:pPr>
    <w:rPr>
      <w:rFonts w:ascii="宋体" w:hAnsi="宋体" w:cs="宋体"/>
      <w:kern w:val="0"/>
      <w:sz w:val="24"/>
      <w:szCs w:val="24"/>
    </w:rPr>
  </w:style>
  <w:style w:type="character" w:customStyle="1" w:styleId="Style468">
    <w:name w:val="_Style 468"/>
    <w:basedOn w:val="ae"/>
    <w:autoRedefine/>
    <w:uiPriority w:val="99"/>
    <w:semiHidden/>
    <w:qFormat/>
    <w:rPr>
      <w:rFonts w:ascii="宋体" w:eastAsia="宋体" w:hAnsi="宋体" w:cs="宋体"/>
      <w:kern w:val="2"/>
      <w:sz w:val="24"/>
      <w:szCs w:val="24"/>
    </w:rPr>
  </w:style>
  <w:style w:type="paragraph" w:customStyle="1" w:styleId="Style469">
    <w:name w:val="_Style 469"/>
    <w:basedOn w:val="a"/>
    <w:autoRedefine/>
    <w:uiPriority w:val="99"/>
    <w:semiHidden/>
    <w:qFormat/>
    <w:pPr>
      <w:spacing w:after="120"/>
      <w:ind w:leftChars="200" w:left="420"/>
    </w:pPr>
  </w:style>
  <w:style w:type="character" w:customStyle="1" w:styleId="Style470">
    <w:name w:val="_Style 470"/>
    <w:basedOn w:val="a0"/>
    <w:autoRedefine/>
    <w:uiPriority w:val="99"/>
    <w:semiHidden/>
    <w:qFormat/>
    <w:rPr>
      <w:rFonts w:ascii="宋体" w:hAnsi="宋体" w:cs="宋体"/>
      <w:sz w:val="24"/>
      <w:szCs w:val="24"/>
    </w:rPr>
  </w:style>
  <w:style w:type="paragraph" w:customStyle="1" w:styleId="Style471">
    <w:name w:val="_Style 471"/>
    <w:basedOn w:val="Style469"/>
    <w:autoRedefine/>
    <w:uiPriority w:val="99"/>
    <w:semiHidden/>
    <w:qFormat/>
    <w:pPr>
      <w:ind w:firstLine="420"/>
    </w:pPr>
  </w:style>
  <w:style w:type="character" w:customStyle="1" w:styleId="Style472">
    <w:name w:val="_Style 472"/>
    <w:basedOn w:val="Style470"/>
    <w:link w:val="29"/>
    <w:autoRedefine/>
    <w:uiPriority w:val="34"/>
    <w:semiHidden/>
    <w:qFormat/>
    <w:rPr>
      <w:rFonts w:ascii="宋体" w:hAnsi="宋体" w:cs="宋体"/>
      <w:kern w:val="2"/>
      <w:sz w:val="21"/>
      <w:szCs w:val="22"/>
    </w:rPr>
  </w:style>
  <w:style w:type="paragraph" w:customStyle="1" w:styleId="Style473">
    <w:name w:val="_Style 473"/>
    <w:basedOn w:val="a"/>
    <w:autoRedefine/>
    <w:uiPriority w:val="99"/>
    <w:semiHidden/>
    <w:qFormat/>
    <w:pPr>
      <w:spacing w:after="120" w:line="480" w:lineRule="auto"/>
    </w:pPr>
  </w:style>
  <w:style w:type="character" w:customStyle="1" w:styleId="Style474">
    <w:name w:val="_Style 474"/>
    <w:basedOn w:val="a0"/>
    <w:autoRedefine/>
    <w:uiPriority w:val="99"/>
    <w:semiHidden/>
    <w:qFormat/>
    <w:rPr>
      <w:rFonts w:ascii="宋体" w:hAnsi="宋体" w:cs="宋体"/>
      <w:sz w:val="24"/>
      <w:szCs w:val="24"/>
    </w:rPr>
  </w:style>
  <w:style w:type="paragraph" w:customStyle="1" w:styleId="Style475">
    <w:name w:val="_Style 475"/>
    <w:basedOn w:val="a"/>
    <w:autoRedefine/>
    <w:uiPriority w:val="99"/>
    <w:semiHidden/>
    <w:qFormat/>
    <w:pPr>
      <w:spacing w:after="120"/>
    </w:pPr>
    <w:rPr>
      <w:sz w:val="16"/>
      <w:szCs w:val="16"/>
    </w:rPr>
  </w:style>
  <w:style w:type="character" w:customStyle="1" w:styleId="Style476">
    <w:name w:val="_Style 476"/>
    <w:basedOn w:val="a0"/>
    <w:autoRedefine/>
    <w:uiPriority w:val="99"/>
    <w:semiHidden/>
    <w:qFormat/>
    <w:rPr>
      <w:rFonts w:ascii="宋体" w:hAnsi="宋体" w:cs="宋体"/>
      <w:sz w:val="16"/>
      <w:szCs w:val="16"/>
    </w:rPr>
  </w:style>
  <w:style w:type="paragraph" w:customStyle="1" w:styleId="Style477">
    <w:name w:val="_Style 477"/>
    <w:basedOn w:val="a"/>
    <w:autoRedefine/>
    <w:uiPriority w:val="99"/>
    <w:semiHidden/>
    <w:qFormat/>
    <w:pPr>
      <w:spacing w:after="120" w:line="480" w:lineRule="auto"/>
      <w:ind w:leftChars="200" w:left="420"/>
    </w:pPr>
  </w:style>
  <w:style w:type="character" w:customStyle="1" w:styleId="Style478">
    <w:name w:val="_Style 478"/>
    <w:basedOn w:val="a0"/>
    <w:autoRedefine/>
    <w:uiPriority w:val="99"/>
    <w:semiHidden/>
    <w:qFormat/>
    <w:rPr>
      <w:rFonts w:ascii="宋体" w:hAnsi="宋体" w:cs="宋体"/>
      <w:sz w:val="24"/>
      <w:szCs w:val="24"/>
    </w:rPr>
  </w:style>
  <w:style w:type="paragraph" w:customStyle="1" w:styleId="Style479">
    <w:name w:val="_Style 479"/>
    <w:basedOn w:val="a"/>
    <w:autoRedefine/>
    <w:uiPriority w:val="99"/>
    <w:semiHidden/>
    <w:qFormat/>
    <w:pPr>
      <w:spacing w:after="120"/>
      <w:ind w:leftChars="200" w:left="420"/>
    </w:pPr>
    <w:rPr>
      <w:sz w:val="16"/>
      <w:szCs w:val="16"/>
    </w:rPr>
  </w:style>
  <w:style w:type="paragraph" w:customStyle="1" w:styleId="Style480">
    <w:name w:val="_Style 480"/>
    <w:autoRedefine/>
    <w:semiHidden/>
    <w:qFormat/>
    <w:rPr>
      <w:rFonts w:ascii="宋体" w:hAnsi="宋体" w:cs="宋体"/>
      <w:sz w:val="24"/>
      <w:szCs w:val="24"/>
    </w:rPr>
  </w:style>
  <w:style w:type="paragraph" w:customStyle="1" w:styleId="Style481">
    <w:name w:val="_Style 481"/>
    <w:basedOn w:val="Style480"/>
    <w:next w:val="aff7"/>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482">
    <w:name w:val="_Style 482"/>
    <w:basedOn w:val="Style480"/>
    <w:next w:val="aff7"/>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483">
    <w:name w:val="_Style 483"/>
    <w:basedOn w:val="Style480"/>
    <w:next w:val="aff7"/>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484">
    <w:name w:val="_Style 484"/>
    <w:basedOn w:val="Style480"/>
    <w:next w:val="aff7"/>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485">
    <w:name w:val="_Style 485"/>
    <w:basedOn w:val="Style480"/>
    <w:next w:val="aff7"/>
    <w:autoRedefine/>
    <w:uiPriority w:val="9"/>
    <w:semiHidden/>
    <w:qFormat/>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Style486">
    <w:name w:val="_Style 486"/>
    <w:basedOn w:val="Style480"/>
    <w:next w:val="aff7"/>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487">
    <w:name w:val="_Style 487"/>
    <w:basedOn w:val="Style480"/>
    <w:next w:val="aff7"/>
    <w:autoRedefine/>
    <w:uiPriority w:val="9"/>
    <w:semiHidden/>
    <w:qFormat/>
    <w:pPr>
      <w:keepNext/>
      <w:keepLines/>
      <w:spacing w:before="240" w:after="64" w:line="320" w:lineRule="auto"/>
      <w:outlineLvl w:val="6"/>
    </w:pPr>
    <w:rPr>
      <w:b/>
      <w:bCs/>
    </w:rPr>
  </w:style>
  <w:style w:type="character" w:customStyle="1" w:styleId="Style488">
    <w:name w:val="_Style 488"/>
    <w:autoRedefine/>
    <w:uiPriority w:val="1"/>
    <w:semiHidden/>
    <w:qFormat/>
  </w:style>
  <w:style w:type="character" w:customStyle="1" w:styleId="Style489">
    <w:name w:val="_Style 489"/>
    <w:basedOn w:val="Style488"/>
    <w:autoRedefine/>
    <w:uiPriority w:val="99"/>
    <w:semiHidden/>
    <w:qFormat/>
    <w:rPr>
      <w:rFonts w:eastAsia="黑体"/>
      <w:b/>
      <w:bCs/>
      <w:kern w:val="44"/>
      <w:sz w:val="28"/>
      <w:szCs w:val="44"/>
    </w:rPr>
  </w:style>
  <w:style w:type="character" w:customStyle="1" w:styleId="Style490">
    <w:name w:val="_Style 490"/>
    <w:basedOn w:val="Style488"/>
    <w:autoRedefine/>
    <w:semiHidden/>
    <w:qFormat/>
    <w:rPr>
      <w:rFonts w:ascii="Arial" w:hAnsi="Arial"/>
      <w:b/>
      <w:bCs/>
      <w:kern w:val="2"/>
      <w:sz w:val="21"/>
      <w:szCs w:val="21"/>
    </w:rPr>
  </w:style>
  <w:style w:type="character" w:customStyle="1" w:styleId="Style491">
    <w:name w:val="_Style 491"/>
    <w:basedOn w:val="Style488"/>
    <w:autoRedefine/>
    <w:uiPriority w:val="9"/>
    <w:semiHidden/>
    <w:qFormat/>
    <w:rPr>
      <w:b/>
      <w:bCs/>
      <w:kern w:val="2"/>
      <w:sz w:val="21"/>
      <w:szCs w:val="32"/>
    </w:rPr>
  </w:style>
  <w:style w:type="character" w:customStyle="1" w:styleId="Style492">
    <w:name w:val="_Style 492"/>
    <w:basedOn w:val="Style488"/>
    <w:autoRedefine/>
    <w:uiPriority w:val="9"/>
    <w:semiHidden/>
    <w:qFormat/>
    <w:rPr>
      <w:rFonts w:asciiTheme="minorEastAsia" w:eastAsiaTheme="minorEastAsia" w:hAnsiTheme="minorEastAsia"/>
      <w:b/>
      <w:bCs/>
      <w:kern w:val="2"/>
      <w:sz w:val="21"/>
      <w:szCs w:val="28"/>
    </w:rPr>
  </w:style>
  <w:style w:type="character" w:customStyle="1" w:styleId="Style493">
    <w:name w:val="_Style 493"/>
    <w:basedOn w:val="Style488"/>
    <w:autoRedefine/>
    <w:uiPriority w:val="9"/>
    <w:semiHidden/>
    <w:qFormat/>
    <w:rPr>
      <w:b/>
      <w:bCs/>
      <w:kern w:val="2"/>
      <w:sz w:val="21"/>
      <w:szCs w:val="28"/>
    </w:rPr>
  </w:style>
  <w:style w:type="paragraph" w:customStyle="1" w:styleId="Style494">
    <w:name w:val="_Style 494"/>
    <w:basedOn w:val="Style481"/>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495">
    <w:name w:val="_Style 495"/>
    <w:basedOn w:val="Style480"/>
    <w:next w:val="aff7"/>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496">
    <w:name w:val="_Style 496"/>
    <w:basedOn w:val="Style480"/>
    <w:next w:val="aff7"/>
    <w:autoRedefine/>
    <w:uiPriority w:val="39"/>
    <w:semiHidden/>
    <w:qFormat/>
    <w:pPr>
      <w:widowControl w:val="0"/>
      <w:ind w:leftChars="200" w:left="420"/>
      <w:jc w:val="both"/>
    </w:pPr>
    <w:rPr>
      <w:rFonts w:ascii="Times New Roman" w:hAnsi="Times New Roman" w:cs="Times New Roman"/>
      <w:kern w:val="2"/>
      <w:szCs w:val="21"/>
    </w:rPr>
  </w:style>
  <w:style w:type="character" w:customStyle="1" w:styleId="Style497">
    <w:name w:val="_Style 497"/>
    <w:basedOn w:val="Style488"/>
    <w:autoRedefine/>
    <w:uiPriority w:val="99"/>
    <w:semiHidden/>
    <w:qFormat/>
    <w:rPr>
      <w:rFonts w:cs="Times New Roman"/>
      <w:color w:val="0000FF"/>
      <w:u w:val="single"/>
    </w:rPr>
  </w:style>
  <w:style w:type="character" w:customStyle="1" w:styleId="Style498">
    <w:name w:val="_Style 498"/>
    <w:basedOn w:val="Style488"/>
    <w:autoRedefine/>
    <w:semiHidden/>
    <w:qFormat/>
    <w:rPr>
      <w:rFonts w:eastAsia="宋体" w:cs="Times New Roman"/>
      <w:kern w:val="2"/>
      <w:sz w:val="21"/>
      <w:szCs w:val="21"/>
      <w:lang w:val="en-US" w:eastAsia="zh-CN" w:bidi="ar-SA"/>
    </w:rPr>
  </w:style>
  <w:style w:type="paragraph" w:customStyle="1" w:styleId="Style499">
    <w:name w:val="_Style 499"/>
    <w:basedOn w:val="Style480"/>
    <w:autoRedefine/>
    <w:semiHidden/>
    <w:qFormat/>
    <w:pPr>
      <w:widowControl w:val="0"/>
    </w:pPr>
    <w:rPr>
      <w:rFonts w:ascii="Times New Roman" w:hAnsi="Times New Roman" w:cs="Times New Roman"/>
      <w:kern w:val="2"/>
      <w:szCs w:val="21"/>
    </w:rPr>
  </w:style>
  <w:style w:type="character" w:customStyle="1" w:styleId="Style500">
    <w:name w:val="_Style 500"/>
    <w:basedOn w:val="Style488"/>
    <w:autoRedefine/>
    <w:semiHidden/>
    <w:qFormat/>
    <w:rPr>
      <w:rFonts w:ascii="Times New Roman" w:eastAsia="宋体" w:hAnsi="Times New Roman" w:cs="Times New Roman"/>
      <w:szCs w:val="21"/>
    </w:rPr>
  </w:style>
  <w:style w:type="paragraph" w:customStyle="1" w:styleId="Style501">
    <w:name w:val="_Style 501"/>
    <w:basedOn w:val="Style480"/>
    <w:autoRedefine/>
    <w:uiPriority w:val="99"/>
    <w:semiHidden/>
    <w:qFormat/>
    <w:pPr>
      <w:widowControl w:val="0"/>
      <w:jc w:val="both"/>
    </w:pPr>
    <w:rPr>
      <w:rFonts w:ascii="Calibri" w:hAnsi="Calibri" w:cs="Times New Roman"/>
      <w:kern w:val="2"/>
      <w:sz w:val="18"/>
      <w:szCs w:val="18"/>
    </w:rPr>
  </w:style>
  <w:style w:type="character" w:customStyle="1" w:styleId="Style502">
    <w:name w:val="_Style 502"/>
    <w:basedOn w:val="Style488"/>
    <w:autoRedefine/>
    <w:uiPriority w:val="99"/>
    <w:semiHidden/>
    <w:qFormat/>
    <w:rPr>
      <w:rFonts w:ascii="Calibri" w:eastAsia="宋体" w:hAnsi="Calibri" w:cs="Times New Roman"/>
      <w:sz w:val="18"/>
      <w:szCs w:val="18"/>
    </w:rPr>
  </w:style>
  <w:style w:type="paragraph" w:customStyle="1" w:styleId="Style503">
    <w:name w:val="_Style 503"/>
    <w:basedOn w:val="Style480"/>
    <w:next w:val="aff7"/>
    <w:autoRedefine/>
    <w:uiPriority w:val="99"/>
    <w:semiHidden/>
    <w:qFormat/>
    <w:pPr>
      <w:widowControl w:val="0"/>
      <w:jc w:val="both"/>
    </w:pPr>
    <w:rPr>
      <w:rFonts w:ascii="Times New Roman" w:hAnsi="Times New Roman" w:cs="Times New Roman"/>
      <w:kern w:val="2"/>
      <w:szCs w:val="21"/>
    </w:rPr>
  </w:style>
  <w:style w:type="character" w:customStyle="1" w:styleId="Style504">
    <w:name w:val="_Style 504"/>
    <w:basedOn w:val="Style488"/>
    <w:autoRedefine/>
    <w:uiPriority w:val="99"/>
    <w:semiHidden/>
    <w:qFormat/>
    <w:rPr>
      <w:rFonts w:ascii="Times New Roman" w:eastAsia="宋体" w:hAnsi="Times New Roman" w:cs="Times New Roman"/>
      <w:szCs w:val="21"/>
    </w:rPr>
  </w:style>
  <w:style w:type="character" w:customStyle="1" w:styleId="Style505">
    <w:name w:val="_Style 505"/>
    <w:basedOn w:val="Style488"/>
    <w:autoRedefine/>
    <w:uiPriority w:val="99"/>
    <w:semiHidden/>
    <w:qFormat/>
    <w:rPr>
      <w:rFonts w:eastAsia="宋体" w:cs="Times New Roman"/>
      <w:color w:val="FF0000"/>
      <w:kern w:val="2"/>
      <w:sz w:val="24"/>
      <w:szCs w:val="24"/>
      <w:lang w:val="en-US" w:eastAsia="zh-CN" w:bidi="ar-SA"/>
    </w:rPr>
  </w:style>
  <w:style w:type="paragraph" w:customStyle="1" w:styleId="Style506">
    <w:name w:val="_Style 506"/>
    <w:basedOn w:val="Style480"/>
    <w:autoRedefine/>
    <w:uiPriority w:val="99"/>
    <w:semiHidden/>
    <w:qFormat/>
    <w:pPr>
      <w:spacing w:before="100" w:after="100"/>
      <w:jc w:val="right"/>
    </w:pPr>
    <w:rPr>
      <w:rFonts w:ascii="Arial Unicode MS" w:eastAsia="Arial Unicode MS" w:hAnsi="Times New Roman" w:cs="Times New Roman"/>
      <w:sz w:val="18"/>
      <w:szCs w:val="18"/>
    </w:rPr>
  </w:style>
  <w:style w:type="paragraph" w:customStyle="1" w:styleId="Style507">
    <w:name w:val="_Style 507"/>
    <w:basedOn w:val="Style480"/>
    <w:autoRedefine/>
    <w:uiPriority w:val="99"/>
    <w:semiHidden/>
    <w:qFormat/>
    <w:pPr>
      <w:widowControl w:val="0"/>
      <w:ind w:firstLineChars="200" w:firstLine="420"/>
      <w:jc w:val="both"/>
    </w:pPr>
    <w:rPr>
      <w:rFonts w:ascii="Calibri" w:hAnsi="Calibri" w:cs="Times New Roman"/>
      <w:kern w:val="2"/>
      <w:szCs w:val="22"/>
    </w:rPr>
  </w:style>
  <w:style w:type="character" w:customStyle="1" w:styleId="Style508">
    <w:name w:val="_Style 508"/>
    <w:basedOn w:val="Style500"/>
    <w:autoRedefine/>
    <w:uiPriority w:val="99"/>
    <w:semiHidden/>
    <w:qFormat/>
    <w:rPr>
      <w:rFonts w:ascii="Calibri" w:eastAsia="宋体" w:hAnsi="Calibri" w:cs="Times New Roman"/>
      <w:b/>
      <w:bCs/>
      <w:szCs w:val="21"/>
    </w:rPr>
  </w:style>
  <w:style w:type="paragraph" w:customStyle="1" w:styleId="Style509">
    <w:name w:val="_Style 509"/>
    <w:basedOn w:val="Style499"/>
    <w:autoRedefine/>
    <w:uiPriority w:val="99"/>
    <w:semiHidden/>
    <w:qFormat/>
    <w:rPr>
      <w:rFonts w:ascii="Calibri" w:hAnsi="Calibri"/>
      <w:b/>
      <w:bCs/>
      <w:szCs w:val="22"/>
    </w:rPr>
  </w:style>
  <w:style w:type="paragraph" w:customStyle="1" w:styleId="Style510">
    <w:name w:val="_Style 510"/>
    <w:basedOn w:val="Style480"/>
    <w:next w:val="aff7"/>
    <w:autoRedefine/>
    <w:uiPriority w:val="39"/>
    <w:semiHidden/>
    <w:qFormat/>
    <w:pPr>
      <w:spacing w:after="100" w:line="276" w:lineRule="auto"/>
      <w:ind w:left="440"/>
    </w:pPr>
    <w:rPr>
      <w:rFonts w:ascii="Calibri" w:hAnsi="Calibri" w:cs="Times New Roman"/>
      <w:sz w:val="22"/>
      <w:szCs w:val="22"/>
    </w:rPr>
  </w:style>
  <w:style w:type="paragraph" w:customStyle="1" w:styleId="Style511">
    <w:name w:val="_Style 511"/>
    <w:basedOn w:val="Style480"/>
    <w:autoRedefine/>
    <w:uiPriority w:val="99"/>
    <w:semiHidden/>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Style512">
    <w:name w:val="_Style 512"/>
    <w:basedOn w:val="Style488"/>
    <w:autoRedefine/>
    <w:uiPriority w:val="99"/>
    <w:semiHidden/>
    <w:qFormat/>
    <w:rPr>
      <w:rFonts w:ascii="Calibri" w:eastAsia="宋体" w:hAnsi="Calibri" w:cs="Times New Roman"/>
      <w:sz w:val="18"/>
      <w:szCs w:val="18"/>
    </w:rPr>
  </w:style>
  <w:style w:type="paragraph" w:customStyle="1" w:styleId="Style513">
    <w:name w:val="_Style 513"/>
    <w:basedOn w:val="Style480"/>
    <w:autoRedefine/>
    <w:uiPriority w:val="99"/>
    <w:semiHidden/>
    <w:qFormat/>
    <w:pPr>
      <w:widowControl w:val="0"/>
      <w:tabs>
        <w:tab w:val="center" w:pos="4153"/>
        <w:tab w:val="right" w:pos="8306"/>
      </w:tabs>
      <w:snapToGrid w:val="0"/>
    </w:pPr>
    <w:rPr>
      <w:rFonts w:ascii="Calibri" w:hAnsi="Calibri" w:cs="Times New Roman"/>
      <w:kern w:val="2"/>
      <w:sz w:val="18"/>
      <w:szCs w:val="18"/>
    </w:rPr>
  </w:style>
  <w:style w:type="character" w:customStyle="1" w:styleId="Style514">
    <w:name w:val="_Style 514"/>
    <w:basedOn w:val="Style488"/>
    <w:autoRedefine/>
    <w:uiPriority w:val="99"/>
    <w:semiHidden/>
    <w:qFormat/>
    <w:rPr>
      <w:rFonts w:ascii="Calibri" w:eastAsia="宋体" w:hAnsi="Calibri" w:cs="Times New Roman"/>
      <w:sz w:val="18"/>
      <w:szCs w:val="18"/>
    </w:rPr>
  </w:style>
  <w:style w:type="paragraph" w:customStyle="1" w:styleId="Style515">
    <w:name w:val="_Style 515"/>
    <w:basedOn w:val="Style480"/>
    <w:autoRedefine/>
    <w:semiHidden/>
    <w:qFormat/>
    <w:pPr>
      <w:widowControl w:val="0"/>
      <w:jc w:val="both"/>
    </w:pPr>
    <w:rPr>
      <w:rFonts w:hAnsi="Courier New" w:cs="Times New Roman"/>
      <w:kern w:val="2"/>
      <w:szCs w:val="20"/>
    </w:rPr>
  </w:style>
  <w:style w:type="character" w:customStyle="1" w:styleId="Style516">
    <w:name w:val="_Style 516"/>
    <w:basedOn w:val="Style488"/>
    <w:autoRedefine/>
    <w:semiHidden/>
    <w:qFormat/>
    <w:rPr>
      <w:rFonts w:ascii="宋体" w:eastAsia="宋体" w:hAnsi="Courier New" w:cs="Times New Roman"/>
      <w:szCs w:val="20"/>
    </w:rPr>
  </w:style>
  <w:style w:type="character" w:customStyle="1" w:styleId="Style517">
    <w:name w:val="_Style 517"/>
    <w:basedOn w:val="Style488"/>
    <w:autoRedefine/>
    <w:semiHidden/>
    <w:qFormat/>
    <w:rPr>
      <w:rFonts w:eastAsia="宋体" w:cs="Times New Roman"/>
      <w:kern w:val="2"/>
      <w:sz w:val="24"/>
      <w:szCs w:val="24"/>
      <w:lang w:val="en-US" w:eastAsia="zh-CN" w:bidi="ar-SA"/>
    </w:rPr>
  </w:style>
  <w:style w:type="paragraph" w:customStyle="1" w:styleId="Style518">
    <w:name w:val="_Style 518"/>
    <w:basedOn w:val="Style480"/>
    <w:autoRedefine/>
    <w:uiPriority w:val="99"/>
    <w:semiHidden/>
    <w:qFormat/>
    <w:pPr>
      <w:widowControl w:val="0"/>
      <w:spacing w:after="120"/>
      <w:jc w:val="both"/>
    </w:pPr>
    <w:rPr>
      <w:rFonts w:ascii="Times New Roman" w:hAnsi="Times New Roman" w:cs="Times New Roman"/>
      <w:kern w:val="2"/>
      <w:szCs w:val="21"/>
    </w:rPr>
  </w:style>
  <w:style w:type="character" w:customStyle="1" w:styleId="Style519">
    <w:name w:val="_Style 519"/>
    <w:basedOn w:val="Style488"/>
    <w:autoRedefine/>
    <w:uiPriority w:val="99"/>
    <w:semiHidden/>
    <w:qFormat/>
    <w:rPr>
      <w:rFonts w:ascii="Times New Roman" w:eastAsia="宋体" w:hAnsi="Times New Roman" w:cs="Times New Roman"/>
      <w:szCs w:val="21"/>
    </w:rPr>
  </w:style>
  <w:style w:type="paragraph" w:customStyle="1" w:styleId="Style520">
    <w:name w:val="_Style 520"/>
    <w:basedOn w:val="Style480"/>
    <w:autoRedefine/>
    <w:uiPriority w:val="99"/>
    <w:semiHidden/>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Style521">
    <w:name w:val="_Style 521"/>
    <w:basedOn w:val="Style480"/>
    <w:next w:val="aff7"/>
    <w:autoRedefine/>
    <w:uiPriority w:val="99"/>
    <w:semiHidden/>
    <w:qFormat/>
    <w:pPr>
      <w:widowControl w:val="0"/>
      <w:ind w:leftChars="2500" w:left="100"/>
      <w:jc w:val="both"/>
    </w:pPr>
    <w:rPr>
      <w:rFonts w:ascii="Times New Roman" w:hAnsi="Times New Roman" w:cs="Times New Roman"/>
      <w:kern w:val="2"/>
      <w:szCs w:val="21"/>
    </w:rPr>
  </w:style>
  <w:style w:type="character" w:customStyle="1" w:styleId="Style522">
    <w:name w:val="_Style 522"/>
    <w:basedOn w:val="Style488"/>
    <w:autoRedefine/>
    <w:uiPriority w:val="99"/>
    <w:semiHidden/>
    <w:qFormat/>
    <w:rPr>
      <w:rFonts w:ascii="Times New Roman" w:eastAsia="宋体" w:hAnsi="Times New Roman" w:cs="Times New Roman"/>
      <w:szCs w:val="21"/>
    </w:rPr>
  </w:style>
  <w:style w:type="paragraph" w:customStyle="1" w:styleId="Style523">
    <w:name w:val="_Style 523"/>
    <w:basedOn w:val="Style480"/>
    <w:next w:val="aff7"/>
    <w:autoRedefine/>
    <w:uiPriority w:val="99"/>
    <w:semiHidden/>
    <w:qFormat/>
    <w:pPr>
      <w:widowControl w:val="0"/>
      <w:jc w:val="center"/>
    </w:pPr>
    <w:rPr>
      <w:rFonts w:ascii="Times New Roman" w:hAnsi="Times New Roman" w:cs="Times New Roman"/>
      <w:kern w:val="2"/>
      <w:szCs w:val="21"/>
    </w:rPr>
  </w:style>
  <w:style w:type="character" w:customStyle="1" w:styleId="Style524">
    <w:name w:val="_Style 524"/>
    <w:basedOn w:val="Style488"/>
    <w:autoRedefine/>
    <w:uiPriority w:val="99"/>
    <w:semiHidden/>
    <w:qFormat/>
    <w:rPr>
      <w:rFonts w:ascii="Times New Roman" w:eastAsia="宋体" w:hAnsi="Times New Roman" w:cs="Times New Roman"/>
      <w:szCs w:val="21"/>
    </w:rPr>
  </w:style>
  <w:style w:type="paragraph" w:customStyle="1" w:styleId="Style525">
    <w:name w:val="_Style 525"/>
    <w:basedOn w:val="Style480"/>
    <w:next w:val="aff7"/>
    <w:autoRedefine/>
    <w:semiHidden/>
    <w:qFormat/>
    <w:pPr>
      <w:widowControl w:val="0"/>
      <w:spacing w:before="120"/>
      <w:jc w:val="both"/>
    </w:pPr>
    <w:rPr>
      <w:rFonts w:ascii="Arial" w:hAnsi="Arial" w:cs="Times New Roman"/>
      <w:b/>
      <w:bCs/>
      <w:kern w:val="2"/>
      <w:szCs w:val="21"/>
    </w:rPr>
  </w:style>
  <w:style w:type="paragraph" w:customStyle="1" w:styleId="Style526">
    <w:name w:val="_Style 526"/>
    <w:basedOn w:val="Style480"/>
    <w:autoRedefine/>
    <w:semiHidden/>
    <w:qFormat/>
    <w:pPr>
      <w:keepNext/>
      <w:keepLines/>
      <w:widowControl w:val="0"/>
      <w:spacing w:before="60" w:after="60"/>
      <w:ind w:hangingChars="200" w:hanging="420"/>
      <w:jc w:val="both"/>
      <w:outlineLvl w:val="4"/>
    </w:pPr>
    <w:rPr>
      <w:rFonts w:cs="Times New Roman"/>
      <w:b/>
      <w:bCs/>
      <w:kern w:val="2"/>
      <w:szCs w:val="21"/>
    </w:rPr>
  </w:style>
  <w:style w:type="paragraph" w:customStyle="1" w:styleId="Style527">
    <w:name w:val="_Style 527"/>
    <w:autoRedefine/>
    <w:hidden/>
    <w:uiPriority w:val="99"/>
    <w:semiHidden/>
    <w:qFormat/>
    <w:rPr>
      <w:kern w:val="2"/>
      <w:szCs w:val="22"/>
    </w:rPr>
  </w:style>
  <w:style w:type="character" w:customStyle="1" w:styleId="Style528">
    <w:name w:val="_Style 528"/>
    <w:basedOn w:val="Style488"/>
    <w:autoRedefine/>
    <w:semiHidden/>
    <w:qFormat/>
    <w:rPr>
      <w:kern w:val="2"/>
      <w:sz w:val="21"/>
      <w:szCs w:val="24"/>
    </w:rPr>
  </w:style>
  <w:style w:type="paragraph" w:customStyle="1" w:styleId="Style529">
    <w:name w:val="_Style 529"/>
    <w:basedOn w:val="Style480"/>
    <w:autoRedefine/>
    <w:semiHidden/>
    <w:qFormat/>
    <w:pPr>
      <w:widowControl w:val="0"/>
      <w:spacing w:before="100" w:after="100"/>
      <w:jc w:val="both"/>
    </w:pPr>
    <w:rPr>
      <w:rFonts w:ascii="Calibri" w:hAnsi="Calibri" w:cs="Times New Roman"/>
      <w:kern w:val="2"/>
    </w:rPr>
  </w:style>
  <w:style w:type="paragraph" w:customStyle="1" w:styleId="Style530">
    <w:name w:val="_Style 530"/>
    <w:basedOn w:val="Style480"/>
    <w:autoRedefine/>
    <w:uiPriority w:val="99"/>
    <w:semiHidden/>
    <w:qFormat/>
    <w:pPr>
      <w:widowControl w:val="0"/>
      <w:jc w:val="both"/>
    </w:pPr>
    <w:rPr>
      <w:rFonts w:hAnsi="Calibri" w:cs="Times New Roman"/>
      <w:kern w:val="2"/>
      <w:sz w:val="18"/>
      <w:szCs w:val="18"/>
    </w:rPr>
  </w:style>
  <w:style w:type="character" w:customStyle="1" w:styleId="Style531">
    <w:name w:val="_Style 531"/>
    <w:basedOn w:val="Style488"/>
    <w:autoRedefine/>
    <w:uiPriority w:val="99"/>
    <w:semiHidden/>
    <w:qFormat/>
    <w:rPr>
      <w:rFonts w:ascii="宋体"/>
      <w:kern w:val="2"/>
      <w:sz w:val="18"/>
      <w:szCs w:val="18"/>
    </w:rPr>
  </w:style>
  <w:style w:type="character" w:customStyle="1" w:styleId="Style532">
    <w:name w:val="_Style 532"/>
    <w:basedOn w:val="Style488"/>
    <w:autoRedefine/>
    <w:uiPriority w:val="99"/>
    <w:semiHidden/>
    <w:qFormat/>
    <w:rPr>
      <w:color w:val="auto"/>
    </w:rPr>
  </w:style>
  <w:style w:type="paragraph" w:customStyle="1" w:styleId="Style533">
    <w:name w:val="_Style 533"/>
    <w:basedOn w:val="Style480"/>
    <w:next w:val="aff7"/>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character" w:customStyle="1" w:styleId="Style534">
    <w:name w:val="_Style 534"/>
    <w:basedOn w:val="Style488"/>
    <w:autoRedefine/>
    <w:uiPriority w:val="10"/>
    <w:semiHidden/>
    <w:qFormat/>
    <w:rPr>
      <w:rFonts w:asciiTheme="majorHAnsi" w:hAnsiTheme="majorHAnsi" w:cstheme="majorBidi"/>
      <w:b/>
      <w:bCs/>
      <w:kern w:val="2"/>
      <w:sz w:val="32"/>
      <w:szCs w:val="32"/>
    </w:rPr>
  </w:style>
  <w:style w:type="paragraph" w:customStyle="1" w:styleId="Style535">
    <w:name w:val="_Style 535"/>
    <w:autoRedefine/>
    <w:uiPriority w:val="1"/>
    <w:semiHidden/>
    <w:qFormat/>
    <w:pPr>
      <w:widowControl w:val="0"/>
      <w:jc w:val="both"/>
    </w:pPr>
    <w:rPr>
      <w:kern w:val="2"/>
      <w:szCs w:val="22"/>
    </w:rPr>
  </w:style>
  <w:style w:type="paragraph" w:customStyle="1" w:styleId="Style536">
    <w:name w:val="_Style 536"/>
    <w:basedOn w:val="Style480"/>
    <w:next w:val="aff7"/>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537">
    <w:name w:val="_Style 537"/>
    <w:basedOn w:val="Style480"/>
    <w:next w:val="aff7"/>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538">
    <w:name w:val="_Style 538"/>
    <w:basedOn w:val="Style480"/>
    <w:next w:val="aff7"/>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539">
    <w:name w:val="_Style 539"/>
    <w:basedOn w:val="Style480"/>
    <w:next w:val="aff7"/>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540">
    <w:name w:val="_Style 540"/>
    <w:basedOn w:val="Style480"/>
    <w:next w:val="aff7"/>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541">
    <w:name w:val="_Style 541"/>
    <w:basedOn w:val="Style480"/>
    <w:next w:val="aff7"/>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character" w:customStyle="1" w:styleId="Style542">
    <w:name w:val="_Style 542"/>
    <w:basedOn w:val="Style488"/>
    <w:autoRedefine/>
    <w:uiPriority w:val="9"/>
    <w:semiHidden/>
    <w:qFormat/>
    <w:rPr>
      <w:rFonts w:asciiTheme="majorHAnsi" w:hAnsiTheme="majorHAnsi" w:cstheme="majorBidi"/>
      <w:b/>
      <w:bCs/>
      <w:sz w:val="21"/>
      <w:szCs w:val="24"/>
    </w:rPr>
  </w:style>
  <w:style w:type="paragraph" w:customStyle="1" w:styleId="Style543">
    <w:name w:val="_Style 543"/>
    <w:basedOn w:val="Style480"/>
    <w:autoRedefine/>
    <w:uiPriority w:val="99"/>
    <w:semiHidden/>
    <w:qFormat/>
    <w:pPr>
      <w:spacing w:before="100" w:beforeAutospacing="1" w:after="100" w:afterAutospacing="1"/>
    </w:pPr>
  </w:style>
  <w:style w:type="paragraph" w:customStyle="1" w:styleId="Style544">
    <w:name w:val="_Style 544"/>
    <w:basedOn w:val="Style480"/>
    <w:autoRedefine/>
    <w:uiPriority w:val="99"/>
    <w:semiHidden/>
    <w:qFormat/>
    <w:pPr>
      <w:snapToGrid w:val="0"/>
    </w:pPr>
  </w:style>
  <w:style w:type="character" w:customStyle="1" w:styleId="Style545">
    <w:name w:val="_Style 545"/>
    <w:basedOn w:val="Style488"/>
    <w:autoRedefine/>
    <w:uiPriority w:val="99"/>
    <w:semiHidden/>
    <w:qFormat/>
    <w:rPr>
      <w:rFonts w:ascii="宋体" w:hAnsi="宋体" w:cs="宋体"/>
      <w:sz w:val="21"/>
      <w:szCs w:val="24"/>
    </w:rPr>
  </w:style>
  <w:style w:type="character" w:customStyle="1" w:styleId="Style546">
    <w:name w:val="_Style 546"/>
    <w:basedOn w:val="Style488"/>
    <w:autoRedefine/>
    <w:uiPriority w:val="99"/>
    <w:semiHidden/>
    <w:qFormat/>
    <w:rPr>
      <w:vertAlign w:val="superscript"/>
    </w:rPr>
  </w:style>
  <w:style w:type="character" w:customStyle="1" w:styleId="Style547">
    <w:name w:val="_Style 547"/>
    <w:basedOn w:val="Style500"/>
    <w:autoRedefine/>
    <w:uiPriority w:val="99"/>
    <w:semiHidden/>
    <w:qFormat/>
    <w:rPr>
      <w:rFonts w:ascii="Times New Roman" w:eastAsia="宋体" w:hAnsi="Times New Roman" w:cs="Times New Roman"/>
      <w:b/>
      <w:bCs/>
      <w:szCs w:val="21"/>
    </w:rPr>
  </w:style>
  <w:style w:type="paragraph" w:customStyle="1" w:styleId="Style548">
    <w:name w:val="_Style 548"/>
    <w:basedOn w:val="Style480"/>
    <w:next w:val="aff7"/>
    <w:autoRedefine/>
    <w:semiHidden/>
    <w:qFormat/>
    <w:pPr>
      <w:ind w:firstLineChars="200" w:firstLine="420"/>
    </w:pPr>
    <w:rPr>
      <w:rFonts w:cs="Times New Roman"/>
      <w:color w:val="000000"/>
      <w:szCs w:val="21"/>
    </w:rPr>
  </w:style>
  <w:style w:type="character" w:customStyle="1" w:styleId="Style549">
    <w:name w:val="_Style 549"/>
    <w:basedOn w:val="Style488"/>
    <w:autoRedefine/>
    <w:semiHidden/>
    <w:qFormat/>
  </w:style>
  <w:style w:type="paragraph" w:customStyle="1" w:styleId="Style550">
    <w:name w:val="_Style 550"/>
    <w:basedOn w:val="Style480"/>
    <w:autoRedefine/>
    <w:semiHidden/>
    <w:qFormat/>
    <w:pPr>
      <w:widowControl w:val="0"/>
      <w:ind w:firstLineChars="200" w:firstLine="420"/>
      <w:jc w:val="both"/>
    </w:pPr>
    <w:rPr>
      <w:rFonts w:ascii="Times New Roman" w:hAnsi="Times New Roman" w:cs="Times New Roman"/>
      <w:kern w:val="2"/>
      <w:szCs w:val="21"/>
    </w:rPr>
  </w:style>
  <w:style w:type="paragraph" w:customStyle="1" w:styleId="Style551">
    <w:name w:val="_Style 551"/>
    <w:basedOn w:val="Style480"/>
    <w:autoRedefine/>
    <w:semiHidden/>
    <w:qFormat/>
    <w:pPr>
      <w:widowControl w:val="0"/>
      <w:tabs>
        <w:tab w:val="left" w:pos="1200"/>
      </w:tabs>
      <w:jc w:val="both"/>
    </w:pPr>
    <w:rPr>
      <w:rFonts w:ascii="Times New Roman" w:hAnsi="Times New Roman" w:cs="Times New Roman"/>
      <w:kern w:val="2"/>
      <w:szCs w:val="21"/>
    </w:rPr>
  </w:style>
  <w:style w:type="paragraph" w:customStyle="1" w:styleId="Style552">
    <w:name w:val="_Style 552"/>
    <w:basedOn w:val="Style480"/>
    <w:next w:val="aff7"/>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553">
    <w:name w:val="_Style 553"/>
    <w:basedOn w:val="Style488"/>
    <w:autoRedefine/>
    <w:semiHidden/>
    <w:qFormat/>
    <w:rPr>
      <w:rFonts w:ascii="Times New Roman" w:hAnsi="Times New Roman"/>
      <w:b/>
      <w:kern w:val="2"/>
      <w:sz w:val="21"/>
      <w:szCs w:val="24"/>
    </w:rPr>
  </w:style>
  <w:style w:type="character" w:customStyle="1" w:styleId="Style554">
    <w:name w:val="_Style 554"/>
    <w:basedOn w:val="Style488"/>
    <w:autoRedefine/>
    <w:uiPriority w:val="9"/>
    <w:semiHidden/>
    <w:qFormat/>
    <w:rPr>
      <w:rFonts w:ascii="宋体" w:hAnsi="宋体" w:cs="宋体"/>
      <w:b/>
      <w:bCs/>
      <w:sz w:val="24"/>
      <w:szCs w:val="24"/>
    </w:rPr>
  </w:style>
  <w:style w:type="character" w:customStyle="1" w:styleId="Style555">
    <w:name w:val="_Style 555"/>
    <w:basedOn w:val="Style500"/>
    <w:autoRedefine/>
    <w:uiPriority w:val="99"/>
    <w:semiHidden/>
    <w:qFormat/>
    <w:rPr>
      <w:rFonts w:ascii="Times New Roman" w:eastAsia="宋体" w:hAnsi="Times New Roman" w:cs="Times New Roman"/>
      <w:b/>
      <w:bCs/>
      <w:szCs w:val="21"/>
    </w:rPr>
  </w:style>
  <w:style w:type="character" w:customStyle="1" w:styleId="Style556">
    <w:name w:val="_Style 556"/>
    <w:autoRedefine/>
    <w:uiPriority w:val="9"/>
    <w:semiHidden/>
    <w:qFormat/>
    <w:rPr>
      <w:rFonts w:ascii="Cambria" w:hAnsi="Cambria"/>
      <w:b/>
      <w:bCs/>
      <w:kern w:val="2"/>
      <w:sz w:val="21"/>
      <w:szCs w:val="28"/>
    </w:rPr>
  </w:style>
  <w:style w:type="paragraph" w:customStyle="1" w:styleId="Style557">
    <w:name w:val="_Style 557"/>
    <w:basedOn w:val="Style480"/>
    <w:next w:val="ab"/>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558">
    <w:name w:val="_Style 558"/>
    <w:basedOn w:val="Style480"/>
    <w:next w:val="ab"/>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559">
    <w:name w:val="_Style 559"/>
    <w:autoRedefine/>
    <w:uiPriority w:val="9"/>
    <w:semiHidden/>
    <w:qFormat/>
    <w:rPr>
      <w:b/>
      <w:bCs/>
      <w:kern w:val="2"/>
      <w:sz w:val="21"/>
      <w:szCs w:val="32"/>
    </w:rPr>
  </w:style>
  <w:style w:type="paragraph" w:customStyle="1" w:styleId="Style560">
    <w:name w:val="_Style 560"/>
    <w:basedOn w:val="Style480"/>
    <w:next w:val="ab"/>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561">
    <w:name w:val="_Style 561"/>
    <w:basedOn w:val="Style480"/>
    <w:next w:val="ab"/>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562">
    <w:name w:val="_Style 562"/>
    <w:basedOn w:val="Style480"/>
    <w:autoRedefine/>
    <w:uiPriority w:val="1"/>
    <w:semiHidden/>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563">
    <w:name w:val="_Style 563"/>
    <w:autoRedefine/>
    <w:semiHidden/>
    <w:qFormat/>
    <w:rPr>
      <w:rFonts w:ascii="Times New Roman" w:hAnsi="Times New Roman"/>
      <w:kern w:val="2"/>
      <w:sz w:val="21"/>
      <w:szCs w:val="21"/>
    </w:rPr>
  </w:style>
  <w:style w:type="character" w:customStyle="1" w:styleId="Style564">
    <w:name w:val="_Style 564"/>
    <w:autoRedefine/>
    <w:uiPriority w:val="9"/>
    <w:semiHidden/>
    <w:qFormat/>
    <w:rPr>
      <w:b/>
      <w:bCs/>
      <w:kern w:val="2"/>
      <w:sz w:val="21"/>
      <w:szCs w:val="32"/>
    </w:rPr>
  </w:style>
  <w:style w:type="character" w:customStyle="1" w:styleId="Style565">
    <w:name w:val="_Style 565"/>
    <w:autoRedefine/>
    <w:uiPriority w:val="9"/>
    <w:semiHidden/>
    <w:qFormat/>
    <w:rPr>
      <w:b/>
      <w:bCs/>
      <w:kern w:val="2"/>
      <w:sz w:val="21"/>
      <w:szCs w:val="28"/>
    </w:rPr>
  </w:style>
  <w:style w:type="paragraph" w:customStyle="1" w:styleId="Style566">
    <w:name w:val="_Style 566"/>
    <w:basedOn w:val="Style480"/>
    <w:next w:val="ab"/>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567">
    <w:name w:val="_Style 567"/>
    <w:autoRedefine/>
    <w:uiPriority w:val="99"/>
    <w:semiHidden/>
    <w:qFormat/>
    <w:rPr>
      <w:rFonts w:ascii="Times New Roman" w:hAnsi="Times New Roman"/>
      <w:kern w:val="2"/>
      <w:sz w:val="21"/>
      <w:szCs w:val="21"/>
    </w:rPr>
  </w:style>
  <w:style w:type="character" w:customStyle="1" w:styleId="Style568">
    <w:name w:val="_Style 568"/>
    <w:autoRedefine/>
    <w:semiHidden/>
    <w:qFormat/>
    <w:rPr>
      <w:rFonts w:ascii="FZLTSK--GBK1-0" w:hAnsi="FZLTSK--GBK1-0" w:hint="default"/>
      <w:color w:val="000000"/>
      <w:sz w:val="20"/>
      <w:szCs w:val="20"/>
    </w:rPr>
  </w:style>
  <w:style w:type="paragraph" w:customStyle="1" w:styleId="Style569">
    <w:name w:val="_Style 569"/>
    <w:basedOn w:val="Style480"/>
    <w:next w:val="ab"/>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570">
    <w:name w:val="_Style 570"/>
    <w:autoRedefine/>
    <w:uiPriority w:val="99"/>
    <w:semiHidden/>
    <w:qFormat/>
    <w:rPr>
      <w:rFonts w:ascii="Times New Roman" w:hAnsi="Times New Roman"/>
      <w:kern w:val="2"/>
      <w:sz w:val="21"/>
      <w:szCs w:val="21"/>
    </w:rPr>
  </w:style>
  <w:style w:type="character" w:customStyle="1" w:styleId="Style571">
    <w:name w:val="_Style 571"/>
    <w:autoRedefine/>
    <w:uiPriority w:val="9"/>
    <w:semiHidden/>
    <w:qFormat/>
    <w:rPr>
      <w:b/>
      <w:bCs/>
      <w:kern w:val="2"/>
      <w:sz w:val="21"/>
      <w:szCs w:val="28"/>
    </w:rPr>
  </w:style>
  <w:style w:type="character" w:customStyle="1" w:styleId="Style572">
    <w:name w:val="_Style 572"/>
    <w:autoRedefine/>
    <w:uiPriority w:val="99"/>
    <w:semiHidden/>
    <w:qFormat/>
    <w:locked/>
    <w:rPr>
      <w:rFonts w:ascii="Times New Roman" w:hAnsi="Times New Roman"/>
      <w:kern w:val="2"/>
      <w:sz w:val="21"/>
      <w:szCs w:val="21"/>
    </w:rPr>
  </w:style>
  <w:style w:type="character" w:customStyle="1" w:styleId="Style573">
    <w:name w:val="_Style 573"/>
    <w:autoRedefine/>
    <w:uiPriority w:val="99"/>
    <w:semiHidden/>
    <w:qFormat/>
    <w:rPr>
      <w:rFonts w:ascii="Times New Roman" w:hAnsi="Times New Roman"/>
      <w:kern w:val="2"/>
      <w:sz w:val="21"/>
      <w:szCs w:val="21"/>
    </w:rPr>
  </w:style>
  <w:style w:type="character" w:customStyle="1" w:styleId="Style574">
    <w:name w:val="_Style 574"/>
    <w:autoRedefine/>
    <w:uiPriority w:val="9"/>
    <w:semiHidden/>
    <w:qFormat/>
    <w:rPr>
      <w:b/>
      <w:bCs/>
      <w:kern w:val="2"/>
      <w:sz w:val="21"/>
      <w:szCs w:val="28"/>
    </w:rPr>
  </w:style>
  <w:style w:type="paragraph" w:customStyle="1" w:styleId="Style575">
    <w:name w:val="_Style 575"/>
    <w:basedOn w:val="Style480"/>
    <w:next w:val="ab"/>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576">
    <w:name w:val="_Style 576"/>
    <w:autoRedefine/>
    <w:uiPriority w:val="9"/>
    <w:semiHidden/>
    <w:qFormat/>
    <w:rPr>
      <w:b/>
      <w:bCs/>
      <w:kern w:val="2"/>
      <w:sz w:val="21"/>
      <w:szCs w:val="32"/>
    </w:rPr>
  </w:style>
  <w:style w:type="character" w:customStyle="1" w:styleId="Style577">
    <w:name w:val="_Style 577"/>
    <w:autoRedefine/>
    <w:uiPriority w:val="9"/>
    <w:semiHidden/>
    <w:qFormat/>
    <w:rPr>
      <w:b/>
      <w:bCs/>
      <w:kern w:val="2"/>
      <w:sz w:val="21"/>
      <w:szCs w:val="32"/>
    </w:rPr>
  </w:style>
  <w:style w:type="character" w:customStyle="1" w:styleId="Style578">
    <w:name w:val="_Style 578"/>
    <w:autoRedefine/>
    <w:semiHidden/>
    <w:qFormat/>
    <w:rPr>
      <w:rFonts w:ascii="Times New Roman" w:hAnsi="Times New Roman"/>
      <w:kern w:val="2"/>
      <w:sz w:val="21"/>
      <w:szCs w:val="21"/>
    </w:rPr>
  </w:style>
  <w:style w:type="paragraph" w:customStyle="1" w:styleId="Style579">
    <w:name w:val="_Style 579"/>
    <w:autoRedefine/>
    <w:hidden/>
    <w:uiPriority w:val="99"/>
    <w:semiHidden/>
    <w:qFormat/>
    <w:rPr>
      <w:rFonts w:ascii="宋体" w:hAnsi="宋体" w:cs="宋体"/>
      <w:sz w:val="24"/>
      <w:szCs w:val="24"/>
    </w:rPr>
  </w:style>
  <w:style w:type="paragraph" w:customStyle="1" w:styleId="Style580">
    <w:name w:val="_Style 580"/>
    <w:link w:val="Style5800"/>
    <w:autoRedefine/>
    <w:semiHidden/>
    <w:qFormat/>
    <w:rPr>
      <w:rFonts w:ascii="宋体" w:hAnsi="宋体" w:cs="宋体"/>
      <w:sz w:val="24"/>
      <w:szCs w:val="24"/>
    </w:rPr>
  </w:style>
  <w:style w:type="paragraph" w:customStyle="1" w:styleId="Style581">
    <w:name w:val="_Style 581"/>
    <w:basedOn w:val="Style580"/>
    <w:next w:val="aff7"/>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582">
    <w:name w:val="_Style 582"/>
    <w:basedOn w:val="Style580"/>
    <w:next w:val="aff7"/>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583">
    <w:name w:val="_Style 583"/>
    <w:basedOn w:val="Style580"/>
    <w:next w:val="aff7"/>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584">
    <w:name w:val="_Style 584"/>
    <w:basedOn w:val="Style580"/>
    <w:next w:val="aff7"/>
    <w:autoRedefine/>
    <w:uiPriority w:val="9"/>
    <w:semiHidden/>
    <w:qFormat/>
    <w:pPr>
      <w:keepNext/>
      <w:keepLines/>
      <w:widowControl w:val="0"/>
      <w:spacing w:before="60" w:after="60"/>
      <w:ind w:left="420" w:hanging="420"/>
      <w:jc w:val="both"/>
      <w:outlineLvl w:val="3"/>
    </w:pPr>
    <w:rPr>
      <w:rFonts w:asciiTheme="minorEastAsia" w:eastAsiaTheme="minorEastAsia" w:hAnsiTheme="minorEastAsia" w:cs="Times New Roman"/>
      <w:b/>
      <w:bCs/>
      <w:kern w:val="2"/>
      <w:sz w:val="21"/>
      <w:szCs w:val="21"/>
    </w:rPr>
  </w:style>
  <w:style w:type="paragraph" w:customStyle="1" w:styleId="Style585">
    <w:name w:val="_Style 585"/>
    <w:basedOn w:val="Style580"/>
    <w:next w:val="aff7"/>
    <w:autoRedefine/>
    <w:uiPriority w:val="9"/>
    <w:semiHidden/>
    <w:qFormat/>
    <w:pPr>
      <w:keepNext/>
      <w:keepLines/>
      <w:widowControl w:val="0"/>
      <w:spacing w:before="60" w:after="60"/>
      <w:ind w:left="426" w:hanging="425"/>
      <w:jc w:val="both"/>
      <w:outlineLvl w:val="4"/>
    </w:pPr>
    <w:rPr>
      <w:rFonts w:ascii="Calibri" w:hAnsi="Calibri" w:cs="Times New Roman"/>
      <w:b/>
      <w:bCs/>
      <w:kern w:val="2"/>
      <w:sz w:val="21"/>
      <w:szCs w:val="21"/>
    </w:rPr>
  </w:style>
  <w:style w:type="paragraph" w:customStyle="1" w:styleId="Style586">
    <w:name w:val="_Style 586"/>
    <w:basedOn w:val="Style580"/>
    <w:next w:val="aff7"/>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587">
    <w:name w:val="_Style 587"/>
    <w:basedOn w:val="Style580"/>
    <w:next w:val="aff7"/>
    <w:autoRedefine/>
    <w:uiPriority w:val="9"/>
    <w:semiHidden/>
    <w:qFormat/>
    <w:pPr>
      <w:keepNext/>
      <w:keepLines/>
      <w:spacing w:before="240" w:after="64" w:line="320" w:lineRule="auto"/>
      <w:outlineLvl w:val="6"/>
    </w:pPr>
    <w:rPr>
      <w:b/>
      <w:bCs/>
    </w:rPr>
  </w:style>
  <w:style w:type="character" w:customStyle="1" w:styleId="Style588">
    <w:name w:val="_Style 588"/>
    <w:autoRedefine/>
    <w:uiPriority w:val="1"/>
    <w:semiHidden/>
    <w:qFormat/>
  </w:style>
  <w:style w:type="character" w:customStyle="1" w:styleId="Style589">
    <w:name w:val="_Style 589"/>
    <w:basedOn w:val="Style588"/>
    <w:autoRedefine/>
    <w:uiPriority w:val="99"/>
    <w:semiHidden/>
    <w:qFormat/>
    <w:rPr>
      <w:rFonts w:eastAsia="黑体"/>
      <w:b/>
      <w:bCs/>
      <w:kern w:val="44"/>
      <w:sz w:val="28"/>
      <w:szCs w:val="44"/>
    </w:rPr>
  </w:style>
  <w:style w:type="character" w:customStyle="1" w:styleId="Style590">
    <w:name w:val="_Style 590"/>
    <w:basedOn w:val="Style588"/>
    <w:autoRedefine/>
    <w:semiHidden/>
    <w:qFormat/>
    <w:rPr>
      <w:rFonts w:ascii="Arial" w:hAnsi="Arial"/>
      <w:b/>
      <w:bCs/>
      <w:kern w:val="2"/>
      <w:sz w:val="21"/>
      <w:szCs w:val="21"/>
    </w:rPr>
  </w:style>
  <w:style w:type="character" w:customStyle="1" w:styleId="Style591">
    <w:name w:val="_Style 591"/>
    <w:basedOn w:val="Style588"/>
    <w:autoRedefine/>
    <w:uiPriority w:val="9"/>
    <w:semiHidden/>
    <w:qFormat/>
    <w:rPr>
      <w:b/>
      <w:bCs/>
      <w:kern w:val="2"/>
      <w:sz w:val="21"/>
      <w:szCs w:val="32"/>
    </w:rPr>
  </w:style>
  <w:style w:type="character" w:customStyle="1" w:styleId="Style592">
    <w:name w:val="_Style 592"/>
    <w:basedOn w:val="Style588"/>
    <w:autoRedefine/>
    <w:uiPriority w:val="9"/>
    <w:semiHidden/>
    <w:qFormat/>
    <w:rPr>
      <w:rFonts w:asciiTheme="minorEastAsia" w:eastAsiaTheme="minorEastAsia" w:hAnsiTheme="minorEastAsia"/>
      <w:b/>
      <w:bCs/>
      <w:kern w:val="2"/>
      <w:sz w:val="21"/>
      <w:szCs w:val="28"/>
    </w:rPr>
  </w:style>
  <w:style w:type="character" w:customStyle="1" w:styleId="Style593">
    <w:name w:val="_Style 593"/>
    <w:basedOn w:val="Style588"/>
    <w:autoRedefine/>
    <w:uiPriority w:val="9"/>
    <w:semiHidden/>
    <w:qFormat/>
    <w:rPr>
      <w:b/>
      <w:bCs/>
      <w:kern w:val="2"/>
      <w:sz w:val="21"/>
      <w:szCs w:val="28"/>
    </w:rPr>
  </w:style>
  <w:style w:type="paragraph" w:customStyle="1" w:styleId="Style594">
    <w:name w:val="_Style 594"/>
    <w:basedOn w:val="Style581"/>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595">
    <w:name w:val="_Style 595"/>
    <w:basedOn w:val="Style580"/>
    <w:next w:val="aff7"/>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596">
    <w:name w:val="_Style 596"/>
    <w:basedOn w:val="Style580"/>
    <w:next w:val="aff7"/>
    <w:autoRedefine/>
    <w:uiPriority w:val="39"/>
    <w:semiHidden/>
    <w:qFormat/>
    <w:pPr>
      <w:widowControl w:val="0"/>
      <w:ind w:leftChars="200" w:left="420"/>
      <w:jc w:val="both"/>
    </w:pPr>
    <w:rPr>
      <w:rFonts w:ascii="Times New Roman" w:hAnsi="Times New Roman" w:cs="Times New Roman"/>
      <w:kern w:val="2"/>
      <w:szCs w:val="21"/>
    </w:rPr>
  </w:style>
  <w:style w:type="character" w:customStyle="1" w:styleId="Style597">
    <w:name w:val="_Style 597"/>
    <w:basedOn w:val="Style588"/>
    <w:autoRedefine/>
    <w:uiPriority w:val="99"/>
    <w:semiHidden/>
    <w:qFormat/>
    <w:rPr>
      <w:rFonts w:cs="Times New Roman"/>
      <w:color w:val="0000FF"/>
      <w:u w:val="single"/>
    </w:rPr>
  </w:style>
  <w:style w:type="character" w:customStyle="1" w:styleId="Style598">
    <w:name w:val="_Style 598"/>
    <w:basedOn w:val="Style588"/>
    <w:autoRedefine/>
    <w:semiHidden/>
    <w:qFormat/>
    <w:rPr>
      <w:rFonts w:eastAsia="宋体" w:cs="Times New Roman"/>
      <w:kern w:val="2"/>
      <w:sz w:val="21"/>
      <w:szCs w:val="21"/>
      <w:lang w:val="en-US" w:eastAsia="zh-CN" w:bidi="ar-SA"/>
    </w:rPr>
  </w:style>
  <w:style w:type="paragraph" w:customStyle="1" w:styleId="Style599">
    <w:name w:val="_Style 599"/>
    <w:basedOn w:val="Style580"/>
    <w:autoRedefine/>
    <w:semiHidden/>
    <w:qFormat/>
    <w:pPr>
      <w:widowControl w:val="0"/>
    </w:pPr>
    <w:rPr>
      <w:rFonts w:ascii="Times New Roman" w:hAnsi="Times New Roman" w:cs="Times New Roman"/>
      <w:kern w:val="2"/>
      <w:szCs w:val="21"/>
    </w:rPr>
  </w:style>
  <w:style w:type="character" w:customStyle="1" w:styleId="Style600">
    <w:name w:val="_Style 600"/>
    <w:basedOn w:val="Style588"/>
    <w:autoRedefine/>
    <w:semiHidden/>
    <w:qFormat/>
    <w:rPr>
      <w:rFonts w:ascii="Times New Roman" w:eastAsia="宋体" w:hAnsi="Times New Roman" w:cs="Times New Roman"/>
      <w:szCs w:val="21"/>
    </w:rPr>
  </w:style>
  <w:style w:type="paragraph" w:customStyle="1" w:styleId="Style601">
    <w:name w:val="_Style 601"/>
    <w:basedOn w:val="Style580"/>
    <w:autoRedefine/>
    <w:uiPriority w:val="99"/>
    <w:semiHidden/>
    <w:qFormat/>
    <w:pPr>
      <w:widowControl w:val="0"/>
      <w:jc w:val="both"/>
    </w:pPr>
    <w:rPr>
      <w:rFonts w:ascii="Calibri" w:hAnsi="Calibri" w:cs="Times New Roman"/>
      <w:kern w:val="2"/>
      <w:sz w:val="18"/>
      <w:szCs w:val="18"/>
    </w:rPr>
  </w:style>
  <w:style w:type="character" w:customStyle="1" w:styleId="Style602">
    <w:name w:val="_Style 602"/>
    <w:basedOn w:val="Style588"/>
    <w:autoRedefine/>
    <w:uiPriority w:val="99"/>
    <w:semiHidden/>
    <w:qFormat/>
    <w:rPr>
      <w:rFonts w:ascii="Calibri" w:eastAsia="宋体" w:hAnsi="Calibri" w:cs="Times New Roman"/>
      <w:sz w:val="18"/>
      <w:szCs w:val="18"/>
    </w:rPr>
  </w:style>
  <w:style w:type="paragraph" w:customStyle="1" w:styleId="Style603">
    <w:name w:val="_Style 603"/>
    <w:basedOn w:val="Style580"/>
    <w:next w:val="aff7"/>
    <w:autoRedefine/>
    <w:uiPriority w:val="99"/>
    <w:semiHidden/>
    <w:qFormat/>
    <w:pPr>
      <w:widowControl w:val="0"/>
      <w:jc w:val="both"/>
    </w:pPr>
    <w:rPr>
      <w:rFonts w:ascii="Times New Roman" w:hAnsi="Times New Roman" w:cs="Times New Roman"/>
      <w:kern w:val="2"/>
      <w:szCs w:val="21"/>
    </w:rPr>
  </w:style>
  <w:style w:type="character" w:customStyle="1" w:styleId="Style604">
    <w:name w:val="_Style 604"/>
    <w:basedOn w:val="Style588"/>
    <w:autoRedefine/>
    <w:uiPriority w:val="99"/>
    <w:semiHidden/>
    <w:qFormat/>
    <w:rPr>
      <w:rFonts w:ascii="Times New Roman" w:eastAsia="宋体" w:hAnsi="Times New Roman" w:cs="Times New Roman"/>
      <w:szCs w:val="21"/>
    </w:rPr>
  </w:style>
  <w:style w:type="character" w:customStyle="1" w:styleId="Style605">
    <w:name w:val="_Style 605"/>
    <w:basedOn w:val="Style588"/>
    <w:autoRedefine/>
    <w:uiPriority w:val="99"/>
    <w:semiHidden/>
    <w:qFormat/>
    <w:rPr>
      <w:rFonts w:eastAsia="宋体" w:cs="Times New Roman"/>
      <w:color w:val="FF0000"/>
      <w:kern w:val="2"/>
      <w:sz w:val="24"/>
      <w:szCs w:val="24"/>
      <w:lang w:val="en-US" w:eastAsia="zh-CN" w:bidi="ar-SA"/>
    </w:rPr>
  </w:style>
  <w:style w:type="paragraph" w:customStyle="1" w:styleId="Style606">
    <w:name w:val="_Style 606"/>
    <w:basedOn w:val="Style580"/>
    <w:autoRedefine/>
    <w:uiPriority w:val="99"/>
    <w:semiHidden/>
    <w:qFormat/>
    <w:pPr>
      <w:spacing w:before="100" w:after="100"/>
      <w:jc w:val="right"/>
    </w:pPr>
    <w:rPr>
      <w:rFonts w:ascii="Arial Unicode MS" w:eastAsia="Arial Unicode MS" w:hAnsi="Times New Roman" w:cs="Times New Roman"/>
      <w:sz w:val="18"/>
      <w:szCs w:val="18"/>
    </w:rPr>
  </w:style>
  <w:style w:type="paragraph" w:customStyle="1" w:styleId="Style607">
    <w:name w:val="_Style 607"/>
    <w:basedOn w:val="Style580"/>
    <w:link w:val="Style6070"/>
    <w:autoRedefine/>
    <w:uiPriority w:val="99"/>
    <w:semiHidden/>
    <w:qFormat/>
    <w:pPr>
      <w:widowControl w:val="0"/>
      <w:jc w:val="both"/>
    </w:pPr>
    <w:rPr>
      <w:rFonts w:ascii="Calibri" w:hAnsi="Calibri" w:cs="Times New Roman"/>
      <w:kern w:val="2"/>
      <w:szCs w:val="22"/>
    </w:rPr>
  </w:style>
  <w:style w:type="character" w:customStyle="1" w:styleId="Style608">
    <w:name w:val="_Style 608"/>
    <w:basedOn w:val="Style600"/>
    <w:autoRedefine/>
    <w:uiPriority w:val="99"/>
    <w:semiHidden/>
    <w:qFormat/>
    <w:rPr>
      <w:rFonts w:ascii="Calibri" w:eastAsia="宋体" w:hAnsi="Calibri" w:cs="Times New Roman"/>
      <w:b/>
      <w:bCs/>
      <w:szCs w:val="21"/>
    </w:rPr>
  </w:style>
  <w:style w:type="paragraph" w:customStyle="1" w:styleId="Style609">
    <w:name w:val="_Style 609"/>
    <w:basedOn w:val="Style599"/>
    <w:autoRedefine/>
    <w:uiPriority w:val="99"/>
    <w:semiHidden/>
    <w:qFormat/>
    <w:rPr>
      <w:rFonts w:ascii="Calibri" w:hAnsi="Calibri"/>
      <w:b/>
      <w:bCs/>
      <w:szCs w:val="22"/>
    </w:rPr>
  </w:style>
  <w:style w:type="paragraph" w:customStyle="1" w:styleId="Style610">
    <w:name w:val="_Style 610"/>
    <w:basedOn w:val="Style580"/>
    <w:next w:val="aff7"/>
    <w:autoRedefine/>
    <w:uiPriority w:val="39"/>
    <w:semiHidden/>
    <w:qFormat/>
    <w:pPr>
      <w:spacing w:after="100" w:line="276" w:lineRule="auto"/>
      <w:ind w:left="440"/>
    </w:pPr>
    <w:rPr>
      <w:rFonts w:ascii="Calibri" w:hAnsi="Calibri" w:cs="Times New Roman"/>
      <w:sz w:val="22"/>
      <w:szCs w:val="22"/>
    </w:rPr>
  </w:style>
  <w:style w:type="paragraph" w:customStyle="1" w:styleId="Style611">
    <w:name w:val="_Style 611"/>
    <w:basedOn w:val="Style580"/>
    <w:autoRedefine/>
    <w:uiPriority w:val="99"/>
    <w:semiHidden/>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Style612">
    <w:name w:val="_Style 612"/>
    <w:basedOn w:val="Style588"/>
    <w:autoRedefine/>
    <w:uiPriority w:val="99"/>
    <w:semiHidden/>
    <w:qFormat/>
    <w:rPr>
      <w:rFonts w:ascii="Calibri" w:eastAsia="宋体" w:hAnsi="Calibri" w:cs="Times New Roman"/>
      <w:sz w:val="18"/>
      <w:szCs w:val="18"/>
    </w:rPr>
  </w:style>
  <w:style w:type="paragraph" w:customStyle="1" w:styleId="Style613">
    <w:name w:val="_Style 613"/>
    <w:basedOn w:val="Style580"/>
    <w:autoRedefine/>
    <w:uiPriority w:val="99"/>
    <w:semiHidden/>
    <w:qFormat/>
    <w:pPr>
      <w:widowControl w:val="0"/>
      <w:tabs>
        <w:tab w:val="center" w:pos="4153"/>
        <w:tab w:val="right" w:pos="8306"/>
      </w:tabs>
      <w:snapToGrid w:val="0"/>
    </w:pPr>
    <w:rPr>
      <w:rFonts w:ascii="Calibri" w:hAnsi="Calibri" w:cs="Times New Roman"/>
      <w:kern w:val="2"/>
      <w:sz w:val="18"/>
      <w:szCs w:val="18"/>
    </w:rPr>
  </w:style>
  <w:style w:type="character" w:customStyle="1" w:styleId="Style614">
    <w:name w:val="_Style 614"/>
    <w:basedOn w:val="Style588"/>
    <w:autoRedefine/>
    <w:uiPriority w:val="99"/>
    <w:semiHidden/>
    <w:qFormat/>
    <w:rPr>
      <w:rFonts w:ascii="Calibri" w:eastAsia="宋体" w:hAnsi="Calibri" w:cs="Times New Roman"/>
      <w:sz w:val="18"/>
      <w:szCs w:val="18"/>
    </w:rPr>
  </w:style>
  <w:style w:type="paragraph" w:customStyle="1" w:styleId="Style615">
    <w:name w:val="_Style 615"/>
    <w:basedOn w:val="Style580"/>
    <w:autoRedefine/>
    <w:semiHidden/>
    <w:qFormat/>
    <w:pPr>
      <w:widowControl w:val="0"/>
      <w:jc w:val="both"/>
    </w:pPr>
    <w:rPr>
      <w:rFonts w:hAnsi="Courier New" w:cs="Times New Roman"/>
      <w:kern w:val="2"/>
      <w:szCs w:val="20"/>
    </w:rPr>
  </w:style>
  <w:style w:type="character" w:customStyle="1" w:styleId="Style616">
    <w:name w:val="_Style 616"/>
    <w:basedOn w:val="Style588"/>
    <w:autoRedefine/>
    <w:semiHidden/>
    <w:qFormat/>
    <w:rPr>
      <w:rFonts w:ascii="宋体" w:eastAsia="宋体" w:hAnsi="Courier New" w:cs="Times New Roman"/>
      <w:szCs w:val="20"/>
    </w:rPr>
  </w:style>
  <w:style w:type="character" w:customStyle="1" w:styleId="Style617">
    <w:name w:val="_Style 617"/>
    <w:basedOn w:val="Style588"/>
    <w:autoRedefine/>
    <w:semiHidden/>
    <w:qFormat/>
    <w:rPr>
      <w:rFonts w:eastAsia="宋体" w:cs="Times New Roman"/>
      <w:kern w:val="2"/>
      <w:sz w:val="24"/>
      <w:szCs w:val="24"/>
      <w:lang w:val="en-US" w:eastAsia="zh-CN" w:bidi="ar-SA"/>
    </w:rPr>
  </w:style>
  <w:style w:type="paragraph" w:customStyle="1" w:styleId="Style618">
    <w:name w:val="_Style 618"/>
    <w:basedOn w:val="Style580"/>
    <w:autoRedefine/>
    <w:uiPriority w:val="99"/>
    <w:semiHidden/>
    <w:qFormat/>
    <w:pPr>
      <w:widowControl w:val="0"/>
      <w:spacing w:after="120"/>
      <w:jc w:val="both"/>
    </w:pPr>
    <w:rPr>
      <w:rFonts w:ascii="Times New Roman" w:hAnsi="Times New Roman" w:cs="Times New Roman"/>
      <w:kern w:val="2"/>
      <w:szCs w:val="21"/>
    </w:rPr>
  </w:style>
  <w:style w:type="character" w:customStyle="1" w:styleId="Style619">
    <w:name w:val="_Style 619"/>
    <w:basedOn w:val="Style588"/>
    <w:autoRedefine/>
    <w:uiPriority w:val="99"/>
    <w:semiHidden/>
    <w:qFormat/>
    <w:rPr>
      <w:rFonts w:ascii="Times New Roman" w:eastAsia="宋体" w:hAnsi="Times New Roman" w:cs="Times New Roman"/>
      <w:szCs w:val="21"/>
    </w:rPr>
  </w:style>
  <w:style w:type="paragraph" w:customStyle="1" w:styleId="Style620">
    <w:name w:val="_Style 620"/>
    <w:basedOn w:val="Style580"/>
    <w:autoRedefine/>
    <w:uiPriority w:val="99"/>
    <w:semiHidden/>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Style621">
    <w:name w:val="_Style 621"/>
    <w:basedOn w:val="Style580"/>
    <w:next w:val="aff7"/>
    <w:autoRedefine/>
    <w:uiPriority w:val="99"/>
    <w:semiHidden/>
    <w:qFormat/>
    <w:pPr>
      <w:widowControl w:val="0"/>
      <w:ind w:leftChars="2500" w:left="100"/>
      <w:jc w:val="both"/>
    </w:pPr>
    <w:rPr>
      <w:rFonts w:ascii="Times New Roman" w:hAnsi="Times New Roman" w:cs="Times New Roman"/>
      <w:kern w:val="2"/>
      <w:szCs w:val="21"/>
    </w:rPr>
  </w:style>
  <w:style w:type="character" w:customStyle="1" w:styleId="Style622">
    <w:name w:val="_Style 622"/>
    <w:basedOn w:val="Style588"/>
    <w:autoRedefine/>
    <w:uiPriority w:val="99"/>
    <w:semiHidden/>
    <w:qFormat/>
    <w:rPr>
      <w:rFonts w:ascii="Times New Roman" w:eastAsia="宋体" w:hAnsi="Times New Roman" w:cs="Times New Roman"/>
      <w:szCs w:val="21"/>
    </w:rPr>
  </w:style>
  <w:style w:type="paragraph" w:customStyle="1" w:styleId="Style623">
    <w:name w:val="_Style 623"/>
    <w:basedOn w:val="Style580"/>
    <w:next w:val="aff7"/>
    <w:autoRedefine/>
    <w:uiPriority w:val="99"/>
    <w:semiHidden/>
    <w:qFormat/>
    <w:pPr>
      <w:widowControl w:val="0"/>
      <w:jc w:val="center"/>
    </w:pPr>
    <w:rPr>
      <w:rFonts w:ascii="Times New Roman" w:hAnsi="Times New Roman" w:cs="Times New Roman"/>
      <w:kern w:val="2"/>
      <w:szCs w:val="21"/>
    </w:rPr>
  </w:style>
  <w:style w:type="character" w:customStyle="1" w:styleId="Style624">
    <w:name w:val="_Style 624"/>
    <w:basedOn w:val="Style588"/>
    <w:autoRedefine/>
    <w:uiPriority w:val="99"/>
    <w:semiHidden/>
    <w:qFormat/>
    <w:rPr>
      <w:rFonts w:ascii="Times New Roman" w:eastAsia="宋体" w:hAnsi="Times New Roman" w:cs="Times New Roman"/>
      <w:szCs w:val="21"/>
    </w:rPr>
  </w:style>
  <w:style w:type="paragraph" w:customStyle="1" w:styleId="Style625">
    <w:name w:val="_Style 625"/>
    <w:basedOn w:val="Style580"/>
    <w:next w:val="aff7"/>
    <w:autoRedefine/>
    <w:semiHidden/>
    <w:qFormat/>
    <w:pPr>
      <w:widowControl w:val="0"/>
      <w:spacing w:before="120"/>
      <w:jc w:val="both"/>
    </w:pPr>
    <w:rPr>
      <w:rFonts w:ascii="Arial" w:hAnsi="Arial" w:cs="Times New Roman"/>
      <w:b/>
      <w:bCs/>
      <w:kern w:val="2"/>
      <w:szCs w:val="21"/>
    </w:rPr>
  </w:style>
  <w:style w:type="paragraph" w:customStyle="1" w:styleId="Style626">
    <w:name w:val="_Style 626"/>
    <w:basedOn w:val="Style580"/>
    <w:autoRedefine/>
    <w:semiHidden/>
    <w:qFormat/>
    <w:pPr>
      <w:keepNext/>
      <w:keepLines/>
      <w:widowControl w:val="0"/>
      <w:spacing w:before="60" w:after="60"/>
      <w:ind w:hangingChars="200" w:hanging="420"/>
      <w:jc w:val="both"/>
      <w:outlineLvl w:val="4"/>
    </w:pPr>
    <w:rPr>
      <w:rFonts w:cs="Times New Roman"/>
      <w:b/>
      <w:bCs/>
      <w:kern w:val="2"/>
      <w:szCs w:val="21"/>
    </w:rPr>
  </w:style>
  <w:style w:type="paragraph" w:customStyle="1" w:styleId="Style627">
    <w:name w:val="_Style 627"/>
    <w:autoRedefine/>
    <w:hidden/>
    <w:uiPriority w:val="99"/>
    <w:semiHidden/>
    <w:qFormat/>
    <w:rPr>
      <w:kern w:val="2"/>
      <w:szCs w:val="22"/>
    </w:rPr>
  </w:style>
  <w:style w:type="character" w:customStyle="1" w:styleId="Style628">
    <w:name w:val="_Style 628"/>
    <w:basedOn w:val="Style588"/>
    <w:autoRedefine/>
    <w:semiHidden/>
    <w:qFormat/>
    <w:rPr>
      <w:kern w:val="2"/>
      <w:sz w:val="21"/>
      <w:szCs w:val="24"/>
    </w:rPr>
  </w:style>
  <w:style w:type="paragraph" w:customStyle="1" w:styleId="Style629">
    <w:name w:val="_Style 629"/>
    <w:basedOn w:val="Style580"/>
    <w:autoRedefine/>
    <w:semiHidden/>
    <w:qFormat/>
    <w:pPr>
      <w:widowControl w:val="0"/>
      <w:spacing w:before="100" w:after="100"/>
      <w:jc w:val="both"/>
    </w:pPr>
    <w:rPr>
      <w:rFonts w:ascii="Calibri" w:hAnsi="Calibri" w:cs="Times New Roman"/>
      <w:kern w:val="2"/>
    </w:rPr>
  </w:style>
  <w:style w:type="paragraph" w:customStyle="1" w:styleId="Style630">
    <w:name w:val="_Style 630"/>
    <w:basedOn w:val="Style580"/>
    <w:autoRedefine/>
    <w:uiPriority w:val="99"/>
    <w:semiHidden/>
    <w:qFormat/>
    <w:pPr>
      <w:widowControl w:val="0"/>
      <w:jc w:val="both"/>
    </w:pPr>
    <w:rPr>
      <w:rFonts w:hAnsi="Calibri" w:cs="Times New Roman"/>
      <w:kern w:val="2"/>
      <w:sz w:val="18"/>
      <w:szCs w:val="18"/>
    </w:rPr>
  </w:style>
  <w:style w:type="character" w:customStyle="1" w:styleId="Style631">
    <w:name w:val="_Style 631"/>
    <w:basedOn w:val="Style588"/>
    <w:autoRedefine/>
    <w:uiPriority w:val="99"/>
    <w:semiHidden/>
    <w:qFormat/>
    <w:rPr>
      <w:rFonts w:ascii="宋体"/>
      <w:kern w:val="2"/>
      <w:sz w:val="18"/>
      <w:szCs w:val="18"/>
    </w:rPr>
  </w:style>
  <w:style w:type="character" w:customStyle="1" w:styleId="Style632">
    <w:name w:val="_Style 632"/>
    <w:basedOn w:val="Style588"/>
    <w:autoRedefine/>
    <w:uiPriority w:val="99"/>
    <w:semiHidden/>
    <w:qFormat/>
    <w:rPr>
      <w:color w:val="auto"/>
    </w:rPr>
  </w:style>
  <w:style w:type="paragraph" w:customStyle="1" w:styleId="Style633">
    <w:name w:val="_Style 633"/>
    <w:basedOn w:val="Style580"/>
    <w:next w:val="aff7"/>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character" w:customStyle="1" w:styleId="Style634">
    <w:name w:val="_Style 634"/>
    <w:basedOn w:val="Style588"/>
    <w:autoRedefine/>
    <w:uiPriority w:val="10"/>
    <w:semiHidden/>
    <w:qFormat/>
    <w:rPr>
      <w:rFonts w:asciiTheme="majorHAnsi" w:hAnsiTheme="majorHAnsi" w:cstheme="majorBidi"/>
      <w:b/>
      <w:bCs/>
      <w:kern w:val="2"/>
      <w:sz w:val="32"/>
      <w:szCs w:val="32"/>
    </w:rPr>
  </w:style>
  <w:style w:type="paragraph" w:customStyle="1" w:styleId="Style635">
    <w:name w:val="_Style 635"/>
    <w:autoRedefine/>
    <w:uiPriority w:val="1"/>
    <w:semiHidden/>
    <w:qFormat/>
    <w:pPr>
      <w:widowControl w:val="0"/>
      <w:jc w:val="both"/>
    </w:pPr>
    <w:rPr>
      <w:kern w:val="2"/>
      <w:szCs w:val="22"/>
    </w:rPr>
  </w:style>
  <w:style w:type="paragraph" w:customStyle="1" w:styleId="Style636">
    <w:name w:val="_Style 636"/>
    <w:basedOn w:val="Style580"/>
    <w:next w:val="aff7"/>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637">
    <w:name w:val="_Style 637"/>
    <w:basedOn w:val="Style580"/>
    <w:next w:val="aff7"/>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638">
    <w:name w:val="_Style 638"/>
    <w:basedOn w:val="Style580"/>
    <w:next w:val="aff7"/>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639">
    <w:name w:val="_Style 639"/>
    <w:basedOn w:val="Style580"/>
    <w:next w:val="aff7"/>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640">
    <w:name w:val="_Style 640"/>
    <w:basedOn w:val="Style580"/>
    <w:next w:val="aff7"/>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641">
    <w:name w:val="_Style 641"/>
    <w:basedOn w:val="Style580"/>
    <w:next w:val="aff7"/>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character" w:customStyle="1" w:styleId="Style642">
    <w:name w:val="_Style 642"/>
    <w:basedOn w:val="Style588"/>
    <w:autoRedefine/>
    <w:uiPriority w:val="9"/>
    <w:semiHidden/>
    <w:qFormat/>
    <w:rPr>
      <w:rFonts w:asciiTheme="majorHAnsi" w:hAnsiTheme="majorHAnsi" w:cstheme="majorBidi"/>
      <w:b/>
      <w:bCs/>
      <w:sz w:val="21"/>
      <w:szCs w:val="24"/>
    </w:rPr>
  </w:style>
  <w:style w:type="paragraph" w:customStyle="1" w:styleId="Style643">
    <w:name w:val="_Style 643"/>
    <w:basedOn w:val="Style580"/>
    <w:autoRedefine/>
    <w:uiPriority w:val="99"/>
    <w:semiHidden/>
    <w:qFormat/>
    <w:pPr>
      <w:spacing w:before="100" w:beforeAutospacing="1" w:after="100" w:afterAutospacing="1"/>
    </w:pPr>
  </w:style>
  <w:style w:type="paragraph" w:customStyle="1" w:styleId="Style644">
    <w:name w:val="_Style 644"/>
    <w:basedOn w:val="Style580"/>
    <w:autoRedefine/>
    <w:uiPriority w:val="99"/>
    <w:semiHidden/>
    <w:qFormat/>
    <w:pPr>
      <w:snapToGrid w:val="0"/>
    </w:pPr>
  </w:style>
  <w:style w:type="character" w:customStyle="1" w:styleId="Style645">
    <w:name w:val="_Style 645"/>
    <w:basedOn w:val="Style588"/>
    <w:autoRedefine/>
    <w:uiPriority w:val="99"/>
    <w:semiHidden/>
    <w:qFormat/>
    <w:rPr>
      <w:rFonts w:ascii="宋体" w:hAnsi="宋体" w:cs="宋体"/>
      <w:sz w:val="21"/>
      <w:szCs w:val="24"/>
    </w:rPr>
  </w:style>
  <w:style w:type="character" w:customStyle="1" w:styleId="Style646">
    <w:name w:val="_Style 646"/>
    <w:basedOn w:val="Style588"/>
    <w:autoRedefine/>
    <w:uiPriority w:val="99"/>
    <w:semiHidden/>
    <w:qFormat/>
    <w:rPr>
      <w:vertAlign w:val="superscript"/>
    </w:rPr>
  </w:style>
  <w:style w:type="character" w:customStyle="1" w:styleId="Style647">
    <w:name w:val="_Style 647"/>
    <w:basedOn w:val="Style600"/>
    <w:autoRedefine/>
    <w:uiPriority w:val="99"/>
    <w:semiHidden/>
    <w:qFormat/>
    <w:rPr>
      <w:rFonts w:ascii="Times New Roman" w:eastAsia="宋体" w:hAnsi="Times New Roman" w:cs="Times New Roman"/>
      <w:b/>
      <w:bCs/>
      <w:szCs w:val="21"/>
    </w:rPr>
  </w:style>
  <w:style w:type="paragraph" w:customStyle="1" w:styleId="Style648">
    <w:name w:val="_Style 648"/>
    <w:basedOn w:val="Style580"/>
    <w:next w:val="aff7"/>
    <w:autoRedefine/>
    <w:semiHidden/>
    <w:qFormat/>
    <w:pPr>
      <w:ind w:firstLineChars="200" w:firstLine="420"/>
    </w:pPr>
    <w:rPr>
      <w:rFonts w:cs="Times New Roman"/>
      <w:color w:val="000000"/>
      <w:szCs w:val="21"/>
    </w:rPr>
  </w:style>
  <w:style w:type="character" w:customStyle="1" w:styleId="Style649">
    <w:name w:val="_Style 649"/>
    <w:basedOn w:val="Style588"/>
    <w:autoRedefine/>
    <w:semiHidden/>
    <w:qFormat/>
  </w:style>
  <w:style w:type="paragraph" w:customStyle="1" w:styleId="Style650">
    <w:name w:val="_Style 650"/>
    <w:basedOn w:val="Style580"/>
    <w:autoRedefine/>
    <w:semiHidden/>
    <w:qFormat/>
    <w:pPr>
      <w:widowControl w:val="0"/>
      <w:ind w:firstLineChars="200" w:firstLine="420"/>
      <w:jc w:val="both"/>
    </w:pPr>
    <w:rPr>
      <w:rFonts w:ascii="Times New Roman" w:hAnsi="Times New Roman" w:cs="Times New Roman"/>
      <w:kern w:val="2"/>
      <w:szCs w:val="21"/>
    </w:rPr>
  </w:style>
  <w:style w:type="paragraph" w:customStyle="1" w:styleId="Style651">
    <w:name w:val="_Style 651"/>
    <w:basedOn w:val="Style580"/>
    <w:autoRedefine/>
    <w:semiHidden/>
    <w:qFormat/>
    <w:pPr>
      <w:widowControl w:val="0"/>
      <w:tabs>
        <w:tab w:val="left" w:pos="1200"/>
      </w:tabs>
      <w:jc w:val="both"/>
    </w:pPr>
    <w:rPr>
      <w:rFonts w:ascii="Times New Roman" w:hAnsi="Times New Roman" w:cs="Times New Roman"/>
      <w:kern w:val="2"/>
      <w:szCs w:val="21"/>
    </w:rPr>
  </w:style>
  <w:style w:type="paragraph" w:customStyle="1" w:styleId="Style652">
    <w:name w:val="_Style 652"/>
    <w:basedOn w:val="Style580"/>
    <w:next w:val="aff7"/>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653">
    <w:name w:val="_Style 653"/>
    <w:basedOn w:val="Style588"/>
    <w:autoRedefine/>
    <w:semiHidden/>
    <w:qFormat/>
    <w:rPr>
      <w:rFonts w:ascii="Times New Roman" w:hAnsi="Times New Roman"/>
      <w:b/>
      <w:kern w:val="2"/>
      <w:sz w:val="21"/>
      <w:szCs w:val="24"/>
    </w:rPr>
  </w:style>
  <w:style w:type="character" w:customStyle="1" w:styleId="Style654">
    <w:name w:val="_Style 654"/>
    <w:basedOn w:val="Style588"/>
    <w:autoRedefine/>
    <w:uiPriority w:val="9"/>
    <w:semiHidden/>
    <w:qFormat/>
    <w:rPr>
      <w:rFonts w:ascii="宋体" w:hAnsi="宋体" w:cs="宋体"/>
      <w:b/>
      <w:bCs/>
      <w:sz w:val="24"/>
      <w:szCs w:val="24"/>
    </w:rPr>
  </w:style>
  <w:style w:type="character" w:customStyle="1" w:styleId="Style655">
    <w:name w:val="_Style 655"/>
    <w:basedOn w:val="Style600"/>
    <w:autoRedefine/>
    <w:uiPriority w:val="99"/>
    <w:semiHidden/>
    <w:qFormat/>
    <w:rPr>
      <w:rFonts w:ascii="Times New Roman" w:eastAsia="宋体" w:hAnsi="Times New Roman" w:cs="Times New Roman"/>
      <w:b/>
      <w:bCs/>
      <w:szCs w:val="21"/>
    </w:rPr>
  </w:style>
  <w:style w:type="character" w:customStyle="1" w:styleId="Style656">
    <w:name w:val="_Style 656"/>
    <w:autoRedefine/>
    <w:uiPriority w:val="9"/>
    <w:semiHidden/>
    <w:qFormat/>
    <w:rPr>
      <w:rFonts w:ascii="Cambria" w:hAnsi="Cambria"/>
      <w:b/>
      <w:bCs/>
      <w:kern w:val="2"/>
      <w:sz w:val="21"/>
      <w:szCs w:val="28"/>
    </w:rPr>
  </w:style>
  <w:style w:type="paragraph" w:customStyle="1" w:styleId="Style657">
    <w:name w:val="_Style 657"/>
    <w:basedOn w:val="Style5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658">
    <w:name w:val="_Style 658"/>
    <w:basedOn w:val="Style580"/>
    <w:next w:val="a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659">
    <w:name w:val="_Style 659"/>
    <w:autoRedefine/>
    <w:uiPriority w:val="9"/>
    <w:semiHidden/>
    <w:qFormat/>
    <w:rPr>
      <w:b/>
      <w:bCs/>
      <w:kern w:val="2"/>
      <w:sz w:val="21"/>
      <w:szCs w:val="32"/>
    </w:rPr>
  </w:style>
  <w:style w:type="paragraph" w:customStyle="1" w:styleId="Style660">
    <w:name w:val="_Style 660"/>
    <w:basedOn w:val="Style5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661">
    <w:name w:val="_Style 661"/>
    <w:basedOn w:val="Style580"/>
    <w:next w:val="a9"/>
    <w:autoRedefine/>
    <w:uiPriority w:val="34"/>
    <w:semiHidden/>
    <w:qFormat/>
    <w:pPr>
      <w:widowControl w:val="0"/>
      <w:ind w:firstLineChars="200" w:firstLine="480"/>
      <w:jc w:val="right"/>
    </w:pPr>
    <w:rPr>
      <w:rFonts w:ascii="Calibri" w:hAnsi="Calibri" w:cs="Times New Roman"/>
      <w:kern w:val="2"/>
      <w:szCs w:val="22"/>
    </w:rPr>
  </w:style>
  <w:style w:type="paragraph" w:customStyle="1" w:styleId="Style662">
    <w:name w:val="_Style 662"/>
    <w:basedOn w:val="Style580"/>
    <w:autoRedefine/>
    <w:uiPriority w:val="1"/>
    <w:semiHidden/>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663">
    <w:name w:val="_Style 663"/>
    <w:autoRedefine/>
    <w:semiHidden/>
    <w:qFormat/>
    <w:rPr>
      <w:rFonts w:ascii="Times New Roman" w:hAnsi="Times New Roman"/>
      <w:kern w:val="2"/>
      <w:sz w:val="21"/>
      <w:szCs w:val="21"/>
    </w:rPr>
  </w:style>
  <w:style w:type="character" w:customStyle="1" w:styleId="Style664">
    <w:name w:val="_Style 664"/>
    <w:autoRedefine/>
    <w:uiPriority w:val="9"/>
    <w:semiHidden/>
    <w:qFormat/>
    <w:rPr>
      <w:b/>
      <w:bCs/>
      <w:kern w:val="2"/>
      <w:sz w:val="21"/>
      <w:szCs w:val="32"/>
    </w:rPr>
  </w:style>
  <w:style w:type="character" w:customStyle="1" w:styleId="Style665">
    <w:name w:val="_Style 665"/>
    <w:autoRedefine/>
    <w:uiPriority w:val="9"/>
    <w:semiHidden/>
    <w:qFormat/>
    <w:rPr>
      <w:b/>
      <w:bCs/>
      <w:kern w:val="2"/>
      <w:sz w:val="21"/>
      <w:szCs w:val="28"/>
    </w:rPr>
  </w:style>
  <w:style w:type="paragraph" w:customStyle="1" w:styleId="Style666">
    <w:name w:val="_Style 666"/>
    <w:basedOn w:val="Style580"/>
    <w:next w:val="a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667">
    <w:name w:val="_Style 667"/>
    <w:autoRedefine/>
    <w:uiPriority w:val="99"/>
    <w:semiHidden/>
    <w:qFormat/>
    <w:rPr>
      <w:rFonts w:ascii="Times New Roman" w:hAnsi="Times New Roman"/>
      <w:kern w:val="2"/>
      <w:sz w:val="21"/>
      <w:szCs w:val="21"/>
    </w:rPr>
  </w:style>
  <w:style w:type="character" w:customStyle="1" w:styleId="Style668">
    <w:name w:val="_Style 668"/>
    <w:autoRedefine/>
    <w:semiHidden/>
    <w:qFormat/>
    <w:rPr>
      <w:rFonts w:ascii="FZLTSK--GBK1-0" w:hAnsi="FZLTSK--GBK1-0" w:hint="default"/>
      <w:color w:val="000000"/>
      <w:sz w:val="20"/>
      <w:szCs w:val="20"/>
    </w:rPr>
  </w:style>
  <w:style w:type="paragraph" w:customStyle="1" w:styleId="Style669">
    <w:name w:val="_Style 669"/>
    <w:basedOn w:val="Style580"/>
    <w:next w:val="a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670">
    <w:name w:val="_Style 670"/>
    <w:autoRedefine/>
    <w:uiPriority w:val="9"/>
    <w:semiHidden/>
    <w:qFormat/>
    <w:rPr>
      <w:b/>
      <w:bCs/>
      <w:kern w:val="2"/>
      <w:sz w:val="21"/>
      <w:szCs w:val="28"/>
    </w:rPr>
  </w:style>
  <w:style w:type="character" w:customStyle="1" w:styleId="Style671">
    <w:name w:val="_Style 671"/>
    <w:autoRedefine/>
    <w:uiPriority w:val="99"/>
    <w:semiHidden/>
    <w:qFormat/>
    <w:locked/>
    <w:rPr>
      <w:rFonts w:ascii="Times New Roman" w:hAnsi="Times New Roman"/>
      <w:kern w:val="2"/>
      <w:sz w:val="21"/>
      <w:szCs w:val="21"/>
    </w:rPr>
  </w:style>
  <w:style w:type="paragraph" w:customStyle="1" w:styleId="Style672">
    <w:name w:val="_Style 672"/>
    <w:basedOn w:val="Style580"/>
    <w:next w:val="a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673">
    <w:name w:val="_Style 673"/>
    <w:autoRedefine/>
    <w:uiPriority w:val="9"/>
    <w:semiHidden/>
    <w:qFormat/>
    <w:rPr>
      <w:b/>
      <w:bCs/>
      <w:kern w:val="2"/>
      <w:sz w:val="21"/>
      <w:szCs w:val="32"/>
    </w:rPr>
  </w:style>
  <w:style w:type="character" w:customStyle="1" w:styleId="Style674">
    <w:name w:val="_Style 674"/>
    <w:autoRedefine/>
    <w:uiPriority w:val="9"/>
    <w:semiHidden/>
    <w:qFormat/>
    <w:rPr>
      <w:b/>
      <w:bCs/>
      <w:kern w:val="2"/>
      <w:sz w:val="21"/>
      <w:szCs w:val="32"/>
    </w:rPr>
  </w:style>
  <w:style w:type="character" w:customStyle="1" w:styleId="Style675">
    <w:name w:val="_Style 675"/>
    <w:autoRedefine/>
    <w:semiHidden/>
    <w:qFormat/>
    <w:rPr>
      <w:rFonts w:ascii="Times New Roman" w:hAnsi="Times New Roman"/>
      <w:kern w:val="2"/>
      <w:sz w:val="21"/>
      <w:szCs w:val="21"/>
    </w:rPr>
  </w:style>
  <w:style w:type="paragraph" w:customStyle="1" w:styleId="Style677">
    <w:name w:val="_Style 677"/>
    <w:basedOn w:val="a"/>
    <w:autoRedefine/>
    <w:semiHidden/>
    <w:qFormat/>
    <w:pPr>
      <w:ind w:firstLine="420"/>
    </w:pPr>
    <w:rPr>
      <w:rFonts w:ascii="Times New Roman" w:hAnsi="Times New Roman" w:cs="Times New Roman"/>
      <w:kern w:val="2"/>
      <w:sz w:val="21"/>
      <w:szCs w:val="21"/>
    </w:rPr>
  </w:style>
  <w:style w:type="paragraph" w:customStyle="1" w:styleId="Style678">
    <w:name w:val="_Style 678"/>
    <w:basedOn w:val="a"/>
    <w:autoRedefine/>
    <w:uiPriority w:val="99"/>
    <w:semiHidden/>
    <w:qFormat/>
    <w:pPr>
      <w:kinsoku w:val="0"/>
      <w:autoSpaceDE w:val="0"/>
      <w:autoSpaceDN w:val="0"/>
      <w:adjustRightInd w:val="0"/>
      <w:snapToGrid w:val="0"/>
      <w:textAlignment w:val="baseline"/>
    </w:pPr>
    <w:rPr>
      <w:rFonts w:ascii="Arial" w:hAnsi="Calibri" w:cs="Times New Roman"/>
      <w:color w:val="000000"/>
      <w:kern w:val="2"/>
      <w:sz w:val="18"/>
      <w:szCs w:val="18"/>
    </w:rPr>
  </w:style>
  <w:style w:type="paragraph" w:customStyle="1" w:styleId="Style679">
    <w:name w:val="_Style 679"/>
    <w:basedOn w:val="a"/>
    <w:next w:val="a"/>
    <w:autoRedefine/>
    <w:semiHidden/>
    <w:qFormat/>
    <w:pPr>
      <w:kinsoku w:val="0"/>
      <w:autoSpaceDE w:val="0"/>
      <w:autoSpaceDN w:val="0"/>
      <w:adjustRightInd w:val="0"/>
      <w:snapToGrid w:val="0"/>
      <w:spacing w:before="120"/>
      <w:textAlignment w:val="baseline"/>
    </w:pPr>
    <w:rPr>
      <w:rFonts w:ascii="Arial" w:hAnsi="Arial" w:cs="Times New Roman"/>
      <w:b/>
      <w:bCs/>
      <w:color w:val="000000"/>
      <w:kern w:val="2"/>
      <w:sz w:val="21"/>
      <w:szCs w:val="21"/>
    </w:rPr>
  </w:style>
  <w:style w:type="paragraph" w:customStyle="1" w:styleId="Style680">
    <w:name w:val="_Style 680"/>
    <w:basedOn w:val="a"/>
    <w:autoRedefine/>
    <w:semiHidden/>
    <w:qFormat/>
    <w:rPr>
      <w:rFonts w:ascii="Times New Roman" w:hAnsi="Times New Roman" w:cs="Times New Roman"/>
      <w:kern w:val="2"/>
      <w:sz w:val="21"/>
      <w:szCs w:val="21"/>
    </w:rPr>
  </w:style>
  <w:style w:type="paragraph" w:customStyle="1" w:styleId="Style681">
    <w:name w:val="_Style 681"/>
    <w:basedOn w:val="a"/>
    <w:next w:val="a"/>
    <w:autoRedefine/>
    <w:uiPriority w:val="99"/>
    <w:semiHidden/>
    <w:qFormat/>
    <w:rPr>
      <w:rFonts w:ascii="Times New Roman" w:hAnsi="Times New Roman" w:cs="Times New Roman"/>
      <w:kern w:val="2"/>
      <w:sz w:val="21"/>
      <w:szCs w:val="21"/>
    </w:rPr>
  </w:style>
  <w:style w:type="paragraph" w:customStyle="1" w:styleId="Style682">
    <w:name w:val="_Style 682"/>
    <w:basedOn w:val="a"/>
    <w:autoRedefine/>
    <w:uiPriority w:val="99"/>
    <w:semiHidden/>
    <w:qFormat/>
    <w:pPr>
      <w:spacing w:after="120"/>
    </w:pPr>
    <w:rPr>
      <w:rFonts w:ascii="Times New Roman" w:hAnsi="Times New Roman" w:cs="Times New Roman"/>
      <w:kern w:val="2"/>
      <w:sz w:val="21"/>
      <w:szCs w:val="21"/>
    </w:rPr>
  </w:style>
  <w:style w:type="paragraph" w:customStyle="1" w:styleId="Style683">
    <w:name w:val="_Style 683"/>
    <w:basedOn w:val="a"/>
    <w:next w:val="a"/>
    <w:autoRedefine/>
    <w:uiPriority w:val="39"/>
    <w:semiHidden/>
    <w:qFormat/>
    <w:pPr>
      <w:spacing w:after="100" w:line="276" w:lineRule="auto"/>
      <w:ind w:left="440"/>
    </w:pPr>
    <w:rPr>
      <w:rFonts w:ascii="Calibri" w:hAnsi="Calibri" w:cs="Times New Roman"/>
      <w:sz w:val="22"/>
      <w:szCs w:val="22"/>
    </w:rPr>
  </w:style>
  <w:style w:type="paragraph" w:customStyle="1" w:styleId="Style684">
    <w:name w:val="_Style 684"/>
    <w:basedOn w:val="a"/>
    <w:autoRedefine/>
    <w:semiHidden/>
    <w:qFormat/>
    <w:rPr>
      <w:rFonts w:hAnsi="Courier New" w:cs="Times New Roman"/>
      <w:kern w:val="2"/>
      <w:sz w:val="21"/>
      <w:szCs w:val="20"/>
    </w:rPr>
  </w:style>
  <w:style w:type="paragraph" w:customStyle="1" w:styleId="Style685">
    <w:name w:val="_Style 685"/>
    <w:basedOn w:val="a"/>
    <w:next w:val="a"/>
    <w:autoRedefine/>
    <w:uiPriority w:val="99"/>
    <w:semiHidden/>
    <w:qFormat/>
    <w:pPr>
      <w:ind w:leftChars="2500" w:left="100"/>
    </w:pPr>
    <w:rPr>
      <w:rFonts w:ascii="Times New Roman" w:hAnsi="Times New Roman" w:cs="Times New Roman"/>
      <w:kern w:val="2"/>
      <w:sz w:val="21"/>
      <w:szCs w:val="21"/>
    </w:rPr>
  </w:style>
  <w:style w:type="paragraph" w:customStyle="1" w:styleId="Style686">
    <w:name w:val="_Style 686"/>
    <w:basedOn w:val="a"/>
    <w:autoRedefine/>
    <w:uiPriority w:val="99"/>
    <w:semiHidden/>
    <w:qFormat/>
    <w:pPr>
      <w:kinsoku w:val="0"/>
      <w:autoSpaceDE w:val="0"/>
      <w:autoSpaceDN w:val="0"/>
      <w:adjustRightInd w:val="0"/>
      <w:snapToGrid w:val="0"/>
      <w:textAlignment w:val="baseline"/>
    </w:pPr>
    <w:rPr>
      <w:rFonts w:ascii="Arial" w:hAnsi="Arial" w:cs="Arial"/>
      <w:color w:val="000000"/>
      <w:sz w:val="21"/>
      <w:szCs w:val="21"/>
    </w:rPr>
  </w:style>
  <w:style w:type="paragraph" w:customStyle="1" w:styleId="Style687">
    <w:name w:val="_Style 687"/>
    <w:basedOn w:val="a"/>
    <w:autoRedefine/>
    <w:uiPriority w:val="99"/>
    <w:semiHidden/>
    <w:qFormat/>
    <w:rPr>
      <w:rFonts w:ascii="Calibri" w:hAnsi="Calibri" w:cs="Times New Roman"/>
      <w:kern w:val="2"/>
      <w:sz w:val="18"/>
      <w:szCs w:val="18"/>
    </w:rPr>
  </w:style>
  <w:style w:type="paragraph" w:customStyle="1" w:styleId="Style688">
    <w:name w:val="_Style 688"/>
    <w:basedOn w:val="a"/>
    <w:autoRedefine/>
    <w:uiPriority w:val="99"/>
    <w:semiHidden/>
    <w:qFormat/>
    <w:pPr>
      <w:tabs>
        <w:tab w:val="center" w:pos="4153"/>
        <w:tab w:val="right" w:pos="8306"/>
      </w:tabs>
      <w:snapToGrid w:val="0"/>
    </w:pPr>
    <w:rPr>
      <w:rFonts w:ascii="Calibri" w:hAnsi="Calibri" w:cs="Times New Roman"/>
      <w:kern w:val="2"/>
      <w:sz w:val="18"/>
      <w:szCs w:val="18"/>
    </w:rPr>
  </w:style>
  <w:style w:type="paragraph" w:customStyle="1" w:styleId="Style689">
    <w:name w:val="_Style 689"/>
    <w:basedOn w:val="a"/>
    <w:autoRedefine/>
    <w:uiPriority w:val="99"/>
    <w:semiHidden/>
    <w:qFormat/>
    <w:pPr>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690">
    <w:name w:val="_Style 690"/>
    <w:basedOn w:val="a"/>
    <w:next w:val="a"/>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691">
    <w:name w:val="_Style 691"/>
    <w:basedOn w:val="a"/>
    <w:autoRedefine/>
    <w:uiPriority w:val="99"/>
    <w:semiHidden/>
    <w:qFormat/>
    <w:pPr>
      <w:spacing w:before="100" w:beforeAutospacing="1" w:after="100" w:afterAutospacing="1"/>
    </w:pPr>
  </w:style>
  <w:style w:type="paragraph" w:customStyle="1" w:styleId="Style692">
    <w:name w:val="_Style 692"/>
    <w:basedOn w:val="a"/>
    <w:next w:val="a"/>
    <w:autoRedefine/>
    <w:semiHidden/>
    <w:qFormat/>
    <w:pPr>
      <w:ind w:firstLine="420"/>
    </w:pPr>
    <w:rPr>
      <w:rFonts w:cs="Times New Roman"/>
      <w:color w:val="000000"/>
      <w:sz w:val="21"/>
      <w:szCs w:val="21"/>
    </w:rPr>
  </w:style>
  <w:style w:type="paragraph" w:customStyle="1" w:styleId="Style693">
    <w:name w:val="_Style 693"/>
    <w:basedOn w:val="a"/>
    <w:next w:val="a"/>
    <w:autoRedefine/>
    <w:uiPriority w:val="10"/>
    <w:semiHidden/>
    <w:qFormat/>
    <w:pPr>
      <w:spacing w:before="240" w:after="60"/>
      <w:jc w:val="center"/>
      <w:outlineLvl w:val="0"/>
    </w:pPr>
    <w:rPr>
      <w:rFonts w:asciiTheme="majorHAnsi" w:hAnsiTheme="majorHAnsi" w:cstheme="majorBidi"/>
      <w:b/>
      <w:bCs/>
      <w:kern w:val="2"/>
      <w:sz w:val="32"/>
      <w:szCs w:val="32"/>
    </w:rPr>
  </w:style>
  <w:style w:type="paragraph" w:customStyle="1" w:styleId="Style694">
    <w:name w:val="_Style 694"/>
    <w:basedOn w:val="Style680"/>
    <w:next w:val="a8"/>
    <w:autoRedefine/>
    <w:uiPriority w:val="99"/>
    <w:semiHidden/>
    <w:qFormat/>
    <w:rPr>
      <w:rFonts w:ascii="Calibri" w:hAnsi="Calibri"/>
      <w:b/>
      <w:bCs/>
      <w:szCs w:val="22"/>
    </w:rPr>
  </w:style>
  <w:style w:type="character" w:customStyle="1" w:styleId="Style695">
    <w:name w:val="_Style 695"/>
    <w:basedOn w:val="a0"/>
    <w:autoRedefine/>
    <w:uiPriority w:val="99"/>
    <w:semiHidden/>
    <w:qFormat/>
    <w:rPr>
      <w:vertAlign w:val="superscript"/>
    </w:rPr>
  </w:style>
  <w:style w:type="character" w:customStyle="1" w:styleId="Style696">
    <w:name w:val="_Style 696"/>
    <w:basedOn w:val="a0"/>
    <w:autoRedefine/>
    <w:uiPriority w:val="99"/>
    <w:semiHidden/>
    <w:qFormat/>
    <w:rPr>
      <w:rFonts w:cs="Times New Roman"/>
      <w:color w:val="0000FF"/>
      <w:u w:val="single"/>
    </w:rPr>
  </w:style>
  <w:style w:type="character" w:customStyle="1" w:styleId="Style697">
    <w:name w:val="_Style 697"/>
    <w:basedOn w:val="a0"/>
    <w:autoRedefine/>
    <w:semiHidden/>
    <w:qFormat/>
    <w:rPr>
      <w:rFonts w:eastAsia="宋体" w:cs="Times New Roman"/>
      <w:kern w:val="2"/>
      <w:sz w:val="21"/>
      <w:szCs w:val="21"/>
      <w:lang w:val="en-US" w:eastAsia="zh-CN" w:bidi="ar-SA"/>
    </w:rPr>
  </w:style>
  <w:style w:type="paragraph" w:customStyle="1" w:styleId="Style698">
    <w:name w:val="_Style 698"/>
    <w:basedOn w:val="1"/>
    <w:next w:val="a"/>
    <w:autoRedefine/>
    <w:uiPriority w:val="39"/>
    <w:semiHidden/>
    <w:qFormat/>
    <w:pPr>
      <w:widowControl/>
      <w:spacing w:before="480" w:after="0" w:line="276" w:lineRule="auto"/>
      <w:outlineLvl w:val="9"/>
    </w:pPr>
    <w:rPr>
      <w:rFonts w:ascii="Cambria" w:eastAsia="宋体" w:hAnsi="Cambria"/>
      <w:color w:val="365F91"/>
      <w:kern w:val="0"/>
    </w:rPr>
  </w:style>
  <w:style w:type="character" w:customStyle="1" w:styleId="Style699">
    <w:name w:val="_Style 699"/>
    <w:basedOn w:val="a0"/>
    <w:autoRedefine/>
    <w:semiHidden/>
    <w:qFormat/>
    <w:rPr>
      <w:rFonts w:ascii="Times New Roman" w:eastAsia="宋体" w:hAnsi="Times New Roman" w:cs="Times New Roman"/>
      <w:szCs w:val="21"/>
    </w:rPr>
  </w:style>
  <w:style w:type="character" w:customStyle="1" w:styleId="Style700">
    <w:name w:val="_Style 700"/>
    <w:basedOn w:val="a0"/>
    <w:autoRedefine/>
    <w:uiPriority w:val="99"/>
    <w:semiHidden/>
    <w:qFormat/>
    <w:rPr>
      <w:rFonts w:ascii="Calibri" w:eastAsia="宋体" w:hAnsi="Calibri" w:cs="Times New Roman"/>
      <w:sz w:val="18"/>
      <w:szCs w:val="18"/>
    </w:rPr>
  </w:style>
  <w:style w:type="character" w:customStyle="1" w:styleId="Style701">
    <w:name w:val="_Style 701"/>
    <w:basedOn w:val="a0"/>
    <w:autoRedefine/>
    <w:uiPriority w:val="99"/>
    <w:semiHidden/>
    <w:qFormat/>
    <w:rPr>
      <w:rFonts w:ascii="Times New Roman" w:hAnsi="Times New Roman"/>
      <w:kern w:val="2"/>
      <w:sz w:val="21"/>
      <w:szCs w:val="21"/>
    </w:rPr>
  </w:style>
  <w:style w:type="paragraph" w:customStyle="1" w:styleId="Style702">
    <w:name w:val="_Style 702"/>
    <w:basedOn w:val="a"/>
    <w:autoRedefine/>
    <w:uiPriority w:val="99"/>
    <w:semiHidden/>
    <w:qFormat/>
    <w:pPr>
      <w:ind w:left="420" w:hanging="420"/>
    </w:pPr>
    <w:rPr>
      <w:rFonts w:asciiTheme="minorEastAsia" w:eastAsiaTheme="minorEastAsia" w:hAnsiTheme="minorEastAsia" w:cs="Times New Roman"/>
      <w:kern w:val="2"/>
    </w:rPr>
  </w:style>
  <w:style w:type="character" w:customStyle="1" w:styleId="Style703">
    <w:name w:val="_Style 703"/>
    <w:basedOn w:val="Style699"/>
    <w:autoRedefine/>
    <w:uiPriority w:val="99"/>
    <w:semiHidden/>
    <w:qFormat/>
    <w:rPr>
      <w:rFonts w:ascii="Calibri" w:eastAsia="宋体" w:hAnsi="Calibri" w:cs="Times New Roman"/>
      <w:b/>
      <w:bCs/>
      <w:szCs w:val="21"/>
    </w:rPr>
  </w:style>
  <w:style w:type="character" w:customStyle="1" w:styleId="Style704">
    <w:name w:val="_Style 704"/>
    <w:basedOn w:val="a0"/>
    <w:autoRedefine/>
    <w:semiHidden/>
    <w:qFormat/>
    <w:rPr>
      <w:rFonts w:ascii="宋体" w:eastAsia="宋体" w:hAnsi="Courier New" w:cs="Times New Roman"/>
      <w:szCs w:val="20"/>
    </w:rPr>
  </w:style>
  <w:style w:type="character" w:customStyle="1" w:styleId="Style705">
    <w:name w:val="_Style 705"/>
    <w:basedOn w:val="a0"/>
    <w:autoRedefine/>
    <w:uiPriority w:val="99"/>
    <w:semiHidden/>
    <w:qFormat/>
    <w:rPr>
      <w:rFonts w:ascii="Times New Roman" w:eastAsia="宋体" w:hAnsi="Times New Roman" w:cs="Times New Roman"/>
      <w:szCs w:val="21"/>
    </w:rPr>
  </w:style>
  <w:style w:type="character" w:customStyle="1" w:styleId="Style706">
    <w:name w:val="_Style 706"/>
    <w:basedOn w:val="a0"/>
    <w:autoRedefine/>
    <w:uiPriority w:val="99"/>
    <w:semiHidden/>
    <w:qFormat/>
    <w:rPr>
      <w:rFonts w:ascii="Times New Roman" w:eastAsia="宋体" w:hAnsi="Times New Roman" w:cs="Times New Roman"/>
      <w:szCs w:val="21"/>
    </w:rPr>
  </w:style>
  <w:style w:type="paragraph" w:customStyle="1" w:styleId="Style707">
    <w:name w:val="_Style 707"/>
    <w:autoRedefine/>
    <w:hidden/>
    <w:uiPriority w:val="99"/>
    <w:semiHidden/>
    <w:qFormat/>
    <w:rPr>
      <w:kern w:val="2"/>
      <w:sz w:val="21"/>
      <w:szCs w:val="22"/>
    </w:rPr>
  </w:style>
  <w:style w:type="character" w:customStyle="1" w:styleId="Style708">
    <w:name w:val="_Style 708"/>
    <w:basedOn w:val="a0"/>
    <w:autoRedefine/>
    <w:semiHidden/>
    <w:qFormat/>
    <w:rPr>
      <w:kern w:val="2"/>
      <w:sz w:val="21"/>
      <w:szCs w:val="24"/>
    </w:rPr>
  </w:style>
  <w:style w:type="paragraph" w:customStyle="1" w:styleId="Style709">
    <w:name w:val="_Style 709"/>
    <w:basedOn w:val="a"/>
    <w:autoRedefine/>
    <w:semiHidden/>
    <w:qFormat/>
    <w:pPr>
      <w:spacing w:before="100" w:after="100"/>
    </w:pPr>
    <w:rPr>
      <w:rFonts w:ascii="Calibri" w:hAnsi="Calibri" w:cs="Times New Roman"/>
      <w:kern w:val="2"/>
      <w:sz w:val="21"/>
    </w:rPr>
  </w:style>
  <w:style w:type="character" w:customStyle="1" w:styleId="Style710">
    <w:name w:val="_Style 710"/>
    <w:basedOn w:val="a0"/>
    <w:autoRedefine/>
    <w:uiPriority w:val="99"/>
    <w:semiHidden/>
    <w:qFormat/>
    <w:rPr>
      <w:rFonts w:ascii="宋体"/>
      <w:kern w:val="2"/>
      <w:sz w:val="18"/>
      <w:szCs w:val="18"/>
    </w:rPr>
  </w:style>
  <w:style w:type="character" w:customStyle="1" w:styleId="Style711">
    <w:name w:val="_Style 711"/>
    <w:basedOn w:val="a0"/>
    <w:autoRedefine/>
    <w:uiPriority w:val="99"/>
    <w:semiHidden/>
    <w:qFormat/>
    <w:rPr>
      <w:color w:val="auto"/>
    </w:rPr>
  </w:style>
  <w:style w:type="character" w:customStyle="1" w:styleId="Style712">
    <w:name w:val="_Style 712"/>
    <w:basedOn w:val="a0"/>
    <w:autoRedefine/>
    <w:uiPriority w:val="10"/>
    <w:semiHidden/>
    <w:qFormat/>
    <w:rPr>
      <w:rFonts w:asciiTheme="majorHAnsi" w:hAnsiTheme="majorHAnsi" w:cstheme="majorBidi"/>
      <w:b/>
      <w:bCs/>
      <w:kern w:val="2"/>
      <w:sz w:val="32"/>
      <w:szCs w:val="32"/>
    </w:rPr>
  </w:style>
  <w:style w:type="paragraph" w:customStyle="1" w:styleId="Style713">
    <w:name w:val="_Style 713"/>
    <w:autoRedefine/>
    <w:uiPriority w:val="1"/>
    <w:semiHidden/>
    <w:qFormat/>
    <w:pPr>
      <w:widowControl w:val="0"/>
      <w:jc w:val="both"/>
    </w:pPr>
    <w:rPr>
      <w:kern w:val="2"/>
      <w:sz w:val="21"/>
      <w:szCs w:val="22"/>
    </w:rPr>
  </w:style>
  <w:style w:type="character" w:customStyle="1" w:styleId="Style714">
    <w:name w:val="_Style 714"/>
    <w:basedOn w:val="a0"/>
    <w:autoRedefine/>
    <w:uiPriority w:val="99"/>
    <w:semiHidden/>
    <w:qFormat/>
    <w:rPr>
      <w:rFonts w:ascii="宋体" w:hAnsi="宋体" w:cs="宋体"/>
      <w:sz w:val="21"/>
      <w:szCs w:val="24"/>
    </w:rPr>
  </w:style>
  <w:style w:type="character" w:customStyle="1" w:styleId="Style715">
    <w:name w:val="_Style 715"/>
    <w:basedOn w:val="Style699"/>
    <w:autoRedefine/>
    <w:uiPriority w:val="99"/>
    <w:semiHidden/>
    <w:qFormat/>
    <w:rPr>
      <w:rFonts w:ascii="Times New Roman" w:eastAsia="宋体" w:hAnsi="Times New Roman" w:cs="Times New Roman"/>
      <w:b/>
      <w:bCs/>
      <w:szCs w:val="21"/>
    </w:rPr>
  </w:style>
  <w:style w:type="character" w:customStyle="1" w:styleId="Style716">
    <w:name w:val="_Style 716"/>
    <w:basedOn w:val="Style699"/>
    <w:autoRedefine/>
    <w:uiPriority w:val="99"/>
    <w:semiHidden/>
    <w:qFormat/>
    <w:rPr>
      <w:rFonts w:ascii="Times New Roman" w:eastAsia="宋体" w:hAnsi="Times New Roman" w:cs="Times New Roman"/>
      <w:b/>
      <w:bCs/>
      <w:szCs w:val="21"/>
    </w:rPr>
  </w:style>
  <w:style w:type="paragraph" w:customStyle="1" w:styleId="Style717">
    <w:name w:val="_Style 717"/>
    <w:basedOn w:val="a"/>
    <w:next w:val="aff7"/>
    <w:autoRedefine/>
    <w:uiPriority w:val="34"/>
    <w:semiHidden/>
    <w:qFormat/>
    <w:pPr>
      <w:ind w:firstLine="420"/>
    </w:pPr>
    <w:rPr>
      <w:rFonts w:ascii="Calibri" w:hAnsi="Calibri" w:cs="Times New Roman"/>
      <w:kern w:val="2"/>
      <w:sz w:val="21"/>
      <w:szCs w:val="22"/>
    </w:rPr>
  </w:style>
  <w:style w:type="paragraph" w:customStyle="1" w:styleId="Style718">
    <w:name w:val="_Style 718"/>
    <w:basedOn w:val="a"/>
    <w:next w:val="aff7"/>
    <w:autoRedefine/>
    <w:uiPriority w:val="34"/>
    <w:semiHidden/>
    <w:qFormat/>
    <w:pPr>
      <w:ind w:firstLine="420"/>
    </w:pPr>
    <w:rPr>
      <w:rFonts w:ascii="Calibri" w:hAnsi="Calibri" w:cs="Times New Roman"/>
      <w:kern w:val="2"/>
      <w:sz w:val="21"/>
      <w:szCs w:val="22"/>
    </w:rPr>
  </w:style>
  <w:style w:type="paragraph" w:customStyle="1" w:styleId="Style719">
    <w:name w:val="_Style 719"/>
    <w:basedOn w:val="a"/>
    <w:next w:val="aff7"/>
    <w:autoRedefine/>
    <w:uiPriority w:val="34"/>
    <w:semiHidden/>
    <w:qFormat/>
    <w:pPr>
      <w:ind w:firstLine="420"/>
    </w:pPr>
    <w:rPr>
      <w:rFonts w:ascii="Calibri" w:hAnsi="Calibri" w:cs="Times New Roman"/>
      <w:kern w:val="2"/>
      <w:sz w:val="21"/>
      <w:szCs w:val="22"/>
    </w:rPr>
  </w:style>
  <w:style w:type="character" w:customStyle="1" w:styleId="Style720">
    <w:name w:val="_Style 720"/>
    <w:autoRedefine/>
    <w:uiPriority w:val="99"/>
    <w:semiHidden/>
    <w:qFormat/>
    <w:locked/>
    <w:rPr>
      <w:rFonts w:ascii="Times New Roman" w:hAnsi="Times New Roman"/>
      <w:kern w:val="2"/>
      <w:sz w:val="21"/>
      <w:szCs w:val="21"/>
    </w:rPr>
  </w:style>
  <w:style w:type="paragraph" w:customStyle="1" w:styleId="Style721">
    <w:name w:val="_Style 721"/>
    <w:autoRedefine/>
    <w:semiHidden/>
    <w:qFormat/>
    <w:pPr>
      <w:jc w:val="both"/>
    </w:pPr>
    <w:rPr>
      <w:rFonts w:ascii="宋体" w:hAnsi="宋体" w:cs="宋体"/>
      <w:kern w:val="2"/>
      <w:sz w:val="21"/>
      <w:szCs w:val="21"/>
    </w:rPr>
  </w:style>
  <w:style w:type="paragraph" w:customStyle="1" w:styleId="Style722">
    <w:name w:val="_Style 722"/>
    <w:basedOn w:val="a"/>
    <w:autoRedefine/>
    <w:semiHidden/>
    <w:qFormat/>
    <w:pPr>
      <w:ind w:firstLine="420"/>
    </w:pPr>
    <w:rPr>
      <w:rFonts w:ascii="Calibri" w:hAnsi="Calibri" w:cs="Times New Roman"/>
      <w:kern w:val="2"/>
      <w:sz w:val="21"/>
      <w:szCs w:val="21"/>
    </w:rPr>
  </w:style>
  <w:style w:type="paragraph" w:customStyle="1" w:styleId="Style723">
    <w:name w:val="_Style 723"/>
    <w:basedOn w:val="Style682"/>
    <w:autoRedefine/>
    <w:uiPriority w:val="99"/>
    <w:semiHidden/>
    <w:qFormat/>
    <w:pPr>
      <w:widowControl/>
      <w:ind w:firstLineChars="100" w:firstLine="420"/>
      <w:jc w:val="left"/>
    </w:pPr>
    <w:rPr>
      <w:rFonts w:ascii="宋体" w:hAnsi="宋体" w:cs="宋体"/>
      <w:kern w:val="0"/>
      <w:sz w:val="24"/>
      <w:szCs w:val="24"/>
    </w:rPr>
  </w:style>
  <w:style w:type="character" w:customStyle="1" w:styleId="Style724">
    <w:name w:val="_Style 724"/>
    <w:basedOn w:val="Style705"/>
    <w:autoRedefine/>
    <w:uiPriority w:val="99"/>
    <w:semiHidden/>
    <w:qFormat/>
    <w:rPr>
      <w:rFonts w:ascii="宋体" w:eastAsia="宋体" w:hAnsi="宋体" w:cs="宋体"/>
      <w:sz w:val="24"/>
      <w:szCs w:val="24"/>
    </w:rPr>
  </w:style>
  <w:style w:type="paragraph" w:customStyle="1" w:styleId="Style725">
    <w:name w:val="_Style 725"/>
    <w:basedOn w:val="a"/>
    <w:autoRedefine/>
    <w:uiPriority w:val="99"/>
    <w:semiHidden/>
    <w:qFormat/>
    <w:pPr>
      <w:spacing w:after="120"/>
      <w:ind w:leftChars="200" w:left="420"/>
    </w:pPr>
  </w:style>
  <w:style w:type="character" w:customStyle="1" w:styleId="Style726">
    <w:name w:val="_Style 726"/>
    <w:basedOn w:val="a0"/>
    <w:autoRedefine/>
    <w:uiPriority w:val="99"/>
    <w:semiHidden/>
    <w:qFormat/>
    <w:rPr>
      <w:rFonts w:ascii="宋体" w:hAnsi="宋体" w:cs="宋体"/>
      <w:sz w:val="24"/>
      <w:szCs w:val="24"/>
    </w:rPr>
  </w:style>
  <w:style w:type="paragraph" w:customStyle="1" w:styleId="Style727">
    <w:name w:val="_Style 727"/>
    <w:basedOn w:val="Style725"/>
    <w:autoRedefine/>
    <w:uiPriority w:val="99"/>
    <w:semiHidden/>
    <w:qFormat/>
    <w:pPr>
      <w:ind w:firstLine="420"/>
    </w:pPr>
  </w:style>
  <w:style w:type="character" w:customStyle="1" w:styleId="Style728">
    <w:name w:val="_Style 728"/>
    <w:basedOn w:val="Style726"/>
    <w:autoRedefine/>
    <w:uiPriority w:val="99"/>
    <w:semiHidden/>
    <w:qFormat/>
    <w:rPr>
      <w:rFonts w:ascii="宋体" w:hAnsi="宋体" w:cs="宋体"/>
      <w:sz w:val="24"/>
      <w:szCs w:val="24"/>
    </w:rPr>
  </w:style>
  <w:style w:type="paragraph" w:customStyle="1" w:styleId="Style729">
    <w:name w:val="_Style 729"/>
    <w:basedOn w:val="a"/>
    <w:autoRedefine/>
    <w:uiPriority w:val="99"/>
    <w:semiHidden/>
    <w:qFormat/>
    <w:pPr>
      <w:spacing w:after="120" w:line="480" w:lineRule="auto"/>
    </w:pPr>
  </w:style>
  <w:style w:type="character" w:customStyle="1" w:styleId="Style730">
    <w:name w:val="_Style 730"/>
    <w:basedOn w:val="a0"/>
    <w:autoRedefine/>
    <w:uiPriority w:val="99"/>
    <w:semiHidden/>
    <w:qFormat/>
    <w:rPr>
      <w:rFonts w:ascii="宋体" w:hAnsi="宋体" w:cs="宋体"/>
      <w:sz w:val="24"/>
      <w:szCs w:val="24"/>
    </w:rPr>
  </w:style>
  <w:style w:type="paragraph" w:customStyle="1" w:styleId="Style731">
    <w:name w:val="_Style 731"/>
    <w:basedOn w:val="a"/>
    <w:autoRedefine/>
    <w:uiPriority w:val="99"/>
    <w:semiHidden/>
    <w:qFormat/>
    <w:pPr>
      <w:spacing w:after="120" w:line="480" w:lineRule="auto"/>
      <w:ind w:leftChars="200" w:left="420"/>
    </w:pPr>
  </w:style>
  <w:style w:type="character" w:customStyle="1" w:styleId="Style732">
    <w:name w:val="_Style 732"/>
    <w:basedOn w:val="a0"/>
    <w:autoRedefine/>
    <w:uiPriority w:val="99"/>
    <w:semiHidden/>
    <w:qFormat/>
    <w:rPr>
      <w:rFonts w:ascii="宋体" w:hAnsi="宋体" w:cs="宋体"/>
      <w:sz w:val="24"/>
      <w:szCs w:val="24"/>
    </w:rPr>
  </w:style>
  <w:style w:type="table" w:customStyle="1" w:styleId="g1">
    <w:name w:val="g1"/>
    <w:basedOn w:val="a1"/>
    <w:autoRedefine/>
    <w:qFormat/>
    <w:rPr>
      <w:rFonts w:ascii="Times New Roman" w:eastAsia="Times New Roman" w:hAnsi="Times New Roman"/>
    </w:rPr>
    <w:tblPr/>
  </w:style>
  <w:style w:type="paragraph" w:customStyle="1" w:styleId="2a">
    <w:name w:val="正文2"/>
    <w:semiHidden/>
    <w:qFormat/>
    <w:pPr>
      <w:jc w:val="both"/>
    </w:pPr>
    <w:rPr>
      <w:rFonts w:cs="Calibri"/>
      <w:kern w:val="2"/>
      <w:sz w:val="21"/>
      <w:szCs w:val="21"/>
    </w:rPr>
  </w:style>
  <w:style w:type="table" w:customStyle="1" w:styleId="g8">
    <w:name w:val="g8"/>
    <w:autoRedefine/>
    <w:uiPriority w:val="99"/>
    <w:semiHidden/>
    <w:unhideWhenUsed/>
    <w:qFormat/>
    <w:tblPr>
      <w:tblCellMar>
        <w:top w:w="0" w:type="dxa"/>
        <w:left w:w="108" w:type="dxa"/>
        <w:bottom w:w="0" w:type="dxa"/>
        <w:right w:w="108" w:type="dxa"/>
      </w:tblCellMar>
    </w:tblPr>
  </w:style>
  <w:style w:type="table" w:customStyle="1" w:styleId="g10">
    <w:name w:val="g10"/>
    <w:basedOn w:val="a1"/>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2">
    <w:name w:val="g12"/>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13">
    <w:name w:val="g13"/>
    <w:autoRedefine/>
    <w:uiPriority w:val="59"/>
    <w:qFormat/>
    <w:pPr>
      <w:widowControl w:val="0"/>
      <w:jc w:val="both"/>
    </w:pPr>
    <w:rPr>
      <w:rFonts w:ascii="Times New Roman" w:eastAsiaTheme="minorEastAsia"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Style740">
    <w:name w:val="_Style 740"/>
    <w:autoRedefine/>
    <w:uiPriority w:val="99"/>
    <w:semiHidden/>
    <w:unhideWhenUsed/>
    <w:qFormat/>
    <w:tblPr>
      <w:tblCellMar>
        <w:top w:w="0" w:type="dxa"/>
        <w:left w:w="108" w:type="dxa"/>
        <w:bottom w:w="0" w:type="dxa"/>
        <w:right w:w="108" w:type="dxa"/>
      </w:tblCellMar>
    </w:tblPr>
  </w:style>
  <w:style w:type="table" w:customStyle="1" w:styleId="Style741">
    <w:name w:val="_Style 741"/>
    <w:autoRedefine/>
    <w:uiPriority w:val="99"/>
    <w:semiHidden/>
    <w:unhideWhenUsed/>
    <w:qFormat/>
    <w:tblPr>
      <w:tblCellMar>
        <w:top w:w="0" w:type="dxa"/>
        <w:left w:w="108" w:type="dxa"/>
        <w:bottom w:w="0" w:type="dxa"/>
        <w:right w:w="108" w:type="dxa"/>
      </w:tblCellMar>
    </w:tblPr>
  </w:style>
  <w:style w:type="paragraph" w:customStyle="1" w:styleId="Style743">
    <w:name w:val="_Style 743"/>
    <w:basedOn w:val="a"/>
    <w:next w:val="a"/>
    <w:autoRedefine/>
    <w:uiPriority w:val="39"/>
    <w:semiHidden/>
    <w:qFormat/>
    <w:pPr>
      <w:ind w:leftChars="1200" w:left="2520"/>
    </w:pPr>
    <w:rPr>
      <w:rFonts w:asciiTheme="minorHAnsi" w:eastAsiaTheme="minorEastAsia" w:hAnsiTheme="minorHAnsi" w:cstheme="minorBidi"/>
      <w:kern w:val="2"/>
      <w:sz w:val="21"/>
      <w:szCs w:val="22"/>
    </w:rPr>
  </w:style>
  <w:style w:type="paragraph" w:customStyle="1" w:styleId="Style744">
    <w:name w:val="_Style 744"/>
    <w:basedOn w:val="a"/>
    <w:autoRedefine/>
    <w:semiHidden/>
    <w:qFormat/>
    <w:rPr>
      <w:rFonts w:ascii="Times New Roman" w:hAnsi="Times New Roman" w:cs="Times New Roman"/>
      <w:kern w:val="2"/>
      <w:sz w:val="21"/>
      <w:szCs w:val="21"/>
    </w:rPr>
  </w:style>
  <w:style w:type="paragraph" w:customStyle="1" w:styleId="Style745">
    <w:name w:val="_Style 745"/>
    <w:basedOn w:val="a"/>
    <w:next w:val="a"/>
    <w:autoRedefine/>
    <w:uiPriority w:val="39"/>
    <w:semiHidden/>
    <w:qFormat/>
    <w:pPr>
      <w:ind w:leftChars="800" w:left="1680"/>
    </w:pPr>
    <w:rPr>
      <w:rFonts w:asciiTheme="minorHAnsi" w:eastAsiaTheme="minorEastAsia" w:hAnsiTheme="minorHAnsi" w:cstheme="minorBidi"/>
      <w:kern w:val="2"/>
      <w:sz w:val="21"/>
      <w:szCs w:val="22"/>
    </w:rPr>
  </w:style>
  <w:style w:type="paragraph" w:customStyle="1" w:styleId="Style746">
    <w:name w:val="_Style 746"/>
    <w:basedOn w:val="a"/>
    <w:next w:val="a"/>
    <w:autoRedefine/>
    <w:uiPriority w:val="39"/>
    <w:semiHidden/>
    <w:qFormat/>
    <w:pPr>
      <w:spacing w:after="100" w:line="276" w:lineRule="auto"/>
      <w:ind w:left="440"/>
    </w:pPr>
    <w:rPr>
      <w:rFonts w:ascii="Calibri" w:hAnsi="Calibri" w:cs="Times New Roman"/>
      <w:sz w:val="22"/>
      <w:szCs w:val="22"/>
    </w:rPr>
  </w:style>
  <w:style w:type="paragraph" w:customStyle="1" w:styleId="Style747">
    <w:name w:val="_Style 747"/>
    <w:basedOn w:val="a"/>
    <w:next w:val="a"/>
    <w:autoRedefine/>
    <w:uiPriority w:val="39"/>
    <w:semiHidden/>
    <w:qFormat/>
    <w:pPr>
      <w:ind w:leftChars="1400" w:left="2940"/>
    </w:pPr>
    <w:rPr>
      <w:rFonts w:asciiTheme="minorHAnsi" w:eastAsiaTheme="minorEastAsia" w:hAnsiTheme="minorHAnsi" w:cstheme="minorBidi"/>
      <w:kern w:val="2"/>
      <w:sz w:val="21"/>
      <w:szCs w:val="22"/>
    </w:rPr>
  </w:style>
  <w:style w:type="paragraph" w:customStyle="1" w:styleId="Style748">
    <w:name w:val="_Style 748"/>
    <w:basedOn w:val="a"/>
    <w:next w:val="a"/>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749">
    <w:name w:val="_Style 749"/>
    <w:basedOn w:val="a"/>
    <w:next w:val="a"/>
    <w:autoRedefine/>
    <w:uiPriority w:val="39"/>
    <w:semiHidden/>
    <w:qFormat/>
    <w:pPr>
      <w:ind w:leftChars="600" w:left="1260"/>
    </w:pPr>
    <w:rPr>
      <w:rFonts w:asciiTheme="minorHAnsi" w:eastAsiaTheme="minorEastAsia" w:hAnsiTheme="minorHAnsi" w:cstheme="minorBidi"/>
      <w:kern w:val="2"/>
      <w:sz w:val="21"/>
      <w:szCs w:val="22"/>
    </w:rPr>
  </w:style>
  <w:style w:type="paragraph" w:customStyle="1" w:styleId="Style750">
    <w:name w:val="_Style 750"/>
    <w:basedOn w:val="a"/>
    <w:next w:val="a"/>
    <w:autoRedefine/>
    <w:uiPriority w:val="39"/>
    <w:semiHidden/>
    <w:qFormat/>
    <w:pPr>
      <w:ind w:leftChars="1000" w:left="2100"/>
    </w:pPr>
    <w:rPr>
      <w:rFonts w:asciiTheme="minorHAnsi" w:eastAsiaTheme="minorEastAsia" w:hAnsiTheme="minorHAnsi" w:cstheme="minorBidi"/>
      <w:kern w:val="2"/>
      <w:sz w:val="21"/>
      <w:szCs w:val="22"/>
    </w:rPr>
  </w:style>
  <w:style w:type="paragraph" w:customStyle="1" w:styleId="Style751">
    <w:name w:val="_Style 751"/>
    <w:basedOn w:val="a"/>
    <w:next w:val="a"/>
    <w:autoRedefine/>
    <w:uiPriority w:val="39"/>
    <w:semiHidden/>
    <w:qFormat/>
    <w:pPr>
      <w:ind w:leftChars="200" w:left="420"/>
    </w:pPr>
    <w:rPr>
      <w:rFonts w:ascii="Times New Roman" w:hAnsi="Times New Roman" w:cs="Times New Roman"/>
      <w:kern w:val="2"/>
      <w:sz w:val="21"/>
      <w:szCs w:val="21"/>
    </w:rPr>
  </w:style>
  <w:style w:type="paragraph" w:customStyle="1" w:styleId="Style752">
    <w:name w:val="_Style 752"/>
    <w:basedOn w:val="a"/>
    <w:next w:val="a"/>
    <w:autoRedefine/>
    <w:uiPriority w:val="39"/>
    <w:semiHidden/>
    <w:qFormat/>
    <w:pPr>
      <w:ind w:leftChars="1600" w:left="3360"/>
    </w:pPr>
    <w:rPr>
      <w:rFonts w:asciiTheme="minorHAnsi" w:eastAsiaTheme="minorEastAsia" w:hAnsiTheme="minorHAnsi" w:cstheme="minorBidi"/>
      <w:kern w:val="2"/>
      <w:sz w:val="21"/>
      <w:szCs w:val="22"/>
    </w:rPr>
  </w:style>
  <w:style w:type="paragraph" w:customStyle="1" w:styleId="Style753">
    <w:name w:val="_Style 753"/>
    <w:basedOn w:val="a"/>
    <w:next w:val="a"/>
    <w:autoRedefine/>
    <w:semiHidden/>
    <w:qFormat/>
    <w:pPr>
      <w:ind w:firstLine="420"/>
    </w:pPr>
    <w:rPr>
      <w:rFonts w:cs="Times New Roman"/>
      <w:color w:val="000000"/>
      <w:sz w:val="21"/>
      <w:szCs w:val="21"/>
    </w:rPr>
  </w:style>
  <w:style w:type="paragraph" w:customStyle="1" w:styleId="Style754">
    <w:name w:val="_Style 754"/>
    <w:basedOn w:val="1"/>
    <w:next w:val="a"/>
    <w:autoRedefine/>
    <w:uiPriority w:val="39"/>
    <w:semiHidden/>
    <w:qFormat/>
    <w:pPr>
      <w:widowControl/>
      <w:spacing w:before="480" w:after="0" w:line="276" w:lineRule="auto"/>
      <w:outlineLvl w:val="9"/>
    </w:pPr>
    <w:rPr>
      <w:rFonts w:ascii="Cambria" w:eastAsia="宋体" w:hAnsi="Cambria"/>
      <w:color w:val="365F91"/>
      <w:kern w:val="0"/>
    </w:rPr>
  </w:style>
  <w:style w:type="character" w:customStyle="1" w:styleId="Style755">
    <w:name w:val="_Style 755"/>
    <w:basedOn w:val="a0"/>
    <w:autoRedefine/>
    <w:semiHidden/>
    <w:qFormat/>
    <w:rPr>
      <w:rFonts w:ascii="Times New Roman" w:eastAsia="宋体" w:hAnsi="Times New Roman" w:cs="Times New Roman"/>
      <w:szCs w:val="21"/>
    </w:rPr>
  </w:style>
  <w:style w:type="paragraph" w:customStyle="1" w:styleId="Style756">
    <w:name w:val="_Style 756"/>
    <w:basedOn w:val="a"/>
    <w:autoRedefine/>
    <w:semiHidden/>
    <w:qFormat/>
    <w:pPr>
      <w:keepNext/>
      <w:keepLines/>
      <w:spacing w:before="60" w:after="60"/>
      <w:ind w:hangingChars="200" w:hanging="420"/>
      <w:outlineLvl w:val="4"/>
    </w:pPr>
    <w:rPr>
      <w:rFonts w:cs="Times New Roman"/>
      <w:b/>
      <w:bCs/>
      <w:kern w:val="2"/>
      <w:sz w:val="21"/>
      <w:szCs w:val="21"/>
    </w:rPr>
  </w:style>
  <w:style w:type="paragraph" w:customStyle="1" w:styleId="Style757">
    <w:name w:val="_Style 757"/>
    <w:autoRedefine/>
    <w:hidden/>
    <w:uiPriority w:val="99"/>
    <w:semiHidden/>
    <w:qFormat/>
    <w:rPr>
      <w:kern w:val="2"/>
      <w:sz w:val="21"/>
      <w:szCs w:val="22"/>
    </w:rPr>
  </w:style>
  <w:style w:type="paragraph" w:customStyle="1" w:styleId="Style758">
    <w:name w:val="_Style 758"/>
    <w:basedOn w:val="a"/>
    <w:next w:val="a"/>
    <w:autoRedefine/>
    <w:semiHidden/>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Style759">
    <w:name w:val="_Style 759"/>
    <w:basedOn w:val="a0"/>
    <w:autoRedefine/>
    <w:semiHidden/>
    <w:qFormat/>
    <w:rPr>
      <w:rFonts w:ascii="Times New Roman" w:hAnsi="Times New Roman"/>
      <w:b/>
      <w:kern w:val="2"/>
      <w:sz w:val="21"/>
      <w:szCs w:val="24"/>
    </w:rPr>
  </w:style>
  <w:style w:type="character" w:customStyle="1" w:styleId="Style760">
    <w:name w:val="_Style 760"/>
    <w:basedOn w:val="Style755"/>
    <w:autoRedefine/>
    <w:uiPriority w:val="99"/>
    <w:semiHidden/>
    <w:qFormat/>
    <w:rPr>
      <w:rFonts w:ascii="Times New Roman" w:eastAsia="宋体" w:hAnsi="Times New Roman" w:cs="Times New Roman"/>
      <w:b/>
      <w:bCs/>
      <w:szCs w:val="21"/>
    </w:rPr>
  </w:style>
  <w:style w:type="paragraph" w:customStyle="1" w:styleId="Style761">
    <w:name w:val="_Style 761"/>
    <w:basedOn w:val="a"/>
    <w:next w:val="aff7"/>
    <w:autoRedefine/>
    <w:uiPriority w:val="34"/>
    <w:semiHidden/>
    <w:qFormat/>
    <w:pPr>
      <w:ind w:firstLine="420"/>
    </w:pPr>
    <w:rPr>
      <w:rFonts w:ascii="Calibri" w:hAnsi="Calibri" w:cs="Times New Roman"/>
      <w:kern w:val="2"/>
      <w:sz w:val="21"/>
      <w:szCs w:val="22"/>
    </w:rPr>
  </w:style>
  <w:style w:type="paragraph" w:customStyle="1" w:styleId="Style762">
    <w:name w:val="_Style 762"/>
    <w:basedOn w:val="a"/>
    <w:next w:val="aff7"/>
    <w:autoRedefine/>
    <w:uiPriority w:val="34"/>
    <w:semiHidden/>
    <w:qFormat/>
    <w:pPr>
      <w:ind w:firstLine="420"/>
    </w:pPr>
    <w:rPr>
      <w:rFonts w:ascii="Calibri" w:hAnsi="Calibri" w:cs="Times New Roman"/>
      <w:kern w:val="2"/>
      <w:sz w:val="21"/>
      <w:szCs w:val="22"/>
    </w:rPr>
  </w:style>
  <w:style w:type="paragraph" w:customStyle="1" w:styleId="Style763">
    <w:name w:val="_Style 763"/>
    <w:basedOn w:val="a"/>
    <w:next w:val="aff7"/>
    <w:autoRedefine/>
    <w:uiPriority w:val="34"/>
    <w:semiHidden/>
    <w:qFormat/>
    <w:pPr>
      <w:ind w:firstLine="420"/>
    </w:pPr>
    <w:rPr>
      <w:rFonts w:ascii="Calibri" w:hAnsi="Calibri" w:cs="Times New Roman"/>
      <w:kern w:val="2"/>
      <w:sz w:val="21"/>
      <w:szCs w:val="22"/>
    </w:rPr>
  </w:style>
  <w:style w:type="paragraph" w:customStyle="1" w:styleId="Style764">
    <w:name w:val="_Style 764"/>
    <w:basedOn w:val="a"/>
    <w:next w:val="aff7"/>
    <w:autoRedefine/>
    <w:uiPriority w:val="34"/>
    <w:semiHidden/>
    <w:qFormat/>
    <w:pPr>
      <w:ind w:firstLine="420"/>
    </w:pPr>
    <w:rPr>
      <w:rFonts w:ascii="Calibri" w:hAnsi="Calibri" w:cs="Times New Roman"/>
      <w:kern w:val="2"/>
      <w:sz w:val="21"/>
      <w:szCs w:val="22"/>
    </w:rPr>
  </w:style>
  <w:style w:type="character" w:customStyle="1" w:styleId="Style765">
    <w:name w:val="_Style 765"/>
    <w:autoRedefine/>
    <w:uiPriority w:val="99"/>
    <w:semiHidden/>
    <w:qFormat/>
    <w:locked/>
    <w:rPr>
      <w:rFonts w:ascii="Times New Roman" w:hAnsi="Times New Roman"/>
      <w:kern w:val="2"/>
      <w:sz w:val="21"/>
      <w:szCs w:val="21"/>
    </w:rPr>
  </w:style>
  <w:style w:type="paragraph" w:customStyle="1" w:styleId="Style766">
    <w:name w:val="_Style 766"/>
    <w:autoRedefine/>
    <w:semiHidden/>
    <w:qFormat/>
    <w:pPr>
      <w:jc w:val="both"/>
    </w:pPr>
    <w:rPr>
      <w:rFonts w:ascii="宋体" w:hAnsi="宋体" w:cs="宋体"/>
      <w:kern w:val="2"/>
      <w:sz w:val="21"/>
      <w:szCs w:val="21"/>
    </w:rPr>
  </w:style>
  <w:style w:type="paragraph" w:customStyle="1" w:styleId="Style767">
    <w:name w:val="_Style 767"/>
    <w:basedOn w:val="a"/>
    <w:autoRedefine/>
    <w:semiHidden/>
    <w:qFormat/>
    <w:pPr>
      <w:ind w:firstLine="420"/>
    </w:pPr>
    <w:rPr>
      <w:rFonts w:ascii="Calibri" w:hAnsi="Calibri" w:cs="Times New Roman"/>
      <w:kern w:val="2"/>
      <w:sz w:val="21"/>
      <w:szCs w:val="21"/>
    </w:rPr>
  </w:style>
  <w:style w:type="paragraph" w:customStyle="1" w:styleId="Style768">
    <w:name w:val="_Style 768"/>
    <w:basedOn w:val="af"/>
    <w:autoRedefine/>
    <w:uiPriority w:val="99"/>
    <w:semiHidden/>
    <w:qFormat/>
    <w:pPr>
      <w:ind w:firstLine="420"/>
    </w:pPr>
  </w:style>
  <w:style w:type="character" w:customStyle="1" w:styleId="Style769">
    <w:name w:val="_Style 769"/>
    <w:basedOn w:val="af0"/>
    <w:autoRedefine/>
    <w:uiPriority w:val="99"/>
    <w:semiHidden/>
    <w:qFormat/>
    <w:rPr>
      <w:rFonts w:ascii="宋体" w:hAnsi="宋体" w:cs="宋体"/>
      <w:sz w:val="24"/>
      <w:szCs w:val="24"/>
    </w:rPr>
  </w:style>
  <w:style w:type="paragraph" w:customStyle="1" w:styleId="Style770">
    <w:name w:val="_Style 770"/>
    <w:basedOn w:val="a"/>
    <w:autoRedefine/>
    <w:uiPriority w:val="99"/>
    <w:semiHidden/>
    <w:qFormat/>
    <w:pPr>
      <w:spacing w:after="120" w:line="480" w:lineRule="auto"/>
    </w:pPr>
  </w:style>
  <w:style w:type="character" w:customStyle="1" w:styleId="Style771">
    <w:name w:val="_Style 771"/>
    <w:basedOn w:val="a0"/>
    <w:autoRedefine/>
    <w:uiPriority w:val="99"/>
    <w:semiHidden/>
    <w:qFormat/>
    <w:rPr>
      <w:rFonts w:ascii="宋体" w:hAnsi="宋体" w:cs="宋体"/>
      <w:sz w:val="24"/>
      <w:szCs w:val="24"/>
    </w:rPr>
  </w:style>
  <w:style w:type="paragraph" w:customStyle="1" w:styleId="Style772">
    <w:name w:val="_Style 772"/>
    <w:basedOn w:val="a"/>
    <w:autoRedefine/>
    <w:uiPriority w:val="99"/>
    <w:semiHidden/>
    <w:qFormat/>
    <w:pPr>
      <w:spacing w:after="120"/>
    </w:pPr>
    <w:rPr>
      <w:sz w:val="16"/>
      <w:szCs w:val="16"/>
    </w:rPr>
  </w:style>
  <w:style w:type="character" w:customStyle="1" w:styleId="Style773">
    <w:name w:val="_Style 773"/>
    <w:basedOn w:val="a0"/>
    <w:autoRedefine/>
    <w:uiPriority w:val="99"/>
    <w:semiHidden/>
    <w:qFormat/>
    <w:rPr>
      <w:rFonts w:ascii="宋体" w:hAnsi="宋体" w:cs="宋体"/>
      <w:sz w:val="16"/>
      <w:szCs w:val="16"/>
    </w:rPr>
  </w:style>
  <w:style w:type="paragraph" w:customStyle="1" w:styleId="Style774">
    <w:name w:val="_Style 774"/>
    <w:basedOn w:val="a"/>
    <w:autoRedefine/>
    <w:uiPriority w:val="99"/>
    <w:semiHidden/>
    <w:qFormat/>
    <w:pPr>
      <w:spacing w:after="120" w:line="480" w:lineRule="auto"/>
      <w:ind w:leftChars="200" w:left="420"/>
    </w:pPr>
  </w:style>
  <w:style w:type="character" w:customStyle="1" w:styleId="Style775">
    <w:name w:val="_Style 775"/>
    <w:basedOn w:val="a0"/>
    <w:autoRedefine/>
    <w:uiPriority w:val="99"/>
    <w:semiHidden/>
    <w:qFormat/>
    <w:rPr>
      <w:rFonts w:ascii="宋体" w:hAnsi="宋体" w:cs="宋体"/>
      <w:sz w:val="24"/>
      <w:szCs w:val="24"/>
    </w:rPr>
  </w:style>
  <w:style w:type="paragraph" w:customStyle="1" w:styleId="Style776">
    <w:name w:val="_Style 776"/>
    <w:basedOn w:val="a"/>
    <w:autoRedefine/>
    <w:uiPriority w:val="99"/>
    <w:semiHidden/>
    <w:qFormat/>
    <w:pPr>
      <w:spacing w:after="120"/>
      <w:ind w:leftChars="200" w:left="420"/>
    </w:pPr>
    <w:rPr>
      <w:sz w:val="16"/>
      <w:szCs w:val="16"/>
    </w:rPr>
  </w:style>
  <w:style w:type="paragraph" w:customStyle="1" w:styleId="Style777">
    <w:name w:val="_Style 777"/>
    <w:basedOn w:val="Style124"/>
    <w:next w:val="aff7"/>
    <w:autoRedefine/>
    <w:uiPriority w:val="99"/>
    <w:semiHidden/>
    <w:qFormat/>
    <w:pPr>
      <w:keepNext/>
      <w:keepLines/>
      <w:spacing w:before="60" w:after="60" w:line="360" w:lineRule="auto"/>
      <w:jc w:val="center"/>
      <w:outlineLvl w:val="0"/>
    </w:pPr>
    <w:rPr>
      <w:rFonts w:ascii="Calibri" w:eastAsia="黑体" w:hAnsi="Calibri" w:cs="Times New Roman"/>
      <w:b/>
      <w:bCs/>
      <w:kern w:val="44"/>
      <w:sz w:val="28"/>
      <w:szCs w:val="44"/>
    </w:rPr>
  </w:style>
  <w:style w:type="paragraph" w:customStyle="1" w:styleId="Style778">
    <w:name w:val="_Style 778"/>
    <w:basedOn w:val="Style777"/>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character" w:customStyle="1" w:styleId="Style779">
    <w:name w:val="_Style 779"/>
    <w:basedOn w:val="Style132"/>
    <w:autoRedefine/>
    <w:semiHidden/>
    <w:qFormat/>
    <w:rPr>
      <w:rFonts w:ascii="Times New Roman" w:hAnsi="Times New Roman"/>
      <w:b/>
      <w:kern w:val="2"/>
      <w:sz w:val="21"/>
      <w:szCs w:val="24"/>
    </w:rPr>
  </w:style>
  <w:style w:type="paragraph" w:customStyle="1" w:styleId="Style780">
    <w:name w:val="_Style 780"/>
    <w:basedOn w:val="Style229"/>
    <w:next w:val="aff7"/>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781">
    <w:name w:val="_Style 781"/>
    <w:basedOn w:val="Style780"/>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782">
    <w:name w:val="_Style 782"/>
    <w:basedOn w:val="Style229"/>
    <w:next w:val="aff7"/>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character" w:customStyle="1" w:styleId="Style783">
    <w:name w:val="_Style 783"/>
    <w:basedOn w:val="Style237"/>
    <w:autoRedefine/>
    <w:semiHidden/>
    <w:qFormat/>
    <w:rPr>
      <w:rFonts w:ascii="Times New Roman" w:hAnsi="Times New Roman"/>
      <w:b/>
      <w:kern w:val="2"/>
      <w:sz w:val="21"/>
      <w:szCs w:val="24"/>
    </w:rPr>
  </w:style>
  <w:style w:type="character" w:customStyle="1" w:styleId="Style784">
    <w:name w:val="_Style 784"/>
    <w:basedOn w:val="Style339"/>
    <w:autoRedefine/>
    <w:semiHidden/>
    <w:qFormat/>
    <w:rPr>
      <w:rFonts w:ascii="Times New Roman" w:eastAsia="宋体" w:hAnsi="Times New Roman" w:cs="Times New Roman"/>
      <w:szCs w:val="21"/>
    </w:rPr>
  </w:style>
  <w:style w:type="character" w:customStyle="1" w:styleId="Style785">
    <w:name w:val="_Style 785"/>
    <w:basedOn w:val="Style339"/>
    <w:link w:val="16"/>
    <w:autoRedefine/>
    <w:uiPriority w:val="34"/>
    <w:semiHidden/>
    <w:qFormat/>
    <w:rPr>
      <w:kern w:val="2"/>
      <w:sz w:val="21"/>
      <w:szCs w:val="22"/>
    </w:rPr>
  </w:style>
  <w:style w:type="character" w:customStyle="1" w:styleId="Style786">
    <w:name w:val="_Style 786"/>
    <w:basedOn w:val="Style339"/>
    <w:autoRedefine/>
    <w:uiPriority w:val="99"/>
    <w:semiHidden/>
    <w:qFormat/>
    <w:rPr>
      <w:rFonts w:ascii="宋体"/>
      <w:kern w:val="2"/>
      <w:sz w:val="18"/>
      <w:szCs w:val="18"/>
    </w:rPr>
  </w:style>
  <w:style w:type="character" w:customStyle="1" w:styleId="24">
    <w:name w:val="目录 2 字符"/>
    <w:basedOn w:val="Style470"/>
    <w:link w:val="23"/>
    <w:autoRedefine/>
    <w:semiHidden/>
    <w:qFormat/>
    <w:rPr>
      <w:rFonts w:ascii="Times New Roman" w:hAnsi="Times New Roman" w:cs="宋体"/>
      <w:kern w:val="2"/>
      <w:sz w:val="21"/>
      <w:szCs w:val="21"/>
    </w:rPr>
  </w:style>
  <w:style w:type="paragraph" w:customStyle="1" w:styleId="Style788">
    <w:name w:val="_Style 788"/>
    <w:basedOn w:val="Style480"/>
    <w:next w:val="aff7"/>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b">
    <w:name w:val="修订2"/>
    <w:autoRedefine/>
    <w:hidden/>
    <w:uiPriority w:val="99"/>
    <w:unhideWhenUsed/>
    <w:qFormat/>
    <w:rPr>
      <w:rFonts w:ascii="宋体" w:hAnsi="宋体" w:cs="宋体"/>
      <w:sz w:val="24"/>
      <w:szCs w:val="24"/>
    </w:rPr>
  </w:style>
  <w:style w:type="paragraph" w:customStyle="1" w:styleId="3b">
    <w:name w:val="修订3"/>
    <w:autoRedefine/>
    <w:hidden/>
    <w:uiPriority w:val="99"/>
    <w:unhideWhenUsed/>
    <w:qFormat/>
    <w:rPr>
      <w:rFonts w:ascii="宋体" w:hAnsi="宋体" w:cs="宋体"/>
      <w:sz w:val="24"/>
      <w:szCs w:val="24"/>
    </w:rPr>
  </w:style>
  <w:style w:type="paragraph" w:customStyle="1" w:styleId="afff1">
    <w:name w:val="年报正文"/>
    <w:basedOn w:val="a"/>
    <w:link w:val="afff2"/>
    <w:qFormat/>
    <w:pPr>
      <w:spacing w:beforeLines="50" w:before="120" w:line="360" w:lineRule="auto"/>
      <w:ind w:firstLineChars="200" w:firstLine="480"/>
    </w:pPr>
    <w:rPr>
      <w:sz w:val="21"/>
    </w:rPr>
  </w:style>
  <w:style w:type="character" w:customStyle="1" w:styleId="afff2">
    <w:name w:val="年报正文 字符"/>
    <w:basedOn w:val="a0"/>
    <w:link w:val="afff1"/>
    <w:autoRedefine/>
    <w:qFormat/>
    <w:rPr>
      <w:rFonts w:ascii="宋体" w:hAnsi="宋体" w:cs="宋体"/>
      <w:sz w:val="21"/>
      <w:szCs w:val="24"/>
    </w:rPr>
  </w:style>
  <w:style w:type="paragraph" w:customStyle="1" w:styleId="afff3">
    <w:name w:val="年报附注说明"/>
    <w:basedOn w:val="Style160"/>
    <w:link w:val="afff4"/>
    <w:autoRedefine/>
    <w:qFormat/>
    <w:pPr>
      <w:ind w:firstLine="200"/>
    </w:pPr>
    <w:rPr>
      <w:rFonts w:hAnsi="宋体" w:cs="宋体"/>
      <w:kern w:val="0"/>
    </w:rPr>
  </w:style>
  <w:style w:type="character" w:customStyle="1" w:styleId="Style1240">
    <w:name w:val="_Style 124 字符"/>
    <w:basedOn w:val="a0"/>
    <w:link w:val="Style124"/>
    <w:autoRedefine/>
    <w:semiHidden/>
    <w:qFormat/>
    <w:rPr>
      <w:rFonts w:ascii="宋体" w:hAnsi="宋体" w:cs="宋体"/>
      <w:sz w:val="21"/>
      <w:szCs w:val="21"/>
    </w:rPr>
  </w:style>
  <w:style w:type="character" w:customStyle="1" w:styleId="Style1600">
    <w:name w:val="_Style 160 字符"/>
    <w:basedOn w:val="Style1240"/>
    <w:link w:val="Style160"/>
    <w:autoRedefine/>
    <w:semiHidden/>
    <w:qFormat/>
    <w:rPr>
      <w:rFonts w:ascii="宋体" w:hAnsi="Courier New" w:cs="宋体"/>
      <w:kern w:val="2"/>
      <w:sz w:val="24"/>
      <w:szCs w:val="24"/>
    </w:rPr>
  </w:style>
  <w:style w:type="character" w:customStyle="1" w:styleId="afff4">
    <w:name w:val="年报附注说明 字符"/>
    <w:basedOn w:val="Style1600"/>
    <w:link w:val="afff3"/>
    <w:autoRedefine/>
    <w:qFormat/>
    <w:rPr>
      <w:rFonts w:ascii="宋体" w:hAnsi="宋体" w:cs="宋体"/>
      <w:kern w:val="2"/>
      <w:sz w:val="24"/>
      <w:szCs w:val="24"/>
    </w:rPr>
  </w:style>
  <w:style w:type="paragraph" w:customStyle="1" w:styleId="43">
    <w:name w:val="修订4"/>
    <w:autoRedefine/>
    <w:hidden/>
    <w:uiPriority w:val="99"/>
    <w:semiHidden/>
    <w:qFormat/>
    <w:rPr>
      <w:rFonts w:ascii="宋体" w:hAnsi="宋体" w:cs="宋体"/>
      <w:sz w:val="24"/>
      <w:szCs w:val="24"/>
    </w:rPr>
  </w:style>
  <w:style w:type="paragraph" w:customStyle="1" w:styleId="afff5">
    <w:name w:val="币种单位"/>
    <w:basedOn w:val="Style607"/>
    <w:link w:val="afff6"/>
    <w:autoRedefine/>
    <w:qFormat/>
    <w:pPr>
      <w:jc w:val="right"/>
    </w:pPr>
    <w:rPr>
      <w:sz w:val="18"/>
      <w:szCs w:val="18"/>
    </w:rPr>
  </w:style>
  <w:style w:type="character" w:customStyle="1" w:styleId="Style5800">
    <w:name w:val="_Style 580 字符"/>
    <w:basedOn w:val="a0"/>
    <w:link w:val="Style580"/>
    <w:autoRedefine/>
    <w:semiHidden/>
    <w:qFormat/>
    <w:rPr>
      <w:rFonts w:ascii="宋体" w:hAnsi="宋体" w:cs="宋体"/>
      <w:sz w:val="24"/>
      <w:szCs w:val="24"/>
    </w:rPr>
  </w:style>
  <w:style w:type="character" w:customStyle="1" w:styleId="Style6070">
    <w:name w:val="_Style 607 字符"/>
    <w:basedOn w:val="Style5800"/>
    <w:link w:val="Style607"/>
    <w:autoRedefine/>
    <w:uiPriority w:val="99"/>
    <w:semiHidden/>
    <w:qFormat/>
    <w:rPr>
      <w:rFonts w:ascii="宋体" w:hAnsi="宋体" w:cs="宋体"/>
      <w:kern w:val="2"/>
      <w:sz w:val="24"/>
      <w:szCs w:val="22"/>
    </w:rPr>
  </w:style>
  <w:style w:type="character" w:customStyle="1" w:styleId="afff6">
    <w:name w:val="币种单位 字符"/>
    <w:basedOn w:val="Style6070"/>
    <w:link w:val="afff5"/>
    <w:autoRedefine/>
    <w:qFormat/>
    <w:rPr>
      <w:rFonts w:ascii="宋体" w:hAnsi="宋体" w:cs="宋体"/>
      <w:kern w:val="2"/>
      <w:sz w:val="18"/>
      <w:szCs w:val="18"/>
    </w:rPr>
  </w:style>
  <w:style w:type="paragraph" w:customStyle="1" w:styleId="afff7">
    <w:name w:val="表格数字"/>
    <w:basedOn w:val="a"/>
    <w:link w:val="afff8"/>
    <w:autoRedefine/>
    <w:qFormat/>
    <w:pPr>
      <w:spacing w:line="240" w:lineRule="auto"/>
      <w:jc w:val="right"/>
    </w:pPr>
    <w:rPr>
      <w:sz w:val="21"/>
      <w:szCs w:val="21"/>
    </w:rPr>
  </w:style>
  <w:style w:type="character" w:customStyle="1" w:styleId="afff8">
    <w:name w:val="表格数字 字符"/>
    <w:basedOn w:val="a0"/>
    <w:link w:val="afff7"/>
    <w:qFormat/>
    <w:rPr>
      <w:rFonts w:ascii="宋体" w:hAnsi="宋体" w:cs="宋体"/>
      <w:sz w:val="21"/>
      <w:szCs w:val="21"/>
    </w:rPr>
  </w:style>
  <w:style w:type="paragraph" w:customStyle="1" w:styleId="afff9">
    <w:name w:val="表格文字"/>
    <w:basedOn w:val="Style607"/>
    <w:link w:val="afffa"/>
    <w:autoRedefine/>
    <w:qFormat/>
    <w:rPr>
      <w:sz w:val="21"/>
      <w:szCs w:val="21"/>
    </w:rPr>
  </w:style>
  <w:style w:type="character" w:customStyle="1" w:styleId="afffa">
    <w:name w:val="表格文字 字符"/>
    <w:basedOn w:val="Style6070"/>
    <w:link w:val="afff9"/>
    <w:qFormat/>
    <w:rPr>
      <w:rFonts w:ascii="宋体" w:hAnsi="宋体" w:cs="宋体"/>
      <w:kern w:val="2"/>
      <w:sz w:val="21"/>
      <w:szCs w:val="21"/>
    </w:rPr>
  </w:style>
  <w:style w:type="paragraph" w:customStyle="1" w:styleId="afffb">
    <w:name w:val="表格标题"/>
    <w:basedOn w:val="afff9"/>
    <w:link w:val="afffc"/>
    <w:autoRedefine/>
    <w:qFormat/>
    <w:rPr>
      <w:rFonts w:ascii="宋体" w:hAnsi="宋体"/>
    </w:rPr>
  </w:style>
  <w:style w:type="character" w:customStyle="1" w:styleId="afffc">
    <w:name w:val="表格标题 字符"/>
    <w:basedOn w:val="afffa"/>
    <w:link w:val="afffb"/>
    <w:qFormat/>
    <w:rPr>
      <w:rFonts w:ascii="宋体" w:hAnsi="宋体" w:cs="宋体"/>
      <w:kern w:val="2"/>
      <w:sz w:val="21"/>
      <w:szCs w:val="21"/>
    </w:rPr>
  </w:style>
  <w:style w:type="paragraph" w:customStyle="1" w:styleId="afffd">
    <w:name w:val="报表标题"/>
    <w:link w:val="afffe"/>
    <w:autoRedefine/>
    <w:qFormat/>
    <w:pPr>
      <w:ind w:left="420" w:hangingChars="420" w:hanging="420"/>
    </w:pPr>
    <w:rPr>
      <w:rFonts w:eastAsiaTheme="minorEastAsia"/>
      <w:b/>
      <w:kern w:val="2"/>
      <w:sz w:val="24"/>
      <w:szCs w:val="32"/>
    </w:rPr>
  </w:style>
  <w:style w:type="character" w:customStyle="1" w:styleId="Style1270">
    <w:name w:val="_Style 127 字符"/>
    <w:basedOn w:val="Style1240"/>
    <w:link w:val="Style12711"/>
    <w:uiPriority w:val="9"/>
    <w:qFormat/>
    <w:rPr>
      <w:rFonts w:ascii="宋体" w:hAnsi="宋体" w:cs="宋体"/>
      <w:b/>
      <w:bCs/>
      <w:kern w:val="2"/>
      <w:sz w:val="21"/>
      <w:szCs w:val="21"/>
    </w:rPr>
  </w:style>
  <w:style w:type="character" w:customStyle="1" w:styleId="afffe">
    <w:name w:val="报表标题 字符"/>
    <w:basedOn w:val="Style1270"/>
    <w:link w:val="afffd"/>
    <w:qFormat/>
    <w:rPr>
      <w:rFonts w:ascii="宋体" w:eastAsiaTheme="minorEastAsia" w:hAnsi="宋体" w:cs="宋体"/>
      <w:b/>
      <w:bCs w:val="0"/>
      <w:kern w:val="2"/>
      <w:sz w:val="24"/>
      <w:szCs w:val="32"/>
    </w:rPr>
  </w:style>
  <w:style w:type="character" w:customStyle="1" w:styleId="31">
    <w:name w:val="标题 3 字符1"/>
    <w:basedOn w:val="a0"/>
    <w:link w:val="3"/>
    <w:uiPriority w:val="9"/>
    <w:qFormat/>
    <w:rPr>
      <w:rFonts w:ascii="宋体" w:hAnsi="宋体" w:cs="宋体"/>
      <w:b/>
      <w:bCs/>
      <w:sz w:val="32"/>
      <w:szCs w:val="32"/>
    </w:rPr>
  </w:style>
  <w:style w:type="paragraph" w:customStyle="1" w:styleId="TOC2">
    <w:name w:val="TOC 标题2"/>
    <w:basedOn w:val="1"/>
    <w:next w:val="a"/>
    <w:uiPriority w:val="39"/>
    <w:qFormat/>
    <w:pPr>
      <w:widowControl/>
      <w:spacing w:before="480" w:after="0" w:line="276" w:lineRule="auto"/>
      <w:outlineLvl w:val="9"/>
    </w:pPr>
    <w:rPr>
      <w:rFonts w:ascii="Cambria" w:eastAsia="宋体" w:hAnsi="Cambria"/>
      <w:color w:val="365F91"/>
      <w:kern w:val="0"/>
    </w:rPr>
  </w:style>
  <w:style w:type="table" w:customStyle="1" w:styleId="g9">
    <w:name w:val="g9"/>
    <w:uiPriority w:val="99"/>
    <w:semiHidden/>
    <w:unhideWhenUsed/>
    <w:qFormat/>
    <w:tblPr>
      <w:tblCellMar>
        <w:top w:w="0" w:type="dxa"/>
        <w:left w:w="108" w:type="dxa"/>
        <w:bottom w:w="0" w:type="dxa"/>
        <w:right w:w="108" w:type="dxa"/>
      </w:tblCellMar>
    </w:tblPr>
  </w:style>
  <w:style w:type="table" w:customStyle="1" w:styleId="g24">
    <w:name w:val="g24"/>
    <w:autoRedefine/>
    <w:uiPriority w:val="99"/>
    <w:semiHidden/>
    <w:unhideWhenUsed/>
    <w:qFormat/>
    <w:tblPr>
      <w:tblCellMar>
        <w:top w:w="0" w:type="dxa"/>
        <w:left w:w="108" w:type="dxa"/>
        <w:bottom w:w="0" w:type="dxa"/>
        <w:right w:w="108" w:type="dxa"/>
      </w:tblCellMar>
    </w:tblPr>
  </w:style>
  <w:style w:type="table" w:customStyle="1" w:styleId="g25">
    <w:name w:val="g25"/>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28">
    <w:name w:val="g28"/>
    <w:basedOn w:val="a1"/>
    <w:autoRedefine/>
    <w:qFormat/>
    <w:rPr>
      <w:rFonts w:ascii="Times New Roman" w:eastAsia="Times New Roman" w:hAnsi="Times New Roman"/>
    </w:rPr>
    <w:tblPr/>
  </w:style>
  <w:style w:type="paragraph" w:customStyle="1" w:styleId="Style810">
    <w:name w:val="_Style 810"/>
    <w:basedOn w:val="Style124"/>
    <w:next w:val="aff7"/>
    <w:autoRedefine/>
    <w:uiPriority w:val="9"/>
    <w:qFormat/>
    <w:pPr>
      <w:keepNext/>
      <w:keepLines/>
      <w:widowControl/>
      <w:spacing w:beforeLines="50" w:before="120" w:after="60" w:line="360" w:lineRule="auto"/>
      <w:ind w:leftChars="100" w:left="240" w:firstLineChars="100" w:firstLine="241"/>
      <w:outlineLvl w:val="2"/>
    </w:pPr>
    <w:rPr>
      <w:rFonts w:asciiTheme="minorEastAsia" w:eastAsiaTheme="minorEastAsia" w:hAnsiTheme="minorEastAsia"/>
      <w:b/>
      <w:bCs/>
    </w:rPr>
  </w:style>
  <w:style w:type="paragraph" w:customStyle="1" w:styleId="Style811">
    <w:name w:val="_Style 811"/>
    <w:autoRedefine/>
    <w:semiHidden/>
    <w:qFormat/>
    <w:pPr>
      <w:widowControl w:val="0"/>
      <w:jc w:val="both"/>
    </w:pPr>
    <w:rPr>
      <w:rFonts w:ascii="宋体" w:hAnsi="宋体" w:cs="宋体"/>
      <w:sz w:val="24"/>
      <w:szCs w:val="24"/>
    </w:rPr>
  </w:style>
  <w:style w:type="paragraph" w:customStyle="1" w:styleId="Style812">
    <w:name w:val="_Style 812"/>
    <w:basedOn w:val="a"/>
    <w:next w:val="a"/>
    <w:autoRedefine/>
    <w:uiPriority w:val="99"/>
    <w:qFormat/>
    <w:pPr>
      <w:jc w:val="center"/>
    </w:pPr>
    <w:rPr>
      <w:rFonts w:ascii="Times New Roman" w:hAnsi="Times New Roman" w:cs="Times New Roman"/>
      <w:kern w:val="2"/>
      <w:sz w:val="21"/>
      <w:szCs w:val="21"/>
    </w:rPr>
  </w:style>
  <w:style w:type="character" w:customStyle="1" w:styleId="Style813">
    <w:name w:val="_Style 813"/>
    <w:basedOn w:val="a0"/>
    <w:autoRedefine/>
    <w:uiPriority w:val="9"/>
    <w:qFormat/>
    <w:rPr>
      <w:rFonts w:asciiTheme="minorEastAsia" w:eastAsiaTheme="minorEastAsia" w:hAnsiTheme="minorEastAsia" w:cs="宋体"/>
      <w:b/>
      <w:bCs/>
      <w:sz w:val="24"/>
      <w:szCs w:val="24"/>
    </w:rPr>
  </w:style>
  <w:style w:type="character" w:customStyle="1" w:styleId="Style814">
    <w:name w:val="_Style 814"/>
    <w:basedOn w:val="a0"/>
    <w:autoRedefine/>
    <w:uiPriority w:val="99"/>
    <w:qFormat/>
    <w:rPr>
      <w:rFonts w:ascii="Times New Roman" w:hAnsi="Times New Roman"/>
      <w:kern w:val="2"/>
      <w:sz w:val="21"/>
      <w:szCs w:val="21"/>
    </w:rPr>
  </w:style>
  <w:style w:type="paragraph" w:customStyle="1" w:styleId="Style815">
    <w:name w:val="_Style 815"/>
    <w:basedOn w:val="Style811"/>
    <w:next w:val="aff7"/>
    <w:autoRedefine/>
    <w:semiHidden/>
    <w:qFormat/>
    <w:pPr>
      <w:keepNext/>
      <w:keepLines/>
      <w:spacing w:before="60" w:after="60"/>
      <w:outlineLvl w:val="1"/>
    </w:pPr>
    <w:rPr>
      <w:rFonts w:ascii="Arial" w:hAnsi="Arial" w:cs="Times New Roman"/>
      <w:b/>
      <w:bCs/>
      <w:kern w:val="2"/>
      <w:szCs w:val="21"/>
    </w:rPr>
  </w:style>
  <w:style w:type="paragraph" w:customStyle="1" w:styleId="Style816">
    <w:name w:val="_Style 816"/>
    <w:basedOn w:val="Style811"/>
    <w:next w:val="aff7"/>
    <w:autoRedefine/>
    <w:uiPriority w:val="9"/>
    <w:qFormat/>
    <w:pPr>
      <w:keepNext/>
      <w:keepLines/>
      <w:widowControl/>
      <w:spacing w:beforeLines="50" w:before="156" w:after="60" w:line="360" w:lineRule="auto"/>
      <w:ind w:left="865" w:hanging="440"/>
      <w:outlineLvl w:val="2"/>
    </w:pPr>
    <w:rPr>
      <w:rFonts w:asciiTheme="minorEastAsia" w:eastAsiaTheme="minorEastAsia" w:hAnsiTheme="minorEastAsia"/>
      <w:b/>
      <w:bCs/>
    </w:rPr>
  </w:style>
  <w:style w:type="paragraph" w:customStyle="1" w:styleId="Style817">
    <w:name w:val="_Style 817"/>
    <w:basedOn w:val="Style811"/>
    <w:next w:val="aff7"/>
    <w:autoRedefine/>
    <w:uiPriority w:val="39"/>
    <w:semiHidden/>
    <w:qFormat/>
    <w:pPr>
      <w:tabs>
        <w:tab w:val="left" w:pos="1260"/>
        <w:tab w:val="right" w:leader="dot" w:pos="8823"/>
      </w:tabs>
      <w:spacing w:line="360" w:lineRule="auto"/>
    </w:pPr>
    <w:rPr>
      <w:rFonts w:ascii="Times New Roman" w:hAnsi="Times New Roman" w:cs="Times New Roman"/>
      <w:kern w:val="2"/>
      <w:szCs w:val="21"/>
    </w:rPr>
  </w:style>
  <w:style w:type="paragraph" w:customStyle="1" w:styleId="Style818">
    <w:name w:val="_Style 818"/>
    <w:basedOn w:val="Style811"/>
    <w:next w:val="aff7"/>
    <w:autoRedefine/>
    <w:uiPriority w:val="39"/>
    <w:semiHidden/>
    <w:qFormat/>
    <w:pPr>
      <w:ind w:leftChars="200" w:left="420"/>
    </w:pPr>
    <w:rPr>
      <w:rFonts w:ascii="Times New Roman" w:hAnsi="Times New Roman" w:cs="Times New Roman"/>
      <w:kern w:val="2"/>
      <w:szCs w:val="21"/>
    </w:rPr>
  </w:style>
  <w:style w:type="paragraph" w:customStyle="1" w:styleId="Style819">
    <w:name w:val="_Style 819"/>
    <w:basedOn w:val="Style811"/>
    <w:semiHidden/>
    <w:qFormat/>
    <w:rPr>
      <w:rFonts w:ascii="Times New Roman" w:hAnsi="Times New Roman" w:cs="Times New Roman"/>
      <w:kern w:val="2"/>
      <w:szCs w:val="21"/>
    </w:rPr>
  </w:style>
  <w:style w:type="paragraph" w:customStyle="1" w:styleId="Style820">
    <w:name w:val="_Style 820"/>
    <w:basedOn w:val="Style811"/>
    <w:next w:val="aff7"/>
    <w:autoRedefine/>
    <w:uiPriority w:val="99"/>
    <w:semiHidden/>
    <w:qFormat/>
    <w:rPr>
      <w:rFonts w:ascii="Times New Roman" w:hAnsi="Times New Roman" w:cs="Times New Roman"/>
      <w:kern w:val="2"/>
      <w:szCs w:val="21"/>
    </w:rPr>
  </w:style>
  <w:style w:type="paragraph" w:customStyle="1" w:styleId="Style821">
    <w:name w:val="_Style 821"/>
    <w:basedOn w:val="Style811"/>
    <w:autoRedefine/>
    <w:uiPriority w:val="99"/>
    <w:semiHidden/>
    <w:qFormat/>
    <w:pPr>
      <w:spacing w:after="120"/>
    </w:pPr>
    <w:rPr>
      <w:rFonts w:ascii="Times New Roman" w:hAnsi="Times New Roman" w:cs="Times New Roman"/>
      <w:kern w:val="2"/>
      <w:szCs w:val="21"/>
    </w:rPr>
  </w:style>
  <w:style w:type="paragraph" w:customStyle="1" w:styleId="Style822">
    <w:name w:val="_Style 822"/>
    <w:basedOn w:val="Style811"/>
    <w:next w:val="aff7"/>
    <w:autoRedefine/>
    <w:uiPriority w:val="99"/>
    <w:semiHidden/>
    <w:qFormat/>
    <w:pPr>
      <w:ind w:leftChars="2500" w:left="100"/>
    </w:pPr>
    <w:rPr>
      <w:rFonts w:ascii="Times New Roman" w:hAnsi="Times New Roman" w:cs="Times New Roman"/>
      <w:kern w:val="2"/>
      <w:szCs w:val="21"/>
    </w:rPr>
  </w:style>
  <w:style w:type="paragraph" w:customStyle="1" w:styleId="Style823">
    <w:name w:val="_Style 823"/>
    <w:basedOn w:val="Style811"/>
    <w:next w:val="aff7"/>
    <w:autoRedefine/>
    <w:uiPriority w:val="99"/>
    <w:semiHidden/>
    <w:qFormat/>
    <w:pPr>
      <w:jc w:val="center"/>
    </w:pPr>
    <w:rPr>
      <w:rFonts w:ascii="Times New Roman" w:hAnsi="Times New Roman" w:cs="Times New Roman"/>
      <w:kern w:val="2"/>
      <w:szCs w:val="21"/>
    </w:rPr>
  </w:style>
  <w:style w:type="paragraph" w:customStyle="1" w:styleId="Style824">
    <w:name w:val="_Style 824"/>
    <w:basedOn w:val="Style811"/>
    <w:next w:val="aff7"/>
    <w:autoRedefine/>
    <w:semiHidden/>
    <w:qFormat/>
    <w:pPr>
      <w:spacing w:before="120"/>
    </w:pPr>
    <w:rPr>
      <w:rFonts w:ascii="Arial" w:hAnsi="Arial" w:cs="Times New Roman"/>
      <w:b/>
      <w:bCs/>
      <w:kern w:val="2"/>
      <w:szCs w:val="21"/>
    </w:rPr>
  </w:style>
  <w:style w:type="paragraph" w:customStyle="1" w:styleId="Style825">
    <w:name w:val="_Style 825"/>
    <w:basedOn w:val="Style811"/>
    <w:autoRedefine/>
    <w:semiHidden/>
    <w:qFormat/>
    <w:pPr>
      <w:keepNext/>
      <w:keepLines/>
      <w:spacing w:before="60" w:after="60"/>
      <w:ind w:hangingChars="200" w:hanging="420"/>
      <w:outlineLvl w:val="4"/>
    </w:pPr>
    <w:rPr>
      <w:rFonts w:cs="Times New Roman"/>
      <w:b/>
      <w:bCs/>
      <w:kern w:val="2"/>
      <w:szCs w:val="21"/>
    </w:rPr>
  </w:style>
  <w:style w:type="paragraph" w:customStyle="1" w:styleId="Style826">
    <w:name w:val="_Style 826"/>
    <w:basedOn w:val="Style811"/>
    <w:next w:val="aff7"/>
    <w:autoRedefine/>
    <w:semiHidden/>
    <w:qFormat/>
    <w:pPr>
      <w:ind w:firstLineChars="200" w:firstLine="420"/>
    </w:pPr>
    <w:rPr>
      <w:rFonts w:cs="Times New Roman"/>
      <w:color w:val="000000"/>
      <w:szCs w:val="21"/>
    </w:rPr>
  </w:style>
  <w:style w:type="paragraph" w:customStyle="1" w:styleId="Style827">
    <w:name w:val="_Style 827"/>
    <w:basedOn w:val="Style811"/>
    <w:autoRedefine/>
    <w:semiHidden/>
    <w:qFormat/>
    <w:pPr>
      <w:ind w:firstLineChars="200" w:firstLine="420"/>
    </w:pPr>
    <w:rPr>
      <w:rFonts w:ascii="Times New Roman" w:hAnsi="Times New Roman" w:cs="Times New Roman"/>
      <w:kern w:val="2"/>
      <w:szCs w:val="21"/>
    </w:rPr>
  </w:style>
  <w:style w:type="paragraph" w:customStyle="1" w:styleId="Style828">
    <w:name w:val="_Style 828"/>
    <w:basedOn w:val="Style811"/>
    <w:autoRedefine/>
    <w:semiHidden/>
    <w:qFormat/>
    <w:pPr>
      <w:tabs>
        <w:tab w:val="left" w:pos="1200"/>
      </w:tabs>
    </w:pPr>
    <w:rPr>
      <w:rFonts w:ascii="Times New Roman" w:hAnsi="Times New Roman" w:cs="Times New Roman"/>
      <w:kern w:val="2"/>
      <w:szCs w:val="21"/>
    </w:rPr>
  </w:style>
  <w:style w:type="paragraph" w:customStyle="1" w:styleId="Style829">
    <w:name w:val="_Style 829"/>
    <w:basedOn w:val="Style580"/>
    <w:next w:val="aff7"/>
    <w:autoRedefine/>
    <w:uiPriority w:val="9"/>
    <w:semiHidden/>
    <w:qFormat/>
    <w:pPr>
      <w:keepNext/>
      <w:keepLines/>
      <w:widowControl w:val="0"/>
      <w:numPr>
        <w:numId w:val="5"/>
      </w:numPr>
      <w:spacing w:before="60" w:after="60"/>
      <w:jc w:val="both"/>
      <w:outlineLvl w:val="3"/>
    </w:pPr>
    <w:rPr>
      <w:rFonts w:asciiTheme="minorEastAsia" w:eastAsiaTheme="minorEastAsia" w:hAnsiTheme="minorEastAsia" w:cs="Times New Roman"/>
      <w:b/>
      <w:bCs/>
      <w:kern w:val="2"/>
      <w:sz w:val="21"/>
      <w:szCs w:val="21"/>
    </w:rPr>
  </w:style>
  <w:style w:type="paragraph" w:customStyle="1" w:styleId="Style830">
    <w:name w:val="_Style 830"/>
    <w:basedOn w:val="Style580"/>
    <w:next w:val="aff7"/>
    <w:autoRedefine/>
    <w:uiPriority w:val="9"/>
    <w:semiHidden/>
    <w:qFormat/>
    <w:pPr>
      <w:keepNext/>
      <w:keepLines/>
      <w:widowControl w:val="0"/>
      <w:spacing w:before="60" w:after="60"/>
      <w:ind w:left="426" w:hanging="425"/>
      <w:jc w:val="both"/>
      <w:outlineLvl w:val="4"/>
    </w:pPr>
    <w:rPr>
      <w:rFonts w:ascii="Calibri" w:hAnsi="Calibri" w:cs="Times New Roman"/>
      <w:b/>
      <w:bCs/>
      <w:kern w:val="2"/>
      <w:szCs w:val="28"/>
    </w:rPr>
  </w:style>
  <w:style w:type="character" w:customStyle="1" w:styleId="Style831">
    <w:name w:val="_Style 831"/>
    <w:basedOn w:val="a0"/>
    <w:autoRedefine/>
    <w:semiHidden/>
    <w:qFormat/>
    <w:rPr>
      <w:rFonts w:ascii="宋体" w:hAnsi="宋体" w:cs="宋体"/>
      <w:sz w:val="24"/>
      <w:szCs w:val="24"/>
    </w:rPr>
  </w:style>
  <w:style w:type="paragraph" w:customStyle="1" w:styleId="Style832">
    <w:name w:val="_Style 832"/>
    <w:basedOn w:val="Style607"/>
    <w:autoRedefine/>
    <w:qFormat/>
    <w:pPr>
      <w:jc w:val="right"/>
    </w:pPr>
    <w:rPr>
      <w:sz w:val="21"/>
      <w:szCs w:val="21"/>
    </w:rPr>
  </w:style>
  <w:style w:type="character" w:customStyle="1" w:styleId="Style833">
    <w:name w:val="_Style 833"/>
    <w:basedOn w:val="Style6070"/>
    <w:qFormat/>
    <w:rPr>
      <w:rFonts w:ascii="宋体" w:hAnsi="宋体" w:cs="宋体"/>
      <w:kern w:val="2"/>
      <w:sz w:val="24"/>
      <w:szCs w:val="22"/>
    </w:rPr>
  </w:style>
  <w:style w:type="paragraph" w:customStyle="1" w:styleId="Style834">
    <w:name w:val="_Style 834"/>
    <w:basedOn w:val="Style607"/>
    <w:autoRedefine/>
    <w:qFormat/>
  </w:style>
  <w:style w:type="character" w:customStyle="1" w:styleId="Style835">
    <w:name w:val="_Style 835"/>
    <w:basedOn w:val="Style6070"/>
    <w:qFormat/>
    <w:rPr>
      <w:rFonts w:ascii="宋体" w:hAnsi="宋体" w:cs="宋体"/>
      <w:kern w:val="2"/>
      <w:sz w:val="24"/>
      <w:szCs w:val="22"/>
    </w:rPr>
  </w:style>
  <w:style w:type="character" w:customStyle="1" w:styleId="Style836">
    <w:name w:val="_Style 836"/>
    <w:basedOn w:val="Style831"/>
    <w:uiPriority w:val="9"/>
    <w:qFormat/>
    <w:rPr>
      <w:rFonts w:asciiTheme="minorEastAsia" w:eastAsiaTheme="minorEastAsia" w:hAnsiTheme="minorEastAsia" w:cs="宋体"/>
      <w:b/>
      <w:bCs/>
      <w:sz w:val="24"/>
      <w:szCs w:val="24"/>
    </w:rPr>
  </w:style>
  <w:style w:type="table" w:customStyle="1" w:styleId="g5">
    <w:name w:val="g5"/>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1">
    <w:name w:val="g31"/>
    <w:autoRedefine/>
    <w:uiPriority w:val="99"/>
    <w:semiHidden/>
    <w:unhideWhenUsed/>
    <w:qFormat/>
    <w:tblPr>
      <w:tblCellMar>
        <w:top w:w="0" w:type="dxa"/>
        <w:left w:w="108" w:type="dxa"/>
        <w:bottom w:w="0" w:type="dxa"/>
        <w:right w:w="108" w:type="dxa"/>
      </w:tblCellMar>
    </w:tblPr>
  </w:style>
  <w:style w:type="table" w:customStyle="1" w:styleId="g32">
    <w:name w:val="g32"/>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3">
    <w:name w:val="g33"/>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4">
    <w:name w:val="g34"/>
    <w:autoRedefine/>
    <w:uiPriority w:val="59"/>
    <w:qFormat/>
    <w:pPr>
      <w:widowControl w:val="0"/>
      <w:jc w:val="both"/>
    </w:pPr>
    <w:rPr>
      <w:rFonts w:ascii="Times New Roman" w:eastAsiaTheme="minorEastAsia"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842">
    <w:name w:val="_Style 842"/>
    <w:qFormat/>
    <w:pPr>
      <w:widowControl w:val="0"/>
      <w:spacing w:line="312" w:lineRule="auto"/>
      <w:jc w:val="both"/>
    </w:pPr>
    <w:rPr>
      <w:rFonts w:ascii="宋体" w:hAnsi="宋体" w:cs="宋体"/>
      <w:sz w:val="24"/>
      <w:szCs w:val="24"/>
    </w:rPr>
  </w:style>
  <w:style w:type="paragraph" w:customStyle="1" w:styleId="Style843">
    <w:name w:val="_Style 843"/>
    <w:basedOn w:val="Style842"/>
    <w:next w:val="aff7"/>
    <w:autoRedefine/>
    <w:uiPriority w:val="99"/>
    <w:qFormat/>
    <w:pPr>
      <w:keepNext/>
      <w:keepLines/>
      <w:spacing w:before="60" w:after="60" w:line="360" w:lineRule="auto"/>
      <w:jc w:val="center"/>
      <w:outlineLvl w:val="0"/>
    </w:pPr>
    <w:rPr>
      <w:rFonts w:ascii="Calibri" w:eastAsia="黑体" w:hAnsi="Calibri" w:cs="Times New Roman"/>
      <w:b/>
      <w:bCs/>
      <w:kern w:val="44"/>
      <w:sz w:val="28"/>
      <w:szCs w:val="44"/>
    </w:rPr>
  </w:style>
  <w:style w:type="paragraph" w:customStyle="1" w:styleId="Style844">
    <w:name w:val="_Style 844"/>
    <w:basedOn w:val="Style842"/>
    <w:next w:val="aff7"/>
    <w:autoRedefine/>
    <w:qFormat/>
    <w:pPr>
      <w:keepNext/>
      <w:keepLines/>
      <w:spacing w:before="60" w:after="60"/>
      <w:outlineLvl w:val="1"/>
    </w:pPr>
    <w:rPr>
      <w:rFonts w:ascii="Arial" w:hAnsi="Arial" w:cs="Times New Roman"/>
      <w:b/>
      <w:bCs/>
      <w:kern w:val="2"/>
      <w:sz w:val="21"/>
      <w:szCs w:val="21"/>
    </w:rPr>
  </w:style>
  <w:style w:type="paragraph" w:customStyle="1" w:styleId="Style845">
    <w:name w:val="_Style 845"/>
    <w:basedOn w:val="Style842"/>
    <w:next w:val="aff7"/>
    <w:uiPriority w:val="9"/>
    <w:unhideWhenUsed/>
    <w:qFormat/>
    <w:pPr>
      <w:keepNext/>
      <w:keepLines/>
      <w:spacing w:before="260" w:after="260" w:line="416" w:lineRule="auto"/>
      <w:outlineLvl w:val="2"/>
    </w:pPr>
    <w:rPr>
      <w:b/>
      <w:bCs/>
      <w:sz w:val="32"/>
      <w:szCs w:val="32"/>
    </w:rPr>
  </w:style>
  <w:style w:type="paragraph" w:customStyle="1" w:styleId="Style846">
    <w:name w:val="_Style 846"/>
    <w:basedOn w:val="Style842"/>
    <w:next w:val="aff7"/>
    <w:autoRedefine/>
    <w:uiPriority w:val="9"/>
    <w:qFormat/>
    <w:pPr>
      <w:keepNext/>
      <w:keepLines/>
      <w:spacing w:before="60" w:after="60"/>
      <w:outlineLvl w:val="3"/>
    </w:pPr>
    <w:rPr>
      <w:rFonts w:asciiTheme="minorEastAsia" w:eastAsiaTheme="minorEastAsia" w:hAnsiTheme="minorEastAsia" w:cs="Times New Roman"/>
      <w:b/>
      <w:bCs/>
      <w:kern w:val="2"/>
      <w:sz w:val="21"/>
      <w:szCs w:val="28"/>
    </w:rPr>
  </w:style>
  <w:style w:type="paragraph" w:customStyle="1" w:styleId="Style847">
    <w:name w:val="_Style 847"/>
    <w:basedOn w:val="Style842"/>
    <w:next w:val="aff7"/>
    <w:autoRedefine/>
    <w:uiPriority w:val="9"/>
    <w:qFormat/>
    <w:pPr>
      <w:keepNext/>
      <w:keepLines/>
      <w:spacing w:before="60" w:after="60"/>
      <w:ind w:leftChars="50" w:left="50"/>
      <w:outlineLvl w:val="4"/>
    </w:pPr>
    <w:rPr>
      <w:rFonts w:ascii="Calibri" w:hAnsi="Calibri" w:cs="Times New Roman"/>
      <w:b/>
      <w:bCs/>
      <w:kern w:val="2"/>
      <w:sz w:val="21"/>
      <w:szCs w:val="28"/>
    </w:rPr>
  </w:style>
  <w:style w:type="paragraph" w:customStyle="1" w:styleId="Style848">
    <w:name w:val="_Style 848"/>
    <w:basedOn w:val="Style842"/>
    <w:next w:val="aff7"/>
    <w:autoRedefine/>
    <w:uiPriority w:val="9"/>
    <w:qFormat/>
    <w:pPr>
      <w:keepNext/>
      <w:keepLines/>
      <w:spacing w:before="60" w:after="60"/>
      <w:ind w:left="567" w:hanging="567"/>
      <w:outlineLvl w:val="5"/>
    </w:pPr>
    <w:rPr>
      <w:rFonts w:asciiTheme="majorHAnsi" w:hAnsiTheme="majorHAnsi" w:cstheme="majorBidi"/>
      <w:b/>
      <w:bCs/>
      <w:sz w:val="21"/>
    </w:rPr>
  </w:style>
  <w:style w:type="paragraph" w:customStyle="1" w:styleId="Style849">
    <w:name w:val="_Style 849"/>
    <w:basedOn w:val="Style842"/>
    <w:next w:val="aff7"/>
    <w:autoRedefine/>
    <w:uiPriority w:val="9"/>
    <w:qFormat/>
    <w:pPr>
      <w:keepNext/>
      <w:keepLines/>
      <w:spacing w:before="240" w:after="64" w:line="320" w:lineRule="auto"/>
      <w:outlineLvl w:val="6"/>
    </w:pPr>
    <w:rPr>
      <w:b/>
      <w:bCs/>
    </w:rPr>
  </w:style>
  <w:style w:type="character" w:customStyle="1" w:styleId="Style850">
    <w:name w:val="_Style 850"/>
    <w:uiPriority w:val="1"/>
    <w:semiHidden/>
    <w:unhideWhenUsed/>
    <w:qFormat/>
  </w:style>
  <w:style w:type="table" w:customStyle="1" w:styleId="Style851">
    <w:name w:val="_Style 851"/>
    <w:uiPriority w:val="99"/>
    <w:semiHidden/>
    <w:unhideWhenUsed/>
    <w:tblPr>
      <w:tblCellMar>
        <w:top w:w="0" w:type="dxa"/>
        <w:left w:w="108" w:type="dxa"/>
        <w:bottom w:w="0" w:type="dxa"/>
        <w:right w:w="108" w:type="dxa"/>
      </w:tblCellMar>
    </w:tblPr>
  </w:style>
  <w:style w:type="paragraph" w:customStyle="1" w:styleId="Style852">
    <w:name w:val="_Style 852"/>
    <w:basedOn w:val="Style124"/>
    <w:next w:val="Style830"/>
    <w:autoRedefine/>
    <w:uiPriority w:val="9"/>
    <w:qFormat/>
    <w:pPr>
      <w:keepNext/>
      <w:keepLines/>
      <w:widowControl/>
      <w:spacing w:beforeLines="50" w:before="120" w:after="60" w:line="360" w:lineRule="auto"/>
      <w:ind w:leftChars="100" w:left="240" w:firstLineChars="100" w:firstLine="241"/>
      <w:outlineLvl w:val="2"/>
    </w:pPr>
    <w:rPr>
      <w:rFonts w:asciiTheme="minorEastAsia" w:eastAsiaTheme="minorEastAsia" w:hAnsiTheme="minorEastAsia"/>
      <w:b/>
      <w:bCs/>
    </w:rPr>
  </w:style>
  <w:style w:type="paragraph" w:customStyle="1" w:styleId="Style854">
    <w:name w:val="_Style 854"/>
    <w:basedOn w:val="Style842"/>
    <w:next w:val="aff7"/>
    <w:autoRedefine/>
    <w:uiPriority w:val="39"/>
    <w:qFormat/>
    <w:pPr>
      <w:ind w:leftChars="1200" w:left="2520"/>
    </w:pPr>
    <w:rPr>
      <w:rFonts w:asciiTheme="minorHAnsi" w:eastAsiaTheme="minorEastAsia" w:hAnsiTheme="minorHAnsi" w:cstheme="minorBidi"/>
      <w:kern w:val="2"/>
      <w:sz w:val="21"/>
      <w:szCs w:val="22"/>
    </w:rPr>
  </w:style>
  <w:style w:type="paragraph" w:customStyle="1" w:styleId="Style855">
    <w:name w:val="_Style 855"/>
    <w:basedOn w:val="Style842"/>
    <w:next w:val="aff7"/>
    <w:autoRedefine/>
    <w:uiPriority w:val="99"/>
    <w:qFormat/>
    <w:pPr>
      <w:jc w:val="center"/>
    </w:pPr>
    <w:rPr>
      <w:rFonts w:ascii="Times New Roman" w:hAnsi="Times New Roman" w:cs="Times New Roman"/>
      <w:kern w:val="2"/>
      <w:sz w:val="21"/>
      <w:szCs w:val="21"/>
    </w:rPr>
  </w:style>
  <w:style w:type="paragraph" w:customStyle="1" w:styleId="Style856">
    <w:name w:val="_Style 856"/>
    <w:basedOn w:val="Style842"/>
    <w:qFormat/>
    <w:pPr>
      <w:ind w:firstLine="420"/>
    </w:pPr>
    <w:rPr>
      <w:rFonts w:ascii="Times New Roman" w:hAnsi="Times New Roman" w:cs="Times New Roman"/>
      <w:kern w:val="2"/>
      <w:sz w:val="21"/>
      <w:szCs w:val="21"/>
    </w:rPr>
  </w:style>
  <w:style w:type="paragraph" w:customStyle="1" w:styleId="1b">
    <w:name w:val="正文缩进 字符1"/>
    <w:basedOn w:val="Style842"/>
    <w:uiPriority w:val="99"/>
    <w:semiHidden/>
    <w:qFormat/>
    <w:pPr>
      <w:kinsoku w:val="0"/>
      <w:autoSpaceDE w:val="0"/>
      <w:autoSpaceDN w:val="0"/>
      <w:adjustRightInd w:val="0"/>
      <w:snapToGrid w:val="0"/>
      <w:textAlignment w:val="baseline"/>
    </w:pPr>
    <w:rPr>
      <w:rFonts w:ascii="Arial" w:hAnsi="Calibri" w:cs="Times New Roman"/>
      <w:color w:val="000000"/>
      <w:kern w:val="2"/>
      <w:sz w:val="18"/>
      <w:szCs w:val="18"/>
    </w:rPr>
  </w:style>
  <w:style w:type="paragraph" w:customStyle="1" w:styleId="Style858">
    <w:name w:val="_Style 858"/>
    <w:basedOn w:val="Style842"/>
    <w:next w:val="aff7"/>
    <w:autoRedefine/>
    <w:semiHidden/>
    <w:qFormat/>
    <w:pPr>
      <w:kinsoku w:val="0"/>
      <w:autoSpaceDE w:val="0"/>
      <w:autoSpaceDN w:val="0"/>
      <w:adjustRightInd w:val="0"/>
      <w:snapToGrid w:val="0"/>
      <w:spacing w:before="120"/>
      <w:textAlignment w:val="baseline"/>
    </w:pPr>
    <w:rPr>
      <w:rFonts w:ascii="Arial" w:hAnsi="Arial" w:cs="Times New Roman"/>
      <w:b/>
      <w:bCs/>
      <w:color w:val="000000"/>
      <w:kern w:val="2"/>
      <w:sz w:val="21"/>
      <w:szCs w:val="21"/>
    </w:rPr>
  </w:style>
  <w:style w:type="paragraph" w:customStyle="1" w:styleId="1c">
    <w:name w:val="引文目录标题 字符1"/>
    <w:basedOn w:val="Style842"/>
    <w:autoRedefine/>
    <w:qFormat/>
    <w:rPr>
      <w:rFonts w:ascii="Times New Roman" w:hAnsi="Times New Roman" w:cs="Times New Roman"/>
      <w:kern w:val="2"/>
      <w:sz w:val="21"/>
      <w:szCs w:val="21"/>
    </w:rPr>
  </w:style>
  <w:style w:type="paragraph" w:customStyle="1" w:styleId="Style860">
    <w:name w:val="_Style 860"/>
    <w:basedOn w:val="Style842"/>
    <w:next w:val="aff7"/>
    <w:autoRedefine/>
    <w:uiPriority w:val="99"/>
    <w:qFormat/>
    <w:pPr>
      <w:jc w:val="center"/>
    </w:pPr>
    <w:rPr>
      <w:rFonts w:ascii="Times New Roman" w:hAnsi="Times New Roman" w:cs="Times New Roman"/>
      <w:kern w:val="2"/>
      <w:sz w:val="21"/>
      <w:szCs w:val="21"/>
    </w:rPr>
  </w:style>
  <w:style w:type="paragraph" w:customStyle="1" w:styleId="Style861">
    <w:name w:val="_Style 861"/>
    <w:basedOn w:val="Style842"/>
    <w:semiHidden/>
    <w:qFormat/>
    <w:pPr>
      <w:spacing w:after="120"/>
    </w:pPr>
    <w:rPr>
      <w:sz w:val="16"/>
      <w:szCs w:val="16"/>
    </w:rPr>
  </w:style>
  <w:style w:type="paragraph" w:customStyle="1" w:styleId="Style862">
    <w:name w:val="_Style 862"/>
    <w:basedOn w:val="Style842"/>
    <w:autoRedefine/>
    <w:qFormat/>
    <w:pPr>
      <w:tabs>
        <w:tab w:val="left" w:pos="1200"/>
      </w:tabs>
    </w:pPr>
    <w:rPr>
      <w:rFonts w:ascii="Times New Roman" w:hAnsi="Times New Roman" w:cs="Times New Roman"/>
      <w:kern w:val="2"/>
      <w:sz w:val="21"/>
      <w:szCs w:val="21"/>
    </w:rPr>
  </w:style>
  <w:style w:type="paragraph" w:customStyle="1" w:styleId="Style863">
    <w:name w:val="_Style 863"/>
    <w:basedOn w:val="Style842"/>
    <w:uiPriority w:val="99"/>
    <w:qFormat/>
    <w:pPr>
      <w:spacing w:after="120"/>
    </w:pPr>
    <w:rPr>
      <w:rFonts w:ascii="Times New Roman" w:hAnsi="Times New Roman" w:cs="Times New Roman"/>
      <w:kern w:val="2"/>
      <w:sz w:val="21"/>
      <w:szCs w:val="21"/>
    </w:rPr>
  </w:style>
  <w:style w:type="paragraph" w:customStyle="1" w:styleId="Style864">
    <w:name w:val="_Style 864"/>
    <w:basedOn w:val="Style842"/>
    <w:semiHidden/>
    <w:qFormat/>
    <w:pPr>
      <w:spacing w:after="120"/>
      <w:ind w:leftChars="200" w:left="420"/>
    </w:pPr>
  </w:style>
  <w:style w:type="paragraph" w:customStyle="1" w:styleId="Style865">
    <w:name w:val="_Style 865"/>
    <w:basedOn w:val="Style842"/>
    <w:next w:val="aff7"/>
    <w:autoRedefine/>
    <w:uiPriority w:val="39"/>
    <w:qFormat/>
    <w:pPr>
      <w:ind w:leftChars="800" w:left="1680"/>
    </w:pPr>
    <w:rPr>
      <w:rFonts w:asciiTheme="minorHAnsi" w:eastAsiaTheme="minorEastAsia" w:hAnsiTheme="minorHAnsi" w:cstheme="minorBidi"/>
      <w:kern w:val="2"/>
      <w:sz w:val="21"/>
      <w:szCs w:val="22"/>
    </w:rPr>
  </w:style>
  <w:style w:type="paragraph" w:customStyle="1" w:styleId="Style866">
    <w:name w:val="_Style 866"/>
    <w:basedOn w:val="Style842"/>
    <w:next w:val="aff7"/>
    <w:autoRedefine/>
    <w:uiPriority w:val="39"/>
    <w:qFormat/>
    <w:pPr>
      <w:spacing w:after="100" w:line="276" w:lineRule="auto"/>
      <w:ind w:left="440"/>
    </w:pPr>
    <w:rPr>
      <w:rFonts w:ascii="Calibri" w:hAnsi="Calibri" w:cs="Times New Roman"/>
      <w:sz w:val="22"/>
      <w:szCs w:val="22"/>
    </w:rPr>
  </w:style>
  <w:style w:type="paragraph" w:customStyle="1" w:styleId="Style867">
    <w:name w:val="_Style 867"/>
    <w:basedOn w:val="Style842"/>
    <w:autoRedefine/>
    <w:qFormat/>
    <w:rPr>
      <w:rFonts w:hAnsi="Courier New" w:cs="Times New Roman"/>
      <w:kern w:val="2"/>
      <w:sz w:val="21"/>
      <w:szCs w:val="20"/>
    </w:rPr>
  </w:style>
  <w:style w:type="paragraph" w:customStyle="1" w:styleId="Style868">
    <w:name w:val="_Style 868"/>
    <w:basedOn w:val="Style842"/>
    <w:next w:val="aff7"/>
    <w:autoRedefine/>
    <w:uiPriority w:val="39"/>
    <w:qFormat/>
    <w:pPr>
      <w:ind w:leftChars="1400" w:left="2940"/>
    </w:pPr>
    <w:rPr>
      <w:rFonts w:asciiTheme="minorHAnsi" w:eastAsiaTheme="minorEastAsia" w:hAnsiTheme="minorHAnsi" w:cstheme="minorBidi"/>
      <w:kern w:val="2"/>
      <w:sz w:val="21"/>
      <w:szCs w:val="22"/>
    </w:rPr>
  </w:style>
  <w:style w:type="paragraph" w:customStyle="1" w:styleId="Style869">
    <w:name w:val="_Style 869"/>
    <w:basedOn w:val="Style842"/>
    <w:next w:val="aff7"/>
    <w:autoRedefine/>
    <w:uiPriority w:val="99"/>
    <w:qFormat/>
    <w:pPr>
      <w:ind w:leftChars="2500" w:left="100"/>
    </w:pPr>
    <w:rPr>
      <w:rFonts w:ascii="Times New Roman" w:hAnsi="Times New Roman" w:cs="Times New Roman"/>
      <w:kern w:val="2"/>
      <w:sz w:val="21"/>
      <w:szCs w:val="21"/>
    </w:rPr>
  </w:style>
  <w:style w:type="paragraph" w:customStyle="1" w:styleId="Style870">
    <w:name w:val="_Style 870"/>
    <w:basedOn w:val="Style842"/>
    <w:semiHidden/>
    <w:qFormat/>
    <w:pPr>
      <w:spacing w:after="120" w:line="480" w:lineRule="auto"/>
      <w:ind w:leftChars="200" w:left="420"/>
    </w:pPr>
  </w:style>
  <w:style w:type="paragraph" w:customStyle="1" w:styleId="Style871">
    <w:name w:val="_Style 871"/>
    <w:basedOn w:val="Style842"/>
    <w:autoRedefine/>
    <w:uiPriority w:val="99"/>
    <w:semiHidden/>
    <w:qFormat/>
    <w:pPr>
      <w:kinsoku w:val="0"/>
      <w:autoSpaceDE w:val="0"/>
      <w:autoSpaceDN w:val="0"/>
      <w:adjustRightInd w:val="0"/>
      <w:snapToGrid w:val="0"/>
      <w:textAlignment w:val="baseline"/>
    </w:pPr>
    <w:rPr>
      <w:rFonts w:ascii="Arial" w:hAnsi="Arial" w:cs="Arial"/>
      <w:color w:val="000000"/>
      <w:sz w:val="21"/>
      <w:szCs w:val="21"/>
    </w:rPr>
  </w:style>
  <w:style w:type="paragraph" w:customStyle="1" w:styleId="Style872">
    <w:name w:val="_Style 872"/>
    <w:basedOn w:val="Style842"/>
    <w:autoRedefine/>
    <w:uiPriority w:val="99"/>
    <w:qFormat/>
    <w:rPr>
      <w:rFonts w:ascii="Calibri" w:hAnsi="Calibri" w:cs="Times New Roman"/>
      <w:kern w:val="2"/>
      <w:sz w:val="18"/>
      <w:szCs w:val="18"/>
    </w:rPr>
  </w:style>
  <w:style w:type="paragraph" w:customStyle="1" w:styleId="Style873">
    <w:name w:val="_Style 873"/>
    <w:basedOn w:val="Style842"/>
    <w:autoRedefine/>
    <w:uiPriority w:val="99"/>
    <w:qFormat/>
    <w:pPr>
      <w:tabs>
        <w:tab w:val="center" w:pos="4153"/>
        <w:tab w:val="right" w:pos="8306"/>
      </w:tabs>
      <w:snapToGrid w:val="0"/>
    </w:pPr>
    <w:rPr>
      <w:rFonts w:ascii="Calibri" w:hAnsi="Calibri" w:cs="Times New Roman"/>
      <w:kern w:val="2"/>
      <w:sz w:val="18"/>
      <w:szCs w:val="18"/>
    </w:rPr>
  </w:style>
  <w:style w:type="paragraph" w:customStyle="1" w:styleId="Style874">
    <w:name w:val="_Style 874"/>
    <w:basedOn w:val="Style842"/>
    <w:autoRedefine/>
    <w:uiPriority w:val="99"/>
    <w:qFormat/>
    <w:pPr>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875">
    <w:name w:val="_Style 875"/>
    <w:basedOn w:val="Style842"/>
    <w:next w:val="aff7"/>
    <w:autoRedefine/>
    <w:uiPriority w:val="39"/>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876">
    <w:name w:val="_Style 876"/>
    <w:basedOn w:val="Style842"/>
    <w:next w:val="aff7"/>
    <w:autoRedefine/>
    <w:uiPriority w:val="39"/>
    <w:qFormat/>
    <w:pPr>
      <w:ind w:leftChars="600" w:left="1260"/>
    </w:pPr>
    <w:rPr>
      <w:rFonts w:asciiTheme="minorHAnsi" w:eastAsiaTheme="minorEastAsia" w:hAnsiTheme="minorHAnsi" w:cstheme="minorBidi"/>
      <w:kern w:val="2"/>
      <w:sz w:val="21"/>
      <w:szCs w:val="22"/>
    </w:rPr>
  </w:style>
  <w:style w:type="paragraph" w:customStyle="1" w:styleId="Style877">
    <w:name w:val="_Style 877"/>
    <w:basedOn w:val="Style842"/>
    <w:next w:val="aff7"/>
    <w:autoRedefine/>
    <w:uiPriority w:val="39"/>
    <w:qFormat/>
    <w:pPr>
      <w:ind w:leftChars="1000" w:left="2100"/>
    </w:pPr>
    <w:rPr>
      <w:rFonts w:asciiTheme="minorHAnsi" w:eastAsiaTheme="minorEastAsia" w:hAnsiTheme="minorHAnsi" w:cstheme="minorBidi"/>
      <w:kern w:val="2"/>
      <w:sz w:val="21"/>
      <w:szCs w:val="22"/>
    </w:rPr>
  </w:style>
  <w:style w:type="paragraph" w:customStyle="1" w:styleId="Style878">
    <w:name w:val="_Style 878"/>
    <w:basedOn w:val="Style842"/>
    <w:semiHidden/>
    <w:qFormat/>
    <w:pPr>
      <w:spacing w:after="120"/>
      <w:ind w:leftChars="200" w:left="420"/>
    </w:pPr>
    <w:rPr>
      <w:sz w:val="16"/>
      <w:szCs w:val="16"/>
    </w:rPr>
  </w:style>
  <w:style w:type="paragraph" w:customStyle="1" w:styleId="Style879">
    <w:name w:val="_Style 879"/>
    <w:basedOn w:val="Style842"/>
    <w:next w:val="aff7"/>
    <w:autoRedefine/>
    <w:uiPriority w:val="39"/>
    <w:qFormat/>
    <w:pPr>
      <w:ind w:leftChars="200" w:left="420"/>
    </w:pPr>
    <w:rPr>
      <w:rFonts w:ascii="Times New Roman" w:hAnsi="Times New Roman" w:cs="Times New Roman"/>
      <w:kern w:val="2"/>
      <w:sz w:val="21"/>
      <w:szCs w:val="21"/>
    </w:rPr>
  </w:style>
  <w:style w:type="paragraph" w:customStyle="1" w:styleId="Style880">
    <w:name w:val="_Style 880"/>
    <w:basedOn w:val="Style842"/>
    <w:next w:val="aff7"/>
    <w:autoRedefine/>
    <w:uiPriority w:val="39"/>
    <w:qFormat/>
    <w:pPr>
      <w:ind w:leftChars="1600" w:left="3360"/>
    </w:pPr>
    <w:rPr>
      <w:rFonts w:asciiTheme="minorHAnsi" w:eastAsiaTheme="minorEastAsia" w:hAnsiTheme="minorHAnsi" w:cstheme="minorBidi"/>
      <w:kern w:val="2"/>
      <w:sz w:val="21"/>
      <w:szCs w:val="22"/>
    </w:rPr>
  </w:style>
  <w:style w:type="paragraph" w:customStyle="1" w:styleId="Style881">
    <w:name w:val="_Style 881"/>
    <w:basedOn w:val="Style842"/>
    <w:semiHidden/>
    <w:qFormat/>
    <w:pPr>
      <w:spacing w:after="120" w:line="480" w:lineRule="auto"/>
    </w:pPr>
  </w:style>
  <w:style w:type="paragraph" w:customStyle="1" w:styleId="Style882">
    <w:name w:val="_Style 882"/>
    <w:basedOn w:val="Style842"/>
    <w:autoRedefine/>
    <w:uiPriority w:val="99"/>
    <w:qFormat/>
    <w:pPr>
      <w:spacing w:before="100" w:beforeAutospacing="1" w:after="100" w:afterAutospacing="1"/>
      <w:jc w:val="center"/>
    </w:pPr>
  </w:style>
  <w:style w:type="paragraph" w:customStyle="1" w:styleId="Style883">
    <w:name w:val="_Style 883"/>
    <w:basedOn w:val="Style842"/>
    <w:next w:val="aff7"/>
    <w:autoRedefine/>
    <w:semiHidden/>
    <w:qFormat/>
    <w:pPr>
      <w:ind w:firstLine="420"/>
    </w:pPr>
    <w:rPr>
      <w:rFonts w:cs="Times New Roman"/>
      <w:color w:val="000000"/>
      <w:sz w:val="21"/>
      <w:szCs w:val="21"/>
    </w:rPr>
  </w:style>
  <w:style w:type="paragraph" w:customStyle="1" w:styleId="Style884">
    <w:name w:val="_Style 884"/>
    <w:basedOn w:val="Style842"/>
    <w:next w:val="aff7"/>
    <w:autoRedefine/>
    <w:uiPriority w:val="10"/>
    <w:qFormat/>
    <w:pPr>
      <w:spacing w:before="240" w:after="60"/>
      <w:jc w:val="center"/>
      <w:outlineLvl w:val="0"/>
    </w:pPr>
    <w:rPr>
      <w:rFonts w:asciiTheme="majorHAnsi" w:hAnsiTheme="majorHAnsi" w:cstheme="majorBidi"/>
      <w:b/>
      <w:bCs/>
      <w:kern w:val="2"/>
      <w:sz w:val="32"/>
      <w:szCs w:val="32"/>
    </w:rPr>
  </w:style>
  <w:style w:type="paragraph" w:customStyle="1" w:styleId="Style885">
    <w:name w:val="_Style 885"/>
    <w:basedOn w:val="1c"/>
    <w:autoRedefine/>
    <w:uiPriority w:val="99"/>
    <w:qFormat/>
    <w:rPr>
      <w:rFonts w:ascii="Calibri" w:hAnsi="Calibri"/>
      <w:b/>
      <w:bCs/>
      <w:szCs w:val="22"/>
    </w:rPr>
  </w:style>
  <w:style w:type="paragraph" w:customStyle="1" w:styleId="Style886">
    <w:name w:val="_Style 886"/>
    <w:basedOn w:val="Style863"/>
    <w:semiHidden/>
    <w:qFormat/>
    <w:pPr>
      <w:widowControl/>
      <w:ind w:firstLineChars="100" w:firstLine="420"/>
      <w:jc w:val="left"/>
    </w:pPr>
    <w:rPr>
      <w:rFonts w:ascii="宋体" w:hAnsi="宋体" w:cs="宋体"/>
      <w:kern w:val="0"/>
      <w:sz w:val="24"/>
      <w:szCs w:val="24"/>
    </w:rPr>
  </w:style>
  <w:style w:type="paragraph" w:customStyle="1" w:styleId="Style887">
    <w:name w:val="_Style 887"/>
    <w:basedOn w:val="Style864"/>
    <w:semiHidden/>
    <w:qFormat/>
    <w:pPr>
      <w:ind w:firstLine="420"/>
    </w:pPr>
  </w:style>
  <w:style w:type="character" w:customStyle="1" w:styleId="Style888">
    <w:name w:val="_Style 888"/>
    <w:basedOn w:val="Style850"/>
    <w:autoRedefine/>
    <w:uiPriority w:val="99"/>
    <w:semiHidden/>
    <w:qFormat/>
    <w:rPr>
      <w:rFonts w:asciiTheme="majorHAnsi" w:hAnsiTheme="majorHAnsi" w:cstheme="majorBidi"/>
      <w:b/>
      <w:bCs/>
      <w:kern w:val="2"/>
      <w:sz w:val="32"/>
      <w:szCs w:val="32"/>
    </w:rPr>
  </w:style>
  <w:style w:type="paragraph" w:customStyle="1" w:styleId="Style889">
    <w:name w:val="_Style 889"/>
    <w:basedOn w:val="Style853"/>
    <w:next w:val="Style830"/>
    <w:autoRedefine/>
    <w:uiPriority w:val="10"/>
    <w:semiHidden/>
    <w:qFormat/>
    <w:pPr>
      <w:spacing w:before="240" w:after="60"/>
      <w:jc w:val="center"/>
      <w:outlineLvl w:val="0"/>
    </w:pPr>
    <w:rPr>
      <w:rFonts w:asciiTheme="majorHAnsi" w:hAnsiTheme="majorHAnsi" w:cstheme="majorBidi"/>
      <w:b/>
      <w:bCs/>
      <w:kern w:val="2"/>
      <w:sz w:val="32"/>
      <w:szCs w:val="32"/>
    </w:rPr>
  </w:style>
  <w:style w:type="paragraph" w:customStyle="1" w:styleId="Style890">
    <w:name w:val="_Style 890"/>
    <w:basedOn w:val="Style842"/>
    <w:autoRedefine/>
    <w:uiPriority w:val="99"/>
    <w:qFormat/>
    <w:pPr>
      <w:ind w:left="1200" w:hanging="720"/>
    </w:pPr>
    <w:rPr>
      <w:rFonts w:asciiTheme="minorEastAsia" w:eastAsiaTheme="minorEastAsia" w:hAnsiTheme="minorEastAsia" w:cs="Times New Roman"/>
      <w:kern w:val="2"/>
    </w:rPr>
  </w:style>
  <w:style w:type="character" w:customStyle="1" w:styleId="Style891">
    <w:name w:val="_Style 891"/>
    <w:basedOn w:val="Style850"/>
    <w:autoRedefine/>
    <w:uiPriority w:val="99"/>
    <w:qFormat/>
    <w:rPr>
      <w:rFonts w:ascii="宋体" w:hAnsi="宋体" w:cs="宋体"/>
      <w:szCs w:val="24"/>
    </w:rPr>
  </w:style>
  <w:style w:type="paragraph" w:customStyle="1" w:styleId="Style892">
    <w:name w:val="_Style 892"/>
    <w:basedOn w:val="Style229"/>
    <w:autoRedefine/>
    <w:uiPriority w:val="99"/>
    <w:semiHidden/>
    <w:qFormat/>
    <w:pPr>
      <w:snapToGrid w:val="0"/>
    </w:pPr>
  </w:style>
  <w:style w:type="character" w:customStyle="1" w:styleId="Style893">
    <w:name w:val="_Style 893"/>
    <w:basedOn w:val="Style850"/>
    <w:autoRedefine/>
    <w:qFormat/>
    <w:rPr>
      <w:rFonts w:eastAsia="宋体" w:cs="Times New Roman"/>
      <w:kern w:val="2"/>
      <w:sz w:val="21"/>
      <w:szCs w:val="21"/>
      <w:lang w:val="en-US" w:eastAsia="zh-CN" w:bidi="ar-SA"/>
    </w:rPr>
  </w:style>
  <w:style w:type="character" w:customStyle="1" w:styleId="Style894">
    <w:name w:val="_Style 894"/>
    <w:basedOn w:val="Style850"/>
    <w:autoRedefine/>
    <w:uiPriority w:val="99"/>
    <w:qFormat/>
    <w:rPr>
      <w:rFonts w:eastAsia="黑体"/>
      <w:b/>
      <w:bCs/>
      <w:kern w:val="44"/>
      <w:sz w:val="28"/>
      <w:szCs w:val="44"/>
    </w:rPr>
  </w:style>
  <w:style w:type="character" w:customStyle="1" w:styleId="Style895">
    <w:name w:val="_Style 895"/>
    <w:basedOn w:val="Style850"/>
    <w:autoRedefine/>
    <w:qFormat/>
    <w:rPr>
      <w:rFonts w:ascii="Arial" w:hAnsi="Arial"/>
      <w:b/>
      <w:bCs/>
      <w:kern w:val="2"/>
      <w:sz w:val="21"/>
      <w:szCs w:val="21"/>
    </w:rPr>
  </w:style>
  <w:style w:type="character" w:customStyle="1" w:styleId="Style896">
    <w:name w:val="_Style 896"/>
    <w:basedOn w:val="Style850"/>
    <w:autoRedefine/>
    <w:uiPriority w:val="9"/>
    <w:qFormat/>
    <w:rPr>
      <w:rFonts w:asciiTheme="minorEastAsia" w:eastAsiaTheme="minorEastAsia" w:hAnsiTheme="minorEastAsia" w:cs="宋体"/>
      <w:b/>
      <w:bCs/>
      <w:sz w:val="24"/>
      <w:szCs w:val="24"/>
    </w:rPr>
  </w:style>
  <w:style w:type="character" w:customStyle="1" w:styleId="Style897">
    <w:name w:val="_Style 897"/>
    <w:basedOn w:val="Style850"/>
    <w:autoRedefine/>
    <w:uiPriority w:val="9"/>
    <w:qFormat/>
    <w:rPr>
      <w:rFonts w:asciiTheme="minorEastAsia" w:eastAsiaTheme="minorEastAsia" w:hAnsiTheme="minorEastAsia"/>
      <w:b/>
      <w:bCs/>
      <w:kern w:val="2"/>
      <w:sz w:val="21"/>
      <w:szCs w:val="28"/>
    </w:rPr>
  </w:style>
  <w:style w:type="character" w:customStyle="1" w:styleId="Style898">
    <w:name w:val="_Style 898"/>
    <w:basedOn w:val="Style850"/>
    <w:autoRedefine/>
    <w:uiPriority w:val="9"/>
    <w:qFormat/>
    <w:rPr>
      <w:b/>
      <w:bCs/>
      <w:kern w:val="2"/>
      <w:sz w:val="21"/>
      <w:szCs w:val="28"/>
    </w:rPr>
  </w:style>
  <w:style w:type="paragraph" w:customStyle="1" w:styleId="Style899">
    <w:name w:val="_Style 899"/>
    <w:basedOn w:val="Style843"/>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character" w:customStyle="1" w:styleId="Style900">
    <w:name w:val="_Style 900"/>
    <w:basedOn w:val="Style850"/>
    <w:autoRedefine/>
    <w:qFormat/>
    <w:rPr>
      <w:rFonts w:ascii="Times New Roman" w:hAnsi="Times New Roman"/>
      <w:kern w:val="2"/>
      <w:sz w:val="21"/>
      <w:szCs w:val="21"/>
    </w:rPr>
  </w:style>
  <w:style w:type="character" w:customStyle="1" w:styleId="Style901">
    <w:name w:val="_Style 901"/>
    <w:basedOn w:val="Style850"/>
    <w:autoRedefine/>
    <w:uiPriority w:val="99"/>
    <w:qFormat/>
    <w:rPr>
      <w:kern w:val="2"/>
      <w:sz w:val="18"/>
      <w:szCs w:val="18"/>
    </w:rPr>
  </w:style>
  <w:style w:type="character" w:customStyle="1" w:styleId="Style902">
    <w:name w:val="_Style 902"/>
    <w:basedOn w:val="Style850"/>
    <w:autoRedefine/>
    <w:uiPriority w:val="99"/>
    <w:qFormat/>
    <w:rPr>
      <w:rFonts w:ascii="Times New Roman" w:hAnsi="Times New Roman"/>
      <w:kern w:val="2"/>
      <w:sz w:val="21"/>
      <w:szCs w:val="21"/>
    </w:rPr>
  </w:style>
  <w:style w:type="character" w:customStyle="1" w:styleId="Style903">
    <w:name w:val="_Style 903"/>
    <w:basedOn w:val="Style850"/>
    <w:autoRedefine/>
    <w:uiPriority w:val="99"/>
    <w:qFormat/>
    <w:rPr>
      <w:rFonts w:eastAsia="宋体" w:cs="Times New Roman"/>
      <w:color w:val="FF0000"/>
      <w:kern w:val="2"/>
      <w:sz w:val="24"/>
      <w:szCs w:val="24"/>
      <w:lang w:val="en-US" w:eastAsia="zh-CN" w:bidi="ar-SA"/>
    </w:rPr>
  </w:style>
  <w:style w:type="paragraph" w:customStyle="1" w:styleId="Style904">
    <w:name w:val="_Style 904"/>
    <w:basedOn w:val="Style842"/>
    <w:autoRedefine/>
    <w:uiPriority w:val="99"/>
    <w:qFormat/>
    <w:pPr>
      <w:spacing w:before="100" w:after="100"/>
      <w:jc w:val="right"/>
    </w:pPr>
    <w:rPr>
      <w:rFonts w:ascii="Arial Unicode MS" w:eastAsia="Arial Unicode MS" w:hAnsi="Times New Roman" w:cs="Times New Roman"/>
      <w:sz w:val="18"/>
      <w:szCs w:val="18"/>
    </w:rPr>
  </w:style>
  <w:style w:type="character" w:customStyle="1" w:styleId="Style905">
    <w:name w:val="_Style 905"/>
    <w:basedOn w:val="Style900"/>
    <w:autoRedefine/>
    <w:uiPriority w:val="99"/>
    <w:qFormat/>
    <w:rPr>
      <w:rFonts w:ascii="Times New Roman" w:hAnsi="Times New Roman"/>
      <w:b/>
      <w:bCs/>
      <w:kern w:val="2"/>
      <w:sz w:val="21"/>
      <w:szCs w:val="22"/>
    </w:rPr>
  </w:style>
  <w:style w:type="character" w:customStyle="1" w:styleId="Style906">
    <w:name w:val="_Style 906"/>
    <w:basedOn w:val="Style850"/>
    <w:autoRedefine/>
    <w:uiPriority w:val="99"/>
    <w:qFormat/>
    <w:rPr>
      <w:kern w:val="2"/>
      <w:sz w:val="18"/>
      <w:szCs w:val="18"/>
    </w:rPr>
  </w:style>
  <w:style w:type="character" w:customStyle="1" w:styleId="Style907">
    <w:name w:val="_Style 907"/>
    <w:basedOn w:val="Style850"/>
    <w:autoRedefine/>
    <w:uiPriority w:val="99"/>
    <w:qFormat/>
    <w:rPr>
      <w:kern w:val="2"/>
      <w:sz w:val="18"/>
      <w:szCs w:val="18"/>
    </w:rPr>
  </w:style>
  <w:style w:type="character" w:customStyle="1" w:styleId="Style908">
    <w:name w:val="_Style 908"/>
    <w:basedOn w:val="Style850"/>
    <w:autoRedefine/>
    <w:qFormat/>
    <w:rPr>
      <w:rFonts w:ascii="宋体" w:hAnsi="Courier New"/>
      <w:kern w:val="2"/>
      <w:sz w:val="21"/>
    </w:rPr>
  </w:style>
  <w:style w:type="character" w:customStyle="1" w:styleId="Style909">
    <w:name w:val="_Style 909"/>
    <w:basedOn w:val="Style850"/>
    <w:autoRedefine/>
    <w:qFormat/>
    <w:rPr>
      <w:rFonts w:eastAsia="宋体" w:cs="Times New Roman"/>
      <w:kern w:val="2"/>
      <w:sz w:val="24"/>
      <w:szCs w:val="24"/>
      <w:lang w:val="en-US" w:eastAsia="zh-CN" w:bidi="ar-SA"/>
    </w:rPr>
  </w:style>
  <w:style w:type="character" w:customStyle="1" w:styleId="Style910">
    <w:name w:val="_Style 910"/>
    <w:basedOn w:val="Style850"/>
    <w:autoRedefine/>
    <w:uiPriority w:val="99"/>
    <w:qFormat/>
    <w:rPr>
      <w:rFonts w:ascii="Times New Roman" w:hAnsi="Times New Roman"/>
      <w:kern w:val="2"/>
      <w:sz w:val="21"/>
      <w:szCs w:val="21"/>
    </w:rPr>
  </w:style>
  <w:style w:type="paragraph" w:customStyle="1" w:styleId="Style911">
    <w:name w:val="_Style 911"/>
    <w:basedOn w:val="Style842"/>
    <w:autoRedefine/>
    <w:uiPriority w:val="99"/>
    <w:qFormat/>
    <w:pPr>
      <w:tabs>
        <w:tab w:val="left" w:pos="709"/>
      </w:tabs>
      <w:overflowPunct w:val="0"/>
      <w:autoSpaceDE w:val="0"/>
      <w:autoSpaceDN w:val="0"/>
      <w:adjustRightInd w:val="0"/>
      <w:textAlignment w:val="baseline"/>
    </w:pPr>
    <w:rPr>
      <w:rFonts w:ascii="Helvetica-Narrow" w:hAnsi="Helvetica-Narrow" w:cs="Times New Roman"/>
      <w:sz w:val="21"/>
      <w:lang w:val="en-AU"/>
    </w:rPr>
  </w:style>
  <w:style w:type="character" w:customStyle="1" w:styleId="Style912">
    <w:name w:val="_Style 912"/>
    <w:basedOn w:val="Style850"/>
    <w:autoRedefine/>
    <w:uiPriority w:val="99"/>
    <w:qFormat/>
    <w:rPr>
      <w:rFonts w:ascii="Times New Roman" w:hAnsi="Times New Roman"/>
      <w:kern w:val="2"/>
      <w:sz w:val="21"/>
      <w:szCs w:val="21"/>
    </w:rPr>
  </w:style>
  <w:style w:type="character" w:customStyle="1" w:styleId="Style913">
    <w:name w:val="_Style 913"/>
    <w:basedOn w:val="Style850"/>
    <w:autoRedefine/>
    <w:uiPriority w:val="99"/>
    <w:qFormat/>
    <w:rPr>
      <w:rFonts w:ascii="Times New Roman" w:hAnsi="Times New Roman"/>
      <w:kern w:val="2"/>
      <w:sz w:val="21"/>
      <w:szCs w:val="21"/>
    </w:rPr>
  </w:style>
  <w:style w:type="paragraph" w:customStyle="1" w:styleId="Style914">
    <w:name w:val="_Style 914"/>
    <w:basedOn w:val="Style842"/>
    <w:autoRedefine/>
    <w:qFormat/>
    <w:pPr>
      <w:keepNext/>
      <w:keepLines/>
      <w:spacing w:before="60" w:after="60"/>
      <w:ind w:hangingChars="200" w:hanging="420"/>
      <w:outlineLvl w:val="4"/>
    </w:pPr>
    <w:rPr>
      <w:rFonts w:cs="Times New Roman"/>
      <w:b/>
      <w:bCs/>
      <w:kern w:val="2"/>
      <w:sz w:val="21"/>
      <w:szCs w:val="21"/>
    </w:rPr>
  </w:style>
  <w:style w:type="paragraph" w:customStyle="1" w:styleId="Style915">
    <w:name w:val="_Style 915"/>
    <w:autoRedefine/>
    <w:uiPriority w:val="99"/>
    <w:semiHidden/>
    <w:qFormat/>
    <w:rPr>
      <w:kern w:val="2"/>
      <w:sz w:val="21"/>
      <w:szCs w:val="22"/>
    </w:rPr>
  </w:style>
  <w:style w:type="character" w:customStyle="1" w:styleId="Style916">
    <w:name w:val="_Style 916"/>
    <w:basedOn w:val="Style850"/>
    <w:autoRedefine/>
    <w:qFormat/>
    <w:rPr>
      <w:kern w:val="2"/>
      <w:sz w:val="21"/>
      <w:szCs w:val="24"/>
    </w:rPr>
  </w:style>
  <w:style w:type="paragraph" w:customStyle="1" w:styleId="Style917">
    <w:name w:val="_Style 917"/>
    <w:basedOn w:val="Style842"/>
    <w:qFormat/>
    <w:pPr>
      <w:spacing w:before="100" w:after="100"/>
    </w:pPr>
    <w:rPr>
      <w:rFonts w:ascii="Calibri" w:hAnsi="Calibri" w:cs="Times New Roman"/>
      <w:kern w:val="2"/>
      <w:sz w:val="21"/>
    </w:rPr>
  </w:style>
  <w:style w:type="character" w:customStyle="1" w:styleId="Style918">
    <w:name w:val="_Style 918"/>
    <w:basedOn w:val="Style850"/>
    <w:autoRedefine/>
    <w:uiPriority w:val="99"/>
    <w:semiHidden/>
    <w:qFormat/>
    <w:rPr>
      <w:rFonts w:ascii="Arial"/>
      <w:color w:val="000000"/>
      <w:kern w:val="2"/>
      <w:sz w:val="18"/>
      <w:szCs w:val="18"/>
    </w:rPr>
  </w:style>
  <w:style w:type="character" w:customStyle="1" w:styleId="Style919">
    <w:name w:val="_Style 919"/>
    <w:basedOn w:val="Style850"/>
    <w:autoRedefine/>
    <w:uiPriority w:val="99"/>
    <w:qFormat/>
    <w:rPr>
      <w:rFonts w:ascii="宋体" w:hAnsi="宋体" w:cs="宋体"/>
      <w:sz w:val="24"/>
      <w:szCs w:val="24"/>
    </w:rPr>
  </w:style>
  <w:style w:type="character" w:customStyle="1" w:styleId="Style921">
    <w:name w:val="_Style 921"/>
    <w:basedOn w:val="Style850"/>
    <w:autoRedefine/>
    <w:uiPriority w:val="10"/>
    <w:qFormat/>
    <w:rPr>
      <w:rFonts w:asciiTheme="majorHAnsi" w:hAnsiTheme="majorHAnsi" w:cstheme="majorBidi"/>
      <w:b/>
      <w:bCs/>
      <w:kern w:val="2"/>
      <w:sz w:val="32"/>
      <w:szCs w:val="32"/>
    </w:rPr>
  </w:style>
  <w:style w:type="paragraph" w:customStyle="1" w:styleId="Style922">
    <w:name w:val="_Style 922"/>
    <w:autoRedefine/>
    <w:uiPriority w:val="1"/>
    <w:qFormat/>
    <w:pPr>
      <w:widowControl w:val="0"/>
      <w:jc w:val="both"/>
    </w:pPr>
    <w:rPr>
      <w:kern w:val="2"/>
      <w:sz w:val="21"/>
      <w:szCs w:val="22"/>
    </w:rPr>
  </w:style>
  <w:style w:type="character" w:customStyle="1" w:styleId="Style923">
    <w:name w:val="_Style 923"/>
    <w:basedOn w:val="Style850"/>
    <w:autoRedefine/>
    <w:uiPriority w:val="9"/>
    <w:qFormat/>
    <w:rPr>
      <w:rFonts w:asciiTheme="majorHAnsi" w:hAnsiTheme="majorHAnsi" w:cstheme="majorBidi"/>
      <w:b/>
      <w:bCs/>
      <w:sz w:val="21"/>
      <w:szCs w:val="24"/>
    </w:rPr>
  </w:style>
  <w:style w:type="character" w:customStyle="1" w:styleId="Style924">
    <w:name w:val="_Style 924"/>
    <w:basedOn w:val="Style850"/>
    <w:autoRedefine/>
    <w:uiPriority w:val="99"/>
    <w:semiHidden/>
    <w:qFormat/>
    <w:rPr>
      <w:rFonts w:ascii="Arial" w:hAnsi="Arial" w:cs="Arial"/>
      <w:color w:val="000000"/>
      <w:sz w:val="21"/>
      <w:szCs w:val="21"/>
    </w:rPr>
  </w:style>
  <w:style w:type="character" w:customStyle="1" w:styleId="Style925">
    <w:name w:val="_Style 925"/>
    <w:basedOn w:val="Style900"/>
    <w:autoRedefine/>
    <w:uiPriority w:val="99"/>
    <w:semiHidden/>
    <w:qFormat/>
    <w:rPr>
      <w:rFonts w:ascii="Times New Roman" w:eastAsia="宋体" w:hAnsi="Times New Roman" w:cs="Times New Roman"/>
      <w:b/>
      <w:bCs/>
      <w:kern w:val="2"/>
      <w:sz w:val="21"/>
      <w:szCs w:val="21"/>
    </w:rPr>
  </w:style>
  <w:style w:type="character" w:customStyle="1" w:styleId="Style926">
    <w:name w:val="_Style 926"/>
    <w:basedOn w:val="Style850"/>
    <w:autoRedefine/>
    <w:qFormat/>
  </w:style>
  <w:style w:type="paragraph" w:customStyle="1" w:styleId="Style927">
    <w:name w:val="_Style 927"/>
    <w:basedOn w:val="Style842"/>
    <w:next w:val="aff7"/>
    <w:autoRedefine/>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Style928">
    <w:name w:val="_Style 928"/>
    <w:basedOn w:val="Style850"/>
    <w:autoRedefine/>
    <w:qFormat/>
    <w:rPr>
      <w:rFonts w:ascii="Times New Roman" w:hAnsi="Times New Roman"/>
      <w:b/>
      <w:kern w:val="2"/>
      <w:sz w:val="21"/>
      <w:szCs w:val="24"/>
    </w:rPr>
  </w:style>
  <w:style w:type="character" w:customStyle="1" w:styleId="Style929">
    <w:name w:val="_Style 929"/>
    <w:basedOn w:val="Style850"/>
    <w:autoRedefine/>
    <w:uiPriority w:val="9"/>
    <w:qFormat/>
    <w:rPr>
      <w:rFonts w:ascii="宋体" w:hAnsi="宋体" w:cs="宋体"/>
      <w:b/>
      <w:bCs/>
      <w:sz w:val="24"/>
      <w:szCs w:val="24"/>
    </w:rPr>
  </w:style>
  <w:style w:type="character" w:customStyle="1" w:styleId="Style930">
    <w:name w:val="_Style 930"/>
    <w:basedOn w:val="Style900"/>
    <w:autoRedefine/>
    <w:uiPriority w:val="99"/>
    <w:semiHidden/>
    <w:qFormat/>
    <w:rPr>
      <w:rFonts w:ascii="Times New Roman" w:hAnsi="Times New Roman"/>
      <w:kern w:val="2"/>
      <w:sz w:val="21"/>
      <w:szCs w:val="21"/>
    </w:rPr>
  </w:style>
  <w:style w:type="paragraph" w:customStyle="1" w:styleId="Style931">
    <w:name w:val="_Style 931"/>
    <w:basedOn w:val="Style229"/>
    <w:next w:val="Style830"/>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932">
    <w:name w:val="_Style 932"/>
    <w:basedOn w:val="Style842"/>
    <w:next w:val="Style830"/>
    <w:autoRedefine/>
    <w:uiPriority w:val="34"/>
    <w:qFormat/>
    <w:pPr>
      <w:ind w:firstLine="420"/>
    </w:pPr>
    <w:rPr>
      <w:rFonts w:ascii="Calibri" w:hAnsi="Calibri" w:cs="Times New Roman"/>
      <w:kern w:val="2"/>
      <w:sz w:val="21"/>
      <w:szCs w:val="22"/>
    </w:rPr>
  </w:style>
  <w:style w:type="paragraph" w:customStyle="1" w:styleId="Style933">
    <w:name w:val="_Style 933"/>
    <w:basedOn w:val="Style842"/>
    <w:next w:val="Style830"/>
    <w:autoRedefine/>
    <w:uiPriority w:val="34"/>
    <w:qFormat/>
    <w:pPr>
      <w:ind w:firstLine="420"/>
    </w:pPr>
    <w:rPr>
      <w:rFonts w:ascii="Calibri" w:hAnsi="Calibri" w:cs="Times New Roman"/>
      <w:kern w:val="2"/>
      <w:sz w:val="21"/>
      <w:szCs w:val="22"/>
    </w:rPr>
  </w:style>
  <w:style w:type="paragraph" w:customStyle="1" w:styleId="Style934">
    <w:name w:val="_Style 934"/>
    <w:basedOn w:val="Style842"/>
    <w:next w:val="Style830"/>
    <w:autoRedefine/>
    <w:uiPriority w:val="34"/>
    <w:qFormat/>
    <w:pPr>
      <w:ind w:firstLine="420"/>
    </w:pPr>
    <w:rPr>
      <w:rFonts w:ascii="Calibri" w:hAnsi="Calibri" w:cs="Times New Roman"/>
      <w:kern w:val="2"/>
      <w:sz w:val="21"/>
      <w:szCs w:val="22"/>
    </w:rPr>
  </w:style>
  <w:style w:type="paragraph" w:customStyle="1" w:styleId="Style935">
    <w:name w:val="_Style 935"/>
    <w:basedOn w:val="Style842"/>
    <w:next w:val="Style830"/>
    <w:autoRedefine/>
    <w:uiPriority w:val="34"/>
    <w:qFormat/>
    <w:pPr>
      <w:ind w:firstLine="420"/>
    </w:pPr>
    <w:rPr>
      <w:rFonts w:ascii="Calibri" w:hAnsi="Calibri" w:cs="Times New Roman"/>
      <w:kern w:val="2"/>
      <w:sz w:val="21"/>
      <w:szCs w:val="22"/>
    </w:rPr>
  </w:style>
  <w:style w:type="paragraph" w:customStyle="1" w:styleId="Style936">
    <w:name w:val="_Style 936"/>
    <w:basedOn w:val="Style842"/>
    <w:autoRedefine/>
    <w:uiPriority w:val="1"/>
    <w:qFormat/>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Style937">
    <w:name w:val="_Style 937"/>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938">
    <w:name w:val="_Style 938"/>
    <w:basedOn w:val="Style842"/>
    <w:next w:val="Style830"/>
    <w:autoRedefine/>
    <w:uiPriority w:val="34"/>
    <w:semiHidden/>
    <w:qFormat/>
    <w:pPr>
      <w:ind w:firstLine="420"/>
    </w:pPr>
    <w:rPr>
      <w:rFonts w:ascii="Calibri" w:hAnsi="Calibri" w:cs="Times New Roman"/>
      <w:kern w:val="2"/>
      <w:sz w:val="21"/>
      <w:szCs w:val="22"/>
    </w:rPr>
  </w:style>
  <w:style w:type="character" w:customStyle="1" w:styleId="Style939">
    <w:name w:val="_Style 939"/>
    <w:autoRedefine/>
    <w:uiPriority w:val="99"/>
    <w:semiHidden/>
    <w:qFormat/>
    <w:locked/>
    <w:rPr>
      <w:rFonts w:ascii="Times New Roman" w:hAnsi="Times New Roman"/>
      <w:kern w:val="2"/>
      <w:sz w:val="21"/>
      <w:szCs w:val="21"/>
    </w:rPr>
  </w:style>
  <w:style w:type="paragraph" w:customStyle="1" w:styleId="Style940">
    <w:name w:val="_Style 940"/>
    <w:basedOn w:val="Style842"/>
    <w:next w:val="Style830"/>
    <w:autoRedefine/>
    <w:uiPriority w:val="34"/>
    <w:semiHidden/>
    <w:qFormat/>
    <w:pPr>
      <w:ind w:firstLine="420"/>
    </w:pPr>
    <w:rPr>
      <w:rFonts w:ascii="Calibri" w:hAnsi="Calibri" w:cs="Times New Roman"/>
      <w:kern w:val="2"/>
      <w:sz w:val="21"/>
      <w:szCs w:val="22"/>
    </w:rPr>
  </w:style>
  <w:style w:type="character" w:customStyle="1" w:styleId="Style941">
    <w:name w:val="_Style 941"/>
    <w:basedOn w:val="Style850"/>
    <w:autoRedefine/>
    <w:semiHidden/>
    <w:qFormat/>
    <w:rPr>
      <w:rFonts w:ascii="Times New Roman" w:hAnsi="Times New Roman" w:cs="Times New Roman" w:hint="default"/>
      <w:color w:val="000000"/>
      <w:sz w:val="20"/>
      <w:szCs w:val="20"/>
      <w:u w:val="none"/>
    </w:rPr>
  </w:style>
  <w:style w:type="character" w:customStyle="1" w:styleId="Style942">
    <w:name w:val="_Style 942"/>
    <w:basedOn w:val="Style850"/>
    <w:autoRedefine/>
    <w:semiHidden/>
    <w:qFormat/>
    <w:rPr>
      <w:rFonts w:ascii="宋体" w:eastAsia="宋体" w:hAnsi="宋体" w:hint="eastAsia"/>
      <w:color w:val="000000"/>
      <w:sz w:val="20"/>
      <w:szCs w:val="20"/>
      <w:u w:val="none"/>
    </w:rPr>
  </w:style>
  <w:style w:type="character" w:customStyle="1" w:styleId="Style943">
    <w:name w:val="_Style 943"/>
    <w:basedOn w:val="Style850"/>
    <w:autoRedefine/>
    <w:semiHidden/>
    <w:qFormat/>
    <w:rPr>
      <w:rFonts w:ascii="宋体" w:eastAsia="宋体" w:hAnsi="宋体" w:hint="eastAsia"/>
      <w:color w:val="000000"/>
      <w:sz w:val="20"/>
      <w:szCs w:val="20"/>
      <w:u w:val="none"/>
    </w:rPr>
  </w:style>
  <w:style w:type="paragraph" w:customStyle="1" w:styleId="Style944">
    <w:name w:val="_Style 944"/>
    <w:semiHidden/>
    <w:qFormat/>
    <w:pPr>
      <w:jc w:val="both"/>
    </w:pPr>
    <w:rPr>
      <w:rFonts w:ascii="宋体" w:hAnsi="宋体" w:cs="宋体"/>
      <w:kern w:val="2"/>
      <w:sz w:val="21"/>
      <w:szCs w:val="21"/>
    </w:rPr>
  </w:style>
  <w:style w:type="paragraph" w:customStyle="1" w:styleId="Style945">
    <w:name w:val="_Style 945"/>
    <w:basedOn w:val="Style842"/>
    <w:autoRedefine/>
    <w:semiHidden/>
    <w:qFormat/>
    <w:pPr>
      <w:ind w:firstLine="420"/>
    </w:pPr>
    <w:rPr>
      <w:rFonts w:ascii="Calibri" w:hAnsi="Calibri" w:cs="Times New Roman"/>
      <w:kern w:val="2"/>
      <w:sz w:val="21"/>
      <w:szCs w:val="21"/>
    </w:rPr>
  </w:style>
  <w:style w:type="character" w:customStyle="1" w:styleId="Style946">
    <w:name w:val="_Style 946"/>
    <w:basedOn w:val="Style910"/>
    <w:autoRedefine/>
    <w:semiHidden/>
    <w:qFormat/>
    <w:rPr>
      <w:rFonts w:ascii="宋体" w:hAnsi="宋体" w:cs="宋体"/>
      <w:kern w:val="2"/>
      <w:sz w:val="24"/>
      <w:szCs w:val="24"/>
    </w:rPr>
  </w:style>
  <w:style w:type="character" w:customStyle="1" w:styleId="Style947">
    <w:name w:val="_Style 947"/>
    <w:basedOn w:val="Style850"/>
    <w:autoRedefine/>
    <w:semiHidden/>
    <w:qFormat/>
    <w:rPr>
      <w:rFonts w:ascii="宋体" w:hAnsi="宋体" w:cs="宋体"/>
      <w:sz w:val="24"/>
      <w:szCs w:val="24"/>
    </w:rPr>
  </w:style>
  <w:style w:type="character" w:customStyle="1" w:styleId="Style948">
    <w:name w:val="_Style 948"/>
    <w:basedOn w:val="Style947"/>
    <w:autoRedefine/>
    <w:semiHidden/>
    <w:qFormat/>
    <w:rPr>
      <w:rFonts w:ascii="宋体" w:hAnsi="宋体" w:cs="宋体"/>
      <w:sz w:val="24"/>
      <w:szCs w:val="24"/>
    </w:rPr>
  </w:style>
  <w:style w:type="character" w:customStyle="1" w:styleId="Style949">
    <w:name w:val="_Style 949"/>
    <w:basedOn w:val="Style850"/>
    <w:autoRedefine/>
    <w:semiHidden/>
    <w:qFormat/>
    <w:rPr>
      <w:rFonts w:ascii="宋体" w:hAnsi="宋体" w:cs="宋体"/>
      <w:sz w:val="24"/>
      <w:szCs w:val="24"/>
    </w:rPr>
  </w:style>
  <w:style w:type="character" w:customStyle="1" w:styleId="Style950">
    <w:name w:val="_Style 950"/>
    <w:basedOn w:val="Style850"/>
    <w:autoRedefine/>
    <w:semiHidden/>
    <w:qFormat/>
    <w:rPr>
      <w:rFonts w:ascii="宋体" w:hAnsi="宋体" w:cs="宋体"/>
      <w:sz w:val="16"/>
      <w:szCs w:val="16"/>
    </w:rPr>
  </w:style>
  <w:style w:type="character" w:customStyle="1" w:styleId="Style951">
    <w:name w:val="_Style 951"/>
    <w:basedOn w:val="Style850"/>
    <w:autoRedefine/>
    <w:semiHidden/>
    <w:qFormat/>
    <w:rPr>
      <w:rFonts w:ascii="宋体" w:hAnsi="宋体" w:cs="宋体"/>
      <w:sz w:val="24"/>
      <w:szCs w:val="24"/>
    </w:rPr>
  </w:style>
  <w:style w:type="character" w:customStyle="1" w:styleId="Style952">
    <w:name w:val="_Style 952"/>
    <w:basedOn w:val="Style850"/>
    <w:autoRedefine/>
    <w:semiHidden/>
    <w:qFormat/>
    <w:rPr>
      <w:rFonts w:ascii="宋体" w:hAnsi="宋体" w:cs="宋体"/>
      <w:sz w:val="16"/>
      <w:szCs w:val="16"/>
    </w:rPr>
  </w:style>
  <w:style w:type="paragraph" w:customStyle="1" w:styleId="Style953">
    <w:name w:val="_Style 953"/>
    <w:basedOn w:val="Style853"/>
    <w:next w:val="Style830"/>
    <w:autoRedefine/>
    <w:uiPriority w:val="99"/>
    <w:semiHidden/>
    <w:qFormat/>
    <w:pPr>
      <w:keepNext/>
      <w:keepLines/>
      <w:spacing w:before="60" w:after="60" w:line="360" w:lineRule="auto"/>
      <w:jc w:val="center"/>
      <w:outlineLvl w:val="0"/>
    </w:pPr>
    <w:rPr>
      <w:rFonts w:ascii="Calibri" w:eastAsia="黑体" w:hAnsi="Calibri" w:cs="Times New Roman"/>
      <w:b/>
      <w:bCs/>
      <w:kern w:val="44"/>
      <w:sz w:val="28"/>
      <w:szCs w:val="44"/>
    </w:rPr>
  </w:style>
  <w:style w:type="paragraph" w:customStyle="1" w:styleId="Style954">
    <w:name w:val="_Style 954"/>
    <w:basedOn w:val="Style853"/>
    <w:next w:val="Style830"/>
    <w:autoRedefine/>
    <w:semiHidden/>
    <w:qFormat/>
    <w:pPr>
      <w:keepNext/>
      <w:keepLines/>
      <w:numPr>
        <w:numId w:val="6"/>
      </w:numPr>
      <w:spacing w:before="60" w:after="60"/>
      <w:outlineLvl w:val="1"/>
    </w:pPr>
    <w:rPr>
      <w:rFonts w:ascii="Arial" w:hAnsi="Arial" w:cs="Times New Roman"/>
      <w:b/>
      <w:bCs/>
      <w:kern w:val="2"/>
      <w:sz w:val="21"/>
      <w:szCs w:val="21"/>
    </w:rPr>
  </w:style>
  <w:style w:type="paragraph" w:customStyle="1" w:styleId="Style955">
    <w:name w:val="_Style 955"/>
    <w:basedOn w:val="Style853"/>
    <w:next w:val="Style830"/>
    <w:autoRedefine/>
    <w:uiPriority w:val="9"/>
    <w:qFormat/>
    <w:pPr>
      <w:keepNext/>
      <w:keepLines/>
      <w:widowControl/>
      <w:spacing w:beforeLines="50" w:before="156" w:after="60" w:line="360" w:lineRule="auto"/>
      <w:ind w:left="865" w:hanging="440"/>
      <w:outlineLvl w:val="2"/>
    </w:pPr>
    <w:rPr>
      <w:rFonts w:asciiTheme="minorEastAsia" w:eastAsiaTheme="minorEastAsia" w:hAnsiTheme="minorEastAsia"/>
      <w:b/>
      <w:bCs/>
    </w:rPr>
  </w:style>
  <w:style w:type="paragraph" w:customStyle="1" w:styleId="Style956">
    <w:name w:val="_Style 956"/>
    <w:basedOn w:val="Style853"/>
    <w:next w:val="Style830"/>
    <w:autoRedefine/>
    <w:uiPriority w:val="9"/>
    <w:semiHidden/>
    <w:qFormat/>
    <w:pPr>
      <w:keepNext/>
      <w:keepLines/>
      <w:spacing w:before="60" w:after="60"/>
      <w:ind w:left="426"/>
      <w:outlineLvl w:val="3"/>
    </w:pPr>
    <w:rPr>
      <w:rFonts w:asciiTheme="minorEastAsia" w:eastAsiaTheme="minorEastAsia" w:hAnsiTheme="minorEastAsia" w:cs="Times New Roman"/>
      <w:b/>
      <w:bCs/>
      <w:kern w:val="2"/>
      <w:szCs w:val="28"/>
    </w:rPr>
  </w:style>
  <w:style w:type="paragraph" w:customStyle="1" w:styleId="Style957">
    <w:name w:val="_Style 957"/>
    <w:basedOn w:val="Style853"/>
    <w:next w:val="Style830"/>
    <w:autoRedefine/>
    <w:uiPriority w:val="9"/>
    <w:semiHidden/>
    <w:qFormat/>
    <w:pPr>
      <w:keepNext/>
      <w:keepLines/>
      <w:spacing w:before="60" w:after="60"/>
      <w:ind w:left="545" w:hanging="440"/>
      <w:outlineLvl w:val="4"/>
    </w:pPr>
    <w:rPr>
      <w:rFonts w:ascii="Calibri" w:hAnsi="Calibri" w:cs="Times New Roman"/>
      <w:b/>
      <w:bCs/>
      <w:kern w:val="2"/>
      <w:szCs w:val="28"/>
    </w:rPr>
  </w:style>
  <w:style w:type="paragraph" w:customStyle="1" w:styleId="Style958">
    <w:name w:val="_Style 958"/>
    <w:basedOn w:val="Style853"/>
    <w:next w:val="Style830"/>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959">
    <w:name w:val="_Style 959"/>
    <w:basedOn w:val="Style853"/>
    <w:next w:val="Style830"/>
    <w:autoRedefine/>
    <w:uiPriority w:val="9"/>
    <w:semiHidden/>
    <w:qFormat/>
    <w:pPr>
      <w:keepNext/>
      <w:keepLines/>
      <w:spacing w:before="240" w:after="64" w:line="320" w:lineRule="auto"/>
      <w:outlineLvl w:val="6"/>
    </w:pPr>
    <w:rPr>
      <w:b/>
      <w:bCs/>
    </w:rPr>
  </w:style>
  <w:style w:type="paragraph" w:customStyle="1" w:styleId="Style960">
    <w:name w:val="_Style 960"/>
    <w:basedOn w:val="Style953"/>
    <w:next w:val="Style83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961">
    <w:name w:val="_Style 961"/>
    <w:basedOn w:val="Style853"/>
    <w:next w:val="Style830"/>
    <w:autoRedefine/>
    <w:uiPriority w:val="39"/>
    <w:semiHidden/>
    <w:qFormat/>
    <w:pPr>
      <w:tabs>
        <w:tab w:val="left" w:pos="1260"/>
        <w:tab w:val="right" w:leader="dot" w:pos="8823"/>
      </w:tabs>
      <w:spacing w:line="360" w:lineRule="auto"/>
    </w:pPr>
    <w:rPr>
      <w:rFonts w:ascii="Times New Roman" w:hAnsi="Times New Roman" w:cs="Times New Roman"/>
      <w:kern w:val="2"/>
      <w:szCs w:val="21"/>
    </w:rPr>
  </w:style>
  <w:style w:type="paragraph" w:customStyle="1" w:styleId="Style962">
    <w:name w:val="_Style 962"/>
    <w:basedOn w:val="Style853"/>
    <w:next w:val="Style830"/>
    <w:autoRedefine/>
    <w:uiPriority w:val="39"/>
    <w:semiHidden/>
    <w:qFormat/>
    <w:pPr>
      <w:ind w:leftChars="200" w:left="420"/>
    </w:pPr>
    <w:rPr>
      <w:rFonts w:ascii="Times New Roman" w:hAnsi="Times New Roman" w:cs="Times New Roman"/>
      <w:kern w:val="2"/>
      <w:szCs w:val="21"/>
    </w:rPr>
  </w:style>
  <w:style w:type="paragraph" w:customStyle="1" w:styleId="Style963">
    <w:name w:val="_Style 963"/>
    <w:basedOn w:val="Style853"/>
    <w:semiHidden/>
    <w:qFormat/>
    <w:rPr>
      <w:rFonts w:ascii="Times New Roman" w:hAnsi="Times New Roman" w:cs="Times New Roman"/>
      <w:kern w:val="2"/>
      <w:szCs w:val="21"/>
    </w:rPr>
  </w:style>
  <w:style w:type="paragraph" w:customStyle="1" w:styleId="Style964">
    <w:name w:val="_Style 964"/>
    <w:basedOn w:val="Style853"/>
    <w:autoRedefine/>
    <w:uiPriority w:val="99"/>
    <w:semiHidden/>
    <w:qFormat/>
    <w:rPr>
      <w:rFonts w:ascii="Calibri" w:hAnsi="Calibri" w:cs="Times New Roman"/>
      <w:kern w:val="2"/>
      <w:sz w:val="18"/>
      <w:szCs w:val="18"/>
    </w:rPr>
  </w:style>
  <w:style w:type="paragraph" w:customStyle="1" w:styleId="Style965">
    <w:name w:val="_Style 965"/>
    <w:basedOn w:val="Style853"/>
    <w:next w:val="Style830"/>
    <w:autoRedefine/>
    <w:uiPriority w:val="99"/>
    <w:semiHidden/>
    <w:qFormat/>
    <w:rPr>
      <w:rFonts w:ascii="Times New Roman" w:hAnsi="Times New Roman" w:cs="Times New Roman"/>
      <w:kern w:val="2"/>
      <w:szCs w:val="21"/>
    </w:rPr>
  </w:style>
  <w:style w:type="paragraph" w:customStyle="1" w:styleId="Style966">
    <w:name w:val="_Style 966"/>
    <w:basedOn w:val="Style963"/>
    <w:autoRedefine/>
    <w:uiPriority w:val="99"/>
    <w:semiHidden/>
    <w:qFormat/>
    <w:rPr>
      <w:rFonts w:ascii="Calibri" w:hAnsi="Calibri"/>
      <w:b/>
      <w:bCs/>
      <w:szCs w:val="22"/>
    </w:rPr>
  </w:style>
  <w:style w:type="paragraph" w:customStyle="1" w:styleId="Style967">
    <w:name w:val="_Style 967"/>
    <w:basedOn w:val="Style853"/>
    <w:next w:val="Style830"/>
    <w:autoRedefine/>
    <w:uiPriority w:val="39"/>
    <w:semiHidden/>
    <w:qFormat/>
    <w:pPr>
      <w:spacing w:after="100" w:line="276" w:lineRule="auto"/>
      <w:ind w:left="440"/>
    </w:pPr>
    <w:rPr>
      <w:rFonts w:ascii="Calibri" w:hAnsi="Calibri" w:cs="Times New Roman"/>
      <w:sz w:val="22"/>
      <w:szCs w:val="22"/>
    </w:rPr>
  </w:style>
  <w:style w:type="paragraph" w:customStyle="1" w:styleId="Style968">
    <w:name w:val="_Style 968"/>
    <w:basedOn w:val="Style853"/>
    <w:autoRedefine/>
    <w:uiPriority w:val="99"/>
    <w:semiHidden/>
    <w:qFormat/>
    <w:pPr>
      <w:spacing w:after="120"/>
    </w:pPr>
    <w:rPr>
      <w:rFonts w:ascii="Times New Roman" w:hAnsi="Times New Roman" w:cs="Times New Roman"/>
      <w:kern w:val="2"/>
      <w:szCs w:val="21"/>
    </w:rPr>
  </w:style>
  <w:style w:type="paragraph" w:customStyle="1" w:styleId="Style969">
    <w:name w:val="_Style 969"/>
    <w:basedOn w:val="Style853"/>
    <w:next w:val="Style830"/>
    <w:autoRedefine/>
    <w:uiPriority w:val="99"/>
    <w:semiHidden/>
    <w:qFormat/>
    <w:pPr>
      <w:ind w:leftChars="2500" w:left="100"/>
    </w:pPr>
    <w:rPr>
      <w:rFonts w:ascii="Times New Roman" w:hAnsi="Times New Roman" w:cs="Times New Roman"/>
      <w:kern w:val="2"/>
      <w:szCs w:val="21"/>
    </w:rPr>
  </w:style>
  <w:style w:type="paragraph" w:customStyle="1" w:styleId="Style970">
    <w:name w:val="_Style 970"/>
    <w:basedOn w:val="Style853"/>
    <w:next w:val="Style830"/>
    <w:autoRedefine/>
    <w:uiPriority w:val="99"/>
    <w:semiHidden/>
    <w:qFormat/>
    <w:pPr>
      <w:jc w:val="center"/>
    </w:pPr>
    <w:rPr>
      <w:rFonts w:ascii="Times New Roman" w:hAnsi="Times New Roman" w:cs="Times New Roman"/>
      <w:kern w:val="2"/>
      <w:szCs w:val="21"/>
    </w:rPr>
  </w:style>
  <w:style w:type="paragraph" w:customStyle="1" w:styleId="Style971">
    <w:name w:val="_Style 971"/>
    <w:basedOn w:val="Style853"/>
    <w:next w:val="Style830"/>
    <w:autoRedefine/>
    <w:semiHidden/>
    <w:qFormat/>
    <w:pPr>
      <w:spacing w:before="120"/>
    </w:pPr>
    <w:rPr>
      <w:rFonts w:ascii="Arial" w:hAnsi="Arial" w:cs="Times New Roman"/>
      <w:b/>
      <w:bCs/>
      <w:kern w:val="2"/>
      <w:szCs w:val="21"/>
    </w:rPr>
  </w:style>
  <w:style w:type="paragraph" w:customStyle="1" w:styleId="Style972">
    <w:name w:val="_Style 972"/>
    <w:basedOn w:val="Style853"/>
    <w:autoRedefine/>
    <w:semiHidden/>
    <w:qFormat/>
    <w:pPr>
      <w:keepNext/>
      <w:keepLines/>
      <w:spacing w:before="60" w:after="60"/>
      <w:ind w:hangingChars="200" w:hanging="420"/>
      <w:outlineLvl w:val="4"/>
    </w:pPr>
    <w:rPr>
      <w:rFonts w:cs="Times New Roman"/>
      <w:b/>
      <w:bCs/>
      <w:kern w:val="2"/>
      <w:szCs w:val="21"/>
    </w:rPr>
  </w:style>
  <w:style w:type="paragraph" w:customStyle="1" w:styleId="Style973">
    <w:name w:val="_Style 973"/>
    <w:basedOn w:val="Style853"/>
    <w:next w:val="Style830"/>
    <w:autoRedefine/>
    <w:uiPriority w:val="39"/>
    <w:semiHidden/>
    <w:qFormat/>
    <w:pPr>
      <w:ind w:leftChars="600" w:left="1260"/>
    </w:pPr>
    <w:rPr>
      <w:rFonts w:asciiTheme="minorHAnsi" w:eastAsiaTheme="minorEastAsia" w:hAnsiTheme="minorHAnsi" w:cstheme="minorBidi"/>
      <w:kern w:val="2"/>
      <w:szCs w:val="22"/>
    </w:rPr>
  </w:style>
  <w:style w:type="paragraph" w:customStyle="1" w:styleId="Style974">
    <w:name w:val="_Style 974"/>
    <w:basedOn w:val="Style853"/>
    <w:next w:val="Style830"/>
    <w:autoRedefine/>
    <w:uiPriority w:val="39"/>
    <w:semiHidden/>
    <w:qFormat/>
    <w:pPr>
      <w:ind w:leftChars="800" w:left="1680"/>
    </w:pPr>
    <w:rPr>
      <w:rFonts w:asciiTheme="minorHAnsi" w:eastAsiaTheme="minorEastAsia" w:hAnsiTheme="minorHAnsi" w:cstheme="minorBidi"/>
      <w:kern w:val="2"/>
      <w:szCs w:val="22"/>
    </w:rPr>
  </w:style>
  <w:style w:type="paragraph" w:customStyle="1" w:styleId="Style975">
    <w:name w:val="_Style 975"/>
    <w:basedOn w:val="Style853"/>
    <w:next w:val="Style830"/>
    <w:autoRedefine/>
    <w:uiPriority w:val="39"/>
    <w:semiHidden/>
    <w:qFormat/>
    <w:pPr>
      <w:ind w:leftChars="1000" w:left="2100"/>
    </w:pPr>
    <w:rPr>
      <w:rFonts w:asciiTheme="minorHAnsi" w:eastAsiaTheme="minorEastAsia" w:hAnsiTheme="minorHAnsi" w:cstheme="minorBidi"/>
      <w:kern w:val="2"/>
      <w:szCs w:val="22"/>
    </w:rPr>
  </w:style>
  <w:style w:type="paragraph" w:customStyle="1" w:styleId="Style976">
    <w:name w:val="_Style 976"/>
    <w:basedOn w:val="Style853"/>
    <w:next w:val="Style830"/>
    <w:autoRedefine/>
    <w:uiPriority w:val="39"/>
    <w:semiHidden/>
    <w:qFormat/>
    <w:pPr>
      <w:ind w:leftChars="1200" w:left="2520"/>
    </w:pPr>
    <w:rPr>
      <w:rFonts w:asciiTheme="minorHAnsi" w:eastAsiaTheme="minorEastAsia" w:hAnsiTheme="minorHAnsi" w:cstheme="minorBidi"/>
      <w:kern w:val="2"/>
      <w:szCs w:val="22"/>
    </w:rPr>
  </w:style>
  <w:style w:type="paragraph" w:customStyle="1" w:styleId="Style977">
    <w:name w:val="_Style 977"/>
    <w:basedOn w:val="Style853"/>
    <w:next w:val="Style830"/>
    <w:autoRedefine/>
    <w:uiPriority w:val="39"/>
    <w:semiHidden/>
    <w:qFormat/>
    <w:pPr>
      <w:ind w:leftChars="1400" w:left="2940"/>
    </w:pPr>
    <w:rPr>
      <w:rFonts w:asciiTheme="minorHAnsi" w:eastAsiaTheme="minorEastAsia" w:hAnsiTheme="minorHAnsi" w:cstheme="minorBidi"/>
      <w:kern w:val="2"/>
      <w:szCs w:val="22"/>
    </w:rPr>
  </w:style>
  <w:style w:type="paragraph" w:customStyle="1" w:styleId="Style978">
    <w:name w:val="_Style 978"/>
    <w:basedOn w:val="Style853"/>
    <w:next w:val="Style830"/>
    <w:autoRedefine/>
    <w:uiPriority w:val="39"/>
    <w:semiHidden/>
    <w:qFormat/>
    <w:pPr>
      <w:ind w:leftChars="1600" w:left="3360"/>
    </w:pPr>
    <w:rPr>
      <w:rFonts w:asciiTheme="minorHAnsi" w:eastAsiaTheme="minorEastAsia" w:hAnsiTheme="minorHAnsi" w:cstheme="minorBidi"/>
      <w:kern w:val="2"/>
      <w:szCs w:val="22"/>
    </w:rPr>
  </w:style>
  <w:style w:type="paragraph" w:customStyle="1" w:styleId="Style979">
    <w:name w:val="_Style 979"/>
    <w:basedOn w:val="Style853"/>
    <w:next w:val="Style830"/>
    <w:autoRedefine/>
    <w:semiHidden/>
    <w:qFormat/>
    <w:pPr>
      <w:ind w:firstLineChars="200" w:firstLine="420"/>
    </w:pPr>
    <w:rPr>
      <w:rFonts w:cs="Times New Roman"/>
      <w:color w:val="000000"/>
      <w:szCs w:val="21"/>
    </w:rPr>
  </w:style>
  <w:style w:type="paragraph" w:customStyle="1" w:styleId="Style980">
    <w:name w:val="_Style 980"/>
    <w:basedOn w:val="Style853"/>
    <w:autoRedefine/>
    <w:semiHidden/>
    <w:qFormat/>
    <w:pPr>
      <w:ind w:firstLineChars="200" w:firstLine="420"/>
    </w:pPr>
    <w:rPr>
      <w:rFonts w:ascii="Times New Roman" w:hAnsi="Times New Roman" w:cs="Times New Roman"/>
      <w:kern w:val="2"/>
      <w:szCs w:val="21"/>
    </w:rPr>
  </w:style>
  <w:style w:type="paragraph" w:customStyle="1" w:styleId="Style981">
    <w:name w:val="_Style 981"/>
    <w:basedOn w:val="Style853"/>
    <w:autoRedefine/>
    <w:semiHidden/>
    <w:qFormat/>
    <w:pPr>
      <w:tabs>
        <w:tab w:val="left" w:pos="1200"/>
      </w:tabs>
    </w:pPr>
    <w:rPr>
      <w:rFonts w:ascii="Times New Roman" w:hAnsi="Times New Roman" w:cs="Times New Roman"/>
      <w:kern w:val="2"/>
      <w:szCs w:val="21"/>
    </w:rPr>
  </w:style>
  <w:style w:type="paragraph" w:customStyle="1" w:styleId="Style982">
    <w:name w:val="_Style 982"/>
    <w:basedOn w:val="Style853"/>
    <w:next w:val="Style830"/>
    <w:autoRedefine/>
    <w:semiHidden/>
    <w:qFormat/>
    <w:pPr>
      <w:keepNext/>
      <w:keepLines/>
      <w:spacing w:before="100" w:beforeAutospacing="1" w:after="100" w:afterAutospacing="1" w:line="415" w:lineRule="auto"/>
    </w:pPr>
    <w:rPr>
      <w:rFonts w:ascii="Times New Roman" w:hAnsi="Times New Roman" w:cs="Times New Roman"/>
      <w:b/>
      <w:kern w:val="2"/>
    </w:rPr>
  </w:style>
  <w:style w:type="character" w:customStyle="1" w:styleId="Style983">
    <w:name w:val="_Style 983"/>
    <w:basedOn w:val="Style132"/>
    <w:autoRedefine/>
    <w:semiHidden/>
    <w:qFormat/>
    <w:rPr>
      <w:sz w:val="22"/>
      <w:szCs w:val="22"/>
    </w:rPr>
  </w:style>
  <w:style w:type="paragraph" w:customStyle="1" w:styleId="Style984">
    <w:name w:val="_Style 984"/>
    <w:basedOn w:val="Style853"/>
    <w:next w:val="a9"/>
    <w:autoRedefine/>
    <w:uiPriority w:val="34"/>
    <w:semiHidden/>
    <w:qFormat/>
    <w:pPr>
      <w:ind w:firstLineChars="200" w:firstLine="420"/>
    </w:pPr>
    <w:rPr>
      <w:rFonts w:ascii="Calibri" w:hAnsi="Calibri" w:cs="Times New Roman"/>
      <w:kern w:val="2"/>
      <w:szCs w:val="22"/>
    </w:rPr>
  </w:style>
  <w:style w:type="paragraph" w:customStyle="1" w:styleId="Style985">
    <w:name w:val="_Style 985"/>
    <w:basedOn w:val="Style853"/>
    <w:next w:val="a9"/>
    <w:autoRedefine/>
    <w:uiPriority w:val="34"/>
    <w:semiHidden/>
    <w:qFormat/>
    <w:pPr>
      <w:ind w:firstLineChars="200" w:firstLine="420"/>
    </w:pPr>
    <w:rPr>
      <w:rFonts w:ascii="Calibri" w:hAnsi="Calibri" w:cs="Times New Roman"/>
      <w:kern w:val="2"/>
      <w:szCs w:val="22"/>
    </w:rPr>
  </w:style>
  <w:style w:type="paragraph" w:customStyle="1" w:styleId="Style986">
    <w:name w:val="_Style 986"/>
    <w:basedOn w:val="Style853"/>
    <w:next w:val="a9"/>
    <w:autoRedefine/>
    <w:uiPriority w:val="34"/>
    <w:semiHidden/>
    <w:qFormat/>
    <w:pPr>
      <w:ind w:firstLineChars="200" w:firstLine="420"/>
    </w:pPr>
    <w:rPr>
      <w:rFonts w:ascii="Calibri" w:hAnsi="Calibri" w:cs="Times New Roman"/>
      <w:kern w:val="2"/>
      <w:szCs w:val="22"/>
    </w:rPr>
  </w:style>
  <w:style w:type="paragraph" w:customStyle="1" w:styleId="Style987">
    <w:name w:val="_Style 987"/>
    <w:basedOn w:val="Style853"/>
    <w:next w:val="a9"/>
    <w:autoRedefine/>
    <w:uiPriority w:val="34"/>
    <w:semiHidden/>
    <w:qFormat/>
    <w:pPr>
      <w:ind w:firstLineChars="200" w:firstLine="420"/>
    </w:pPr>
    <w:rPr>
      <w:rFonts w:ascii="Calibri" w:hAnsi="Calibri" w:cs="Times New Roman"/>
      <w:kern w:val="2"/>
      <w:szCs w:val="22"/>
    </w:rPr>
  </w:style>
  <w:style w:type="paragraph" w:customStyle="1" w:styleId="Style988">
    <w:name w:val="_Style 988"/>
    <w:basedOn w:val="Style853"/>
    <w:next w:val="a9"/>
    <w:autoRedefine/>
    <w:uiPriority w:val="34"/>
    <w:semiHidden/>
    <w:qFormat/>
    <w:pPr>
      <w:ind w:firstLineChars="200" w:firstLine="420"/>
    </w:pPr>
    <w:rPr>
      <w:rFonts w:ascii="Calibri" w:hAnsi="Calibri" w:cs="Times New Roman"/>
      <w:kern w:val="2"/>
      <w:szCs w:val="22"/>
    </w:rPr>
  </w:style>
  <w:style w:type="paragraph" w:customStyle="1" w:styleId="Style989">
    <w:name w:val="_Style 989"/>
    <w:basedOn w:val="Style853"/>
    <w:next w:val="a9"/>
    <w:autoRedefine/>
    <w:uiPriority w:val="34"/>
    <w:semiHidden/>
    <w:qFormat/>
    <w:pPr>
      <w:ind w:firstLineChars="200" w:firstLine="420"/>
    </w:pPr>
    <w:rPr>
      <w:rFonts w:ascii="Calibri" w:hAnsi="Calibri" w:cs="Times New Roman"/>
      <w:kern w:val="2"/>
      <w:szCs w:val="22"/>
    </w:rPr>
  </w:style>
  <w:style w:type="paragraph" w:customStyle="1" w:styleId="Style990">
    <w:name w:val="_Style 990"/>
    <w:basedOn w:val="Style853"/>
    <w:next w:val="a9"/>
    <w:autoRedefine/>
    <w:uiPriority w:val="34"/>
    <w:semiHidden/>
    <w:qFormat/>
    <w:pPr>
      <w:ind w:firstLineChars="200" w:firstLine="420"/>
    </w:pPr>
    <w:rPr>
      <w:rFonts w:ascii="Calibri" w:hAnsi="Calibri" w:cs="Times New Roman"/>
      <w:kern w:val="2"/>
      <w:szCs w:val="22"/>
    </w:rPr>
  </w:style>
  <w:style w:type="paragraph" w:customStyle="1" w:styleId="Style991">
    <w:name w:val="_Style 991"/>
    <w:basedOn w:val="Style229"/>
    <w:next w:val="Style83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992">
    <w:name w:val="_Style 992"/>
    <w:basedOn w:val="Style229"/>
    <w:next w:val="Style830"/>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993">
    <w:name w:val="_Style 993"/>
    <w:basedOn w:val="Style229"/>
    <w:next w:val="Style830"/>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994">
    <w:name w:val="_Style 994"/>
    <w:basedOn w:val="Style229"/>
    <w:next w:val="Style830"/>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995">
    <w:name w:val="_Style 995"/>
    <w:basedOn w:val="Style229"/>
    <w:next w:val="Style830"/>
    <w:autoRedefine/>
    <w:uiPriority w:val="9"/>
    <w:semiHidden/>
    <w:qFormat/>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Style996">
    <w:name w:val="_Style 996"/>
    <w:basedOn w:val="Style229"/>
    <w:next w:val="Style830"/>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997">
    <w:name w:val="_Style 997"/>
    <w:basedOn w:val="Style229"/>
    <w:next w:val="Style830"/>
    <w:autoRedefine/>
    <w:uiPriority w:val="9"/>
    <w:semiHidden/>
    <w:qFormat/>
    <w:pPr>
      <w:keepNext/>
      <w:keepLines/>
      <w:spacing w:before="240" w:after="64" w:line="320" w:lineRule="auto"/>
      <w:outlineLvl w:val="6"/>
    </w:pPr>
    <w:rPr>
      <w:b/>
      <w:bCs/>
      <w:sz w:val="24"/>
    </w:rPr>
  </w:style>
  <w:style w:type="paragraph" w:customStyle="1" w:styleId="Style998">
    <w:name w:val="_Style 998"/>
    <w:basedOn w:val="Style991"/>
    <w:next w:val="Style83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999">
    <w:name w:val="_Style 999"/>
    <w:basedOn w:val="Style229"/>
    <w:next w:val="Style830"/>
    <w:autoRedefine/>
    <w:uiPriority w:val="39"/>
    <w:semiHidden/>
    <w:qFormat/>
    <w:pPr>
      <w:widowControl w:val="0"/>
      <w:ind w:leftChars="200" w:left="420"/>
      <w:jc w:val="both"/>
    </w:pPr>
    <w:rPr>
      <w:rFonts w:ascii="Times New Roman" w:hAnsi="Times New Roman" w:cs="Times New Roman"/>
      <w:kern w:val="2"/>
      <w:szCs w:val="21"/>
    </w:rPr>
  </w:style>
  <w:style w:type="paragraph" w:customStyle="1" w:styleId="Style1000">
    <w:name w:val="_Style 1000"/>
    <w:basedOn w:val="Style229"/>
    <w:next w:val="Style830"/>
    <w:autoRedefine/>
    <w:uiPriority w:val="99"/>
    <w:semiHidden/>
    <w:qFormat/>
    <w:pPr>
      <w:widowControl w:val="0"/>
      <w:jc w:val="both"/>
    </w:pPr>
    <w:rPr>
      <w:rFonts w:ascii="Times New Roman" w:hAnsi="Times New Roman" w:cs="Times New Roman"/>
      <w:kern w:val="2"/>
      <w:szCs w:val="21"/>
    </w:rPr>
  </w:style>
  <w:style w:type="paragraph" w:customStyle="1" w:styleId="Style1001">
    <w:name w:val="_Style 1001"/>
    <w:basedOn w:val="Style229"/>
    <w:next w:val="Style830"/>
    <w:autoRedefine/>
    <w:uiPriority w:val="39"/>
    <w:semiHidden/>
    <w:qFormat/>
    <w:pPr>
      <w:spacing w:after="100" w:line="276" w:lineRule="auto"/>
      <w:ind w:left="440"/>
    </w:pPr>
    <w:rPr>
      <w:rFonts w:ascii="Calibri" w:hAnsi="Calibri" w:cs="Times New Roman"/>
      <w:sz w:val="22"/>
      <w:szCs w:val="22"/>
    </w:rPr>
  </w:style>
  <w:style w:type="paragraph" w:customStyle="1" w:styleId="Style1002">
    <w:name w:val="_Style 1002"/>
    <w:basedOn w:val="Style229"/>
    <w:next w:val="Style830"/>
    <w:autoRedefine/>
    <w:uiPriority w:val="99"/>
    <w:semiHidden/>
    <w:qFormat/>
    <w:pPr>
      <w:widowControl w:val="0"/>
      <w:ind w:leftChars="2500" w:left="100"/>
      <w:jc w:val="both"/>
    </w:pPr>
    <w:rPr>
      <w:rFonts w:ascii="Times New Roman" w:hAnsi="Times New Roman" w:cs="Times New Roman"/>
      <w:kern w:val="2"/>
      <w:szCs w:val="21"/>
    </w:rPr>
  </w:style>
  <w:style w:type="paragraph" w:customStyle="1" w:styleId="Style1003">
    <w:name w:val="_Style 1003"/>
    <w:basedOn w:val="Style229"/>
    <w:next w:val="Style830"/>
    <w:autoRedefine/>
    <w:uiPriority w:val="99"/>
    <w:semiHidden/>
    <w:qFormat/>
    <w:pPr>
      <w:widowControl w:val="0"/>
      <w:jc w:val="center"/>
    </w:pPr>
    <w:rPr>
      <w:rFonts w:ascii="Times New Roman" w:hAnsi="Times New Roman" w:cs="Times New Roman"/>
      <w:kern w:val="2"/>
      <w:szCs w:val="21"/>
    </w:rPr>
  </w:style>
  <w:style w:type="paragraph" w:customStyle="1" w:styleId="Style1004">
    <w:name w:val="_Style 1004"/>
    <w:basedOn w:val="Style229"/>
    <w:next w:val="Style830"/>
    <w:autoRedefine/>
    <w:semiHidden/>
    <w:qFormat/>
    <w:pPr>
      <w:widowControl w:val="0"/>
      <w:spacing w:before="120"/>
      <w:jc w:val="both"/>
    </w:pPr>
    <w:rPr>
      <w:rFonts w:ascii="Arial" w:hAnsi="Arial" w:cs="Times New Roman"/>
      <w:b/>
      <w:bCs/>
      <w:kern w:val="2"/>
      <w:szCs w:val="21"/>
    </w:rPr>
  </w:style>
  <w:style w:type="character" w:customStyle="1" w:styleId="Style1005">
    <w:name w:val="_Style 1005"/>
    <w:basedOn w:val="Style237"/>
    <w:autoRedefine/>
    <w:uiPriority w:val="99"/>
    <w:qFormat/>
    <w:rPr>
      <w:rFonts w:ascii="宋体" w:hAnsi="宋体" w:cs="宋体"/>
      <w:sz w:val="24"/>
      <w:szCs w:val="24"/>
    </w:rPr>
  </w:style>
  <w:style w:type="paragraph" w:customStyle="1" w:styleId="Style1006">
    <w:name w:val="_Style 1006"/>
    <w:basedOn w:val="Style229"/>
    <w:next w:val="Style830"/>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1007">
    <w:name w:val="_Style 1007"/>
    <w:basedOn w:val="Style229"/>
    <w:next w:val="Style830"/>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1008">
    <w:name w:val="_Style 1008"/>
    <w:basedOn w:val="Style229"/>
    <w:next w:val="Style830"/>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1009">
    <w:name w:val="_Style 1009"/>
    <w:basedOn w:val="Style229"/>
    <w:next w:val="Style830"/>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1010">
    <w:name w:val="_Style 1010"/>
    <w:basedOn w:val="Style229"/>
    <w:next w:val="Style830"/>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1011">
    <w:name w:val="_Style 1011"/>
    <w:basedOn w:val="Style229"/>
    <w:next w:val="Style830"/>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1012">
    <w:name w:val="_Style 1012"/>
    <w:basedOn w:val="Style229"/>
    <w:next w:val="Style830"/>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paragraph" w:customStyle="1" w:styleId="Style1013">
    <w:name w:val="_Style 1013"/>
    <w:basedOn w:val="Style229"/>
    <w:next w:val="Style830"/>
    <w:autoRedefine/>
    <w:semiHidden/>
    <w:qFormat/>
    <w:pPr>
      <w:ind w:firstLineChars="200" w:firstLine="420"/>
    </w:pPr>
    <w:rPr>
      <w:rFonts w:cs="Times New Roman"/>
      <w:color w:val="000000"/>
      <w:szCs w:val="21"/>
    </w:rPr>
  </w:style>
  <w:style w:type="paragraph" w:customStyle="1" w:styleId="Style1014">
    <w:name w:val="_Style 1014"/>
    <w:basedOn w:val="Style229"/>
    <w:next w:val="Style830"/>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1015">
    <w:name w:val="_Style 1015"/>
    <w:basedOn w:val="Style237"/>
    <w:autoRedefine/>
    <w:uiPriority w:val="34"/>
    <w:semiHidden/>
    <w:qFormat/>
    <w:rPr>
      <w:kern w:val="2"/>
      <w:sz w:val="21"/>
      <w:szCs w:val="22"/>
    </w:rPr>
  </w:style>
  <w:style w:type="paragraph" w:customStyle="1" w:styleId="Style1016">
    <w:name w:val="_Style 1016"/>
    <w:basedOn w:val="Style22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17">
    <w:name w:val="_Style 1017"/>
    <w:basedOn w:val="Style22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18">
    <w:name w:val="_Style 1018"/>
    <w:basedOn w:val="Style22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19">
    <w:name w:val="_Style 1019"/>
    <w:basedOn w:val="Style22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20">
    <w:name w:val="_Style 1020"/>
    <w:basedOn w:val="Style22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21">
    <w:name w:val="_Style 1021"/>
    <w:basedOn w:val="Style22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22">
    <w:name w:val="_Style 1022"/>
    <w:basedOn w:val="Style229"/>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1023">
    <w:name w:val="_Style 1023"/>
    <w:basedOn w:val="Style339"/>
    <w:autoRedefine/>
    <w:semiHidden/>
    <w:qFormat/>
    <w:rPr>
      <w:rFonts w:ascii="宋体" w:hAnsi="宋体" w:cs="宋体"/>
      <w:kern w:val="2"/>
      <w:sz w:val="21"/>
      <w:szCs w:val="21"/>
    </w:rPr>
  </w:style>
  <w:style w:type="character" w:customStyle="1" w:styleId="110">
    <w:name w:val="索引 1 字符1"/>
    <w:basedOn w:val="Style339"/>
    <w:link w:val="12"/>
    <w:autoRedefine/>
    <w:uiPriority w:val="99"/>
    <w:semiHidden/>
    <w:qFormat/>
    <w:rPr>
      <w:kern w:val="2"/>
      <w:sz w:val="21"/>
      <w:szCs w:val="22"/>
    </w:rPr>
  </w:style>
  <w:style w:type="character" w:customStyle="1" w:styleId="Style1025">
    <w:name w:val="_Style 1025"/>
    <w:basedOn w:val="Style850"/>
    <w:autoRedefine/>
    <w:semiHidden/>
    <w:qFormat/>
    <w:rPr>
      <w:rFonts w:ascii="宋体" w:eastAsia="宋体" w:hAnsi="宋体" w:hint="eastAsia"/>
      <w:color w:val="000000"/>
      <w:sz w:val="22"/>
      <w:szCs w:val="22"/>
    </w:rPr>
  </w:style>
  <w:style w:type="character" w:customStyle="1" w:styleId="Style1026">
    <w:name w:val="_Style 1026"/>
    <w:basedOn w:val="Style850"/>
    <w:autoRedefine/>
    <w:semiHidden/>
    <w:qFormat/>
    <w:rPr>
      <w:rFonts w:ascii="Times New Roman" w:hAnsi="Times New Roman" w:cs="Times New Roman" w:hint="default"/>
      <w:color w:val="000000"/>
      <w:sz w:val="22"/>
      <w:szCs w:val="22"/>
    </w:rPr>
  </w:style>
  <w:style w:type="character" w:customStyle="1" w:styleId="Style1027">
    <w:name w:val="_Style 1027"/>
    <w:basedOn w:val="Style850"/>
    <w:autoRedefine/>
    <w:semiHidden/>
    <w:qFormat/>
    <w:rPr>
      <w:rFonts w:ascii="宋体" w:eastAsia="宋体" w:hAnsi="宋体" w:hint="eastAsia"/>
      <w:color w:val="000000"/>
      <w:sz w:val="21"/>
      <w:szCs w:val="21"/>
    </w:rPr>
  </w:style>
  <w:style w:type="paragraph" w:customStyle="1" w:styleId="Style1028">
    <w:name w:val="_Style 1028"/>
    <w:basedOn w:val="Style842"/>
    <w:next w:val="aff7"/>
    <w:autoRedefine/>
    <w:uiPriority w:val="39"/>
    <w:semiHidden/>
    <w:qFormat/>
    <w:pPr>
      <w:ind w:leftChars="1200" w:left="2520"/>
    </w:pPr>
    <w:rPr>
      <w:rFonts w:asciiTheme="minorHAnsi" w:eastAsiaTheme="minorEastAsia" w:hAnsiTheme="minorHAnsi" w:cstheme="minorBidi"/>
      <w:kern w:val="2"/>
      <w:sz w:val="21"/>
      <w:szCs w:val="22"/>
    </w:rPr>
  </w:style>
  <w:style w:type="paragraph" w:customStyle="1" w:styleId="Style1029">
    <w:name w:val="_Style 1029"/>
    <w:basedOn w:val="Style842"/>
    <w:next w:val="aff7"/>
    <w:autoRedefine/>
    <w:uiPriority w:val="39"/>
    <w:semiHidden/>
    <w:qFormat/>
    <w:pPr>
      <w:ind w:leftChars="800" w:left="1680"/>
    </w:pPr>
    <w:rPr>
      <w:rFonts w:asciiTheme="minorHAnsi" w:eastAsiaTheme="minorEastAsia" w:hAnsiTheme="minorHAnsi" w:cstheme="minorBidi"/>
      <w:kern w:val="2"/>
      <w:sz w:val="21"/>
      <w:szCs w:val="22"/>
    </w:rPr>
  </w:style>
  <w:style w:type="paragraph" w:customStyle="1" w:styleId="Style1030">
    <w:name w:val="_Style 1030"/>
    <w:basedOn w:val="Style842"/>
    <w:next w:val="aff7"/>
    <w:autoRedefine/>
    <w:uiPriority w:val="39"/>
    <w:semiHidden/>
    <w:qFormat/>
    <w:pPr>
      <w:spacing w:after="100" w:line="276" w:lineRule="auto"/>
      <w:ind w:left="440"/>
    </w:pPr>
    <w:rPr>
      <w:rFonts w:ascii="Calibri" w:hAnsi="Calibri" w:cs="Times New Roman"/>
      <w:sz w:val="22"/>
      <w:szCs w:val="22"/>
    </w:rPr>
  </w:style>
  <w:style w:type="paragraph" w:customStyle="1" w:styleId="Style1031">
    <w:name w:val="_Style 1031"/>
    <w:basedOn w:val="Style842"/>
    <w:next w:val="aff7"/>
    <w:autoRedefine/>
    <w:uiPriority w:val="39"/>
    <w:semiHidden/>
    <w:qFormat/>
    <w:pPr>
      <w:ind w:leftChars="1400" w:left="2940"/>
    </w:pPr>
    <w:rPr>
      <w:rFonts w:asciiTheme="minorHAnsi" w:eastAsiaTheme="minorEastAsia" w:hAnsiTheme="minorHAnsi" w:cstheme="minorBidi"/>
      <w:kern w:val="2"/>
      <w:sz w:val="21"/>
      <w:szCs w:val="22"/>
    </w:rPr>
  </w:style>
  <w:style w:type="paragraph" w:customStyle="1" w:styleId="Style1032">
    <w:name w:val="_Style 1032"/>
    <w:basedOn w:val="Style842"/>
    <w:next w:val="aff7"/>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1033">
    <w:name w:val="_Style 1033"/>
    <w:basedOn w:val="Style842"/>
    <w:next w:val="aff7"/>
    <w:autoRedefine/>
    <w:uiPriority w:val="39"/>
    <w:semiHidden/>
    <w:qFormat/>
    <w:pPr>
      <w:ind w:leftChars="600" w:left="1260"/>
    </w:pPr>
    <w:rPr>
      <w:rFonts w:asciiTheme="minorHAnsi" w:eastAsiaTheme="minorEastAsia" w:hAnsiTheme="minorHAnsi" w:cstheme="minorBidi"/>
      <w:kern w:val="2"/>
      <w:sz w:val="21"/>
      <w:szCs w:val="22"/>
    </w:rPr>
  </w:style>
  <w:style w:type="paragraph" w:customStyle="1" w:styleId="Style1034">
    <w:name w:val="_Style 1034"/>
    <w:basedOn w:val="Style842"/>
    <w:next w:val="aff7"/>
    <w:autoRedefine/>
    <w:uiPriority w:val="39"/>
    <w:semiHidden/>
    <w:qFormat/>
    <w:pPr>
      <w:ind w:leftChars="1000" w:left="2100"/>
    </w:pPr>
    <w:rPr>
      <w:rFonts w:asciiTheme="minorHAnsi" w:eastAsiaTheme="minorEastAsia" w:hAnsiTheme="minorHAnsi" w:cstheme="minorBidi"/>
      <w:kern w:val="2"/>
      <w:sz w:val="21"/>
      <w:szCs w:val="22"/>
    </w:rPr>
  </w:style>
  <w:style w:type="paragraph" w:customStyle="1" w:styleId="Style1035">
    <w:name w:val="_Style 1035"/>
    <w:basedOn w:val="Style842"/>
    <w:next w:val="aff7"/>
    <w:autoRedefine/>
    <w:uiPriority w:val="39"/>
    <w:semiHidden/>
    <w:qFormat/>
    <w:pPr>
      <w:ind w:leftChars="200" w:left="420"/>
    </w:pPr>
    <w:rPr>
      <w:rFonts w:ascii="Times New Roman" w:hAnsi="Times New Roman" w:cs="Times New Roman"/>
      <w:kern w:val="2"/>
      <w:sz w:val="21"/>
      <w:szCs w:val="21"/>
    </w:rPr>
  </w:style>
  <w:style w:type="paragraph" w:customStyle="1" w:styleId="Style1036">
    <w:name w:val="_Style 1036"/>
    <w:basedOn w:val="Style842"/>
    <w:next w:val="aff7"/>
    <w:autoRedefine/>
    <w:uiPriority w:val="39"/>
    <w:semiHidden/>
    <w:qFormat/>
    <w:pPr>
      <w:ind w:leftChars="1600" w:left="3360"/>
    </w:pPr>
    <w:rPr>
      <w:rFonts w:asciiTheme="minorHAnsi" w:eastAsiaTheme="minorEastAsia" w:hAnsiTheme="minorHAnsi" w:cstheme="minorBidi"/>
      <w:kern w:val="2"/>
      <w:sz w:val="21"/>
      <w:szCs w:val="22"/>
    </w:rPr>
  </w:style>
  <w:style w:type="paragraph" w:customStyle="1" w:styleId="Style1037">
    <w:name w:val="_Style 1037"/>
    <w:basedOn w:val="Style842"/>
    <w:next w:val="aff7"/>
    <w:autoRedefine/>
    <w:semiHidden/>
    <w:qFormat/>
    <w:pPr>
      <w:ind w:firstLine="420"/>
    </w:pPr>
    <w:rPr>
      <w:rFonts w:cs="Times New Roman"/>
      <w:color w:val="000000"/>
      <w:sz w:val="21"/>
      <w:szCs w:val="21"/>
    </w:rPr>
  </w:style>
  <w:style w:type="character" w:customStyle="1" w:styleId="Style1038">
    <w:name w:val="_Style 1038"/>
    <w:basedOn w:val="Style850"/>
    <w:autoRedefine/>
    <w:uiPriority w:val="99"/>
    <w:semiHidden/>
    <w:qFormat/>
    <w:rPr>
      <w:rFonts w:cs="Times New Roman"/>
      <w:color w:val="0000FF"/>
      <w:u w:val="single"/>
    </w:rPr>
  </w:style>
  <w:style w:type="character" w:customStyle="1" w:styleId="Style1039">
    <w:name w:val="_Style 1039"/>
    <w:basedOn w:val="Style850"/>
    <w:autoRedefine/>
    <w:semiHidden/>
    <w:qFormat/>
    <w:rPr>
      <w:rFonts w:eastAsia="宋体" w:cs="Times New Roman"/>
      <w:kern w:val="2"/>
      <w:sz w:val="21"/>
      <w:szCs w:val="21"/>
      <w:lang w:val="en-US" w:eastAsia="zh-CN" w:bidi="ar-SA"/>
    </w:rPr>
  </w:style>
  <w:style w:type="paragraph" w:customStyle="1" w:styleId="Style1040">
    <w:name w:val="_Style 1040"/>
    <w:basedOn w:val="Style843"/>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041">
    <w:name w:val="_Style 1041"/>
    <w:basedOn w:val="Style842"/>
    <w:autoRedefine/>
    <w:semiHidden/>
    <w:qFormat/>
    <w:pPr>
      <w:keepNext/>
      <w:keepLines/>
      <w:spacing w:before="60" w:after="60"/>
      <w:ind w:hangingChars="200" w:hanging="420"/>
      <w:outlineLvl w:val="4"/>
    </w:pPr>
    <w:rPr>
      <w:rFonts w:cs="Times New Roman"/>
      <w:b/>
      <w:bCs/>
      <w:kern w:val="2"/>
      <w:sz w:val="21"/>
      <w:szCs w:val="21"/>
    </w:rPr>
  </w:style>
  <w:style w:type="character" w:customStyle="1" w:styleId="Style1042">
    <w:name w:val="_Style 1042"/>
    <w:basedOn w:val="Style850"/>
    <w:autoRedefine/>
    <w:semiHidden/>
    <w:qFormat/>
    <w:rPr>
      <w:kern w:val="2"/>
      <w:sz w:val="21"/>
      <w:szCs w:val="24"/>
    </w:rPr>
  </w:style>
  <w:style w:type="paragraph" w:customStyle="1" w:styleId="Style1043">
    <w:name w:val="_Style 1043"/>
    <w:basedOn w:val="Style842"/>
    <w:autoRedefine/>
    <w:semiHidden/>
    <w:qFormat/>
    <w:pPr>
      <w:spacing w:before="100" w:after="100"/>
    </w:pPr>
    <w:rPr>
      <w:rFonts w:ascii="Calibri" w:hAnsi="Calibri" w:cs="Times New Roman"/>
      <w:kern w:val="2"/>
      <w:sz w:val="21"/>
    </w:rPr>
  </w:style>
  <w:style w:type="character" w:customStyle="1" w:styleId="Style1044">
    <w:name w:val="_Style 1044"/>
    <w:basedOn w:val="Style850"/>
    <w:autoRedefine/>
    <w:uiPriority w:val="99"/>
    <w:semiHidden/>
    <w:qFormat/>
    <w:rPr>
      <w:color w:val="auto"/>
    </w:rPr>
  </w:style>
  <w:style w:type="paragraph" w:customStyle="1" w:styleId="Style1045">
    <w:name w:val="_Style 1045"/>
    <w:basedOn w:val="Style842"/>
    <w:next w:val="aff7"/>
    <w:autoRedefine/>
    <w:semiHidden/>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Style1046">
    <w:name w:val="_Style 1046"/>
    <w:basedOn w:val="Style850"/>
    <w:autoRedefine/>
    <w:semiHidden/>
    <w:qFormat/>
    <w:rPr>
      <w:rFonts w:ascii="Times New Roman" w:hAnsi="Times New Roman"/>
      <w:b/>
      <w:kern w:val="2"/>
      <w:sz w:val="21"/>
      <w:szCs w:val="24"/>
    </w:rPr>
  </w:style>
  <w:style w:type="character" w:customStyle="1" w:styleId="Style1047">
    <w:name w:val="_Style 1047"/>
    <w:basedOn w:val="Style900"/>
    <w:autoRedefine/>
    <w:uiPriority w:val="99"/>
    <w:semiHidden/>
    <w:qFormat/>
    <w:rPr>
      <w:rFonts w:ascii="Times New Roman" w:eastAsia="宋体" w:hAnsi="Times New Roman" w:cs="Times New Roman"/>
      <w:b/>
      <w:bCs/>
      <w:kern w:val="2"/>
      <w:sz w:val="21"/>
      <w:szCs w:val="21"/>
    </w:rPr>
  </w:style>
  <w:style w:type="paragraph" w:customStyle="1" w:styleId="Style1048">
    <w:name w:val="_Style 1048"/>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049">
    <w:name w:val="_Style 1049"/>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050">
    <w:name w:val="_Style 1050"/>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051">
    <w:name w:val="_Style 1051"/>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052">
    <w:name w:val="_Style 1052"/>
    <w:basedOn w:val="Style842"/>
    <w:autoRedefine/>
    <w:semiHidden/>
    <w:qFormat/>
    <w:pPr>
      <w:ind w:firstLine="420"/>
    </w:pPr>
    <w:rPr>
      <w:rFonts w:ascii="Calibri" w:hAnsi="Calibri" w:cs="Times New Roman"/>
      <w:kern w:val="2"/>
      <w:sz w:val="21"/>
      <w:szCs w:val="21"/>
    </w:rPr>
  </w:style>
  <w:style w:type="paragraph" w:customStyle="1" w:styleId="Style1053">
    <w:name w:val="_Style 1053"/>
    <w:basedOn w:val="Style863"/>
    <w:autoRedefine/>
    <w:uiPriority w:val="99"/>
    <w:semiHidden/>
    <w:qFormat/>
    <w:pPr>
      <w:widowControl/>
      <w:ind w:firstLineChars="100" w:firstLine="420"/>
      <w:jc w:val="left"/>
    </w:pPr>
    <w:rPr>
      <w:rFonts w:ascii="宋体" w:hAnsi="宋体" w:cs="宋体"/>
      <w:kern w:val="0"/>
      <w:sz w:val="24"/>
      <w:szCs w:val="24"/>
    </w:rPr>
  </w:style>
  <w:style w:type="character" w:customStyle="1" w:styleId="Style1054">
    <w:name w:val="_Style 1054"/>
    <w:basedOn w:val="Style910"/>
    <w:autoRedefine/>
    <w:uiPriority w:val="99"/>
    <w:semiHidden/>
    <w:qFormat/>
    <w:rPr>
      <w:rFonts w:ascii="宋体" w:eastAsia="宋体" w:hAnsi="宋体" w:cs="宋体"/>
      <w:kern w:val="2"/>
      <w:sz w:val="24"/>
      <w:szCs w:val="24"/>
    </w:rPr>
  </w:style>
  <w:style w:type="paragraph" w:customStyle="1" w:styleId="Style1055">
    <w:name w:val="_Style 1055"/>
    <w:basedOn w:val="Style842"/>
    <w:autoRedefine/>
    <w:uiPriority w:val="99"/>
    <w:semiHidden/>
    <w:qFormat/>
    <w:pPr>
      <w:spacing w:after="120"/>
      <w:ind w:leftChars="200" w:left="420"/>
    </w:pPr>
  </w:style>
  <w:style w:type="character" w:customStyle="1" w:styleId="Style1056">
    <w:name w:val="_Style 1056"/>
    <w:basedOn w:val="Style850"/>
    <w:autoRedefine/>
    <w:uiPriority w:val="99"/>
    <w:semiHidden/>
    <w:qFormat/>
    <w:rPr>
      <w:rFonts w:ascii="宋体" w:hAnsi="宋体" w:cs="宋体"/>
      <w:sz w:val="24"/>
      <w:szCs w:val="24"/>
    </w:rPr>
  </w:style>
  <w:style w:type="character" w:customStyle="1" w:styleId="Style1057">
    <w:name w:val="_Style 1057"/>
    <w:basedOn w:val="Style1056"/>
    <w:autoRedefine/>
    <w:uiPriority w:val="34"/>
    <w:semiHidden/>
    <w:qFormat/>
    <w:rPr>
      <w:rFonts w:ascii="宋体" w:hAnsi="宋体" w:cs="宋体"/>
      <w:kern w:val="2"/>
      <w:sz w:val="21"/>
      <w:szCs w:val="22"/>
    </w:rPr>
  </w:style>
  <w:style w:type="paragraph" w:customStyle="1" w:styleId="Style1058">
    <w:name w:val="_Style 1058"/>
    <w:basedOn w:val="Style842"/>
    <w:autoRedefine/>
    <w:uiPriority w:val="99"/>
    <w:semiHidden/>
    <w:qFormat/>
    <w:pPr>
      <w:spacing w:after="120" w:line="480" w:lineRule="auto"/>
    </w:pPr>
  </w:style>
  <w:style w:type="character" w:customStyle="1" w:styleId="Style1059">
    <w:name w:val="_Style 1059"/>
    <w:basedOn w:val="Style850"/>
    <w:autoRedefine/>
    <w:uiPriority w:val="99"/>
    <w:semiHidden/>
    <w:qFormat/>
    <w:rPr>
      <w:rFonts w:ascii="宋体" w:hAnsi="宋体" w:cs="宋体"/>
      <w:sz w:val="24"/>
      <w:szCs w:val="24"/>
    </w:rPr>
  </w:style>
  <w:style w:type="paragraph" w:customStyle="1" w:styleId="Style1060">
    <w:name w:val="_Style 1060"/>
    <w:basedOn w:val="Style842"/>
    <w:autoRedefine/>
    <w:uiPriority w:val="99"/>
    <w:semiHidden/>
    <w:qFormat/>
    <w:pPr>
      <w:spacing w:after="120"/>
    </w:pPr>
    <w:rPr>
      <w:sz w:val="16"/>
      <w:szCs w:val="16"/>
    </w:rPr>
  </w:style>
  <w:style w:type="character" w:customStyle="1" w:styleId="Style1061">
    <w:name w:val="_Style 1061"/>
    <w:basedOn w:val="Style850"/>
    <w:autoRedefine/>
    <w:uiPriority w:val="99"/>
    <w:semiHidden/>
    <w:qFormat/>
    <w:rPr>
      <w:rFonts w:ascii="宋体" w:hAnsi="宋体" w:cs="宋体"/>
      <w:sz w:val="16"/>
      <w:szCs w:val="16"/>
    </w:rPr>
  </w:style>
  <w:style w:type="paragraph" w:customStyle="1" w:styleId="Style1062">
    <w:name w:val="_Style 1062"/>
    <w:basedOn w:val="Style842"/>
    <w:autoRedefine/>
    <w:uiPriority w:val="99"/>
    <w:semiHidden/>
    <w:qFormat/>
    <w:pPr>
      <w:spacing w:after="120" w:line="480" w:lineRule="auto"/>
      <w:ind w:leftChars="200" w:left="420"/>
    </w:pPr>
  </w:style>
  <w:style w:type="character" w:customStyle="1" w:styleId="Style1063">
    <w:name w:val="_Style 1063"/>
    <w:basedOn w:val="Style850"/>
    <w:autoRedefine/>
    <w:uiPriority w:val="99"/>
    <w:semiHidden/>
    <w:qFormat/>
    <w:rPr>
      <w:rFonts w:ascii="宋体" w:hAnsi="宋体" w:cs="宋体"/>
      <w:sz w:val="24"/>
      <w:szCs w:val="24"/>
    </w:rPr>
  </w:style>
  <w:style w:type="paragraph" w:customStyle="1" w:styleId="Style1064">
    <w:name w:val="_Style 1064"/>
    <w:basedOn w:val="Style842"/>
    <w:autoRedefine/>
    <w:uiPriority w:val="99"/>
    <w:semiHidden/>
    <w:qFormat/>
    <w:pPr>
      <w:spacing w:after="120"/>
      <w:ind w:leftChars="200" w:left="420"/>
    </w:pPr>
    <w:rPr>
      <w:sz w:val="16"/>
      <w:szCs w:val="16"/>
    </w:rPr>
  </w:style>
  <w:style w:type="paragraph" w:customStyle="1" w:styleId="Style1065">
    <w:name w:val="_Style 1065"/>
    <w:basedOn w:val="Style480"/>
    <w:next w:val="Style83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066">
    <w:name w:val="_Style 1066"/>
    <w:basedOn w:val="Style480"/>
    <w:next w:val="Style830"/>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1067">
    <w:name w:val="_Style 1067"/>
    <w:basedOn w:val="Style480"/>
    <w:next w:val="Style830"/>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1068">
    <w:name w:val="_Style 1068"/>
    <w:basedOn w:val="Style480"/>
    <w:next w:val="Style830"/>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1069">
    <w:name w:val="_Style 1069"/>
    <w:basedOn w:val="Style480"/>
    <w:next w:val="Style830"/>
    <w:autoRedefine/>
    <w:uiPriority w:val="9"/>
    <w:semiHidden/>
    <w:qFormat/>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Style1070">
    <w:name w:val="_Style 1070"/>
    <w:basedOn w:val="Style480"/>
    <w:next w:val="Style830"/>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1071">
    <w:name w:val="_Style 1071"/>
    <w:basedOn w:val="Style480"/>
    <w:next w:val="Style830"/>
    <w:autoRedefine/>
    <w:uiPriority w:val="9"/>
    <w:semiHidden/>
    <w:qFormat/>
    <w:pPr>
      <w:keepNext/>
      <w:keepLines/>
      <w:spacing w:before="240" w:after="64" w:line="320" w:lineRule="auto"/>
      <w:outlineLvl w:val="6"/>
    </w:pPr>
    <w:rPr>
      <w:b/>
      <w:bCs/>
    </w:rPr>
  </w:style>
  <w:style w:type="paragraph" w:customStyle="1" w:styleId="Style1072">
    <w:name w:val="_Style 1072"/>
    <w:basedOn w:val="Style1065"/>
    <w:next w:val="Style83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073">
    <w:name w:val="_Style 1073"/>
    <w:basedOn w:val="Style480"/>
    <w:next w:val="Style830"/>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1074">
    <w:name w:val="_Style 1074"/>
    <w:basedOn w:val="Style480"/>
    <w:next w:val="Style830"/>
    <w:autoRedefine/>
    <w:uiPriority w:val="39"/>
    <w:semiHidden/>
    <w:qFormat/>
    <w:pPr>
      <w:widowControl w:val="0"/>
      <w:ind w:leftChars="200" w:left="420"/>
      <w:jc w:val="both"/>
    </w:pPr>
    <w:rPr>
      <w:rFonts w:ascii="Times New Roman" w:hAnsi="Times New Roman" w:cs="Times New Roman"/>
      <w:kern w:val="2"/>
      <w:szCs w:val="21"/>
    </w:rPr>
  </w:style>
  <w:style w:type="paragraph" w:customStyle="1" w:styleId="Style1075">
    <w:name w:val="_Style 1075"/>
    <w:basedOn w:val="Style480"/>
    <w:next w:val="Style830"/>
    <w:autoRedefine/>
    <w:uiPriority w:val="99"/>
    <w:semiHidden/>
    <w:qFormat/>
    <w:pPr>
      <w:widowControl w:val="0"/>
      <w:jc w:val="both"/>
    </w:pPr>
    <w:rPr>
      <w:rFonts w:ascii="Times New Roman" w:hAnsi="Times New Roman" w:cs="Times New Roman"/>
      <w:kern w:val="2"/>
      <w:szCs w:val="21"/>
    </w:rPr>
  </w:style>
  <w:style w:type="paragraph" w:customStyle="1" w:styleId="Style1076">
    <w:name w:val="_Style 1076"/>
    <w:basedOn w:val="Style480"/>
    <w:next w:val="Style830"/>
    <w:autoRedefine/>
    <w:uiPriority w:val="39"/>
    <w:semiHidden/>
    <w:qFormat/>
    <w:pPr>
      <w:spacing w:after="100" w:line="276" w:lineRule="auto"/>
      <w:ind w:left="440"/>
    </w:pPr>
    <w:rPr>
      <w:rFonts w:ascii="Calibri" w:hAnsi="Calibri" w:cs="Times New Roman"/>
      <w:sz w:val="22"/>
      <w:szCs w:val="22"/>
    </w:rPr>
  </w:style>
  <w:style w:type="paragraph" w:customStyle="1" w:styleId="Style1077">
    <w:name w:val="_Style 1077"/>
    <w:basedOn w:val="Style480"/>
    <w:next w:val="Style830"/>
    <w:autoRedefine/>
    <w:uiPriority w:val="99"/>
    <w:semiHidden/>
    <w:qFormat/>
    <w:pPr>
      <w:widowControl w:val="0"/>
      <w:ind w:leftChars="2500" w:left="100"/>
      <w:jc w:val="both"/>
    </w:pPr>
    <w:rPr>
      <w:rFonts w:ascii="Times New Roman" w:hAnsi="Times New Roman" w:cs="Times New Roman"/>
      <w:kern w:val="2"/>
      <w:szCs w:val="21"/>
    </w:rPr>
  </w:style>
  <w:style w:type="paragraph" w:customStyle="1" w:styleId="Style1078">
    <w:name w:val="_Style 1078"/>
    <w:basedOn w:val="Style480"/>
    <w:next w:val="Style830"/>
    <w:autoRedefine/>
    <w:uiPriority w:val="99"/>
    <w:semiHidden/>
    <w:qFormat/>
    <w:pPr>
      <w:widowControl w:val="0"/>
      <w:jc w:val="center"/>
    </w:pPr>
    <w:rPr>
      <w:rFonts w:ascii="Times New Roman" w:hAnsi="Times New Roman" w:cs="Times New Roman"/>
      <w:kern w:val="2"/>
      <w:szCs w:val="21"/>
    </w:rPr>
  </w:style>
  <w:style w:type="paragraph" w:customStyle="1" w:styleId="Style1079">
    <w:name w:val="_Style 1079"/>
    <w:basedOn w:val="Style480"/>
    <w:next w:val="Style830"/>
    <w:autoRedefine/>
    <w:semiHidden/>
    <w:qFormat/>
    <w:pPr>
      <w:widowControl w:val="0"/>
      <w:spacing w:before="120"/>
      <w:jc w:val="both"/>
    </w:pPr>
    <w:rPr>
      <w:rFonts w:ascii="Arial" w:hAnsi="Arial" w:cs="Times New Roman"/>
      <w:b/>
      <w:bCs/>
      <w:kern w:val="2"/>
      <w:szCs w:val="21"/>
    </w:rPr>
  </w:style>
  <w:style w:type="paragraph" w:customStyle="1" w:styleId="Style1080">
    <w:name w:val="_Style 1080"/>
    <w:basedOn w:val="Style480"/>
    <w:next w:val="Style830"/>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1081">
    <w:name w:val="_Style 1081"/>
    <w:basedOn w:val="Style480"/>
    <w:next w:val="Style830"/>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1082">
    <w:name w:val="_Style 1082"/>
    <w:basedOn w:val="Style480"/>
    <w:next w:val="Style830"/>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1083">
    <w:name w:val="_Style 1083"/>
    <w:basedOn w:val="Style480"/>
    <w:next w:val="Style830"/>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1084">
    <w:name w:val="_Style 1084"/>
    <w:basedOn w:val="Style480"/>
    <w:next w:val="Style830"/>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1085">
    <w:name w:val="_Style 1085"/>
    <w:basedOn w:val="Style480"/>
    <w:next w:val="Style830"/>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1086">
    <w:name w:val="_Style 1086"/>
    <w:basedOn w:val="Style480"/>
    <w:next w:val="Style830"/>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paragraph" w:customStyle="1" w:styleId="Style1087">
    <w:name w:val="_Style 1087"/>
    <w:basedOn w:val="Style480"/>
    <w:next w:val="Style830"/>
    <w:autoRedefine/>
    <w:semiHidden/>
    <w:qFormat/>
    <w:pPr>
      <w:ind w:firstLineChars="200" w:firstLine="420"/>
    </w:pPr>
    <w:rPr>
      <w:rFonts w:cs="Times New Roman"/>
      <w:color w:val="000000"/>
      <w:szCs w:val="21"/>
    </w:rPr>
  </w:style>
  <w:style w:type="paragraph" w:customStyle="1" w:styleId="Style1088">
    <w:name w:val="_Style 1088"/>
    <w:basedOn w:val="Style480"/>
    <w:next w:val="Style830"/>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paragraph" w:customStyle="1" w:styleId="Style1089">
    <w:name w:val="_Style 1089"/>
    <w:basedOn w:val="Style4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90">
    <w:name w:val="_Style 1090"/>
    <w:basedOn w:val="Style4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91">
    <w:name w:val="_Style 1091"/>
    <w:basedOn w:val="Style4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92">
    <w:name w:val="_Style 1092"/>
    <w:basedOn w:val="Style4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93">
    <w:name w:val="_Style 1093"/>
    <w:basedOn w:val="Style4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94">
    <w:name w:val="_Style 1094"/>
    <w:basedOn w:val="Style4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95">
    <w:name w:val="_Style 1095"/>
    <w:basedOn w:val="Style480"/>
    <w:next w:val="a9"/>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096">
    <w:name w:val="_Style 1096"/>
    <w:basedOn w:val="Style580"/>
    <w:next w:val="Style83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097">
    <w:name w:val="_Style 1097"/>
    <w:basedOn w:val="Style580"/>
    <w:next w:val="Style830"/>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1098">
    <w:name w:val="_Style 1098"/>
    <w:basedOn w:val="Style580"/>
    <w:next w:val="Style830"/>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1099">
    <w:name w:val="_Style 1099"/>
    <w:basedOn w:val="Style580"/>
    <w:next w:val="Style830"/>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1100">
    <w:name w:val="_Style 1100"/>
    <w:basedOn w:val="Style580"/>
    <w:next w:val="Style830"/>
    <w:autoRedefine/>
    <w:uiPriority w:val="9"/>
    <w:semiHidden/>
    <w:qFormat/>
    <w:pPr>
      <w:keepNext/>
      <w:keepLines/>
      <w:widowControl w:val="0"/>
      <w:spacing w:before="60" w:after="60"/>
      <w:ind w:left="426" w:hanging="425"/>
      <w:jc w:val="both"/>
      <w:outlineLvl w:val="4"/>
    </w:pPr>
    <w:rPr>
      <w:rFonts w:ascii="Calibri" w:hAnsi="Calibri" w:cs="Times New Roman"/>
      <w:b/>
      <w:bCs/>
      <w:kern w:val="2"/>
      <w:szCs w:val="28"/>
    </w:rPr>
  </w:style>
  <w:style w:type="paragraph" w:customStyle="1" w:styleId="Style1101">
    <w:name w:val="_Style 1101"/>
    <w:basedOn w:val="Style580"/>
    <w:next w:val="Style830"/>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1102">
    <w:name w:val="_Style 1102"/>
    <w:basedOn w:val="Style580"/>
    <w:next w:val="Style830"/>
    <w:autoRedefine/>
    <w:uiPriority w:val="9"/>
    <w:semiHidden/>
    <w:qFormat/>
    <w:pPr>
      <w:keepNext/>
      <w:keepLines/>
      <w:spacing w:before="240" w:after="64" w:line="320" w:lineRule="auto"/>
      <w:outlineLvl w:val="6"/>
    </w:pPr>
    <w:rPr>
      <w:b/>
      <w:bCs/>
    </w:rPr>
  </w:style>
  <w:style w:type="paragraph" w:customStyle="1" w:styleId="Style1103">
    <w:name w:val="_Style 1103"/>
    <w:basedOn w:val="Style1096"/>
    <w:next w:val="Style83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104">
    <w:name w:val="_Style 1104"/>
    <w:basedOn w:val="Style580"/>
    <w:next w:val="Style830"/>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1105">
    <w:name w:val="_Style 1105"/>
    <w:basedOn w:val="Style580"/>
    <w:next w:val="Style830"/>
    <w:autoRedefine/>
    <w:uiPriority w:val="39"/>
    <w:semiHidden/>
    <w:qFormat/>
    <w:pPr>
      <w:widowControl w:val="0"/>
      <w:ind w:leftChars="200" w:left="420"/>
      <w:jc w:val="both"/>
    </w:pPr>
    <w:rPr>
      <w:rFonts w:ascii="Times New Roman" w:hAnsi="Times New Roman" w:cs="Times New Roman"/>
      <w:kern w:val="2"/>
      <w:szCs w:val="21"/>
    </w:rPr>
  </w:style>
  <w:style w:type="paragraph" w:customStyle="1" w:styleId="Style1106">
    <w:name w:val="_Style 1106"/>
    <w:basedOn w:val="Style580"/>
    <w:next w:val="Style830"/>
    <w:autoRedefine/>
    <w:uiPriority w:val="99"/>
    <w:semiHidden/>
    <w:qFormat/>
    <w:pPr>
      <w:widowControl w:val="0"/>
      <w:jc w:val="both"/>
    </w:pPr>
    <w:rPr>
      <w:rFonts w:ascii="Times New Roman" w:hAnsi="Times New Roman" w:cs="Times New Roman"/>
      <w:kern w:val="2"/>
      <w:szCs w:val="21"/>
    </w:rPr>
  </w:style>
  <w:style w:type="paragraph" w:customStyle="1" w:styleId="Style1107">
    <w:name w:val="_Style 1107"/>
    <w:basedOn w:val="Style580"/>
    <w:next w:val="Style830"/>
    <w:autoRedefine/>
    <w:uiPriority w:val="39"/>
    <w:semiHidden/>
    <w:qFormat/>
    <w:pPr>
      <w:spacing w:after="100" w:line="276" w:lineRule="auto"/>
      <w:ind w:left="440"/>
    </w:pPr>
    <w:rPr>
      <w:rFonts w:ascii="Calibri" w:hAnsi="Calibri" w:cs="Times New Roman"/>
      <w:sz w:val="22"/>
      <w:szCs w:val="22"/>
    </w:rPr>
  </w:style>
  <w:style w:type="paragraph" w:customStyle="1" w:styleId="Style1108">
    <w:name w:val="_Style 1108"/>
    <w:basedOn w:val="Style580"/>
    <w:next w:val="Style830"/>
    <w:autoRedefine/>
    <w:uiPriority w:val="99"/>
    <w:semiHidden/>
    <w:qFormat/>
    <w:pPr>
      <w:widowControl w:val="0"/>
      <w:ind w:leftChars="2500" w:left="100"/>
      <w:jc w:val="both"/>
    </w:pPr>
    <w:rPr>
      <w:rFonts w:ascii="Times New Roman" w:hAnsi="Times New Roman" w:cs="Times New Roman"/>
      <w:kern w:val="2"/>
      <w:szCs w:val="21"/>
    </w:rPr>
  </w:style>
  <w:style w:type="paragraph" w:customStyle="1" w:styleId="Style1109">
    <w:name w:val="_Style 1109"/>
    <w:basedOn w:val="Style580"/>
    <w:next w:val="Style830"/>
    <w:autoRedefine/>
    <w:uiPriority w:val="99"/>
    <w:semiHidden/>
    <w:qFormat/>
    <w:pPr>
      <w:widowControl w:val="0"/>
      <w:jc w:val="center"/>
    </w:pPr>
    <w:rPr>
      <w:rFonts w:ascii="Times New Roman" w:hAnsi="Times New Roman" w:cs="Times New Roman"/>
      <w:kern w:val="2"/>
      <w:szCs w:val="21"/>
    </w:rPr>
  </w:style>
  <w:style w:type="paragraph" w:customStyle="1" w:styleId="Style1110">
    <w:name w:val="_Style 1110"/>
    <w:basedOn w:val="Style580"/>
    <w:next w:val="Style830"/>
    <w:autoRedefine/>
    <w:semiHidden/>
    <w:qFormat/>
    <w:pPr>
      <w:widowControl w:val="0"/>
      <w:spacing w:before="120"/>
      <w:jc w:val="both"/>
    </w:pPr>
    <w:rPr>
      <w:rFonts w:ascii="Arial" w:hAnsi="Arial" w:cs="Times New Roman"/>
      <w:b/>
      <w:bCs/>
      <w:kern w:val="2"/>
      <w:szCs w:val="21"/>
    </w:rPr>
  </w:style>
  <w:style w:type="paragraph" w:customStyle="1" w:styleId="Style1111">
    <w:name w:val="_Style 1111"/>
    <w:basedOn w:val="Style580"/>
    <w:next w:val="Style830"/>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1112">
    <w:name w:val="_Style 1112"/>
    <w:basedOn w:val="Style580"/>
    <w:next w:val="Style830"/>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1113">
    <w:name w:val="_Style 1113"/>
    <w:basedOn w:val="Style580"/>
    <w:next w:val="Style830"/>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1114">
    <w:name w:val="_Style 1114"/>
    <w:basedOn w:val="Style580"/>
    <w:next w:val="Style830"/>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1115">
    <w:name w:val="_Style 1115"/>
    <w:basedOn w:val="Style580"/>
    <w:next w:val="Style830"/>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1116">
    <w:name w:val="_Style 1116"/>
    <w:basedOn w:val="Style580"/>
    <w:next w:val="Style830"/>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1117">
    <w:name w:val="_Style 1117"/>
    <w:basedOn w:val="Style580"/>
    <w:next w:val="Style830"/>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paragraph" w:customStyle="1" w:styleId="Style1118">
    <w:name w:val="_Style 1118"/>
    <w:basedOn w:val="Style580"/>
    <w:next w:val="Style830"/>
    <w:autoRedefine/>
    <w:semiHidden/>
    <w:qFormat/>
    <w:pPr>
      <w:ind w:firstLineChars="200" w:firstLine="420"/>
    </w:pPr>
    <w:rPr>
      <w:rFonts w:cs="Times New Roman"/>
      <w:color w:val="000000"/>
      <w:szCs w:val="21"/>
    </w:rPr>
  </w:style>
  <w:style w:type="paragraph" w:customStyle="1" w:styleId="Style1119">
    <w:name w:val="_Style 1119"/>
    <w:basedOn w:val="Style580"/>
    <w:next w:val="Style830"/>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paragraph" w:customStyle="1" w:styleId="Style1120">
    <w:name w:val="_Style 1120"/>
    <w:basedOn w:val="Style5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121">
    <w:name w:val="_Style 1121"/>
    <w:basedOn w:val="Style5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122">
    <w:name w:val="_Style 1122"/>
    <w:basedOn w:val="Style5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123">
    <w:name w:val="_Style 1123"/>
    <w:basedOn w:val="Style580"/>
    <w:autoRedefine/>
    <w:uiPriority w:val="34"/>
    <w:semiHidden/>
    <w:qFormat/>
    <w:pPr>
      <w:widowControl w:val="0"/>
      <w:ind w:firstLineChars="200" w:firstLine="480"/>
      <w:jc w:val="right"/>
    </w:pPr>
    <w:rPr>
      <w:rFonts w:ascii="Calibri" w:hAnsi="Calibri" w:cs="Times New Roman"/>
      <w:kern w:val="2"/>
      <w:szCs w:val="22"/>
    </w:rPr>
  </w:style>
  <w:style w:type="paragraph" w:customStyle="1" w:styleId="Style1124">
    <w:name w:val="_Style 1124"/>
    <w:basedOn w:val="Style5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125">
    <w:name w:val="_Style 1125"/>
    <w:basedOn w:val="Style5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126">
    <w:name w:val="_Style 1126"/>
    <w:basedOn w:val="Style5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127">
    <w:name w:val="_Style 1127"/>
    <w:basedOn w:val="Style842"/>
    <w:autoRedefine/>
    <w:semiHidden/>
    <w:qFormat/>
    <w:pPr>
      <w:ind w:firstLine="420"/>
    </w:pPr>
    <w:rPr>
      <w:rFonts w:ascii="Times New Roman" w:hAnsi="Times New Roman" w:cs="Times New Roman"/>
      <w:kern w:val="2"/>
      <w:sz w:val="21"/>
      <w:szCs w:val="21"/>
    </w:rPr>
  </w:style>
  <w:style w:type="paragraph" w:customStyle="1" w:styleId="Style1128">
    <w:name w:val="_Style 1128"/>
    <w:basedOn w:val="Style842"/>
    <w:autoRedefine/>
    <w:uiPriority w:val="99"/>
    <w:semiHidden/>
    <w:qFormat/>
    <w:pPr>
      <w:kinsoku w:val="0"/>
      <w:autoSpaceDE w:val="0"/>
      <w:autoSpaceDN w:val="0"/>
      <w:adjustRightInd w:val="0"/>
      <w:snapToGrid w:val="0"/>
      <w:textAlignment w:val="baseline"/>
    </w:pPr>
    <w:rPr>
      <w:rFonts w:ascii="Arial" w:hAnsi="Calibri" w:cs="Times New Roman"/>
      <w:color w:val="000000"/>
      <w:kern w:val="2"/>
      <w:sz w:val="18"/>
      <w:szCs w:val="18"/>
    </w:rPr>
  </w:style>
  <w:style w:type="paragraph" w:customStyle="1" w:styleId="Style1129">
    <w:name w:val="_Style 1129"/>
    <w:basedOn w:val="Style842"/>
    <w:next w:val="aff7"/>
    <w:autoRedefine/>
    <w:semiHidden/>
    <w:qFormat/>
    <w:pPr>
      <w:kinsoku w:val="0"/>
      <w:autoSpaceDE w:val="0"/>
      <w:autoSpaceDN w:val="0"/>
      <w:adjustRightInd w:val="0"/>
      <w:snapToGrid w:val="0"/>
      <w:spacing w:before="120"/>
      <w:textAlignment w:val="baseline"/>
    </w:pPr>
    <w:rPr>
      <w:rFonts w:ascii="Arial" w:hAnsi="Arial" w:cs="Times New Roman"/>
      <w:b/>
      <w:bCs/>
      <w:color w:val="000000"/>
      <w:kern w:val="2"/>
      <w:sz w:val="21"/>
      <w:szCs w:val="21"/>
    </w:rPr>
  </w:style>
  <w:style w:type="paragraph" w:customStyle="1" w:styleId="Style1130">
    <w:name w:val="_Style 1130"/>
    <w:basedOn w:val="Style842"/>
    <w:autoRedefine/>
    <w:semiHidden/>
    <w:qFormat/>
    <w:rPr>
      <w:rFonts w:ascii="Times New Roman" w:hAnsi="Times New Roman" w:cs="Times New Roman"/>
      <w:kern w:val="2"/>
      <w:sz w:val="21"/>
      <w:szCs w:val="21"/>
    </w:rPr>
  </w:style>
  <w:style w:type="paragraph" w:customStyle="1" w:styleId="Style1131">
    <w:name w:val="_Style 1131"/>
    <w:basedOn w:val="Style842"/>
    <w:next w:val="aff7"/>
    <w:autoRedefine/>
    <w:uiPriority w:val="99"/>
    <w:semiHidden/>
    <w:qFormat/>
    <w:rPr>
      <w:rFonts w:ascii="Times New Roman" w:hAnsi="Times New Roman" w:cs="Times New Roman"/>
      <w:kern w:val="2"/>
      <w:sz w:val="21"/>
      <w:szCs w:val="21"/>
    </w:rPr>
  </w:style>
  <w:style w:type="paragraph" w:customStyle="1" w:styleId="Style1132">
    <w:name w:val="_Style 1132"/>
    <w:basedOn w:val="Style842"/>
    <w:autoRedefine/>
    <w:uiPriority w:val="99"/>
    <w:semiHidden/>
    <w:qFormat/>
    <w:pPr>
      <w:spacing w:after="120"/>
    </w:pPr>
    <w:rPr>
      <w:rFonts w:ascii="Times New Roman" w:hAnsi="Times New Roman" w:cs="Times New Roman"/>
      <w:kern w:val="2"/>
      <w:sz w:val="21"/>
      <w:szCs w:val="21"/>
    </w:rPr>
  </w:style>
  <w:style w:type="paragraph" w:customStyle="1" w:styleId="Style1133">
    <w:name w:val="_Style 1133"/>
    <w:basedOn w:val="Style842"/>
    <w:next w:val="aff7"/>
    <w:autoRedefine/>
    <w:uiPriority w:val="39"/>
    <w:semiHidden/>
    <w:qFormat/>
    <w:pPr>
      <w:spacing w:after="100" w:line="276" w:lineRule="auto"/>
      <w:ind w:left="440"/>
    </w:pPr>
    <w:rPr>
      <w:rFonts w:ascii="Calibri" w:hAnsi="Calibri" w:cs="Times New Roman"/>
      <w:sz w:val="22"/>
      <w:szCs w:val="22"/>
    </w:rPr>
  </w:style>
  <w:style w:type="paragraph" w:customStyle="1" w:styleId="Style1134">
    <w:name w:val="_Style 1134"/>
    <w:basedOn w:val="Style842"/>
    <w:autoRedefine/>
    <w:semiHidden/>
    <w:qFormat/>
    <w:rPr>
      <w:rFonts w:hAnsi="Courier New" w:cs="Times New Roman"/>
      <w:kern w:val="2"/>
      <w:sz w:val="21"/>
      <w:szCs w:val="20"/>
    </w:rPr>
  </w:style>
  <w:style w:type="paragraph" w:customStyle="1" w:styleId="Style1135">
    <w:name w:val="_Style 1135"/>
    <w:basedOn w:val="Style842"/>
    <w:next w:val="aff7"/>
    <w:autoRedefine/>
    <w:uiPriority w:val="99"/>
    <w:semiHidden/>
    <w:qFormat/>
    <w:pPr>
      <w:ind w:leftChars="2500" w:left="100"/>
    </w:pPr>
    <w:rPr>
      <w:rFonts w:ascii="Times New Roman" w:hAnsi="Times New Roman" w:cs="Times New Roman"/>
      <w:kern w:val="2"/>
      <w:sz w:val="21"/>
      <w:szCs w:val="21"/>
    </w:rPr>
  </w:style>
  <w:style w:type="paragraph" w:customStyle="1" w:styleId="Style1136">
    <w:name w:val="_Style 1136"/>
    <w:basedOn w:val="Style842"/>
    <w:autoRedefine/>
    <w:uiPriority w:val="99"/>
    <w:semiHidden/>
    <w:qFormat/>
    <w:pPr>
      <w:kinsoku w:val="0"/>
      <w:autoSpaceDE w:val="0"/>
      <w:autoSpaceDN w:val="0"/>
      <w:adjustRightInd w:val="0"/>
      <w:snapToGrid w:val="0"/>
      <w:textAlignment w:val="baseline"/>
    </w:pPr>
    <w:rPr>
      <w:rFonts w:ascii="Arial" w:hAnsi="Arial" w:cs="Arial"/>
      <w:color w:val="000000"/>
      <w:sz w:val="21"/>
      <w:szCs w:val="21"/>
    </w:rPr>
  </w:style>
  <w:style w:type="paragraph" w:customStyle="1" w:styleId="Style1137">
    <w:name w:val="_Style 1137"/>
    <w:basedOn w:val="Style842"/>
    <w:autoRedefine/>
    <w:uiPriority w:val="99"/>
    <w:semiHidden/>
    <w:qFormat/>
    <w:rPr>
      <w:rFonts w:ascii="Calibri" w:hAnsi="Calibri" w:cs="Times New Roman"/>
      <w:kern w:val="2"/>
      <w:sz w:val="18"/>
      <w:szCs w:val="18"/>
    </w:rPr>
  </w:style>
  <w:style w:type="paragraph" w:customStyle="1" w:styleId="Style1138">
    <w:name w:val="_Style 1138"/>
    <w:basedOn w:val="Style842"/>
    <w:autoRedefine/>
    <w:uiPriority w:val="99"/>
    <w:semiHidden/>
    <w:qFormat/>
    <w:pPr>
      <w:tabs>
        <w:tab w:val="center" w:pos="4153"/>
        <w:tab w:val="right" w:pos="8306"/>
      </w:tabs>
      <w:snapToGrid w:val="0"/>
    </w:pPr>
    <w:rPr>
      <w:rFonts w:ascii="Calibri" w:hAnsi="Calibri" w:cs="Times New Roman"/>
      <w:kern w:val="2"/>
      <w:sz w:val="18"/>
      <w:szCs w:val="18"/>
    </w:rPr>
  </w:style>
  <w:style w:type="paragraph" w:customStyle="1" w:styleId="Style1139">
    <w:name w:val="_Style 1139"/>
    <w:basedOn w:val="Style842"/>
    <w:autoRedefine/>
    <w:uiPriority w:val="99"/>
    <w:semiHidden/>
    <w:qFormat/>
    <w:pPr>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1140">
    <w:name w:val="_Style 1140"/>
    <w:basedOn w:val="Style842"/>
    <w:next w:val="aff7"/>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1141">
    <w:name w:val="_Style 1141"/>
    <w:basedOn w:val="Style842"/>
    <w:autoRedefine/>
    <w:uiPriority w:val="99"/>
    <w:semiHidden/>
    <w:qFormat/>
    <w:pPr>
      <w:spacing w:before="100" w:beforeAutospacing="1" w:after="100" w:afterAutospacing="1"/>
    </w:pPr>
  </w:style>
  <w:style w:type="paragraph" w:customStyle="1" w:styleId="Style1142">
    <w:name w:val="_Style 1142"/>
    <w:basedOn w:val="Style842"/>
    <w:next w:val="aff7"/>
    <w:autoRedefine/>
    <w:semiHidden/>
    <w:qFormat/>
    <w:pPr>
      <w:ind w:firstLine="420"/>
    </w:pPr>
    <w:rPr>
      <w:rFonts w:cs="Times New Roman"/>
      <w:color w:val="000000"/>
      <w:sz w:val="21"/>
      <w:szCs w:val="21"/>
    </w:rPr>
  </w:style>
  <w:style w:type="paragraph" w:customStyle="1" w:styleId="Style1143">
    <w:name w:val="_Style 1143"/>
    <w:basedOn w:val="Style842"/>
    <w:next w:val="aff7"/>
    <w:autoRedefine/>
    <w:uiPriority w:val="10"/>
    <w:semiHidden/>
    <w:qFormat/>
    <w:pPr>
      <w:spacing w:before="240" w:after="60"/>
      <w:jc w:val="center"/>
      <w:outlineLvl w:val="0"/>
    </w:pPr>
    <w:rPr>
      <w:rFonts w:asciiTheme="majorHAnsi" w:hAnsiTheme="majorHAnsi" w:cstheme="majorBidi"/>
      <w:b/>
      <w:bCs/>
      <w:kern w:val="2"/>
      <w:sz w:val="32"/>
      <w:szCs w:val="32"/>
    </w:rPr>
  </w:style>
  <w:style w:type="paragraph" w:customStyle="1" w:styleId="Style1144">
    <w:name w:val="_Style 1144"/>
    <w:basedOn w:val="Style1130"/>
    <w:next w:val="a6"/>
    <w:autoRedefine/>
    <w:uiPriority w:val="99"/>
    <w:semiHidden/>
    <w:qFormat/>
    <w:rPr>
      <w:rFonts w:ascii="Calibri" w:hAnsi="Calibri"/>
      <w:b/>
      <w:bCs/>
      <w:szCs w:val="22"/>
    </w:rPr>
  </w:style>
  <w:style w:type="character" w:customStyle="1" w:styleId="Style1145">
    <w:name w:val="_Style 1145"/>
    <w:basedOn w:val="Style850"/>
    <w:autoRedefine/>
    <w:uiPriority w:val="99"/>
    <w:semiHidden/>
    <w:qFormat/>
    <w:rPr>
      <w:vertAlign w:val="superscript"/>
    </w:rPr>
  </w:style>
  <w:style w:type="character" w:customStyle="1" w:styleId="Style1146">
    <w:name w:val="_Style 1146"/>
    <w:basedOn w:val="Style850"/>
    <w:autoRedefine/>
    <w:uiPriority w:val="99"/>
    <w:semiHidden/>
    <w:qFormat/>
    <w:rPr>
      <w:rFonts w:cs="Times New Roman"/>
      <w:color w:val="0000FF"/>
      <w:u w:val="single"/>
    </w:rPr>
  </w:style>
  <w:style w:type="character" w:customStyle="1" w:styleId="Style1147">
    <w:name w:val="_Style 1147"/>
    <w:basedOn w:val="Style850"/>
    <w:autoRedefine/>
    <w:semiHidden/>
    <w:qFormat/>
    <w:rPr>
      <w:rFonts w:eastAsia="宋体" w:cs="Times New Roman"/>
      <w:kern w:val="2"/>
      <w:sz w:val="21"/>
      <w:szCs w:val="21"/>
      <w:lang w:val="en-US" w:eastAsia="zh-CN" w:bidi="ar-SA"/>
    </w:rPr>
  </w:style>
  <w:style w:type="paragraph" w:customStyle="1" w:styleId="Style1148">
    <w:name w:val="_Style 1148"/>
    <w:basedOn w:val="Style843"/>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character" w:customStyle="1" w:styleId="Style1149">
    <w:name w:val="_Style 1149"/>
    <w:basedOn w:val="Style850"/>
    <w:autoRedefine/>
    <w:semiHidden/>
    <w:qFormat/>
    <w:rPr>
      <w:rFonts w:ascii="Times New Roman" w:eastAsia="宋体" w:hAnsi="Times New Roman" w:cs="Times New Roman"/>
      <w:szCs w:val="21"/>
    </w:rPr>
  </w:style>
  <w:style w:type="character" w:customStyle="1" w:styleId="Style1150">
    <w:name w:val="_Style 1150"/>
    <w:basedOn w:val="Style850"/>
    <w:autoRedefine/>
    <w:uiPriority w:val="99"/>
    <w:semiHidden/>
    <w:qFormat/>
    <w:rPr>
      <w:rFonts w:ascii="Calibri" w:eastAsia="宋体" w:hAnsi="Calibri" w:cs="Times New Roman"/>
      <w:sz w:val="18"/>
      <w:szCs w:val="18"/>
    </w:rPr>
  </w:style>
  <w:style w:type="character" w:customStyle="1" w:styleId="Style1151">
    <w:name w:val="_Style 1151"/>
    <w:basedOn w:val="Style850"/>
    <w:autoRedefine/>
    <w:uiPriority w:val="99"/>
    <w:semiHidden/>
    <w:qFormat/>
    <w:rPr>
      <w:rFonts w:ascii="Times New Roman" w:hAnsi="Times New Roman"/>
      <w:kern w:val="2"/>
      <w:sz w:val="21"/>
      <w:szCs w:val="21"/>
    </w:rPr>
  </w:style>
  <w:style w:type="paragraph" w:customStyle="1" w:styleId="Style1152">
    <w:name w:val="_Style 1152"/>
    <w:basedOn w:val="Style842"/>
    <w:autoRedefine/>
    <w:uiPriority w:val="99"/>
    <w:semiHidden/>
    <w:qFormat/>
    <w:pPr>
      <w:ind w:left="420" w:hanging="420"/>
    </w:pPr>
    <w:rPr>
      <w:rFonts w:asciiTheme="minorEastAsia" w:eastAsiaTheme="minorEastAsia" w:hAnsiTheme="minorEastAsia" w:cs="Times New Roman"/>
      <w:kern w:val="2"/>
    </w:rPr>
  </w:style>
  <w:style w:type="character" w:customStyle="1" w:styleId="Style1153">
    <w:name w:val="_Style 1153"/>
    <w:basedOn w:val="Style850"/>
    <w:autoRedefine/>
    <w:semiHidden/>
    <w:qFormat/>
    <w:rPr>
      <w:rFonts w:ascii="宋体" w:eastAsia="宋体" w:hAnsi="Courier New" w:cs="Times New Roman"/>
      <w:szCs w:val="20"/>
    </w:rPr>
  </w:style>
  <w:style w:type="character" w:customStyle="1" w:styleId="Style1154">
    <w:name w:val="_Style 1154"/>
    <w:basedOn w:val="Style850"/>
    <w:autoRedefine/>
    <w:uiPriority w:val="99"/>
    <w:semiHidden/>
    <w:qFormat/>
    <w:rPr>
      <w:rFonts w:ascii="Times New Roman" w:eastAsia="宋体" w:hAnsi="Times New Roman" w:cs="Times New Roman"/>
      <w:szCs w:val="21"/>
    </w:rPr>
  </w:style>
  <w:style w:type="character" w:customStyle="1" w:styleId="Style1155">
    <w:name w:val="_Style 1155"/>
    <w:basedOn w:val="Style850"/>
    <w:autoRedefine/>
    <w:uiPriority w:val="99"/>
    <w:semiHidden/>
    <w:qFormat/>
    <w:rPr>
      <w:rFonts w:ascii="Times New Roman" w:eastAsia="宋体" w:hAnsi="Times New Roman" w:cs="Times New Roman"/>
      <w:szCs w:val="21"/>
    </w:rPr>
  </w:style>
  <w:style w:type="character" w:customStyle="1" w:styleId="Style1156">
    <w:name w:val="_Style 1156"/>
    <w:basedOn w:val="Style850"/>
    <w:autoRedefine/>
    <w:semiHidden/>
    <w:qFormat/>
    <w:rPr>
      <w:kern w:val="2"/>
      <w:sz w:val="21"/>
      <w:szCs w:val="24"/>
    </w:rPr>
  </w:style>
  <w:style w:type="paragraph" w:customStyle="1" w:styleId="Style1157">
    <w:name w:val="_Style 1157"/>
    <w:basedOn w:val="Style842"/>
    <w:autoRedefine/>
    <w:semiHidden/>
    <w:qFormat/>
    <w:pPr>
      <w:spacing w:before="100" w:after="100"/>
    </w:pPr>
    <w:rPr>
      <w:rFonts w:ascii="Calibri" w:hAnsi="Calibri" w:cs="Times New Roman"/>
      <w:kern w:val="2"/>
      <w:sz w:val="21"/>
    </w:rPr>
  </w:style>
  <w:style w:type="character" w:customStyle="1" w:styleId="Style1158">
    <w:name w:val="_Style 1158"/>
    <w:basedOn w:val="Style850"/>
    <w:autoRedefine/>
    <w:uiPriority w:val="99"/>
    <w:semiHidden/>
    <w:qFormat/>
    <w:rPr>
      <w:rFonts w:ascii="宋体"/>
      <w:kern w:val="2"/>
      <w:sz w:val="18"/>
      <w:szCs w:val="18"/>
    </w:rPr>
  </w:style>
  <w:style w:type="character" w:customStyle="1" w:styleId="Style1159">
    <w:name w:val="_Style 1159"/>
    <w:basedOn w:val="Style850"/>
    <w:autoRedefine/>
    <w:uiPriority w:val="99"/>
    <w:semiHidden/>
    <w:qFormat/>
    <w:rPr>
      <w:color w:val="auto"/>
    </w:rPr>
  </w:style>
  <w:style w:type="character" w:customStyle="1" w:styleId="Style1160">
    <w:name w:val="_Style 1160"/>
    <w:basedOn w:val="Style850"/>
    <w:autoRedefine/>
    <w:uiPriority w:val="10"/>
    <w:semiHidden/>
    <w:qFormat/>
    <w:rPr>
      <w:rFonts w:asciiTheme="majorHAnsi" w:hAnsiTheme="majorHAnsi" w:cstheme="majorBidi"/>
      <w:b/>
      <w:bCs/>
      <w:kern w:val="2"/>
      <w:sz w:val="32"/>
      <w:szCs w:val="32"/>
    </w:rPr>
  </w:style>
  <w:style w:type="character" w:customStyle="1" w:styleId="Style1161">
    <w:name w:val="_Style 1161"/>
    <w:basedOn w:val="Style850"/>
    <w:autoRedefine/>
    <w:uiPriority w:val="99"/>
    <w:semiHidden/>
    <w:qFormat/>
    <w:rPr>
      <w:rFonts w:ascii="宋体" w:hAnsi="宋体" w:cs="宋体"/>
      <w:sz w:val="21"/>
      <w:szCs w:val="24"/>
    </w:rPr>
  </w:style>
  <w:style w:type="paragraph" w:customStyle="1" w:styleId="Style1162">
    <w:name w:val="_Style 1162"/>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163">
    <w:name w:val="_Style 1163"/>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164">
    <w:name w:val="_Style 1164"/>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165">
    <w:name w:val="_Style 1165"/>
    <w:basedOn w:val="Style842"/>
    <w:autoRedefine/>
    <w:semiHidden/>
    <w:qFormat/>
    <w:pPr>
      <w:ind w:firstLine="420"/>
    </w:pPr>
    <w:rPr>
      <w:rFonts w:ascii="Calibri" w:hAnsi="Calibri" w:cs="Times New Roman"/>
      <w:kern w:val="2"/>
      <w:sz w:val="21"/>
      <w:szCs w:val="21"/>
    </w:rPr>
  </w:style>
  <w:style w:type="paragraph" w:customStyle="1" w:styleId="Style1166">
    <w:name w:val="_Style 1166"/>
    <w:basedOn w:val="Style842"/>
    <w:autoRedefine/>
    <w:uiPriority w:val="99"/>
    <w:semiHidden/>
    <w:qFormat/>
    <w:pPr>
      <w:spacing w:after="120"/>
      <w:ind w:leftChars="200" w:left="420"/>
    </w:pPr>
  </w:style>
  <w:style w:type="character" w:customStyle="1" w:styleId="Style1167">
    <w:name w:val="_Style 1167"/>
    <w:basedOn w:val="Style850"/>
    <w:autoRedefine/>
    <w:uiPriority w:val="99"/>
    <w:semiHidden/>
    <w:qFormat/>
    <w:rPr>
      <w:rFonts w:ascii="宋体" w:hAnsi="宋体" w:cs="宋体"/>
      <w:sz w:val="24"/>
      <w:szCs w:val="24"/>
    </w:rPr>
  </w:style>
  <w:style w:type="paragraph" w:customStyle="1" w:styleId="Style1168">
    <w:name w:val="_Style 1168"/>
    <w:basedOn w:val="Style842"/>
    <w:autoRedefine/>
    <w:uiPriority w:val="99"/>
    <w:semiHidden/>
    <w:qFormat/>
    <w:pPr>
      <w:spacing w:after="120" w:line="480" w:lineRule="auto"/>
    </w:pPr>
  </w:style>
  <w:style w:type="character" w:customStyle="1" w:styleId="Style1169">
    <w:name w:val="_Style 1169"/>
    <w:basedOn w:val="Style850"/>
    <w:autoRedefine/>
    <w:uiPriority w:val="99"/>
    <w:semiHidden/>
    <w:qFormat/>
    <w:rPr>
      <w:rFonts w:ascii="宋体" w:hAnsi="宋体" w:cs="宋体"/>
      <w:sz w:val="24"/>
      <w:szCs w:val="24"/>
    </w:rPr>
  </w:style>
  <w:style w:type="paragraph" w:customStyle="1" w:styleId="Style1170">
    <w:name w:val="_Style 1170"/>
    <w:basedOn w:val="Style842"/>
    <w:autoRedefine/>
    <w:uiPriority w:val="99"/>
    <w:semiHidden/>
    <w:qFormat/>
    <w:pPr>
      <w:spacing w:after="120" w:line="480" w:lineRule="auto"/>
      <w:ind w:leftChars="200" w:left="420"/>
    </w:pPr>
  </w:style>
  <w:style w:type="character" w:customStyle="1" w:styleId="Style1171">
    <w:name w:val="_Style 1171"/>
    <w:basedOn w:val="Style850"/>
    <w:autoRedefine/>
    <w:uiPriority w:val="99"/>
    <w:semiHidden/>
    <w:qFormat/>
    <w:rPr>
      <w:rFonts w:ascii="宋体" w:hAnsi="宋体" w:cs="宋体"/>
      <w:sz w:val="24"/>
      <w:szCs w:val="24"/>
    </w:rPr>
  </w:style>
  <w:style w:type="paragraph" w:customStyle="1" w:styleId="Style1172">
    <w:name w:val="_Style 1172"/>
    <w:semiHidden/>
    <w:qFormat/>
    <w:pPr>
      <w:jc w:val="both"/>
    </w:pPr>
    <w:rPr>
      <w:rFonts w:cs="Calibri"/>
      <w:kern w:val="2"/>
      <w:sz w:val="21"/>
      <w:szCs w:val="21"/>
    </w:rPr>
  </w:style>
  <w:style w:type="paragraph" w:customStyle="1" w:styleId="Style1173">
    <w:name w:val="_Style 1173"/>
    <w:basedOn w:val="Style842"/>
    <w:next w:val="aff7"/>
    <w:autoRedefine/>
    <w:uiPriority w:val="39"/>
    <w:semiHidden/>
    <w:qFormat/>
    <w:pPr>
      <w:ind w:leftChars="1200" w:left="2520"/>
    </w:pPr>
    <w:rPr>
      <w:rFonts w:asciiTheme="minorHAnsi" w:eastAsiaTheme="minorEastAsia" w:hAnsiTheme="minorHAnsi" w:cstheme="minorBidi"/>
      <w:kern w:val="2"/>
      <w:sz w:val="21"/>
      <w:szCs w:val="22"/>
    </w:rPr>
  </w:style>
  <w:style w:type="paragraph" w:customStyle="1" w:styleId="Style1174">
    <w:name w:val="_Style 1174"/>
    <w:basedOn w:val="Style842"/>
    <w:autoRedefine/>
    <w:semiHidden/>
    <w:qFormat/>
    <w:rPr>
      <w:rFonts w:ascii="Times New Roman" w:hAnsi="Times New Roman" w:cs="Times New Roman"/>
      <w:kern w:val="2"/>
      <w:sz w:val="21"/>
      <w:szCs w:val="21"/>
    </w:rPr>
  </w:style>
  <w:style w:type="paragraph" w:customStyle="1" w:styleId="Style1175">
    <w:name w:val="_Style 1175"/>
    <w:basedOn w:val="Style842"/>
    <w:next w:val="aff7"/>
    <w:autoRedefine/>
    <w:uiPriority w:val="39"/>
    <w:semiHidden/>
    <w:qFormat/>
    <w:pPr>
      <w:ind w:leftChars="800" w:left="1680"/>
    </w:pPr>
    <w:rPr>
      <w:rFonts w:asciiTheme="minorHAnsi" w:eastAsiaTheme="minorEastAsia" w:hAnsiTheme="minorHAnsi" w:cstheme="minorBidi"/>
      <w:kern w:val="2"/>
      <w:sz w:val="21"/>
      <w:szCs w:val="22"/>
    </w:rPr>
  </w:style>
  <w:style w:type="paragraph" w:customStyle="1" w:styleId="Style1176">
    <w:name w:val="_Style 1176"/>
    <w:basedOn w:val="Style842"/>
    <w:next w:val="aff7"/>
    <w:autoRedefine/>
    <w:uiPriority w:val="39"/>
    <w:semiHidden/>
    <w:qFormat/>
    <w:pPr>
      <w:spacing w:after="100" w:line="276" w:lineRule="auto"/>
      <w:ind w:left="440"/>
    </w:pPr>
    <w:rPr>
      <w:rFonts w:ascii="Calibri" w:hAnsi="Calibri" w:cs="Times New Roman"/>
      <w:sz w:val="22"/>
      <w:szCs w:val="22"/>
    </w:rPr>
  </w:style>
  <w:style w:type="paragraph" w:customStyle="1" w:styleId="Style1177">
    <w:name w:val="_Style 1177"/>
    <w:basedOn w:val="Style842"/>
    <w:next w:val="aff7"/>
    <w:autoRedefine/>
    <w:uiPriority w:val="39"/>
    <w:semiHidden/>
    <w:qFormat/>
    <w:pPr>
      <w:ind w:leftChars="1400" w:left="2940"/>
    </w:pPr>
    <w:rPr>
      <w:rFonts w:asciiTheme="minorHAnsi" w:eastAsiaTheme="minorEastAsia" w:hAnsiTheme="minorHAnsi" w:cstheme="minorBidi"/>
      <w:kern w:val="2"/>
      <w:sz w:val="21"/>
      <w:szCs w:val="22"/>
    </w:rPr>
  </w:style>
  <w:style w:type="paragraph" w:customStyle="1" w:styleId="Style1178">
    <w:name w:val="_Style 1178"/>
    <w:basedOn w:val="Style842"/>
    <w:next w:val="aff7"/>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1179">
    <w:name w:val="_Style 1179"/>
    <w:basedOn w:val="Style842"/>
    <w:next w:val="aff7"/>
    <w:autoRedefine/>
    <w:uiPriority w:val="39"/>
    <w:semiHidden/>
    <w:qFormat/>
    <w:pPr>
      <w:ind w:leftChars="600" w:left="1260"/>
    </w:pPr>
    <w:rPr>
      <w:rFonts w:asciiTheme="minorHAnsi" w:eastAsiaTheme="minorEastAsia" w:hAnsiTheme="minorHAnsi" w:cstheme="minorBidi"/>
      <w:kern w:val="2"/>
      <w:sz w:val="21"/>
      <w:szCs w:val="22"/>
    </w:rPr>
  </w:style>
  <w:style w:type="paragraph" w:customStyle="1" w:styleId="Style1180">
    <w:name w:val="_Style 1180"/>
    <w:basedOn w:val="Style842"/>
    <w:next w:val="aff7"/>
    <w:autoRedefine/>
    <w:uiPriority w:val="39"/>
    <w:semiHidden/>
    <w:qFormat/>
    <w:pPr>
      <w:ind w:leftChars="1000" w:left="2100"/>
    </w:pPr>
    <w:rPr>
      <w:rFonts w:asciiTheme="minorHAnsi" w:eastAsiaTheme="minorEastAsia" w:hAnsiTheme="minorHAnsi" w:cstheme="minorBidi"/>
      <w:kern w:val="2"/>
      <w:sz w:val="21"/>
      <w:szCs w:val="22"/>
    </w:rPr>
  </w:style>
  <w:style w:type="paragraph" w:customStyle="1" w:styleId="Style1181">
    <w:name w:val="_Style 1181"/>
    <w:basedOn w:val="Style842"/>
    <w:next w:val="aff7"/>
    <w:autoRedefine/>
    <w:uiPriority w:val="39"/>
    <w:semiHidden/>
    <w:qFormat/>
    <w:pPr>
      <w:ind w:leftChars="200" w:left="420"/>
    </w:pPr>
    <w:rPr>
      <w:rFonts w:ascii="Times New Roman" w:hAnsi="Times New Roman" w:cs="Times New Roman"/>
      <w:kern w:val="2"/>
      <w:sz w:val="21"/>
      <w:szCs w:val="21"/>
    </w:rPr>
  </w:style>
  <w:style w:type="paragraph" w:customStyle="1" w:styleId="Style1182">
    <w:name w:val="_Style 1182"/>
    <w:basedOn w:val="Style842"/>
    <w:next w:val="aff7"/>
    <w:autoRedefine/>
    <w:uiPriority w:val="39"/>
    <w:semiHidden/>
    <w:qFormat/>
    <w:pPr>
      <w:ind w:leftChars="1600" w:left="3360"/>
    </w:pPr>
    <w:rPr>
      <w:rFonts w:asciiTheme="minorHAnsi" w:eastAsiaTheme="minorEastAsia" w:hAnsiTheme="minorHAnsi" w:cstheme="minorBidi"/>
      <w:kern w:val="2"/>
      <w:sz w:val="21"/>
      <w:szCs w:val="22"/>
    </w:rPr>
  </w:style>
  <w:style w:type="paragraph" w:customStyle="1" w:styleId="Style1183">
    <w:name w:val="_Style 1183"/>
    <w:basedOn w:val="Style842"/>
    <w:next w:val="aff7"/>
    <w:autoRedefine/>
    <w:semiHidden/>
    <w:qFormat/>
    <w:pPr>
      <w:ind w:firstLine="420"/>
    </w:pPr>
    <w:rPr>
      <w:rFonts w:cs="Times New Roman"/>
      <w:color w:val="000000"/>
      <w:sz w:val="21"/>
      <w:szCs w:val="21"/>
    </w:rPr>
  </w:style>
  <w:style w:type="paragraph" w:customStyle="1" w:styleId="Style1184">
    <w:name w:val="_Style 1184"/>
    <w:basedOn w:val="Style843"/>
    <w:next w:val="aff7"/>
    <w:autoRedefine/>
    <w:uiPriority w:val="39"/>
    <w:semiHidden/>
    <w:qFormat/>
    <w:pPr>
      <w:widowControl/>
      <w:spacing w:before="480" w:after="0" w:line="276" w:lineRule="auto"/>
      <w:outlineLvl w:val="9"/>
    </w:pPr>
    <w:rPr>
      <w:rFonts w:ascii="Cambria" w:eastAsia="宋体" w:hAnsi="Cambria"/>
      <w:color w:val="365F91"/>
      <w:kern w:val="0"/>
      <w:szCs w:val="28"/>
    </w:rPr>
  </w:style>
  <w:style w:type="character" w:customStyle="1" w:styleId="Style1185">
    <w:name w:val="_Style 1185"/>
    <w:basedOn w:val="Style850"/>
    <w:autoRedefine/>
    <w:semiHidden/>
    <w:qFormat/>
    <w:rPr>
      <w:rFonts w:ascii="Times New Roman" w:eastAsia="宋体" w:hAnsi="Times New Roman" w:cs="Times New Roman"/>
      <w:szCs w:val="21"/>
    </w:rPr>
  </w:style>
  <w:style w:type="paragraph" w:customStyle="1" w:styleId="Style1186">
    <w:name w:val="_Style 1186"/>
    <w:basedOn w:val="Style842"/>
    <w:autoRedefine/>
    <w:semiHidden/>
    <w:qFormat/>
    <w:pPr>
      <w:keepNext/>
      <w:keepLines/>
      <w:spacing w:before="60" w:after="60"/>
      <w:ind w:hangingChars="200" w:hanging="420"/>
      <w:outlineLvl w:val="4"/>
    </w:pPr>
    <w:rPr>
      <w:rFonts w:cs="Times New Roman"/>
      <w:b/>
      <w:bCs/>
      <w:kern w:val="2"/>
      <w:sz w:val="21"/>
      <w:szCs w:val="21"/>
    </w:rPr>
  </w:style>
  <w:style w:type="paragraph" w:customStyle="1" w:styleId="Style1187">
    <w:name w:val="_Style 1187"/>
    <w:basedOn w:val="Style842"/>
    <w:next w:val="aff7"/>
    <w:autoRedefine/>
    <w:semiHidden/>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Style1188">
    <w:name w:val="_Style 1188"/>
    <w:basedOn w:val="Style850"/>
    <w:autoRedefine/>
    <w:semiHidden/>
    <w:qFormat/>
    <w:rPr>
      <w:rFonts w:ascii="Times New Roman" w:hAnsi="Times New Roman"/>
      <w:b/>
      <w:kern w:val="2"/>
      <w:sz w:val="21"/>
      <w:szCs w:val="24"/>
    </w:rPr>
  </w:style>
  <w:style w:type="paragraph" w:customStyle="1" w:styleId="Style1189">
    <w:name w:val="_Style 1189"/>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190">
    <w:name w:val="_Style 1190"/>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191">
    <w:name w:val="_Style 1191"/>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192">
    <w:name w:val="_Style 1192"/>
    <w:basedOn w:val="Style842"/>
    <w:next w:val="Style830"/>
    <w:autoRedefine/>
    <w:uiPriority w:val="34"/>
    <w:semiHidden/>
    <w:qFormat/>
    <w:pPr>
      <w:ind w:firstLine="420"/>
    </w:pPr>
    <w:rPr>
      <w:rFonts w:ascii="Calibri" w:hAnsi="Calibri" w:cs="Times New Roman"/>
      <w:kern w:val="2"/>
      <w:sz w:val="21"/>
      <w:szCs w:val="22"/>
    </w:rPr>
  </w:style>
  <w:style w:type="paragraph" w:customStyle="1" w:styleId="Style1193">
    <w:name w:val="_Style 1193"/>
    <w:basedOn w:val="Style842"/>
    <w:autoRedefine/>
    <w:semiHidden/>
    <w:qFormat/>
    <w:pPr>
      <w:ind w:firstLine="420"/>
    </w:pPr>
    <w:rPr>
      <w:rFonts w:ascii="Calibri" w:hAnsi="Calibri" w:cs="Times New Roman"/>
      <w:kern w:val="2"/>
      <w:sz w:val="21"/>
      <w:szCs w:val="21"/>
    </w:rPr>
  </w:style>
  <w:style w:type="paragraph" w:customStyle="1" w:styleId="Style1194">
    <w:name w:val="_Style 1194"/>
    <w:basedOn w:val="Style864"/>
    <w:autoRedefine/>
    <w:uiPriority w:val="99"/>
    <w:semiHidden/>
    <w:qFormat/>
    <w:pPr>
      <w:ind w:firstLine="420"/>
    </w:pPr>
  </w:style>
  <w:style w:type="character" w:customStyle="1" w:styleId="Style1195">
    <w:name w:val="_Style 1195"/>
    <w:basedOn w:val="Style947"/>
    <w:autoRedefine/>
    <w:uiPriority w:val="99"/>
    <w:semiHidden/>
    <w:qFormat/>
    <w:rPr>
      <w:rFonts w:ascii="宋体" w:hAnsi="宋体" w:cs="宋体"/>
      <w:sz w:val="24"/>
      <w:szCs w:val="24"/>
    </w:rPr>
  </w:style>
  <w:style w:type="paragraph" w:customStyle="1" w:styleId="Style1196">
    <w:name w:val="_Style 1196"/>
    <w:basedOn w:val="Style842"/>
    <w:autoRedefine/>
    <w:uiPriority w:val="99"/>
    <w:semiHidden/>
    <w:qFormat/>
    <w:pPr>
      <w:spacing w:after="120" w:line="480" w:lineRule="auto"/>
    </w:pPr>
  </w:style>
  <w:style w:type="character" w:customStyle="1" w:styleId="Style1197">
    <w:name w:val="_Style 1197"/>
    <w:basedOn w:val="Style850"/>
    <w:autoRedefine/>
    <w:uiPriority w:val="99"/>
    <w:semiHidden/>
    <w:qFormat/>
    <w:rPr>
      <w:rFonts w:ascii="宋体" w:hAnsi="宋体" w:cs="宋体"/>
      <w:sz w:val="24"/>
      <w:szCs w:val="24"/>
    </w:rPr>
  </w:style>
  <w:style w:type="paragraph" w:customStyle="1" w:styleId="Style1198">
    <w:name w:val="_Style 1198"/>
    <w:basedOn w:val="Style842"/>
    <w:autoRedefine/>
    <w:uiPriority w:val="99"/>
    <w:semiHidden/>
    <w:qFormat/>
    <w:pPr>
      <w:spacing w:after="120"/>
    </w:pPr>
    <w:rPr>
      <w:sz w:val="16"/>
      <w:szCs w:val="16"/>
    </w:rPr>
  </w:style>
  <w:style w:type="character" w:customStyle="1" w:styleId="Style1199">
    <w:name w:val="_Style 1199"/>
    <w:basedOn w:val="Style850"/>
    <w:autoRedefine/>
    <w:uiPriority w:val="99"/>
    <w:semiHidden/>
    <w:qFormat/>
    <w:rPr>
      <w:rFonts w:ascii="宋体" w:hAnsi="宋体" w:cs="宋体"/>
      <w:sz w:val="16"/>
      <w:szCs w:val="16"/>
    </w:rPr>
  </w:style>
  <w:style w:type="paragraph" w:customStyle="1" w:styleId="Style1200">
    <w:name w:val="_Style 1200"/>
    <w:basedOn w:val="Style842"/>
    <w:autoRedefine/>
    <w:uiPriority w:val="99"/>
    <w:semiHidden/>
    <w:qFormat/>
    <w:pPr>
      <w:spacing w:after="120" w:line="480" w:lineRule="auto"/>
      <w:ind w:leftChars="200" w:left="420"/>
    </w:pPr>
  </w:style>
  <w:style w:type="character" w:customStyle="1" w:styleId="Style1201">
    <w:name w:val="_Style 1201"/>
    <w:basedOn w:val="Style850"/>
    <w:autoRedefine/>
    <w:uiPriority w:val="99"/>
    <w:semiHidden/>
    <w:qFormat/>
    <w:rPr>
      <w:rFonts w:ascii="宋体" w:hAnsi="宋体" w:cs="宋体"/>
      <w:sz w:val="24"/>
      <w:szCs w:val="24"/>
    </w:rPr>
  </w:style>
  <w:style w:type="paragraph" w:customStyle="1" w:styleId="Style1202">
    <w:name w:val="_Style 1202"/>
    <w:basedOn w:val="Style842"/>
    <w:autoRedefine/>
    <w:uiPriority w:val="99"/>
    <w:semiHidden/>
    <w:qFormat/>
    <w:pPr>
      <w:spacing w:after="120"/>
      <w:ind w:leftChars="200" w:left="420"/>
    </w:pPr>
    <w:rPr>
      <w:sz w:val="16"/>
      <w:szCs w:val="16"/>
    </w:rPr>
  </w:style>
  <w:style w:type="paragraph" w:customStyle="1" w:styleId="Style1203">
    <w:name w:val="_Style 1203"/>
    <w:basedOn w:val="Style853"/>
    <w:next w:val="Style830"/>
    <w:autoRedefine/>
    <w:uiPriority w:val="99"/>
    <w:semiHidden/>
    <w:qFormat/>
    <w:pPr>
      <w:keepNext/>
      <w:keepLines/>
      <w:spacing w:before="60" w:after="60" w:line="360" w:lineRule="auto"/>
      <w:jc w:val="center"/>
      <w:outlineLvl w:val="0"/>
    </w:pPr>
    <w:rPr>
      <w:rFonts w:ascii="Calibri" w:eastAsia="黑体" w:hAnsi="Calibri" w:cs="Times New Roman"/>
      <w:b/>
      <w:bCs/>
      <w:kern w:val="44"/>
      <w:sz w:val="28"/>
      <w:szCs w:val="44"/>
    </w:rPr>
  </w:style>
  <w:style w:type="paragraph" w:customStyle="1" w:styleId="Style1204">
    <w:name w:val="_Style 1204"/>
    <w:basedOn w:val="Style1203"/>
    <w:next w:val="Style83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205">
    <w:name w:val="_Style 1205"/>
    <w:basedOn w:val="Style229"/>
    <w:next w:val="Style83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206">
    <w:name w:val="_Style 1206"/>
    <w:basedOn w:val="Style1205"/>
    <w:next w:val="Style83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207">
    <w:name w:val="_Style 1207"/>
    <w:basedOn w:val="Style229"/>
    <w:next w:val="Style830"/>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character" w:customStyle="1" w:styleId="Style1208">
    <w:name w:val="_Style 1208"/>
    <w:basedOn w:val="Style339"/>
    <w:autoRedefine/>
    <w:uiPriority w:val="34"/>
    <w:semiHidden/>
    <w:qFormat/>
    <w:rPr>
      <w:kern w:val="2"/>
      <w:sz w:val="21"/>
      <w:szCs w:val="22"/>
    </w:rPr>
  </w:style>
  <w:style w:type="character" w:customStyle="1" w:styleId="Style1209">
    <w:name w:val="_Style 1209"/>
    <w:basedOn w:val="Style1056"/>
    <w:autoRedefine/>
    <w:semiHidden/>
    <w:qFormat/>
    <w:rPr>
      <w:rFonts w:ascii="Times New Roman" w:hAnsi="Times New Roman" w:cs="宋体"/>
      <w:kern w:val="2"/>
      <w:sz w:val="21"/>
      <w:szCs w:val="21"/>
    </w:rPr>
  </w:style>
  <w:style w:type="paragraph" w:customStyle="1" w:styleId="Style1210">
    <w:name w:val="_Style 1210"/>
    <w:basedOn w:val="Style480"/>
    <w:next w:val="Style83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211">
    <w:name w:val="_Style 1211"/>
    <w:autoRedefine/>
    <w:hidden/>
    <w:uiPriority w:val="99"/>
    <w:unhideWhenUsed/>
    <w:qFormat/>
    <w:rPr>
      <w:rFonts w:ascii="宋体" w:hAnsi="宋体" w:cs="宋体"/>
      <w:sz w:val="24"/>
      <w:szCs w:val="24"/>
    </w:rPr>
  </w:style>
  <w:style w:type="paragraph" w:customStyle="1" w:styleId="Style1212">
    <w:name w:val="_Style 1212"/>
    <w:autoRedefine/>
    <w:hidden/>
    <w:uiPriority w:val="99"/>
    <w:unhideWhenUsed/>
    <w:qFormat/>
    <w:rPr>
      <w:rFonts w:ascii="宋体" w:hAnsi="宋体" w:cs="宋体"/>
      <w:sz w:val="24"/>
      <w:szCs w:val="24"/>
    </w:rPr>
  </w:style>
  <w:style w:type="paragraph" w:customStyle="1" w:styleId="Style1213">
    <w:name w:val="_Style 1213"/>
    <w:basedOn w:val="Style842"/>
    <w:qFormat/>
    <w:pPr>
      <w:spacing w:beforeLines="50" w:before="120" w:line="360" w:lineRule="auto"/>
      <w:ind w:firstLineChars="200" w:firstLine="480"/>
    </w:pPr>
  </w:style>
  <w:style w:type="character" w:customStyle="1" w:styleId="Style1214">
    <w:name w:val="_Style 1214"/>
    <w:basedOn w:val="Style850"/>
    <w:link w:val="afff"/>
    <w:autoRedefine/>
    <w:qFormat/>
    <w:rPr>
      <w:rFonts w:ascii="宋体" w:hAnsi="宋体" w:cs="宋体"/>
      <w:sz w:val="24"/>
      <w:szCs w:val="24"/>
    </w:rPr>
  </w:style>
  <w:style w:type="paragraph" w:customStyle="1" w:styleId="Style1215">
    <w:name w:val="_Style 1215"/>
    <w:basedOn w:val="Style160"/>
    <w:autoRedefine/>
    <w:qFormat/>
    <w:pPr>
      <w:ind w:firstLine="420"/>
    </w:pPr>
    <w:rPr>
      <w:rFonts w:hAnsi="宋体" w:cs="宋体"/>
      <w:kern w:val="0"/>
      <w:szCs w:val="21"/>
    </w:rPr>
  </w:style>
  <w:style w:type="character" w:customStyle="1" w:styleId="Style1216">
    <w:name w:val="_Style 1216"/>
    <w:basedOn w:val="Style850"/>
    <w:autoRedefine/>
    <w:semiHidden/>
    <w:qFormat/>
    <w:rPr>
      <w:rFonts w:ascii="宋体" w:hAnsi="宋体" w:cs="宋体"/>
      <w:sz w:val="24"/>
      <w:szCs w:val="24"/>
    </w:rPr>
  </w:style>
  <w:style w:type="character" w:customStyle="1" w:styleId="Style1217">
    <w:name w:val="_Style 1217"/>
    <w:basedOn w:val="Style1600"/>
    <w:autoRedefine/>
    <w:qFormat/>
    <w:rPr>
      <w:rFonts w:ascii="宋体" w:hAnsi="宋体" w:cs="宋体"/>
      <w:kern w:val="2"/>
      <w:sz w:val="24"/>
      <w:szCs w:val="24"/>
    </w:rPr>
  </w:style>
  <w:style w:type="paragraph" w:customStyle="1" w:styleId="Style1218">
    <w:name w:val="_Style 1218"/>
    <w:hidden/>
    <w:uiPriority w:val="99"/>
    <w:semiHidden/>
    <w:rPr>
      <w:rFonts w:ascii="宋体" w:hAnsi="宋体" w:cs="宋体"/>
      <w:sz w:val="24"/>
      <w:szCs w:val="24"/>
    </w:rPr>
  </w:style>
  <w:style w:type="paragraph" w:customStyle="1" w:styleId="affff">
    <w:name w:val="修订 字符"/>
    <w:basedOn w:val="Style607"/>
    <w:autoRedefine/>
    <w:qFormat/>
    <w:pPr>
      <w:jc w:val="right"/>
    </w:pPr>
  </w:style>
  <w:style w:type="character" w:customStyle="1" w:styleId="Style1220">
    <w:name w:val="_Style 1220"/>
    <w:basedOn w:val="Style850"/>
    <w:semiHidden/>
    <w:rPr>
      <w:rFonts w:ascii="宋体" w:hAnsi="宋体" w:cs="宋体"/>
      <w:sz w:val="24"/>
      <w:szCs w:val="24"/>
    </w:rPr>
  </w:style>
  <w:style w:type="character" w:customStyle="1" w:styleId="Style1221">
    <w:name w:val="_Style 1221"/>
    <w:basedOn w:val="Style6070"/>
    <w:rPr>
      <w:rFonts w:ascii="宋体" w:hAnsi="宋体" w:cs="宋体"/>
      <w:kern w:val="2"/>
      <w:sz w:val="24"/>
      <w:szCs w:val="22"/>
    </w:rPr>
  </w:style>
  <w:style w:type="paragraph" w:customStyle="1" w:styleId="Style1222">
    <w:name w:val="_Style 1222"/>
    <w:basedOn w:val="Style842"/>
    <w:autoRedefine/>
    <w:qFormat/>
    <w:pPr>
      <w:spacing w:line="240" w:lineRule="auto"/>
      <w:jc w:val="right"/>
    </w:pPr>
  </w:style>
  <w:style w:type="character" w:customStyle="1" w:styleId="Style1223">
    <w:name w:val="_Style 1223"/>
    <w:basedOn w:val="Style850"/>
    <w:rPr>
      <w:rFonts w:ascii="宋体" w:hAnsi="宋体" w:cs="宋体"/>
      <w:sz w:val="24"/>
      <w:szCs w:val="24"/>
    </w:rPr>
  </w:style>
  <w:style w:type="paragraph" w:customStyle="1" w:styleId="Style1224">
    <w:name w:val="_Style 1224"/>
    <w:basedOn w:val="Style607"/>
    <w:autoRedefine/>
    <w:qFormat/>
  </w:style>
  <w:style w:type="character" w:customStyle="1" w:styleId="Style1225">
    <w:name w:val="_Style 1225"/>
    <w:basedOn w:val="Style6070"/>
    <w:rPr>
      <w:rFonts w:ascii="宋体" w:hAnsi="宋体" w:cs="宋体"/>
      <w:kern w:val="2"/>
      <w:sz w:val="24"/>
      <w:szCs w:val="22"/>
    </w:rPr>
  </w:style>
  <w:style w:type="paragraph" w:customStyle="1" w:styleId="Style1226">
    <w:name w:val="_Style 1226"/>
    <w:basedOn w:val="Style1224"/>
    <w:autoRedefine/>
    <w:qFormat/>
    <w:pPr>
      <w:jc w:val="center"/>
    </w:pPr>
    <w:rPr>
      <w:rFonts w:ascii="宋体" w:hAnsi="宋体"/>
    </w:rPr>
  </w:style>
  <w:style w:type="character" w:customStyle="1" w:styleId="Style1227">
    <w:name w:val="_Style 1227"/>
    <w:basedOn w:val="Style1225"/>
    <w:rPr>
      <w:rFonts w:ascii="宋体" w:hAnsi="宋体" w:cs="宋体"/>
      <w:kern w:val="2"/>
      <w:sz w:val="24"/>
      <w:szCs w:val="22"/>
    </w:rPr>
  </w:style>
  <w:style w:type="paragraph" w:customStyle="1" w:styleId="Style1228">
    <w:name w:val="_Style 1228"/>
    <w:autoRedefine/>
    <w:pPr>
      <w:ind w:left="420" w:hangingChars="420" w:hanging="420"/>
    </w:pPr>
    <w:rPr>
      <w:rFonts w:eastAsiaTheme="minorEastAsia"/>
      <w:b/>
      <w:kern w:val="2"/>
      <w:sz w:val="24"/>
      <w:szCs w:val="32"/>
    </w:rPr>
  </w:style>
  <w:style w:type="character" w:customStyle="1" w:styleId="Style1229">
    <w:name w:val="_Style 1229"/>
    <w:basedOn w:val="Style1216"/>
    <w:uiPriority w:val="9"/>
    <w:rPr>
      <w:rFonts w:asciiTheme="minorEastAsia" w:eastAsiaTheme="minorEastAsia" w:hAnsiTheme="minorEastAsia" w:cs="宋体"/>
      <w:b/>
      <w:bCs/>
      <w:sz w:val="24"/>
      <w:szCs w:val="24"/>
    </w:rPr>
  </w:style>
  <w:style w:type="character" w:customStyle="1" w:styleId="Style1230">
    <w:name w:val="_Style 1230"/>
    <w:basedOn w:val="Style1229"/>
    <w:rPr>
      <w:rFonts w:ascii="宋体" w:eastAsiaTheme="minorEastAsia" w:hAnsi="宋体" w:cs="宋体"/>
      <w:b/>
      <w:bCs w:val="0"/>
      <w:kern w:val="2"/>
      <w:sz w:val="24"/>
      <w:szCs w:val="32"/>
    </w:rPr>
  </w:style>
  <w:style w:type="character" w:customStyle="1" w:styleId="Style1231">
    <w:name w:val="_Style 1231"/>
    <w:basedOn w:val="Style850"/>
    <w:uiPriority w:val="9"/>
    <w:rPr>
      <w:rFonts w:ascii="宋体" w:hAnsi="宋体" w:cs="宋体"/>
      <w:b/>
      <w:bCs/>
      <w:sz w:val="32"/>
      <w:szCs w:val="32"/>
    </w:rPr>
  </w:style>
  <w:style w:type="paragraph" w:customStyle="1" w:styleId="Style1232">
    <w:name w:val="_Style 1232"/>
    <w:basedOn w:val="Style843"/>
    <w:next w:val="aff7"/>
    <w:uiPriority w:val="39"/>
    <w:qFormat/>
    <w:pPr>
      <w:widowControl/>
      <w:spacing w:before="480" w:after="0" w:line="276" w:lineRule="auto"/>
      <w:outlineLvl w:val="9"/>
    </w:pPr>
    <w:rPr>
      <w:rFonts w:ascii="Cambria" w:eastAsia="宋体" w:hAnsi="Cambria"/>
      <w:color w:val="365F91"/>
      <w:kern w:val="0"/>
      <w:szCs w:val="28"/>
    </w:rPr>
  </w:style>
  <w:style w:type="table" w:customStyle="1" w:styleId="g2">
    <w:name w:val="g2"/>
    <w:uiPriority w:val="99"/>
    <w:semiHidden/>
    <w:unhideWhenUsed/>
    <w:tblPr>
      <w:tblCellMar>
        <w:top w:w="0" w:type="dxa"/>
        <w:left w:w="108" w:type="dxa"/>
        <w:bottom w:w="0" w:type="dxa"/>
        <w:right w:w="108" w:type="dxa"/>
      </w:tblCellMar>
    </w:tblPr>
  </w:style>
  <w:style w:type="table" w:customStyle="1" w:styleId="g14">
    <w:name w:val="g14"/>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15">
    <w:name w:val="g15"/>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8">
    <w:name w:val="g38"/>
    <w:autoRedefine/>
    <w:uiPriority w:val="99"/>
    <w:semiHidden/>
    <w:unhideWhenUsed/>
    <w:qFormat/>
    <w:tblPr>
      <w:tblCellMar>
        <w:top w:w="0" w:type="dxa"/>
        <w:left w:w="108" w:type="dxa"/>
        <w:bottom w:w="0" w:type="dxa"/>
        <w:right w:w="108" w:type="dxa"/>
      </w:tblCellMar>
    </w:tblPr>
  </w:style>
  <w:style w:type="paragraph" w:customStyle="1" w:styleId="Style1237">
    <w:name w:val="_Style 1237"/>
    <w:qFormat/>
    <w:pPr>
      <w:widowControl w:val="0"/>
      <w:spacing w:line="312" w:lineRule="auto"/>
      <w:jc w:val="both"/>
    </w:pPr>
    <w:rPr>
      <w:rFonts w:ascii="宋体" w:hAnsi="宋体" w:cs="宋体"/>
      <w:sz w:val="24"/>
      <w:szCs w:val="24"/>
    </w:rPr>
  </w:style>
  <w:style w:type="paragraph" w:customStyle="1" w:styleId="Style1238">
    <w:name w:val="_Style 1238"/>
    <w:basedOn w:val="Style1237"/>
    <w:next w:val="Style1152"/>
    <w:autoRedefine/>
    <w:uiPriority w:val="99"/>
    <w:qFormat/>
    <w:pPr>
      <w:keepNext/>
      <w:keepLines/>
      <w:spacing w:before="60" w:after="60" w:line="360" w:lineRule="auto"/>
      <w:jc w:val="center"/>
      <w:outlineLvl w:val="0"/>
    </w:pPr>
    <w:rPr>
      <w:rFonts w:ascii="Calibri" w:eastAsia="黑体" w:hAnsi="Calibri" w:cs="Times New Roman"/>
      <w:b/>
      <w:bCs/>
      <w:kern w:val="44"/>
      <w:sz w:val="28"/>
      <w:szCs w:val="44"/>
    </w:rPr>
  </w:style>
  <w:style w:type="paragraph" w:customStyle="1" w:styleId="Style1239">
    <w:name w:val="_Style 1239"/>
    <w:basedOn w:val="Style1237"/>
    <w:next w:val="Style1152"/>
    <w:autoRedefine/>
    <w:qFormat/>
    <w:pPr>
      <w:keepNext/>
      <w:keepLines/>
      <w:spacing w:before="60" w:after="60"/>
      <w:outlineLvl w:val="1"/>
    </w:pPr>
    <w:rPr>
      <w:rFonts w:ascii="Arial" w:hAnsi="Arial" w:cs="Times New Roman"/>
      <w:b/>
      <w:bCs/>
      <w:kern w:val="2"/>
      <w:sz w:val="21"/>
      <w:szCs w:val="21"/>
    </w:rPr>
  </w:style>
  <w:style w:type="paragraph" w:customStyle="1" w:styleId="Style12400">
    <w:name w:val="_Style 1240"/>
    <w:basedOn w:val="Style1237"/>
    <w:next w:val="Style1152"/>
    <w:uiPriority w:val="9"/>
    <w:unhideWhenUsed/>
    <w:qFormat/>
    <w:pPr>
      <w:keepNext/>
      <w:keepLines/>
      <w:spacing w:before="260" w:after="260" w:line="416" w:lineRule="auto"/>
      <w:outlineLvl w:val="2"/>
    </w:pPr>
    <w:rPr>
      <w:b/>
      <w:bCs/>
      <w:sz w:val="32"/>
      <w:szCs w:val="32"/>
    </w:rPr>
  </w:style>
  <w:style w:type="paragraph" w:customStyle="1" w:styleId="Style1241">
    <w:name w:val="_Style 1241"/>
    <w:basedOn w:val="Style1237"/>
    <w:next w:val="Style1152"/>
    <w:autoRedefine/>
    <w:uiPriority w:val="9"/>
    <w:qFormat/>
    <w:pPr>
      <w:keepNext/>
      <w:keepLines/>
      <w:spacing w:before="60" w:after="60"/>
      <w:outlineLvl w:val="3"/>
    </w:pPr>
    <w:rPr>
      <w:rFonts w:asciiTheme="minorEastAsia" w:eastAsiaTheme="minorEastAsia" w:hAnsiTheme="minorEastAsia" w:cs="Times New Roman"/>
      <w:b/>
      <w:bCs/>
      <w:kern w:val="2"/>
      <w:sz w:val="21"/>
      <w:szCs w:val="28"/>
    </w:rPr>
  </w:style>
  <w:style w:type="paragraph" w:customStyle="1" w:styleId="Style1242">
    <w:name w:val="_Style 1242"/>
    <w:basedOn w:val="Style1237"/>
    <w:next w:val="Style1152"/>
    <w:autoRedefine/>
    <w:uiPriority w:val="9"/>
    <w:qFormat/>
    <w:pPr>
      <w:keepNext/>
      <w:keepLines/>
      <w:spacing w:before="60" w:after="60"/>
      <w:ind w:leftChars="50" w:left="50"/>
      <w:outlineLvl w:val="4"/>
    </w:pPr>
    <w:rPr>
      <w:rFonts w:ascii="Calibri" w:hAnsi="Calibri" w:cs="Times New Roman"/>
      <w:b/>
      <w:bCs/>
      <w:kern w:val="2"/>
      <w:sz w:val="21"/>
      <w:szCs w:val="28"/>
    </w:rPr>
  </w:style>
  <w:style w:type="paragraph" w:customStyle="1" w:styleId="Style1243">
    <w:name w:val="_Style 1243"/>
    <w:basedOn w:val="Style1237"/>
    <w:next w:val="Style1152"/>
    <w:autoRedefine/>
    <w:uiPriority w:val="9"/>
    <w:qFormat/>
    <w:pPr>
      <w:keepNext/>
      <w:keepLines/>
      <w:numPr>
        <w:ilvl w:val="2"/>
        <w:numId w:val="7"/>
      </w:numPr>
      <w:spacing w:before="60" w:after="60"/>
      <w:ind w:left="567"/>
      <w:outlineLvl w:val="5"/>
    </w:pPr>
    <w:rPr>
      <w:rFonts w:asciiTheme="majorHAnsi" w:hAnsiTheme="majorHAnsi" w:cstheme="majorBidi"/>
      <w:b/>
      <w:bCs/>
      <w:sz w:val="21"/>
    </w:rPr>
  </w:style>
  <w:style w:type="paragraph" w:customStyle="1" w:styleId="Style1244">
    <w:name w:val="_Style 1244"/>
    <w:basedOn w:val="Style1237"/>
    <w:next w:val="Style1152"/>
    <w:autoRedefine/>
    <w:uiPriority w:val="9"/>
    <w:qFormat/>
    <w:pPr>
      <w:keepNext/>
      <w:keepLines/>
      <w:spacing w:before="240" w:after="64" w:line="320" w:lineRule="auto"/>
      <w:outlineLvl w:val="6"/>
    </w:pPr>
    <w:rPr>
      <w:b/>
      <w:bCs/>
    </w:rPr>
  </w:style>
  <w:style w:type="character" w:customStyle="1" w:styleId="Style1245">
    <w:name w:val="_Style 1245"/>
    <w:uiPriority w:val="1"/>
    <w:semiHidden/>
    <w:unhideWhenUsed/>
  </w:style>
  <w:style w:type="table" w:customStyle="1" w:styleId="Style1246">
    <w:name w:val="_Style 1246"/>
    <w:uiPriority w:val="99"/>
    <w:semiHidden/>
    <w:unhideWhenUsed/>
    <w:tblPr>
      <w:tblCellMar>
        <w:top w:w="0" w:type="dxa"/>
        <w:left w:w="108" w:type="dxa"/>
        <w:bottom w:w="0" w:type="dxa"/>
        <w:right w:w="108" w:type="dxa"/>
      </w:tblCellMar>
    </w:tblPr>
  </w:style>
  <w:style w:type="paragraph" w:customStyle="1" w:styleId="Style1247">
    <w:name w:val="_Style 1247"/>
    <w:basedOn w:val="Style124"/>
    <w:next w:val="Style1100"/>
    <w:autoRedefine/>
    <w:uiPriority w:val="9"/>
    <w:qFormat/>
    <w:pPr>
      <w:keepNext/>
      <w:keepLines/>
      <w:widowControl/>
      <w:spacing w:beforeLines="50" w:before="120" w:after="60" w:line="360" w:lineRule="auto"/>
      <w:ind w:leftChars="100" w:left="240" w:firstLineChars="100" w:firstLine="241"/>
      <w:outlineLvl w:val="2"/>
    </w:pPr>
    <w:rPr>
      <w:rFonts w:asciiTheme="minorEastAsia" w:eastAsiaTheme="minorEastAsia" w:hAnsiTheme="minorEastAsia"/>
      <w:b/>
      <w:bCs/>
    </w:rPr>
  </w:style>
  <w:style w:type="paragraph" w:customStyle="1" w:styleId="Style1248">
    <w:name w:val="_Style 1248"/>
    <w:autoRedefine/>
    <w:semiHidden/>
    <w:qFormat/>
    <w:pPr>
      <w:widowControl w:val="0"/>
      <w:jc w:val="both"/>
    </w:pPr>
    <w:rPr>
      <w:rFonts w:ascii="宋体" w:hAnsi="宋体" w:cs="宋体"/>
      <w:sz w:val="24"/>
      <w:szCs w:val="24"/>
    </w:rPr>
  </w:style>
  <w:style w:type="paragraph" w:customStyle="1" w:styleId="Style1249">
    <w:name w:val="_Style 1249"/>
    <w:basedOn w:val="Style1237"/>
    <w:next w:val="Style1152"/>
    <w:autoRedefine/>
    <w:uiPriority w:val="39"/>
    <w:qFormat/>
    <w:pPr>
      <w:ind w:leftChars="1200" w:left="2520"/>
    </w:pPr>
    <w:rPr>
      <w:rFonts w:asciiTheme="minorHAnsi" w:eastAsiaTheme="minorEastAsia" w:hAnsiTheme="minorHAnsi" w:cstheme="minorBidi"/>
      <w:kern w:val="2"/>
      <w:sz w:val="21"/>
      <w:szCs w:val="22"/>
    </w:rPr>
  </w:style>
  <w:style w:type="paragraph" w:customStyle="1" w:styleId="Style1250">
    <w:name w:val="_Style 1250"/>
    <w:basedOn w:val="Style1237"/>
    <w:next w:val="Style1152"/>
    <w:autoRedefine/>
    <w:uiPriority w:val="99"/>
    <w:qFormat/>
    <w:pPr>
      <w:jc w:val="center"/>
    </w:pPr>
    <w:rPr>
      <w:rFonts w:ascii="Times New Roman" w:hAnsi="Times New Roman" w:cs="Times New Roman"/>
      <w:kern w:val="2"/>
      <w:sz w:val="21"/>
      <w:szCs w:val="21"/>
    </w:rPr>
  </w:style>
  <w:style w:type="paragraph" w:customStyle="1" w:styleId="Style1251">
    <w:name w:val="_Style 1251"/>
    <w:basedOn w:val="Style1237"/>
    <w:qFormat/>
    <w:pPr>
      <w:ind w:firstLine="420"/>
    </w:pPr>
    <w:rPr>
      <w:rFonts w:ascii="Times New Roman" w:hAnsi="Times New Roman" w:cs="Times New Roman"/>
      <w:kern w:val="2"/>
      <w:sz w:val="21"/>
      <w:szCs w:val="21"/>
    </w:rPr>
  </w:style>
  <w:style w:type="paragraph" w:customStyle="1" w:styleId="Style1252">
    <w:name w:val="_Style 1252"/>
    <w:basedOn w:val="Style1237"/>
    <w:autoRedefine/>
    <w:uiPriority w:val="99"/>
    <w:semiHidden/>
    <w:qFormat/>
    <w:pPr>
      <w:kinsoku w:val="0"/>
      <w:autoSpaceDE w:val="0"/>
      <w:autoSpaceDN w:val="0"/>
      <w:adjustRightInd w:val="0"/>
      <w:snapToGrid w:val="0"/>
      <w:textAlignment w:val="baseline"/>
    </w:pPr>
    <w:rPr>
      <w:rFonts w:ascii="Arial" w:hAnsi="Calibri" w:cs="Times New Roman"/>
      <w:color w:val="000000"/>
      <w:kern w:val="2"/>
      <w:sz w:val="18"/>
      <w:szCs w:val="18"/>
    </w:rPr>
  </w:style>
  <w:style w:type="paragraph" w:customStyle="1" w:styleId="Style1253">
    <w:name w:val="_Style 1253"/>
    <w:basedOn w:val="Style1237"/>
    <w:next w:val="Style1152"/>
    <w:autoRedefine/>
    <w:semiHidden/>
    <w:qFormat/>
    <w:pPr>
      <w:kinsoku w:val="0"/>
      <w:autoSpaceDE w:val="0"/>
      <w:autoSpaceDN w:val="0"/>
      <w:adjustRightInd w:val="0"/>
      <w:snapToGrid w:val="0"/>
      <w:spacing w:before="120"/>
      <w:textAlignment w:val="baseline"/>
    </w:pPr>
    <w:rPr>
      <w:rFonts w:ascii="Arial" w:hAnsi="Arial" w:cs="Times New Roman"/>
      <w:b/>
      <w:bCs/>
      <w:color w:val="000000"/>
      <w:kern w:val="2"/>
      <w:sz w:val="21"/>
      <w:szCs w:val="21"/>
    </w:rPr>
  </w:style>
  <w:style w:type="paragraph" w:customStyle="1" w:styleId="Style1254">
    <w:name w:val="_Style 1254"/>
    <w:basedOn w:val="Style1237"/>
    <w:autoRedefine/>
    <w:qFormat/>
    <w:rPr>
      <w:rFonts w:ascii="Times New Roman" w:hAnsi="Times New Roman" w:cs="Times New Roman"/>
      <w:kern w:val="2"/>
      <w:sz w:val="21"/>
      <w:szCs w:val="21"/>
    </w:rPr>
  </w:style>
  <w:style w:type="paragraph" w:customStyle="1" w:styleId="Style1255">
    <w:name w:val="_Style 1255"/>
    <w:basedOn w:val="Style1237"/>
    <w:next w:val="Style1152"/>
    <w:autoRedefine/>
    <w:uiPriority w:val="99"/>
    <w:qFormat/>
    <w:pPr>
      <w:jc w:val="center"/>
    </w:pPr>
    <w:rPr>
      <w:rFonts w:ascii="Times New Roman" w:hAnsi="Times New Roman" w:cs="Times New Roman"/>
      <w:kern w:val="2"/>
      <w:sz w:val="21"/>
      <w:szCs w:val="21"/>
    </w:rPr>
  </w:style>
  <w:style w:type="paragraph" w:customStyle="1" w:styleId="Style1256">
    <w:name w:val="_Style 1256"/>
    <w:basedOn w:val="Style1237"/>
    <w:semiHidden/>
    <w:qFormat/>
    <w:pPr>
      <w:spacing w:after="120"/>
    </w:pPr>
    <w:rPr>
      <w:sz w:val="16"/>
      <w:szCs w:val="16"/>
    </w:rPr>
  </w:style>
  <w:style w:type="paragraph" w:customStyle="1" w:styleId="Style1257">
    <w:name w:val="_Style 1257"/>
    <w:basedOn w:val="Style1237"/>
    <w:autoRedefine/>
    <w:qFormat/>
    <w:pPr>
      <w:tabs>
        <w:tab w:val="left" w:pos="1200"/>
      </w:tabs>
    </w:pPr>
    <w:rPr>
      <w:rFonts w:ascii="Times New Roman" w:hAnsi="Times New Roman" w:cs="Times New Roman"/>
      <w:kern w:val="2"/>
      <w:sz w:val="21"/>
      <w:szCs w:val="21"/>
    </w:rPr>
  </w:style>
  <w:style w:type="paragraph" w:customStyle="1" w:styleId="Style1258">
    <w:name w:val="_Style 1258"/>
    <w:basedOn w:val="Style1237"/>
    <w:uiPriority w:val="99"/>
    <w:qFormat/>
    <w:pPr>
      <w:spacing w:after="120"/>
    </w:pPr>
    <w:rPr>
      <w:rFonts w:ascii="Times New Roman" w:hAnsi="Times New Roman" w:cs="Times New Roman"/>
      <w:kern w:val="2"/>
      <w:sz w:val="21"/>
      <w:szCs w:val="21"/>
    </w:rPr>
  </w:style>
  <w:style w:type="paragraph" w:customStyle="1" w:styleId="Style1259">
    <w:name w:val="_Style 1259"/>
    <w:basedOn w:val="Style1237"/>
    <w:semiHidden/>
    <w:qFormat/>
    <w:pPr>
      <w:spacing w:after="120"/>
      <w:ind w:leftChars="200" w:left="420"/>
    </w:pPr>
  </w:style>
  <w:style w:type="paragraph" w:customStyle="1" w:styleId="Style1260">
    <w:name w:val="_Style 1260"/>
    <w:basedOn w:val="Style1237"/>
    <w:next w:val="Style1152"/>
    <w:autoRedefine/>
    <w:uiPriority w:val="39"/>
    <w:qFormat/>
    <w:pPr>
      <w:ind w:leftChars="800" w:left="1680"/>
    </w:pPr>
    <w:rPr>
      <w:rFonts w:asciiTheme="minorHAnsi" w:eastAsiaTheme="minorEastAsia" w:hAnsiTheme="minorHAnsi" w:cstheme="minorBidi"/>
      <w:kern w:val="2"/>
      <w:sz w:val="21"/>
      <w:szCs w:val="22"/>
    </w:rPr>
  </w:style>
  <w:style w:type="paragraph" w:customStyle="1" w:styleId="Style1261">
    <w:name w:val="_Style 1261"/>
    <w:basedOn w:val="Style1237"/>
    <w:next w:val="Style1152"/>
    <w:autoRedefine/>
    <w:uiPriority w:val="39"/>
    <w:qFormat/>
    <w:pPr>
      <w:spacing w:after="100" w:line="276" w:lineRule="auto"/>
      <w:ind w:left="440"/>
    </w:pPr>
    <w:rPr>
      <w:rFonts w:ascii="Calibri" w:hAnsi="Calibri" w:cs="Times New Roman"/>
      <w:sz w:val="22"/>
      <w:szCs w:val="22"/>
    </w:rPr>
  </w:style>
  <w:style w:type="paragraph" w:customStyle="1" w:styleId="Style1262">
    <w:name w:val="_Style 1262"/>
    <w:basedOn w:val="Style1237"/>
    <w:autoRedefine/>
    <w:qFormat/>
    <w:rPr>
      <w:rFonts w:hAnsi="Courier New" w:cs="Times New Roman"/>
      <w:kern w:val="2"/>
      <w:sz w:val="21"/>
      <w:szCs w:val="20"/>
    </w:rPr>
  </w:style>
  <w:style w:type="paragraph" w:customStyle="1" w:styleId="Style1263">
    <w:name w:val="_Style 1263"/>
    <w:basedOn w:val="Style1237"/>
    <w:next w:val="Style1152"/>
    <w:autoRedefine/>
    <w:uiPriority w:val="39"/>
    <w:qFormat/>
    <w:pPr>
      <w:ind w:leftChars="1400" w:left="2940"/>
    </w:pPr>
    <w:rPr>
      <w:rFonts w:asciiTheme="minorHAnsi" w:eastAsiaTheme="minorEastAsia" w:hAnsiTheme="minorHAnsi" w:cstheme="minorBidi"/>
      <w:kern w:val="2"/>
      <w:sz w:val="21"/>
      <w:szCs w:val="22"/>
    </w:rPr>
  </w:style>
  <w:style w:type="paragraph" w:customStyle="1" w:styleId="Style1264">
    <w:name w:val="_Style 1264"/>
    <w:basedOn w:val="Style1237"/>
    <w:next w:val="Style1152"/>
    <w:autoRedefine/>
    <w:uiPriority w:val="99"/>
    <w:qFormat/>
    <w:pPr>
      <w:ind w:leftChars="2500" w:left="100"/>
    </w:pPr>
    <w:rPr>
      <w:rFonts w:ascii="Times New Roman" w:hAnsi="Times New Roman" w:cs="Times New Roman"/>
      <w:kern w:val="2"/>
      <w:sz w:val="21"/>
      <w:szCs w:val="21"/>
    </w:rPr>
  </w:style>
  <w:style w:type="paragraph" w:customStyle="1" w:styleId="Style1265">
    <w:name w:val="_Style 1265"/>
    <w:basedOn w:val="Style1237"/>
    <w:semiHidden/>
    <w:qFormat/>
    <w:pPr>
      <w:spacing w:after="120" w:line="480" w:lineRule="auto"/>
      <w:ind w:leftChars="200" w:left="420"/>
    </w:pPr>
  </w:style>
  <w:style w:type="paragraph" w:customStyle="1" w:styleId="Style1266">
    <w:name w:val="_Style 1266"/>
    <w:basedOn w:val="Style1237"/>
    <w:autoRedefine/>
    <w:uiPriority w:val="99"/>
    <w:semiHidden/>
    <w:qFormat/>
    <w:pPr>
      <w:kinsoku w:val="0"/>
      <w:autoSpaceDE w:val="0"/>
      <w:autoSpaceDN w:val="0"/>
      <w:adjustRightInd w:val="0"/>
      <w:snapToGrid w:val="0"/>
      <w:textAlignment w:val="baseline"/>
    </w:pPr>
    <w:rPr>
      <w:rFonts w:ascii="Arial" w:hAnsi="Arial" w:cs="Arial"/>
      <w:color w:val="000000"/>
      <w:sz w:val="21"/>
      <w:szCs w:val="21"/>
    </w:rPr>
  </w:style>
  <w:style w:type="paragraph" w:customStyle="1" w:styleId="Style1267">
    <w:name w:val="_Style 1267"/>
    <w:basedOn w:val="Style1237"/>
    <w:autoRedefine/>
    <w:uiPriority w:val="99"/>
    <w:qFormat/>
    <w:rPr>
      <w:rFonts w:ascii="Calibri" w:hAnsi="Calibri" w:cs="Times New Roman"/>
      <w:kern w:val="2"/>
      <w:sz w:val="18"/>
      <w:szCs w:val="18"/>
    </w:rPr>
  </w:style>
  <w:style w:type="paragraph" w:customStyle="1" w:styleId="Style1268">
    <w:name w:val="_Style 1268"/>
    <w:basedOn w:val="Style1237"/>
    <w:autoRedefine/>
    <w:uiPriority w:val="99"/>
    <w:qFormat/>
    <w:pPr>
      <w:tabs>
        <w:tab w:val="center" w:pos="4153"/>
        <w:tab w:val="right" w:pos="8306"/>
      </w:tabs>
      <w:snapToGrid w:val="0"/>
    </w:pPr>
    <w:rPr>
      <w:rFonts w:ascii="Calibri" w:hAnsi="Calibri" w:cs="Times New Roman"/>
      <w:kern w:val="2"/>
      <w:sz w:val="18"/>
      <w:szCs w:val="18"/>
    </w:rPr>
  </w:style>
  <w:style w:type="paragraph" w:customStyle="1" w:styleId="Style1269">
    <w:name w:val="_Style 1269"/>
    <w:basedOn w:val="Style1237"/>
    <w:autoRedefine/>
    <w:uiPriority w:val="99"/>
    <w:qFormat/>
    <w:pPr>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12700">
    <w:name w:val="_Style 1270"/>
    <w:basedOn w:val="Style1237"/>
    <w:next w:val="Style1152"/>
    <w:autoRedefine/>
    <w:uiPriority w:val="39"/>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1271">
    <w:name w:val="_Style 1271"/>
    <w:basedOn w:val="Style1237"/>
    <w:next w:val="Style1152"/>
    <w:autoRedefine/>
    <w:uiPriority w:val="39"/>
    <w:qFormat/>
    <w:pPr>
      <w:ind w:leftChars="600" w:left="1260"/>
    </w:pPr>
    <w:rPr>
      <w:rFonts w:asciiTheme="minorHAnsi" w:eastAsiaTheme="minorEastAsia" w:hAnsiTheme="minorHAnsi" w:cstheme="minorBidi"/>
      <w:kern w:val="2"/>
      <w:sz w:val="21"/>
      <w:szCs w:val="22"/>
    </w:rPr>
  </w:style>
  <w:style w:type="paragraph" w:customStyle="1" w:styleId="Style1272">
    <w:name w:val="_Style 1272"/>
    <w:basedOn w:val="Style1237"/>
    <w:next w:val="Style1152"/>
    <w:autoRedefine/>
    <w:uiPriority w:val="39"/>
    <w:qFormat/>
    <w:pPr>
      <w:ind w:leftChars="1000" w:left="2100"/>
    </w:pPr>
    <w:rPr>
      <w:rFonts w:asciiTheme="minorHAnsi" w:eastAsiaTheme="minorEastAsia" w:hAnsiTheme="minorHAnsi" w:cstheme="minorBidi"/>
      <w:kern w:val="2"/>
      <w:sz w:val="21"/>
      <w:szCs w:val="22"/>
    </w:rPr>
  </w:style>
  <w:style w:type="paragraph" w:customStyle="1" w:styleId="Style1273">
    <w:name w:val="_Style 1273"/>
    <w:basedOn w:val="Style1237"/>
    <w:semiHidden/>
    <w:qFormat/>
    <w:pPr>
      <w:spacing w:after="120"/>
      <w:ind w:leftChars="200" w:left="420"/>
    </w:pPr>
    <w:rPr>
      <w:sz w:val="16"/>
      <w:szCs w:val="16"/>
    </w:rPr>
  </w:style>
  <w:style w:type="paragraph" w:customStyle="1" w:styleId="Style1274">
    <w:name w:val="_Style 1274"/>
    <w:basedOn w:val="Style1237"/>
    <w:next w:val="Style1152"/>
    <w:autoRedefine/>
    <w:uiPriority w:val="39"/>
    <w:qFormat/>
    <w:pPr>
      <w:ind w:leftChars="200" w:left="420"/>
    </w:pPr>
    <w:rPr>
      <w:rFonts w:ascii="Times New Roman" w:hAnsi="Times New Roman" w:cs="Times New Roman"/>
      <w:kern w:val="2"/>
      <w:sz w:val="21"/>
      <w:szCs w:val="21"/>
    </w:rPr>
  </w:style>
  <w:style w:type="paragraph" w:customStyle="1" w:styleId="Style1275">
    <w:name w:val="_Style 1275"/>
    <w:basedOn w:val="Style1237"/>
    <w:next w:val="Style1152"/>
    <w:autoRedefine/>
    <w:uiPriority w:val="39"/>
    <w:qFormat/>
    <w:pPr>
      <w:ind w:leftChars="1600" w:left="3360"/>
    </w:pPr>
    <w:rPr>
      <w:rFonts w:asciiTheme="minorHAnsi" w:eastAsiaTheme="minorEastAsia" w:hAnsiTheme="minorHAnsi" w:cstheme="minorBidi"/>
      <w:kern w:val="2"/>
      <w:sz w:val="21"/>
      <w:szCs w:val="22"/>
    </w:rPr>
  </w:style>
  <w:style w:type="paragraph" w:customStyle="1" w:styleId="Style1276">
    <w:name w:val="_Style 1276"/>
    <w:basedOn w:val="Style1237"/>
    <w:semiHidden/>
    <w:qFormat/>
    <w:pPr>
      <w:spacing w:after="120" w:line="480" w:lineRule="auto"/>
    </w:pPr>
  </w:style>
  <w:style w:type="paragraph" w:customStyle="1" w:styleId="Style1277">
    <w:name w:val="_Style 1277"/>
    <w:basedOn w:val="Style1237"/>
    <w:autoRedefine/>
    <w:uiPriority w:val="99"/>
    <w:qFormat/>
    <w:pPr>
      <w:spacing w:before="100" w:beforeAutospacing="1" w:after="100" w:afterAutospacing="1"/>
      <w:jc w:val="center"/>
    </w:pPr>
  </w:style>
  <w:style w:type="paragraph" w:customStyle="1" w:styleId="Style1278">
    <w:name w:val="_Style 1278"/>
    <w:basedOn w:val="Style1237"/>
    <w:next w:val="Style1152"/>
    <w:autoRedefine/>
    <w:semiHidden/>
    <w:qFormat/>
    <w:pPr>
      <w:ind w:firstLine="420"/>
    </w:pPr>
    <w:rPr>
      <w:rFonts w:cs="Times New Roman"/>
      <w:color w:val="000000"/>
      <w:sz w:val="21"/>
      <w:szCs w:val="21"/>
    </w:rPr>
  </w:style>
  <w:style w:type="paragraph" w:customStyle="1" w:styleId="Style1279">
    <w:name w:val="_Style 1279"/>
    <w:basedOn w:val="Style1237"/>
    <w:next w:val="Style1152"/>
    <w:autoRedefine/>
    <w:uiPriority w:val="10"/>
    <w:qFormat/>
    <w:pPr>
      <w:spacing w:before="240" w:after="60"/>
      <w:jc w:val="center"/>
      <w:outlineLvl w:val="0"/>
    </w:pPr>
    <w:rPr>
      <w:rFonts w:asciiTheme="majorHAnsi" w:hAnsiTheme="majorHAnsi" w:cstheme="majorBidi"/>
      <w:b/>
      <w:bCs/>
      <w:kern w:val="2"/>
      <w:sz w:val="32"/>
      <w:szCs w:val="32"/>
    </w:rPr>
  </w:style>
  <w:style w:type="paragraph" w:customStyle="1" w:styleId="Style1280">
    <w:name w:val="_Style 1280"/>
    <w:basedOn w:val="Style1254"/>
    <w:next w:val="aff7"/>
    <w:autoRedefine/>
    <w:uiPriority w:val="99"/>
    <w:qFormat/>
    <w:rPr>
      <w:rFonts w:ascii="Calibri" w:hAnsi="Calibri"/>
      <w:b/>
      <w:bCs/>
      <w:szCs w:val="22"/>
    </w:rPr>
  </w:style>
  <w:style w:type="paragraph" w:customStyle="1" w:styleId="Style1281">
    <w:name w:val="_Style 1281"/>
    <w:basedOn w:val="Style1258"/>
    <w:semiHidden/>
    <w:qFormat/>
    <w:pPr>
      <w:widowControl/>
      <w:ind w:firstLineChars="100" w:firstLine="420"/>
      <w:jc w:val="left"/>
    </w:pPr>
    <w:rPr>
      <w:rFonts w:ascii="宋体" w:hAnsi="宋体" w:cs="宋体"/>
      <w:kern w:val="0"/>
      <w:sz w:val="24"/>
      <w:szCs w:val="24"/>
    </w:rPr>
  </w:style>
  <w:style w:type="paragraph" w:customStyle="1" w:styleId="Style1282">
    <w:name w:val="_Style 1282"/>
    <w:basedOn w:val="Style1259"/>
    <w:semiHidden/>
    <w:qFormat/>
    <w:pPr>
      <w:ind w:firstLine="420"/>
    </w:pPr>
  </w:style>
  <w:style w:type="table" w:customStyle="1" w:styleId="Style1283">
    <w:name w:val="_Style 1283"/>
    <w:basedOn w:val="Style1246"/>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284">
    <w:name w:val="_Style 1284"/>
    <w:basedOn w:val="Style1245"/>
    <w:autoRedefine/>
    <w:uiPriority w:val="99"/>
    <w:semiHidden/>
    <w:qFormat/>
    <w:rPr>
      <w:rFonts w:asciiTheme="majorHAnsi" w:hAnsiTheme="majorHAnsi" w:cstheme="majorBidi"/>
      <w:b/>
      <w:bCs/>
      <w:kern w:val="2"/>
      <w:sz w:val="32"/>
      <w:szCs w:val="32"/>
    </w:rPr>
  </w:style>
  <w:style w:type="paragraph" w:customStyle="1" w:styleId="Style1285">
    <w:name w:val="_Style 1285"/>
    <w:basedOn w:val="Style1248"/>
    <w:next w:val="Style1100"/>
    <w:autoRedefine/>
    <w:uiPriority w:val="10"/>
    <w:semiHidden/>
    <w:qFormat/>
    <w:pPr>
      <w:spacing w:before="240" w:after="60"/>
      <w:jc w:val="center"/>
      <w:outlineLvl w:val="0"/>
    </w:pPr>
    <w:rPr>
      <w:rFonts w:asciiTheme="majorHAnsi" w:hAnsiTheme="majorHAnsi" w:cstheme="majorBidi"/>
      <w:b/>
      <w:bCs/>
      <w:kern w:val="2"/>
      <w:sz w:val="32"/>
      <w:szCs w:val="32"/>
    </w:rPr>
  </w:style>
  <w:style w:type="paragraph" w:customStyle="1" w:styleId="Style1286">
    <w:name w:val="_Style 1286"/>
    <w:basedOn w:val="Style1237"/>
    <w:autoRedefine/>
    <w:uiPriority w:val="99"/>
    <w:qFormat/>
    <w:pPr>
      <w:numPr>
        <w:numId w:val="8"/>
      </w:numPr>
    </w:pPr>
    <w:rPr>
      <w:rFonts w:asciiTheme="minorEastAsia" w:eastAsiaTheme="minorEastAsia" w:hAnsiTheme="minorEastAsia" w:cs="Times New Roman"/>
      <w:kern w:val="2"/>
    </w:rPr>
  </w:style>
  <w:style w:type="character" w:customStyle="1" w:styleId="Style1287">
    <w:name w:val="_Style 1287"/>
    <w:basedOn w:val="Style1245"/>
    <w:autoRedefine/>
    <w:uiPriority w:val="99"/>
    <w:qFormat/>
    <w:rPr>
      <w:rFonts w:ascii="宋体" w:hAnsi="宋体" w:cs="宋体"/>
      <w:szCs w:val="24"/>
    </w:rPr>
  </w:style>
  <w:style w:type="paragraph" w:customStyle="1" w:styleId="Style1288">
    <w:name w:val="_Style 1288"/>
    <w:basedOn w:val="Style229"/>
    <w:autoRedefine/>
    <w:uiPriority w:val="99"/>
    <w:semiHidden/>
    <w:qFormat/>
    <w:pPr>
      <w:snapToGrid w:val="0"/>
    </w:pPr>
  </w:style>
  <w:style w:type="character" w:customStyle="1" w:styleId="Style1289">
    <w:name w:val="_Style 1289"/>
    <w:basedOn w:val="Style1245"/>
    <w:autoRedefine/>
    <w:qFormat/>
    <w:rPr>
      <w:rFonts w:eastAsia="宋体" w:cs="Times New Roman"/>
      <w:kern w:val="2"/>
      <w:sz w:val="21"/>
      <w:szCs w:val="21"/>
      <w:lang w:val="en-US" w:eastAsia="zh-CN" w:bidi="ar-SA"/>
    </w:rPr>
  </w:style>
  <w:style w:type="character" w:customStyle="1" w:styleId="Style1290">
    <w:name w:val="_Style 1290"/>
    <w:basedOn w:val="Style1245"/>
    <w:autoRedefine/>
    <w:uiPriority w:val="99"/>
    <w:qFormat/>
    <w:rPr>
      <w:rFonts w:eastAsia="黑体"/>
      <w:b/>
      <w:bCs/>
      <w:kern w:val="44"/>
      <w:sz w:val="28"/>
      <w:szCs w:val="44"/>
    </w:rPr>
  </w:style>
  <w:style w:type="character" w:customStyle="1" w:styleId="Style1291">
    <w:name w:val="_Style 1291"/>
    <w:basedOn w:val="Style1245"/>
    <w:autoRedefine/>
    <w:qFormat/>
    <w:rPr>
      <w:rFonts w:ascii="Arial" w:hAnsi="Arial"/>
      <w:b/>
      <w:bCs/>
      <w:kern w:val="2"/>
      <w:sz w:val="21"/>
      <w:szCs w:val="21"/>
    </w:rPr>
  </w:style>
  <w:style w:type="character" w:customStyle="1" w:styleId="Style1292">
    <w:name w:val="_Style 1292"/>
    <w:basedOn w:val="Style1245"/>
    <w:autoRedefine/>
    <w:uiPriority w:val="9"/>
    <w:qFormat/>
    <w:rPr>
      <w:rFonts w:asciiTheme="minorEastAsia" w:eastAsiaTheme="minorEastAsia" w:hAnsiTheme="minorEastAsia" w:cs="宋体"/>
      <w:b/>
      <w:bCs/>
      <w:sz w:val="24"/>
      <w:szCs w:val="24"/>
    </w:rPr>
  </w:style>
  <w:style w:type="character" w:customStyle="1" w:styleId="Style1293">
    <w:name w:val="_Style 1293"/>
    <w:basedOn w:val="Style1245"/>
    <w:autoRedefine/>
    <w:uiPriority w:val="9"/>
    <w:qFormat/>
    <w:rPr>
      <w:rFonts w:asciiTheme="minorEastAsia" w:eastAsiaTheme="minorEastAsia" w:hAnsiTheme="minorEastAsia"/>
      <w:b/>
      <w:bCs/>
      <w:kern w:val="2"/>
      <w:sz w:val="21"/>
      <w:szCs w:val="28"/>
    </w:rPr>
  </w:style>
  <w:style w:type="character" w:customStyle="1" w:styleId="Style1294">
    <w:name w:val="_Style 1294"/>
    <w:basedOn w:val="Style1245"/>
    <w:autoRedefine/>
    <w:uiPriority w:val="9"/>
    <w:qFormat/>
    <w:rPr>
      <w:b/>
      <w:bCs/>
      <w:kern w:val="2"/>
      <w:sz w:val="21"/>
      <w:szCs w:val="28"/>
    </w:rPr>
  </w:style>
  <w:style w:type="paragraph" w:customStyle="1" w:styleId="Style1295">
    <w:name w:val="_Style 1295"/>
    <w:basedOn w:val="Style1238"/>
    <w:next w:val="Style1152"/>
    <w:autoRedefine/>
    <w:uiPriority w:val="39"/>
    <w:semiHidden/>
    <w:qFormat/>
    <w:pPr>
      <w:widowControl/>
      <w:spacing w:before="480" w:after="0" w:line="276" w:lineRule="auto"/>
      <w:outlineLvl w:val="9"/>
    </w:pPr>
    <w:rPr>
      <w:rFonts w:ascii="Cambria" w:eastAsia="宋体" w:hAnsi="Cambria"/>
      <w:color w:val="365F91"/>
      <w:kern w:val="0"/>
      <w:szCs w:val="28"/>
    </w:rPr>
  </w:style>
  <w:style w:type="character" w:customStyle="1" w:styleId="aff8">
    <w:name w:val="列出段落 字符"/>
    <w:basedOn w:val="Style1245"/>
    <w:link w:val="aff7"/>
    <w:autoRedefine/>
    <w:qFormat/>
    <w:rPr>
      <w:rFonts w:ascii="Times New Roman" w:hAnsi="Times New Roman"/>
      <w:kern w:val="2"/>
      <w:sz w:val="21"/>
      <w:szCs w:val="21"/>
    </w:rPr>
  </w:style>
  <w:style w:type="character" w:customStyle="1" w:styleId="Style1297">
    <w:name w:val="_Style 1297"/>
    <w:basedOn w:val="Style1245"/>
    <w:autoRedefine/>
    <w:uiPriority w:val="99"/>
    <w:qFormat/>
    <w:rPr>
      <w:kern w:val="2"/>
      <w:sz w:val="18"/>
      <w:szCs w:val="18"/>
    </w:rPr>
  </w:style>
  <w:style w:type="character" w:customStyle="1" w:styleId="Style1298">
    <w:name w:val="_Style 1298"/>
    <w:basedOn w:val="Style1245"/>
    <w:autoRedefine/>
    <w:uiPriority w:val="99"/>
    <w:qFormat/>
    <w:rPr>
      <w:rFonts w:ascii="Times New Roman" w:hAnsi="Times New Roman"/>
      <w:kern w:val="2"/>
      <w:sz w:val="21"/>
      <w:szCs w:val="21"/>
    </w:rPr>
  </w:style>
  <w:style w:type="character" w:customStyle="1" w:styleId="Style1299">
    <w:name w:val="_Style 1299"/>
    <w:basedOn w:val="Style1245"/>
    <w:autoRedefine/>
    <w:uiPriority w:val="99"/>
    <w:qFormat/>
    <w:rPr>
      <w:rFonts w:eastAsia="宋体" w:cs="Times New Roman"/>
      <w:color w:val="FF0000"/>
      <w:kern w:val="2"/>
      <w:sz w:val="24"/>
      <w:szCs w:val="24"/>
      <w:lang w:val="en-US" w:eastAsia="zh-CN" w:bidi="ar-SA"/>
    </w:rPr>
  </w:style>
  <w:style w:type="paragraph" w:customStyle="1" w:styleId="Style1300">
    <w:name w:val="_Style 1300"/>
    <w:basedOn w:val="Style1237"/>
    <w:autoRedefine/>
    <w:uiPriority w:val="99"/>
    <w:qFormat/>
    <w:pPr>
      <w:spacing w:before="100" w:after="100"/>
      <w:jc w:val="right"/>
    </w:pPr>
    <w:rPr>
      <w:rFonts w:ascii="Arial Unicode MS" w:eastAsia="Arial Unicode MS" w:hAnsi="Times New Roman" w:cs="Times New Roman"/>
      <w:sz w:val="18"/>
      <w:szCs w:val="18"/>
    </w:rPr>
  </w:style>
  <w:style w:type="character" w:customStyle="1" w:styleId="Style1301">
    <w:name w:val="_Style 1301"/>
    <w:basedOn w:val="aff8"/>
    <w:autoRedefine/>
    <w:uiPriority w:val="99"/>
    <w:qFormat/>
    <w:rPr>
      <w:rFonts w:ascii="Times New Roman" w:hAnsi="Times New Roman"/>
      <w:b/>
      <w:bCs/>
      <w:kern w:val="2"/>
      <w:sz w:val="21"/>
      <w:szCs w:val="22"/>
    </w:rPr>
  </w:style>
  <w:style w:type="character" w:customStyle="1" w:styleId="Style1302">
    <w:name w:val="_Style 1302"/>
    <w:basedOn w:val="Style1245"/>
    <w:autoRedefine/>
    <w:uiPriority w:val="99"/>
    <w:qFormat/>
    <w:rPr>
      <w:kern w:val="2"/>
      <w:sz w:val="18"/>
      <w:szCs w:val="18"/>
    </w:rPr>
  </w:style>
  <w:style w:type="character" w:customStyle="1" w:styleId="Style1303">
    <w:name w:val="_Style 1303"/>
    <w:basedOn w:val="Style1245"/>
    <w:autoRedefine/>
    <w:uiPriority w:val="99"/>
    <w:qFormat/>
    <w:rPr>
      <w:kern w:val="2"/>
      <w:sz w:val="18"/>
      <w:szCs w:val="18"/>
    </w:rPr>
  </w:style>
  <w:style w:type="character" w:customStyle="1" w:styleId="Style1304">
    <w:name w:val="_Style 1304"/>
    <w:basedOn w:val="Style1245"/>
    <w:autoRedefine/>
    <w:qFormat/>
    <w:rPr>
      <w:rFonts w:ascii="宋体" w:hAnsi="Courier New"/>
      <w:kern w:val="2"/>
      <w:sz w:val="21"/>
    </w:rPr>
  </w:style>
  <w:style w:type="character" w:customStyle="1" w:styleId="Style1305">
    <w:name w:val="_Style 1305"/>
    <w:basedOn w:val="Style1245"/>
    <w:autoRedefine/>
    <w:qFormat/>
    <w:rPr>
      <w:rFonts w:eastAsia="宋体" w:cs="Times New Roman"/>
      <w:kern w:val="2"/>
      <w:sz w:val="24"/>
      <w:szCs w:val="24"/>
      <w:lang w:val="en-US" w:eastAsia="zh-CN" w:bidi="ar-SA"/>
    </w:rPr>
  </w:style>
  <w:style w:type="character" w:customStyle="1" w:styleId="Style1306">
    <w:name w:val="_Style 1306"/>
    <w:basedOn w:val="Style1245"/>
    <w:autoRedefine/>
    <w:uiPriority w:val="99"/>
    <w:qFormat/>
    <w:rPr>
      <w:rFonts w:ascii="Times New Roman" w:hAnsi="Times New Roman"/>
      <w:kern w:val="2"/>
      <w:sz w:val="21"/>
      <w:szCs w:val="21"/>
    </w:rPr>
  </w:style>
  <w:style w:type="paragraph" w:customStyle="1" w:styleId="Style1307">
    <w:name w:val="_Style 1307"/>
    <w:basedOn w:val="Style1237"/>
    <w:autoRedefine/>
    <w:uiPriority w:val="99"/>
    <w:qFormat/>
    <w:pPr>
      <w:tabs>
        <w:tab w:val="left" w:pos="709"/>
      </w:tabs>
      <w:overflowPunct w:val="0"/>
      <w:autoSpaceDE w:val="0"/>
      <w:autoSpaceDN w:val="0"/>
      <w:adjustRightInd w:val="0"/>
      <w:textAlignment w:val="baseline"/>
    </w:pPr>
    <w:rPr>
      <w:rFonts w:ascii="Helvetica-Narrow" w:hAnsi="Helvetica-Narrow" w:cs="Times New Roman"/>
      <w:sz w:val="21"/>
      <w:lang w:val="en-AU"/>
    </w:rPr>
  </w:style>
  <w:style w:type="character" w:customStyle="1" w:styleId="Style1308">
    <w:name w:val="_Style 1308"/>
    <w:basedOn w:val="Style1245"/>
    <w:autoRedefine/>
    <w:uiPriority w:val="99"/>
    <w:qFormat/>
    <w:rPr>
      <w:rFonts w:ascii="Times New Roman" w:hAnsi="Times New Roman"/>
      <w:kern w:val="2"/>
      <w:sz w:val="21"/>
      <w:szCs w:val="21"/>
    </w:rPr>
  </w:style>
  <w:style w:type="character" w:customStyle="1" w:styleId="Style1309">
    <w:name w:val="_Style 1309"/>
    <w:basedOn w:val="Style1245"/>
    <w:autoRedefine/>
    <w:uiPriority w:val="99"/>
    <w:qFormat/>
    <w:rPr>
      <w:rFonts w:ascii="Times New Roman" w:hAnsi="Times New Roman"/>
      <w:kern w:val="2"/>
      <w:sz w:val="21"/>
      <w:szCs w:val="21"/>
    </w:rPr>
  </w:style>
  <w:style w:type="paragraph" w:customStyle="1" w:styleId="Style1310">
    <w:name w:val="_Style 1310"/>
    <w:basedOn w:val="Style1237"/>
    <w:autoRedefine/>
    <w:qFormat/>
    <w:pPr>
      <w:keepNext/>
      <w:keepLines/>
      <w:spacing w:before="60" w:after="60"/>
      <w:ind w:hangingChars="200" w:hanging="420"/>
      <w:outlineLvl w:val="4"/>
    </w:pPr>
    <w:rPr>
      <w:rFonts w:cs="Times New Roman"/>
      <w:b/>
      <w:bCs/>
      <w:kern w:val="2"/>
      <w:sz w:val="21"/>
      <w:szCs w:val="21"/>
    </w:rPr>
  </w:style>
  <w:style w:type="paragraph" w:customStyle="1" w:styleId="Style1311">
    <w:name w:val="_Style 1311"/>
    <w:autoRedefine/>
    <w:uiPriority w:val="99"/>
    <w:semiHidden/>
    <w:qFormat/>
    <w:rPr>
      <w:kern w:val="2"/>
      <w:sz w:val="21"/>
      <w:szCs w:val="22"/>
    </w:rPr>
  </w:style>
  <w:style w:type="character" w:customStyle="1" w:styleId="Style1312">
    <w:name w:val="_Style 1312"/>
    <w:basedOn w:val="Style1245"/>
    <w:autoRedefine/>
    <w:qFormat/>
    <w:rPr>
      <w:kern w:val="2"/>
      <w:sz w:val="21"/>
      <w:szCs w:val="24"/>
    </w:rPr>
  </w:style>
  <w:style w:type="paragraph" w:customStyle="1" w:styleId="Style1313">
    <w:name w:val="_Style 1313"/>
    <w:basedOn w:val="Style1237"/>
    <w:qFormat/>
    <w:pPr>
      <w:spacing w:before="100" w:after="100"/>
    </w:pPr>
    <w:rPr>
      <w:rFonts w:ascii="Calibri" w:hAnsi="Calibri" w:cs="Times New Roman"/>
      <w:kern w:val="2"/>
      <w:sz w:val="21"/>
    </w:rPr>
  </w:style>
  <w:style w:type="character" w:customStyle="1" w:styleId="Style1314">
    <w:name w:val="_Style 1314"/>
    <w:basedOn w:val="Style1245"/>
    <w:autoRedefine/>
    <w:uiPriority w:val="99"/>
    <w:semiHidden/>
    <w:qFormat/>
    <w:rPr>
      <w:rFonts w:ascii="Arial"/>
      <w:color w:val="000000"/>
      <w:kern w:val="2"/>
      <w:sz w:val="18"/>
      <w:szCs w:val="18"/>
    </w:rPr>
  </w:style>
  <w:style w:type="character" w:customStyle="1" w:styleId="Style1315">
    <w:name w:val="_Style 1315"/>
    <w:basedOn w:val="Style1245"/>
    <w:autoRedefine/>
    <w:uiPriority w:val="99"/>
    <w:qFormat/>
    <w:rPr>
      <w:rFonts w:ascii="宋体" w:hAnsi="宋体" w:cs="宋体"/>
      <w:sz w:val="24"/>
      <w:szCs w:val="24"/>
    </w:rPr>
  </w:style>
  <w:style w:type="paragraph" w:customStyle="1" w:styleId="Style1316">
    <w:name w:val="_Style 1316"/>
    <w:basedOn w:val="Style1248"/>
    <w:autoRedefine/>
    <w:uiPriority w:val="99"/>
    <w:qFormat/>
    <w:pPr>
      <w:snapToGrid w:val="0"/>
    </w:pPr>
  </w:style>
  <w:style w:type="character" w:customStyle="1" w:styleId="Style1317">
    <w:name w:val="_Style 1317"/>
    <w:basedOn w:val="Style1245"/>
    <w:autoRedefine/>
    <w:uiPriority w:val="10"/>
    <w:qFormat/>
    <w:rPr>
      <w:rFonts w:asciiTheme="majorHAnsi" w:hAnsiTheme="majorHAnsi" w:cstheme="majorBidi"/>
      <w:b/>
      <w:bCs/>
      <w:kern w:val="2"/>
      <w:sz w:val="32"/>
      <w:szCs w:val="32"/>
    </w:rPr>
  </w:style>
  <w:style w:type="paragraph" w:customStyle="1" w:styleId="Style1318">
    <w:name w:val="_Style 1318"/>
    <w:autoRedefine/>
    <w:uiPriority w:val="1"/>
    <w:qFormat/>
    <w:pPr>
      <w:widowControl w:val="0"/>
      <w:jc w:val="both"/>
    </w:pPr>
    <w:rPr>
      <w:kern w:val="2"/>
      <w:sz w:val="21"/>
      <w:szCs w:val="22"/>
    </w:rPr>
  </w:style>
  <w:style w:type="character" w:customStyle="1" w:styleId="Style1319">
    <w:name w:val="_Style 1319"/>
    <w:basedOn w:val="Style1245"/>
    <w:autoRedefine/>
    <w:uiPriority w:val="9"/>
    <w:qFormat/>
    <w:rPr>
      <w:rFonts w:asciiTheme="majorHAnsi" w:hAnsiTheme="majorHAnsi" w:cstheme="majorBidi"/>
      <w:b/>
      <w:bCs/>
      <w:sz w:val="21"/>
      <w:szCs w:val="24"/>
    </w:rPr>
  </w:style>
  <w:style w:type="character" w:customStyle="1" w:styleId="Style1320">
    <w:name w:val="_Style 1320"/>
    <w:basedOn w:val="Style1245"/>
    <w:autoRedefine/>
    <w:uiPriority w:val="99"/>
    <w:semiHidden/>
    <w:qFormat/>
    <w:rPr>
      <w:rFonts w:ascii="Arial" w:hAnsi="Arial" w:cs="Arial"/>
      <w:color w:val="000000"/>
      <w:sz w:val="21"/>
      <w:szCs w:val="21"/>
    </w:rPr>
  </w:style>
  <w:style w:type="character" w:customStyle="1" w:styleId="Style1321">
    <w:name w:val="_Style 1321"/>
    <w:basedOn w:val="aff8"/>
    <w:autoRedefine/>
    <w:uiPriority w:val="99"/>
    <w:semiHidden/>
    <w:qFormat/>
    <w:rPr>
      <w:rFonts w:ascii="Times New Roman" w:eastAsia="宋体" w:hAnsi="Times New Roman" w:cs="Times New Roman"/>
      <w:b/>
      <w:bCs/>
      <w:kern w:val="2"/>
      <w:sz w:val="21"/>
      <w:szCs w:val="21"/>
    </w:rPr>
  </w:style>
  <w:style w:type="character" w:customStyle="1" w:styleId="Style1322">
    <w:name w:val="_Style 1322"/>
    <w:basedOn w:val="Style1245"/>
    <w:autoRedefine/>
    <w:qFormat/>
  </w:style>
  <w:style w:type="paragraph" w:customStyle="1" w:styleId="Style1323">
    <w:name w:val="_Style 1323"/>
    <w:basedOn w:val="Style1237"/>
    <w:next w:val="Style1152"/>
    <w:autoRedefine/>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Style1324">
    <w:name w:val="_Style 1324"/>
    <w:basedOn w:val="Style1245"/>
    <w:autoRedefine/>
    <w:qFormat/>
    <w:rPr>
      <w:rFonts w:ascii="Times New Roman" w:hAnsi="Times New Roman"/>
      <w:b/>
      <w:kern w:val="2"/>
      <w:sz w:val="21"/>
      <w:szCs w:val="24"/>
    </w:rPr>
  </w:style>
  <w:style w:type="character" w:customStyle="1" w:styleId="Style1325">
    <w:name w:val="_Style 1325"/>
    <w:basedOn w:val="Style1245"/>
    <w:autoRedefine/>
    <w:uiPriority w:val="9"/>
    <w:qFormat/>
    <w:rPr>
      <w:rFonts w:ascii="宋体" w:hAnsi="宋体" w:cs="宋体"/>
      <w:b/>
      <w:bCs/>
      <w:sz w:val="24"/>
      <w:szCs w:val="24"/>
    </w:rPr>
  </w:style>
  <w:style w:type="character" w:customStyle="1" w:styleId="Style1326">
    <w:name w:val="_Style 1326"/>
    <w:basedOn w:val="aff8"/>
    <w:autoRedefine/>
    <w:uiPriority w:val="99"/>
    <w:semiHidden/>
    <w:qFormat/>
    <w:rPr>
      <w:rFonts w:ascii="Times New Roman" w:hAnsi="Times New Roman"/>
      <w:kern w:val="2"/>
      <w:sz w:val="21"/>
      <w:szCs w:val="21"/>
    </w:rPr>
  </w:style>
  <w:style w:type="paragraph" w:customStyle="1" w:styleId="1d">
    <w:name w:val="目录 1 字符"/>
    <w:basedOn w:val="Style229"/>
    <w:next w:val="Style1100"/>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1328">
    <w:name w:val="_Style 1328"/>
    <w:basedOn w:val="Style1237"/>
    <w:next w:val="Style1100"/>
    <w:autoRedefine/>
    <w:uiPriority w:val="34"/>
    <w:qFormat/>
    <w:pPr>
      <w:ind w:firstLine="420"/>
    </w:pPr>
    <w:rPr>
      <w:rFonts w:ascii="Calibri" w:hAnsi="Calibri" w:cs="Times New Roman"/>
      <w:kern w:val="2"/>
      <w:sz w:val="21"/>
      <w:szCs w:val="22"/>
    </w:rPr>
  </w:style>
  <w:style w:type="paragraph" w:customStyle="1" w:styleId="Style1329">
    <w:name w:val="_Style 1329"/>
    <w:basedOn w:val="Style1237"/>
    <w:next w:val="Style1100"/>
    <w:autoRedefine/>
    <w:uiPriority w:val="34"/>
    <w:qFormat/>
    <w:pPr>
      <w:ind w:firstLine="420"/>
    </w:pPr>
    <w:rPr>
      <w:rFonts w:ascii="Calibri" w:hAnsi="Calibri" w:cs="Times New Roman"/>
      <w:kern w:val="2"/>
      <w:sz w:val="21"/>
      <w:szCs w:val="22"/>
    </w:rPr>
  </w:style>
  <w:style w:type="paragraph" w:customStyle="1" w:styleId="Style1330">
    <w:name w:val="_Style 1330"/>
    <w:basedOn w:val="Style1237"/>
    <w:next w:val="Style1100"/>
    <w:autoRedefine/>
    <w:uiPriority w:val="34"/>
    <w:qFormat/>
    <w:pPr>
      <w:ind w:firstLine="420"/>
    </w:pPr>
    <w:rPr>
      <w:rFonts w:ascii="Calibri" w:hAnsi="Calibri" w:cs="Times New Roman"/>
      <w:kern w:val="2"/>
      <w:sz w:val="21"/>
      <w:szCs w:val="22"/>
    </w:rPr>
  </w:style>
  <w:style w:type="paragraph" w:customStyle="1" w:styleId="Style1331">
    <w:name w:val="_Style 1331"/>
    <w:basedOn w:val="Style1237"/>
    <w:next w:val="Style1100"/>
    <w:autoRedefine/>
    <w:uiPriority w:val="34"/>
    <w:qFormat/>
    <w:pPr>
      <w:ind w:firstLine="420"/>
    </w:pPr>
    <w:rPr>
      <w:rFonts w:ascii="Calibri" w:hAnsi="Calibri" w:cs="Times New Roman"/>
      <w:kern w:val="2"/>
      <w:sz w:val="21"/>
      <w:szCs w:val="22"/>
    </w:rPr>
  </w:style>
  <w:style w:type="paragraph" w:customStyle="1" w:styleId="Style1332">
    <w:name w:val="_Style 1332"/>
    <w:basedOn w:val="Style1237"/>
    <w:autoRedefine/>
    <w:uiPriority w:val="1"/>
    <w:qFormat/>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Style1333">
    <w:name w:val="_Style 1333"/>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334">
    <w:name w:val="_Style 1334"/>
    <w:basedOn w:val="Style1237"/>
    <w:next w:val="Style1100"/>
    <w:autoRedefine/>
    <w:uiPriority w:val="34"/>
    <w:semiHidden/>
    <w:qFormat/>
    <w:pPr>
      <w:ind w:firstLine="420"/>
    </w:pPr>
    <w:rPr>
      <w:rFonts w:ascii="Calibri" w:hAnsi="Calibri" w:cs="Times New Roman"/>
      <w:kern w:val="2"/>
      <w:sz w:val="21"/>
      <w:szCs w:val="22"/>
    </w:rPr>
  </w:style>
  <w:style w:type="character" w:customStyle="1" w:styleId="Style1335">
    <w:name w:val="_Style 1335"/>
    <w:autoRedefine/>
    <w:uiPriority w:val="99"/>
    <w:semiHidden/>
    <w:qFormat/>
    <w:locked/>
    <w:rPr>
      <w:rFonts w:ascii="Times New Roman" w:hAnsi="Times New Roman"/>
      <w:kern w:val="2"/>
      <w:sz w:val="21"/>
      <w:szCs w:val="21"/>
    </w:rPr>
  </w:style>
  <w:style w:type="paragraph" w:customStyle="1" w:styleId="Style1336">
    <w:name w:val="_Style 1336"/>
    <w:basedOn w:val="Style1237"/>
    <w:next w:val="Style1100"/>
    <w:autoRedefine/>
    <w:uiPriority w:val="34"/>
    <w:semiHidden/>
    <w:qFormat/>
    <w:pPr>
      <w:ind w:firstLine="420"/>
    </w:pPr>
    <w:rPr>
      <w:rFonts w:ascii="Calibri" w:hAnsi="Calibri" w:cs="Times New Roman"/>
      <w:kern w:val="2"/>
      <w:sz w:val="21"/>
      <w:szCs w:val="22"/>
    </w:rPr>
  </w:style>
  <w:style w:type="character" w:customStyle="1" w:styleId="Style1337">
    <w:name w:val="_Style 1337"/>
    <w:basedOn w:val="Style1245"/>
    <w:autoRedefine/>
    <w:semiHidden/>
    <w:qFormat/>
    <w:rPr>
      <w:rFonts w:ascii="Times New Roman" w:hAnsi="Times New Roman" w:cs="Times New Roman" w:hint="default"/>
      <w:color w:val="000000"/>
      <w:sz w:val="20"/>
      <w:szCs w:val="20"/>
      <w:u w:val="none"/>
    </w:rPr>
  </w:style>
  <w:style w:type="character" w:customStyle="1" w:styleId="Style1338">
    <w:name w:val="_Style 1338"/>
    <w:basedOn w:val="Style1245"/>
    <w:autoRedefine/>
    <w:semiHidden/>
    <w:qFormat/>
    <w:rPr>
      <w:rFonts w:ascii="宋体" w:eastAsia="宋体" w:hAnsi="宋体" w:hint="eastAsia"/>
      <w:color w:val="000000"/>
      <w:sz w:val="20"/>
      <w:szCs w:val="20"/>
      <w:u w:val="none"/>
    </w:rPr>
  </w:style>
  <w:style w:type="character" w:customStyle="1" w:styleId="Style1339">
    <w:name w:val="_Style 1339"/>
    <w:basedOn w:val="Style1245"/>
    <w:autoRedefine/>
    <w:semiHidden/>
    <w:qFormat/>
    <w:rPr>
      <w:rFonts w:ascii="宋体" w:eastAsia="宋体" w:hAnsi="宋体" w:hint="eastAsia"/>
      <w:color w:val="000000"/>
      <w:sz w:val="20"/>
      <w:szCs w:val="20"/>
      <w:u w:val="none"/>
    </w:rPr>
  </w:style>
  <w:style w:type="paragraph" w:customStyle="1" w:styleId="Style1340">
    <w:name w:val="_Style 1340"/>
    <w:semiHidden/>
    <w:qFormat/>
    <w:pPr>
      <w:jc w:val="both"/>
    </w:pPr>
    <w:rPr>
      <w:rFonts w:ascii="宋体" w:hAnsi="宋体" w:cs="宋体"/>
      <w:kern w:val="2"/>
      <w:sz w:val="21"/>
      <w:szCs w:val="21"/>
    </w:rPr>
  </w:style>
  <w:style w:type="paragraph" w:customStyle="1" w:styleId="Style1341">
    <w:name w:val="_Style 1341"/>
    <w:basedOn w:val="Style1237"/>
    <w:autoRedefine/>
    <w:semiHidden/>
    <w:qFormat/>
    <w:pPr>
      <w:ind w:firstLine="420"/>
    </w:pPr>
    <w:rPr>
      <w:rFonts w:ascii="Calibri" w:hAnsi="Calibri" w:cs="Times New Roman"/>
      <w:kern w:val="2"/>
      <w:sz w:val="21"/>
      <w:szCs w:val="21"/>
    </w:rPr>
  </w:style>
  <w:style w:type="character" w:customStyle="1" w:styleId="Style1342">
    <w:name w:val="_Style 1342"/>
    <w:basedOn w:val="Style1306"/>
    <w:autoRedefine/>
    <w:semiHidden/>
    <w:qFormat/>
    <w:rPr>
      <w:rFonts w:ascii="宋体" w:hAnsi="宋体" w:cs="宋体"/>
      <w:kern w:val="2"/>
      <w:sz w:val="24"/>
      <w:szCs w:val="24"/>
    </w:rPr>
  </w:style>
  <w:style w:type="character" w:customStyle="1" w:styleId="Style1343">
    <w:name w:val="_Style 1343"/>
    <w:basedOn w:val="Style1245"/>
    <w:autoRedefine/>
    <w:semiHidden/>
    <w:qFormat/>
    <w:rPr>
      <w:rFonts w:ascii="宋体" w:hAnsi="宋体" w:cs="宋体"/>
      <w:sz w:val="24"/>
      <w:szCs w:val="24"/>
    </w:rPr>
  </w:style>
  <w:style w:type="character" w:customStyle="1" w:styleId="Style1344">
    <w:name w:val="_Style 1344"/>
    <w:basedOn w:val="Style1343"/>
    <w:autoRedefine/>
    <w:semiHidden/>
    <w:qFormat/>
    <w:rPr>
      <w:rFonts w:ascii="宋体" w:hAnsi="宋体" w:cs="宋体"/>
      <w:sz w:val="24"/>
      <w:szCs w:val="24"/>
    </w:rPr>
  </w:style>
  <w:style w:type="character" w:customStyle="1" w:styleId="Style1345">
    <w:name w:val="_Style 1345"/>
    <w:basedOn w:val="Style1245"/>
    <w:autoRedefine/>
    <w:semiHidden/>
    <w:qFormat/>
    <w:rPr>
      <w:rFonts w:ascii="宋体" w:hAnsi="宋体" w:cs="宋体"/>
      <w:sz w:val="24"/>
      <w:szCs w:val="24"/>
    </w:rPr>
  </w:style>
  <w:style w:type="character" w:customStyle="1" w:styleId="Style1346">
    <w:name w:val="_Style 1346"/>
    <w:basedOn w:val="Style1245"/>
    <w:autoRedefine/>
    <w:semiHidden/>
    <w:qFormat/>
    <w:rPr>
      <w:rFonts w:ascii="宋体" w:hAnsi="宋体" w:cs="宋体"/>
      <w:sz w:val="16"/>
      <w:szCs w:val="16"/>
    </w:rPr>
  </w:style>
  <w:style w:type="character" w:customStyle="1" w:styleId="Style1347">
    <w:name w:val="_Style 1347"/>
    <w:basedOn w:val="Style1245"/>
    <w:autoRedefine/>
    <w:semiHidden/>
    <w:qFormat/>
    <w:rPr>
      <w:rFonts w:ascii="宋体" w:hAnsi="宋体" w:cs="宋体"/>
      <w:sz w:val="24"/>
      <w:szCs w:val="24"/>
    </w:rPr>
  </w:style>
  <w:style w:type="character" w:customStyle="1" w:styleId="Style1348">
    <w:name w:val="_Style 1348"/>
    <w:basedOn w:val="Style1245"/>
    <w:autoRedefine/>
    <w:semiHidden/>
    <w:qFormat/>
    <w:rPr>
      <w:rFonts w:ascii="宋体" w:hAnsi="宋体" w:cs="宋体"/>
      <w:sz w:val="16"/>
      <w:szCs w:val="16"/>
    </w:rPr>
  </w:style>
  <w:style w:type="paragraph" w:customStyle="1" w:styleId="Style1349">
    <w:name w:val="_Style 1349"/>
    <w:basedOn w:val="Style1248"/>
    <w:next w:val="Style1100"/>
    <w:autoRedefine/>
    <w:uiPriority w:val="99"/>
    <w:semiHidden/>
    <w:qFormat/>
    <w:pPr>
      <w:keepNext/>
      <w:keepLines/>
      <w:spacing w:before="60" w:after="60" w:line="360" w:lineRule="auto"/>
      <w:jc w:val="center"/>
      <w:outlineLvl w:val="0"/>
    </w:pPr>
    <w:rPr>
      <w:rFonts w:ascii="Calibri" w:eastAsia="黑体" w:hAnsi="Calibri" w:cs="Times New Roman"/>
      <w:b/>
      <w:bCs/>
      <w:kern w:val="44"/>
      <w:sz w:val="28"/>
      <w:szCs w:val="44"/>
    </w:rPr>
  </w:style>
  <w:style w:type="paragraph" w:customStyle="1" w:styleId="Style1350">
    <w:name w:val="_Style 1350"/>
    <w:basedOn w:val="Style1248"/>
    <w:next w:val="Style1100"/>
    <w:autoRedefine/>
    <w:semiHidden/>
    <w:qFormat/>
    <w:pPr>
      <w:keepNext/>
      <w:keepLines/>
      <w:spacing w:before="60" w:after="60"/>
      <w:outlineLvl w:val="1"/>
    </w:pPr>
    <w:rPr>
      <w:rFonts w:ascii="Arial" w:hAnsi="Arial" w:cs="Times New Roman"/>
      <w:b/>
      <w:bCs/>
      <w:kern w:val="2"/>
      <w:szCs w:val="21"/>
    </w:rPr>
  </w:style>
  <w:style w:type="paragraph" w:customStyle="1" w:styleId="Style1351">
    <w:name w:val="_Style 1351"/>
    <w:basedOn w:val="Style1248"/>
    <w:next w:val="Style1100"/>
    <w:autoRedefine/>
    <w:uiPriority w:val="9"/>
    <w:qFormat/>
    <w:pPr>
      <w:keepNext/>
      <w:keepLines/>
      <w:widowControl/>
      <w:numPr>
        <w:numId w:val="9"/>
      </w:numPr>
      <w:spacing w:beforeLines="50" w:before="120" w:after="60" w:line="360" w:lineRule="auto"/>
      <w:outlineLvl w:val="2"/>
    </w:pPr>
    <w:rPr>
      <w:rFonts w:asciiTheme="minorEastAsia" w:eastAsiaTheme="minorEastAsia" w:hAnsiTheme="minorEastAsia"/>
      <w:b/>
      <w:bCs/>
      <w:sz w:val="21"/>
      <w:szCs w:val="21"/>
    </w:rPr>
  </w:style>
  <w:style w:type="paragraph" w:customStyle="1" w:styleId="Style1352">
    <w:name w:val="_Style 1352"/>
    <w:basedOn w:val="Style1248"/>
    <w:next w:val="Style1100"/>
    <w:autoRedefine/>
    <w:uiPriority w:val="9"/>
    <w:semiHidden/>
    <w:qFormat/>
    <w:pPr>
      <w:keepNext/>
      <w:keepLines/>
      <w:spacing w:before="60" w:after="60"/>
      <w:ind w:left="426"/>
      <w:outlineLvl w:val="3"/>
    </w:pPr>
    <w:rPr>
      <w:rFonts w:asciiTheme="minorEastAsia" w:eastAsiaTheme="minorEastAsia" w:hAnsiTheme="minorEastAsia" w:cs="Times New Roman"/>
      <w:b/>
      <w:bCs/>
      <w:kern w:val="2"/>
      <w:szCs w:val="28"/>
    </w:rPr>
  </w:style>
  <w:style w:type="paragraph" w:customStyle="1" w:styleId="Style1353">
    <w:name w:val="_Style 1353"/>
    <w:basedOn w:val="Style1248"/>
    <w:next w:val="Style1100"/>
    <w:autoRedefine/>
    <w:uiPriority w:val="9"/>
    <w:semiHidden/>
    <w:qFormat/>
    <w:pPr>
      <w:keepNext/>
      <w:keepLines/>
      <w:numPr>
        <w:numId w:val="10"/>
      </w:numPr>
      <w:spacing w:before="60" w:after="60"/>
      <w:outlineLvl w:val="4"/>
    </w:pPr>
    <w:rPr>
      <w:rFonts w:ascii="Calibri" w:hAnsi="Calibri" w:cs="Times New Roman"/>
      <w:b/>
      <w:bCs/>
      <w:kern w:val="2"/>
      <w:szCs w:val="28"/>
    </w:rPr>
  </w:style>
  <w:style w:type="paragraph" w:customStyle="1" w:styleId="Style1354">
    <w:name w:val="_Style 1354"/>
    <w:basedOn w:val="Style1248"/>
    <w:next w:val="Style1100"/>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1355">
    <w:name w:val="_Style 1355"/>
    <w:basedOn w:val="Style1248"/>
    <w:next w:val="Style1100"/>
    <w:autoRedefine/>
    <w:uiPriority w:val="9"/>
    <w:semiHidden/>
    <w:qFormat/>
    <w:pPr>
      <w:keepNext/>
      <w:keepLines/>
      <w:spacing w:before="240" w:after="64" w:line="320" w:lineRule="auto"/>
      <w:outlineLvl w:val="6"/>
    </w:pPr>
    <w:rPr>
      <w:b/>
      <w:bCs/>
    </w:rPr>
  </w:style>
  <w:style w:type="paragraph" w:customStyle="1" w:styleId="Style1356">
    <w:name w:val="_Style 1356"/>
    <w:basedOn w:val="Style1349"/>
    <w:next w:val="Style110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357">
    <w:name w:val="_Style 1357"/>
    <w:basedOn w:val="Style1248"/>
    <w:next w:val="Style1100"/>
    <w:autoRedefine/>
    <w:uiPriority w:val="39"/>
    <w:semiHidden/>
    <w:qFormat/>
    <w:pPr>
      <w:tabs>
        <w:tab w:val="left" w:pos="1260"/>
        <w:tab w:val="right" w:leader="dot" w:pos="8823"/>
      </w:tabs>
      <w:spacing w:line="360" w:lineRule="auto"/>
    </w:pPr>
    <w:rPr>
      <w:rFonts w:ascii="Times New Roman" w:hAnsi="Times New Roman" w:cs="Times New Roman"/>
      <w:kern w:val="2"/>
      <w:szCs w:val="21"/>
    </w:rPr>
  </w:style>
  <w:style w:type="paragraph" w:customStyle="1" w:styleId="Style1358">
    <w:name w:val="_Style 1358"/>
    <w:basedOn w:val="Style1248"/>
    <w:next w:val="Style1100"/>
    <w:autoRedefine/>
    <w:uiPriority w:val="39"/>
    <w:semiHidden/>
    <w:qFormat/>
    <w:pPr>
      <w:ind w:leftChars="200" w:left="420"/>
    </w:pPr>
    <w:rPr>
      <w:rFonts w:ascii="Times New Roman" w:hAnsi="Times New Roman" w:cs="Times New Roman"/>
      <w:kern w:val="2"/>
      <w:szCs w:val="21"/>
    </w:rPr>
  </w:style>
  <w:style w:type="paragraph" w:customStyle="1" w:styleId="Style1359">
    <w:name w:val="_Style 1359"/>
    <w:basedOn w:val="Style1248"/>
    <w:semiHidden/>
    <w:qFormat/>
    <w:rPr>
      <w:rFonts w:ascii="Times New Roman" w:hAnsi="Times New Roman" w:cs="Times New Roman"/>
      <w:kern w:val="2"/>
      <w:szCs w:val="21"/>
    </w:rPr>
  </w:style>
  <w:style w:type="paragraph" w:customStyle="1" w:styleId="Style1360">
    <w:name w:val="_Style 1360"/>
    <w:basedOn w:val="Style1248"/>
    <w:autoRedefine/>
    <w:uiPriority w:val="99"/>
    <w:semiHidden/>
    <w:qFormat/>
    <w:rPr>
      <w:rFonts w:ascii="Calibri" w:hAnsi="Calibri" w:cs="Times New Roman"/>
      <w:kern w:val="2"/>
      <w:sz w:val="18"/>
      <w:szCs w:val="18"/>
    </w:rPr>
  </w:style>
  <w:style w:type="paragraph" w:customStyle="1" w:styleId="Style1361">
    <w:name w:val="_Style 1361"/>
    <w:basedOn w:val="Style1248"/>
    <w:next w:val="Style1100"/>
    <w:autoRedefine/>
    <w:uiPriority w:val="99"/>
    <w:semiHidden/>
    <w:qFormat/>
    <w:rPr>
      <w:rFonts w:ascii="Times New Roman" w:hAnsi="Times New Roman" w:cs="Times New Roman"/>
      <w:kern w:val="2"/>
      <w:szCs w:val="21"/>
    </w:rPr>
  </w:style>
  <w:style w:type="paragraph" w:customStyle="1" w:styleId="Style1362">
    <w:name w:val="_Style 1362"/>
    <w:basedOn w:val="Style1359"/>
    <w:autoRedefine/>
    <w:uiPriority w:val="99"/>
    <w:semiHidden/>
    <w:qFormat/>
    <w:rPr>
      <w:rFonts w:ascii="Calibri" w:hAnsi="Calibri"/>
      <w:b/>
      <w:bCs/>
      <w:szCs w:val="22"/>
    </w:rPr>
  </w:style>
  <w:style w:type="paragraph" w:customStyle="1" w:styleId="Style1363">
    <w:name w:val="_Style 1363"/>
    <w:basedOn w:val="Style1248"/>
    <w:next w:val="Style1100"/>
    <w:autoRedefine/>
    <w:uiPriority w:val="39"/>
    <w:semiHidden/>
    <w:qFormat/>
    <w:pPr>
      <w:spacing w:after="100" w:line="276" w:lineRule="auto"/>
      <w:ind w:left="440"/>
    </w:pPr>
    <w:rPr>
      <w:rFonts w:ascii="Calibri" w:hAnsi="Calibri" w:cs="Times New Roman"/>
      <w:sz w:val="22"/>
      <w:szCs w:val="22"/>
    </w:rPr>
  </w:style>
  <w:style w:type="paragraph" w:customStyle="1" w:styleId="Style1364">
    <w:name w:val="_Style 1364"/>
    <w:basedOn w:val="Style1248"/>
    <w:autoRedefine/>
    <w:uiPriority w:val="99"/>
    <w:semiHidden/>
    <w:qFormat/>
    <w:pPr>
      <w:spacing w:after="120"/>
    </w:pPr>
    <w:rPr>
      <w:rFonts w:ascii="Times New Roman" w:hAnsi="Times New Roman" w:cs="Times New Roman"/>
      <w:kern w:val="2"/>
      <w:szCs w:val="21"/>
    </w:rPr>
  </w:style>
  <w:style w:type="paragraph" w:customStyle="1" w:styleId="Style1365">
    <w:name w:val="_Style 1365"/>
    <w:basedOn w:val="Style1248"/>
    <w:next w:val="Style1100"/>
    <w:autoRedefine/>
    <w:uiPriority w:val="99"/>
    <w:semiHidden/>
    <w:qFormat/>
    <w:pPr>
      <w:ind w:leftChars="2500" w:left="100"/>
    </w:pPr>
    <w:rPr>
      <w:rFonts w:ascii="Times New Roman" w:hAnsi="Times New Roman" w:cs="Times New Roman"/>
      <w:kern w:val="2"/>
      <w:szCs w:val="21"/>
    </w:rPr>
  </w:style>
  <w:style w:type="paragraph" w:customStyle="1" w:styleId="Style1366">
    <w:name w:val="_Style 1366"/>
    <w:basedOn w:val="Style1248"/>
    <w:next w:val="Style1100"/>
    <w:autoRedefine/>
    <w:uiPriority w:val="99"/>
    <w:semiHidden/>
    <w:qFormat/>
    <w:pPr>
      <w:jc w:val="center"/>
    </w:pPr>
    <w:rPr>
      <w:rFonts w:ascii="Times New Roman" w:hAnsi="Times New Roman" w:cs="Times New Roman"/>
      <w:kern w:val="2"/>
      <w:szCs w:val="21"/>
    </w:rPr>
  </w:style>
  <w:style w:type="paragraph" w:customStyle="1" w:styleId="Style1367">
    <w:name w:val="_Style 1367"/>
    <w:basedOn w:val="Style1248"/>
    <w:next w:val="Style1100"/>
    <w:autoRedefine/>
    <w:semiHidden/>
    <w:qFormat/>
    <w:pPr>
      <w:spacing w:before="120"/>
    </w:pPr>
    <w:rPr>
      <w:rFonts w:ascii="Arial" w:hAnsi="Arial" w:cs="Times New Roman"/>
      <w:b/>
      <w:bCs/>
      <w:kern w:val="2"/>
      <w:szCs w:val="21"/>
    </w:rPr>
  </w:style>
  <w:style w:type="paragraph" w:customStyle="1" w:styleId="Style1368">
    <w:name w:val="_Style 1368"/>
    <w:basedOn w:val="Style1248"/>
    <w:autoRedefine/>
    <w:semiHidden/>
    <w:qFormat/>
    <w:pPr>
      <w:keepNext/>
      <w:keepLines/>
      <w:spacing w:before="60" w:after="60"/>
      <w:ind w:hangingChars="200" w:hanging="420"/>
      <w:outlineLvl w:val="4"/>
    </w:pPr>
    <w:rPr>
      <w:rFonts w:cs="Times New Roman"/>
      <w:b/>
      <w:bCs/>
      <w:kern w:val="2"/>
      <w:szCs w:val="21"/>
    </w:rPr>
  </w:style>
  <w:style w:type="paragraph" w:customStyle="1" w:styleId="Style1369">
    <w:name w:val="_Style 1369"/>
    <w:basedOn w:val="Style1248"/>
    <w:next w:val="Style1100"/>
    <w:autoRedefine/>
    <w:uiPriority w:val="39"/>
    <w:semiHidden/>
    <w:qFormat/>
    <w:pPr>
      <w:ind w:leftChars="600" w:left="1260"/>
    </w:pPr>
    <w:rPr>
      <w:rFonts w:asciiTheme="minorHAnsi" w:eastAsiaTheme="minorEastAsia" w:hAnsiTheme="minorHAnsi" w:cstheme="minorBidi"/>
      <w:kern w:val="2"/>
      <w:szCs w:val="22"/>
    </w:rPr>
  </w:style>
  <w:style w:type="paragraph" w:customStyle="1" w:styleId="Style1370">
    <w:name w:val="_Style 1370"/>
    <w:basedOn w:val="Style1248"/>
    <w:next w:val="Style1100"/>
    <w:autoRedefine/>
    <w:uiPriority w:val="39"/>
    <w:semiHidden/>
    <w:qFormat/>
    <w:pPr>
      <w:ind w:leftChars="800" w:left="1680"/>
    </w:pPr>
    <w:rPr>
      <w:rFonts w:asciiTheme="minorHAnsi" w:eastAsiaTheme="minorEastAsia" w:hAnsiTheme="minorHAnsi" w:cstheme="minorBidi"/>
      <w:kern w:val="2"/>
      <w:szCs w:val="22"/>
    </w:rPr>
  </w:style>
  <w:style w:type="paragraph" w:customStyle="1" w:styleId="Style1371">
    <w:name w:val="_Style 1371"/>
    <w:basedOn w:val="Style1248"/>
    <w:next w:val="Style1100"/>
    <w:autoRedefine/>
    <w:uiPriority w:val="39"/>
    <w:semiHidden/>
    <w:qFormat/>
    <w:pPr>
      <w:ind w:leftChars="1000" w:left="2100"/>
    </w:pPr>
    <w:rPr>
      <w:rFonts w:asciiTheme="minorHAnsi" w:eastAsiaTheme="minorEastAsia" w:hAnsiTheme="minorHAnsi" w:cstheme="minorBidi"/>
      <w:kern w:val="2"/>
      <w:szCs w:val="22"/>
    </w:rPr>
  </w:style>
  <w:style w:type="paragraph" w:customStyle="1" w:styleId="Style1372">
    <w:name w:val="_Style 1372"/>
    <w:basedOn w:val="Style1248"/>
    <w:next w:val="Style1100"/>
    <w:autoRedefine/>
    <w:uiPriority w:val="39"/>
    <w:semiHidden/>
    <w:qFormat/>
    <w:pPr>
      <w:ind w:leftChars="1200" w:left="2520"/>
    </w:pPr>
    <w:rPr>
      <w:rFonts w:asciiTheme="minorHAnsi" w:eastAsiaTheme="minorEastAsia" w:hAnsiTheme="minorHAnsi" w:cstheme="minorBidi"/>
      <w:kern w:val="2"/>
      <w:szCs w:val="22"/>
    </w:rPr>
  </w:style>
  <w:style w:type="paragraph" w:customStyle="1" w:styleId="Style1373">
    <w:name w:val="_Style 1373"/>
    <w:basedOn w:val="Style1248"/>
    <w:next w:val="Style1100"/>
    <w:autoRedefine/>
    <w:uiPriority w:val="39"/>
    <w:semiHidden/>
    <w:qFormat/>
    <w:pPr>
      <w:ind w:leftChars="1400" w:left="2940"/>
    </w:pPr>
    <w:rPr>
      <w:rFonts w:asciiTheme="minorHAnsi" w:eastAsiaTheme="minorEastAsia" w:hAnsiTheme="minorHAnsi" w:cstheme="minorBidi"/>
      <w:kern w:val="2"/>
      <w:szCs w:val="22"/>
    </w:rPr>
  </w:style>
  <w:style w:type="paragraph" w:customStyle="1" w:styleId="Style1374">
    <w:name w:val="_Style 1374"/>
    <w:basedOn w:val="Style1248"/>
    <w:next w:val="Style1100"/>
    <w:autoRedefine/>
    <w:uiPriority w:val="39"/>
    <w:semiHidden/>
    <w:qFormat/>
    <w:pPr>
      <w:ind w:leftChars="1600" w:left="3360"/>
    </w:pPr>
    <w:rPr>
      <w:rFonts w:asciiTheme="minorHAnsi" w:eastAsiaTheme="minorEastAsia" w:hAnsiTheme="minorHAnsi" w:cstheme="minorBidi"/>
      <w:kern w:val="2"/>
      <w:szCs w:val="22"/>
    </w:rPr>
  </w:style>
  <w:style w:type="paragraph" w:customStyle="1" w:styleId="Style1375">
    <w:name w:val="_Style 1375"/>
    <w:basedOn w:val="Style1248"/>
    <w:next w:val="Style1100"/>
    <w:autoRedefine/>
    <w:semiHidden/>
    <w:qFormat/>
    <w:pPr>
      <w:ind w:firstLineChars="200" w:firstLine="420"/>
    </w:pPr>
    <w:rPr>
      <w:rFonts w:cs="Times New Roman"/>
      <w:color w:val="000000"/>
      <w:szCs w:val="21"/>
    </w:rPr>
  </w:style>
  <w:style w:type="paragraph" w:customStyle="1" w:styleId="Style1376">
    <w:name w:val="_Style 1376"/>
    <w:basedOn w:val="Style1248"/>
    <w:autoRedefine/>
    <w:semiHidden/>
    <w:qFormat/>
    <w:pPr>
      <w:ind w:firstLineChars="200" w:firstLine="420"/>
    </w:pPr>
    <w:rPr>
      <w:rFonts w:ascii="Times New Roman" w:hAnsi="Times New Roman" w:cs="Times New Roman"/>
      <w:kern w:val="2"/>
      <w:szCs w:val="21"/>
    </w:rPr>
  </w:style>
  <w:style w:type="paragraph" w:customStyle="1" w:styleId="Style1377">
    <w:name w:val="_Style 1377"/>
    <w:basedOn w:val="Style1248"/>
    <w:autoRedefine/>
    <w:semiHidden/>
    <w:qFormat/>
    <w:pPr>
      <w:tabs>
        <w:tab w:val="left" w:pos="1200"/>
      </w:tabs>
    </w:pPr>
    <w:rPr>
      <w:rFonts w:ascii="Times New Roman" w:hAnsi="Times New Roman" w:cs="Times New Roman"/>
      <w:kern w:val="2"/>
      <w:szCs w:val="21"/>
    </w:rPr>
  </w:style>
  <w:style w:type="paragraph" w:customStyle="1" w:styleId="Style1378">
    <w:name w:val="_Style 1378"/>
    <w:basedOn w:val="Style1248"/>
    <w:next w:val="Style1100"/>
    <w:autoRedefine/>
    <w:semiHidden/>
    <w:qFormat/>
    <w:pPr>
      <w:keepNext/>
      <w:keepLines/>
      <w:spacing w:before="100" w:beforeAutospacing="1" w:after="100" w:afterAutospacing="1" w:line="415" w:lineRule="auto"/>
    </w:pPr>
    <w:rPr>
      <w:rFonts w:ascii="Times New Roman" w:hAnsi="Times New Roman" w:cs="Times New Roman"/>
      <w:b/>
      <w:kern w:val="2"/>
    </w:rPr>
  </w:style>
  <w:style w:type="character" w:customStyle="1" w:styleId="Style1379">
    <w:name w:val="_Style 1379"/>
    <w:basedOn w:val="Style132"/>
    <w:autoRedefine/>
    <w:semiHidden/>
    <w:qFormat/>
    <w:rPr>
      <w:sz w:val="22"/>
      <w:szCs w:val="22"/>
    </w:rPr>
  </w:style>
  <w:style w:type="paragraph" w:customStyle="1" w:styleId="Style1380">
    <w:name w:val="_Style 1380"/>
    <w:basedOn w:val="Style1248"/>
    <w:autoRedefine/>
    <w:uiPriority w:val="34"/>
    <w:semiHidden/>
    <w:qFormat/>
    <w:pPr>
      <w:ind w:firstLineChars="200" w:firstLine="420"/>
    </w:pPr>
    <w:rPr>
      <w:rFonts w:ascii="Calibri" w:hAnsi="Calibri" w:cs="Times New Roman"/>
      <w:kern w:val="2"/>
      <w:szCs w:val="22"/>
    </w:rPr>
  </w:style>
  <w:style w:type="paragraph" w:customStyle="1" w:styleId="Style1381">
    <w:name w:val="_Style 1381"/>
    <w:basedOn w:val="Style1248"/>
    <w:autoRedefine/>
    <w:uiPriority w:val="34"/>
    <w:semiHidden/>
    <w:qFormat/>
    <w:pPr>
      <w:ind w:firstLineChars="200" w:firstLine="420"/>
    </w:pPr>
    <w:rPr>
      <w:rFonts w:ascii="Calibri" w:hAnsi="Calibri" w:cs="Times New Roman"/>
      <w:kern w:val="2"/>
      <w:szCs w:val="22"/>
    </w:rPr>
  </w:style>
  <w:style w:type="paragraph" w:customStyle="1" w:styleId="Style1382">
    <w:name w:val="_Style 1382"/>
    <w:basedOn w:val="Style1248"/>
    <w:autoRedefine/>
    <w:uiPriority w:val="34"/>
    <w:semiHidden/>
    <w:qFormat/>
    <w:pPr>
      <w:ind w:firstLineChars="200" w:firstLine="420"/>
    </w:pPr>
    <w:rPr>
      <w:rFonts w:ascii="Calibri" w:hAnsi="Calibri" w:cs="Times New Roman"/>
      <w:kern w:val="2"/>
      <w:szCs w:val="22"/>
    </w:rPr>
  </w:style>
  <w:style w:type="paragraph" w:customStyle="1" w:styleId="Style1383">
    <w:name w:val="_Style 1383"/>
    <w:basedOn w:val="Style1248"/>
    <w:autoRedefine/>
    <w:uiPriority w:val="34"/>
    <w:semiHidden/>
    <w:qFormat/>
    <w:pPr>
      <w:ind w:firstLineChars="200" w:firstLine="420"/>
    </w:pPr>
    <w:rPr>
      <w:rFonts w:ascii="Calibri" w:hAnsi="Calibri" w:cs="Times New Roman"/>
      <w:kern w:val="2"/>
      <w:szCs w:val="22"/>
    </w:rPr>
  </w:style>
  <w:style w:type="paragraph" w:customStyle="1" w:styleId="Style1384">
    <w:name w:val="_Style 1384"/>
    <w:basedOn w:val="Style1248"/>
    <w:autoRedefine/>
    <w:uiPriority w:val="34"/>
    <w:semiHidden/>
    <w:qFormat/>
    <w:pPr>
      <w:ind w:firstLineChars="200" w:firstLine="420"/>
    </w:pPr>
    <w:rPr>
      <w:rFonts w:ascii="Calibri" w:hAnsi="Calibri" w:cs="Times New Roman"/>
      <w:kern w:val="2"/>
      <w:szCs w:val="22"/>
    </w:rPr>
  </w:style>
  <w:style w:type="paragraph" w:customStyle="1" w:styleId="Style1385">
    <w:name w:val="_Style 1385"/>
    <w:basedOn w:val="Style1248"/>
    <w:autoRedefine/>
    <w:uiPriority w:val="34"/>
    <w:semiHidden/>
    <w:qFormat/>
    <w:pPr>
      <w:ind w:firstLineChars="200" w:firstLine="420"/>
    </w:pPr>
    <w:rPr>
      <w:rFonts w:ascii="Calibri" w:hAnsi="Calibri" w:cs="Times New Roman"/>
      <w:kern w:val="2"/>
      <w:szCs w:val="22"/>
    </w:rPr>
  </w:style>
  <w:style w:type="paragraph" w:customStyle="1" w:styleId="Style1386">
    <w:name w:val="_Style 1386"/>
    <w:basedOn w:val="Style1248"/>
    <w:autoRedefine/>
    <w:uiPriority w:val="34"/>
    <w:semiHidden/>
    <w:qFormat/>
    <w:pPr>
      <w:ind w:firstLineChars="200" w:firstLine="420"/>
    </w:pPr>
    <w:rPr>
      <w:rFonts w:ascii="Calibri" w:hAnsi="Calibri" w:cs="Times New Roman"/>
      <w:kern w:val="2"/>
      <w:szCs w:val="22"/>
    </w:rPr>
  </w:style>
  <w:style w:type="paragraph" w:customStyle="1" w:styleId="Style1387">
    <w:name w:val="_Style 1387"/>
    <w:basedOn w:val="Style229"/>
    <w:next w:val="Style110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388">
    <w:name w:val="_Style 1388"/>
    <w:basedOn w:val="Style229"/>
    <w:next w:val="Style1100"/>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1389">
    <w:name w:val="_Style 1389"/>
    <w:basedOn w:val="Style229"/>
    <w:next w:val="Style1100"/>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1390">
    <w:name w:val="_Style 1390"/>
    <w:basedOn w:val="Style229"/>
    <w:next w:val="Style1100"/>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1391">
    <w:name w:val="_Style 1391"/>
    <w:basedOn w:val="Style229"/>
    <w:next w:val="Style1100"/>
    <w:autoRedefine/>
    <w:uiPriority w:val="9"/>
    <w:semiHidden/>
    <w:qFormat/>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Style1392">
    <w:name w:val="_Style 1392"/>
    <w:basedOn w:val="Style229"/>
    <w:next w:val="Style1100"/>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1393">
    <w:name w:val="_Style 1393"/>
    <w:basedOn w:val="Style229"/>
    <w:next w:val="Style1100"/>
    <w:autoRedefine/>
    <w:uiPriority w:val="9"/>
    <w:semiHidden/>
    <w:qFormat/>
    <w:pPr>
      <w:keepNext/>
      <w:keepLines/>
      <w:spacing w:before="240" w:after="64" w:line="320" w:lineRule="auto"/>
      <w:outlineLvl w:val="6"/>
    </w:pPr>
    <w:rPr>
      <w:b/>
      <w:bCs/>
      <w:sz w:val="24"/>
    </w:rPr>
  </w:style>
  <w:style w:type="paragraph" w:customStyle="1" w:styleId="Style1394">
    <w:name w:val="_Style 1394"/>
    <w:basedOn w:val="Style1387"/>
    <w:next w:val="Style110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395">
    <w:name w:val="_Style 1395"/>
    <w:basedOn w:val="Style229"/>
    <w:next w:val="Style1100"/>
    <w:autoRedefine/>
    <w:uiPriority w:val="39"/>
    <w:semiHidden/>
    <w:qFormat/>
    <w:pPr>
      <w:widowControl w:val="0"/>
      <w:ind w:leftChars="200" w:left="420"/>
      <w:jc w:val="both"/>
    </w:pPr>
    <w:rPr>
      <w:rFonts w:ascii="Times New Roman" w:hAnsi="Times New Roman" w:cs="Times New Roman"/>
      <w:kern w:val="2"/>
      <w:szCs w:val="21"/>
    </w:rPr>
  </w:style>
  <w:style w:type="paragraph" w:customStyle="1" w:styleId="Style1396">
    <w:name w:val="_Style 1396"/>
    <w:basedOn w:val="Style229"/>
    <w:next w:val="Style1100"/>
    <w:autoRedefine/>
    <w:uiPriority w:val="99"/>
    <w:semiHidden/>
    <w:qFormat/>
    <w:pPr>
      <w:widowControl w:val="0"/>
      <w:jc w:val="both"/>
    </w:pPr>
    <w:rPr>
      <w:rFonts w:ascii="Times New Roman" w:hAnsi="Times New Roman" w:cs="Times New Roman"/>
      <w:kern w:val="2"/>
      <w:szCs w:val="21"/>
    </w:rPr>
  </w:style>
  <w:style w:type="paragraph" w:customStyle="1" w:styleId="Style1397">
    <w:name w:val="_Style 1397"/>
    <w:basedOn w:val="Style229"/>
    <w:next w:val="Style1100"/>
    <w:autoRedefine/>
    <w:uiPriority w:val="39"/>
    <w:semiHidden/>
    <w:qFormat/>
    <w:pPr>
      <w:spacing w:after="100" w:line="276" w:lineRule="auto"/>
      <w:ind w:left="440"/>
    </w:pPr>
    <w:rPr>
      <w:rFonts w:ascii="Calibri" w:hAnsi="Calibri" w:cs="Times New Roman"/>
      <w:sz w:val="22"/>
      <w:szCs w:val="22"/>
    </w:rPr>
  </w:style>
  <w:style w:type="paragraph" w:customStyle="1" w:styleId="Style1398">
    <w:name w:val="_Style 1398"/>
    <w:basedOn w:val="Style229"/>
    <w:next w:val="Style1100"/>
    <w:autoRedefine/>
    <w:uiPriority w:val="99"/>
    <w:semiHidden/>
    <w:qFormat/>
    <w:pPr>
      <w:widowControl w:val="0"/>
      <w:ind w:leftChars="2500" w:left="100"/>
      <w:jc w:val="both"/>
    </w:pPr>
    <w:rPr>
      <w:rFonts w:ascii="Times New Roman" w:hAnsi="Times New Roman" w:cs="Times New Roman"/>
      <w:kern w:val="2"/>
      <w:szCs w:val="21"/>
    </w:rPr>
  </w:style>
  <w:style w:type="paragraph" w:customStyle="1" w:styleId="Style1399">
    <w:name w:val="_Style 1399"/>
    <w:basedOn w:val="Style229"/>
    <w:next w:val="Style1100"/>
    <w:autoRedefine/>
    <w:uiPriority w:val="99"/>
    <w:semiHidden/>
    <w:qFormat/>
    <w:pPr>
      <w:widowControl w:val="0"/>
      <w:jc w:val="center"/>
    </w:pPr>
    <w:rPr>
      <w:rFonts w:ascii="Times New Roman" w:hAnsi="Times New Roman" w:cs="Times New Roman"/>
      <w:kern w:val="2"/>
      <w:szCs w:val="21"/>
    </w:rPr>
  </w:style>
  <w:style w:type="paragraph" w:customStyle="1" w:styleId="Style1400">
    <w:name w:val="_Style 1400"/>
    <w:basedOn w:val="Style229"/>
    <w:next w:val="Style1100"/>
    <w:autoRedefine/>
    <w:semiHidden/>
    <w:qFormat/>
    <w:pPr>
      <w:widowControl w:val="0"/>
      <w:spacing w:before="120"/>
      <w:jc w:val="both"/>
    </w:pPr>
    <w:rPr>
      <w:rFonts w:ascii="Arial" w:hAnsi="Arial" w:cs="Times New Roman"/>
      <w:b/>
      <w:bCs/>
      <w:kern w:val="2"/>
      <w:szCs w:val="21"/>
    </w:rPr>
  </w:style>
  <w:style w:type="character" w:customStyle="1" w:styleId="Style1401">
    <w:name w:val="_Style 1401"/>
    <w:basedOn w:val="Style237"/>
    <w:autoRedefine/>
    <w:uiPriority w:val="99"/>
    <w:qFormat/>
    <w:rPr>
      <w:rFonts w:ascii="宋体" w:hAnsi="宋体" w:cs="宋体"/>
      <w:sz w:val="24"/>
      <w:szCs w:val="24"/>
    </w:rPr>
  </w:style>
  <w:style w:type="paragraph" w:customStyle="1" w:styleId="Style1402">
    <w:name w:val="_Style 1402"/>
    <w:basedOn w:val="Style229"/>
    <w:next w:val="Style1100"/>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1403">
    <w:name w:val="_Style 1403"/>
    <w:basedOn w:val="Style229"/>
    <w:next w:val="Style1100"/>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1404">
    <w:name w:val="_Style 1404"/>
    <w:basedOn w:val="Style229"/>
    <w:next w:val="Style1100"/>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1405">
    <w:name w:val="_Style 1405"/>
    <w:basedOn w:val="Style229"/>
    <w:next w:val="Style1100"/>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1406">
    <w:name w:val="_Style 1406"/>
    <w:basedOn w:val="Style229"/>
    <w:next w:val="Style1100"/>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1407">
    <w:name w:val="_Style 1407"/>
    <w:basedOn w:val="Style229"/>
    <w:next w:val="Style1100"/>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1408">
    <w:name w:val="_Style 1408"/>
    <w:basedOn w:val="Style229"/>
    <w:next w:val="Style1100"/>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paragraph" w:customStyle="1" w:styleId="Style1409">
    <w:name w:val="_Style 1409"/>
    <w:basedOn w:val="Style229"/>
    <w:next w:val="Style1100"/>
    <w:autoRedefine/>
    <w:semiHidden/>
    <w:qFormat/>
    <w:pPr>
      <w:ind w:firstLineChars="200" w:firstLine="420"/>
    </w:pPr>
    <w:rPr>
      <w:rFonts w:cs="Times New Roman"/>
      <w:color w:val="000000"/>
      <w:szCs w:val="21"/>
    </w:rPr>
  </w:style>
  <w:style w:type="paragraph" w:customStyle="1" w:styleId="Style1410">
    <w:name w:val="_Style 1410"/>
    <w:basedOn w:val="Style229"/>
    <w:next w:val="Style1100"/>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Style1411">
    <w:name w:val="_Style 1411"/>
    <w:basedOn w:val="Style237"/>
    <w:autoRedefine/>
    <w:uiPriority w:val="34"/>
    <w:semiHidden/>
    <w:qFormat/>
    <w:rPr>
      <w:kern w:val="2"/>
      <w:sz w:val="21"/>
      <w:szCs w:val="22"/>
    </w:rPr>
  </w:style>
  <w:style w:type="paragraph" w:customStyle="1" w:styleId="Style1412">
    <w:name w:val="_Style 1412"/>
    <w:basedOn w:val="Style229"/>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13">
    <w:name w:val="_Style 1413"/>
    <w:basedOn w:val="Style229"/>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14">
    <w:name w:val="_Style 1414"/>
    <w:basedOn w:val="Style229"/>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15">
    <w:name w:val="_Style 1415"/>
    <w:basedOn w:val="Style229"/>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16">
    <w:name w:val="_Style 1416"/>
    <w:basedOn w:val="Style229"/>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17">
    <w:name w:val="_Style 1417"/>
    <w:basedOn w:val="Style229"/>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18">
    <w:name w:val="_Style 1418"/>
    <w:basedOn w:val="Style229"/>
    <w:next w:val="aff7"/>
    <w:autoRedefine/>
    <w:uiPriority w:val="34"/>
    <w:semiHidden/>
    <w:qFormat/>
    <w:pPr>
      <w:widowControl w:val="0"/>
      <w:ind w:firstLineChars="200" w:firstLine="420"/>
      <w:jc w:val="both"/>
    </w:pPr>
    <w:rPr>
      <w:rFonts w:ascii="Calibri" w:hAnsi="Calibri" w:cs="Times New Roman"/>
      <w:kern w:val="2"/>
      <w:szCs w:val="22"/>
    </w:rPr>
  </w:style>
  <w:style w:type="character" w:customStyle="1" w:styleId="Style1419">
    <w:name w:val="_Style 1419"/>
    <w:basedOn w:val="Style339"/>
    <w:autoRedefine/>
    <w:semiHidden/>
    <w:qFormat/>
    <w:rPr>
      <w:rFonts w:ascii="宋体" w:hAnsi="宋体" w:cs="宋体"/>
      <w:kern w:val="2"/>
      <w:sz w:val="21"/>
      <w:szCs w:val="21"/>
    </w:rPr>
  </w:style>
  <w:style w:type="character" w:customStyle="1" w:styleId="Style1420">
    <w:name w:val="_Style 1420"/>
    <w:basedOn w:val="Style339"/>
    <w:autoRedefine/>
    <w:uiPriority w:val="99"/>
    <w:semiHidden/>
    <w:qFormat/>
    <w:rPr>
      <w:kern w:val="2"/>
      <w:sz w:val="21"/>
      <w:szCs w:val="22"/>
    </w:rPr>
  </w:style>
  <w:style w:type="character" w:customStyle="1" w:styleId="Style1421">
    <w:name w:val="_Style 1421"/>
    <w:basedOn w:val="Style1245"/>
    <w:autoRedefine/>
    <w:semiHidden/>
    <w:qFormat/>
    <w:rPr>
      <w:rFonts w:ascii="宋体" w:eastAsia="宋体" w:hAnsi="宋体" w:hint="eastAsia"/>
      <w:color w:val="000000"/>
      <w:sz w:val="22"/>
      <w:szCs w:val="22"/>
    </w:rPr>
  </w:style>
  <w:style w:type="character" w:customStyle="1" w:styleId="Style1422">
    <w:name w:val="_Style 1422"/>
    <w:basedOn w:val="Style1245"/>
    <w:autoRedefine/>
    <w:semiHidden/>
    <w:qFormat/>
    <w:rPr>
      <w:rFonts w:ascii="Times New Roman" w:hAnsi="Times New Roman" w:cs="Times New Roman" w:hint="default"/>
      <w:color w:val="000000"/>
      <w:sz w:val="22"/>
      <w:szCs w:val="22"/>
    </w:rPr>
  </w:style>
  <w:style w:type="character" w:customStyle="1" w:styleId="Style1423">
    <w:name w:val="_Style 1423"/>
    <w:basedOn w:val="Style1245"/>
    <w:autoRedefine/>
    <w:semiHidden/>
    <w:qFormat/>
    <w:rPr>
      <w:rFonts w:ascii="宋体" w:eastAsia="宋体" w:hAnsi="宋体" w:hint="eastAsia"/>
      <w:color w:val="000000"/>
      <w:sz w:val="21"/>
      <w:szCs w:val="21"/>
    </w:rPr>
  </w:style>
  <w:style w:type="paragraph" w:customStyle="1" w:styleId="Style1424">
    <w:name w:val="_Style 1424"/>
    <w:basedOn w:val="Style1237"/>
    <w:next w:val="Style1152"/>
    <w:autoRedefine/>
    <w:uiPriority w:val="39"/>
    <w:semiHidden/>
    <w:qFormat/>
    <w:pPr>
      <w:ind w:leftChars="1200" w:left="2520"/>
    </w:pPr>
    <w:rPr>
      <w:rFonts w:asciiTheme="minorHAnsi" w:eastAsiaTheme="minorEastAsia" w:hAnsiTheme="minorHAnsi" w:cstheme="minorBidi"/>
      <w:kern w:val="2"/>
      <w:sz w:val="21"/>
      <w:szCs w:val="22"/>
    </w:rPr>
  </w:style>
  <w:style w:type="paragraph" w:customStyle="1" w:styleId="Style1425">
    <w:name w:val="_Style 1425"/>
    <w:basedOn w:val="Style1237"/>
    <w:next w:val="Style1152"/>
    <w:autoRedefine/>
    <w:uiPriority w:val="39"/>
    <w:semiHidden/>
    <w:qFormat/>
    <w:pPr>
      <w:ind w:leftChars="800" w:left="1680"/>
    </w:pPr>
    <w:rPr>
      <w:rFonts w:asciiTheme="minorHAnsi" w:eastAsiaTheme="minorEastAsia" w:hAnsiTheme="minorHAnsi" w:cstheme="minorBidi"/>
      <w:kern w:val="2"/>
      <w:sz w:val="21"/>
      <w:szCs w:val="22"/>
    </w:rPr>
  </w:style>
  <w:style w:type="paragraph" w:customStyle="1" w:styleId="Style1426">
    <w:name w:val="_Style 1426"/>
    <w:basedOn w:val="Style1237"/>
    <w:next w:val="Style1152"/>
    <w:autoRedefine/>
    <w:uiPriority w:val="39"/>
    <w:semiHidden/>
    <w:qFormat/>
    <w:pPr>
      <w:spacing w:after="100" w:line="276" w:lineRule="auto"/>
      <w:ind w:left="440"/>
    </w:pPr>
    <w:rPr>
      <w:rFonts w:ascii="Calibri" w:hAnsi="Calibri" w:cs="Times New Roman"/>
      <w:sz w:val="22"/>
      <w:szCs w:val="22"/>
    </w:rPr>
  </w:style>
  <w:style w:type="paragraph" w:customStyle="1" w:styleId="Style1427">
    <w:name w:val="_Style 1427"/>
    <w:basedOn w:val="Style1237"/>
    <w:next w:val="Style1152"/>
    <w:autoRedefine/>
    <w:uiPriority w:val="39"/>
    <w:semiHidden/>
    <w:qFormat/>
    <w:pPr>
      <w:ind w:leftChars="1400" w:left="2940"/>
    </w:pPr>
    <w:rPr>
      <w:rFonts w:asciiTheme="minorHAnsi" w:eastAsiaTheme="minorEastAsia" w:hAnsiTheme="minorHAnsi" w:cstheme="minorBidi"/>
      <w:kern w:val="2"/>
      <w:sz w:val="21"/>
      <w:szCs w:val="22"/>
    </w:rPr>
  </w:style>
  <w:style w:type="paragraph" w:customStyle="1" w:styleId="Style1428">
    <w:name w:val="_Style 1428"/>
    <w:basedOn w:val="Style1237"/>
    <w:next w:val="Style1152"/>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1429">
    <w:name w:val="_Style 1429"/>
    <w:basedOn w:val="Style1237"/>
    <w:next w:val="Style1152"/>
    <w:autoRedefine/>
    <w:uiPriority w:val="39"/>
    <w:semiHidden/>
    <w:qFormat/>
    <w:pPr>
      <w:ind w:leftChars="600" w:left="1260"/>
    </w:pPr>
    <w:rPr>
      <w:rFonts w:asciiTheme="minorHAnsi" w:eastAsiaTheme="minorEastAsia" w:hAnsiTheme="minorHAnsi" w:cstheme="minorBidi"/>
      <w:kern w:val="2"/>
      <w:sz w:val="21"/>
      <w:szCs w:val="22"/>
    </w:rPr>
  </w:style>
  <w:style w:type="paragraph" w:customStyle="1" w:styleId="Style1430">
    <w:name w:val="_Style 1430"/>
    <w:basedOn w:val="Style1237"/>
    <w:next w:val="Style1152"/>
    <w:autoRedefine/>
    <w:uiPriority w:val="39"/>
    <w:semiHidden/>
    <w:qFormat/>
    <w:pPr>
      <w:ind w:leftChars="1000" w:left="2100"/>
    </w:pPr>
    <w:rPr>
      <w:rFonts w:asciiTheme="minorHAnsi" w:eastAsiaTheme="minorEastAsia" w:hAnsiTheme="minorHAnsi" w:cstheme="minorBidi"/>
      <w:kern w:val="2"/>
      <w:sz w:val="21"/>
      <w:szCs w:val="22"/>
    </w:rPr>
  </w:style>
  <w:style w:type="paragraph" w:customStyle="1" w:styleId="Style1431">
    <w:name w:val="_Style 1431"/>
    <w:basedOn w:val="Style1237"/>
    <w:next w:val="Style1152"/>
    <w:autoRedefine/>
    <w:uiPriority w:val="39"/>
    <w:semiHidden/>
    <w:qFormat/>
    <w:pPr>
      <w:ind w:leftChars="200" w:left="420"/>
    </w:pPr>
    <w:rPr>
      <w:rFonts w:ascii="Times New Roman" w:hAnsi="Times New Roman" w:cs="Times New Roman"/>
      <w:kern w:val="2"/>
      <w:sz w:val="21"/>
      <w:szCs w:val="21"/>
    </w:rPr>
  </w:style>
  <w:style w:type="paragraph" w:customStyle="1" w:styleId="Style1432">
    <w:name w:val="_Style 1432"/>
    <w:basedOn w:val="Style1237"/>
    <w:next w:val="Style1152"/>
    <w:autoRedefine/>
    <w:uiPriority w:val="39"/>
    <w:semiHidden/>
    <w:qFormat/>
    <w:pPr>
      <w:ind w:leftChars="1600" w:left="3360"/>
    </w:pPr>
    <w:rPr>
      <w:rFonts w:asciiTheme="minorHAnsi" w:eastAsiaTheme="minorEastAsia" w:hAnsiTheme="minorHAnsi" w:cstheme="minorBidi"/>
      <w:kern w:val="2"/>
      <w:sz w:val="21"/>
      <w:szCs w:val="22"/>
    </w:rPr>
  </w:style>
  <w:style w:type="paragraph" w:customStyle="1" w:styleId="Style1433">
    <w:name w:val="_Style 1433"/>
    <w:basedOn w:val="Style1237"/>
    <w:next w:val="Style1152"/>
    <w:autoRedefine/>
    <w:semiHidden/>
    <w:qFormat/>
    <w:pPr>
      <w:ind w:firstLine="420"/>
    </w:pPr>
    <w:rPr>
      <w:rFonts w:cs="Times New Roman"/>
      <w:color w:val="000000"/>
      <w:sz w:val="21"/>
      <w:szCs w:val="21"/>
    </w:rPr>
  </w:style>
  <w:style w:type="character" w:customStyle="1" w:styleId="Style1434">
    <w:name w:val="_Style 1434"/>
    <w:basedOn w:val="Style1245"/>
    <w:autoRedefine/>
    <w:uiPriority w:val="99"/>
    <w:semiHidden/>
    <w:qFormat/>
    <w:rPr>
      <w:rFonts w:cs="Times New Roman"/>
      <w:color w:val="0000FF"/>
      <w:u w:val="single"/>
    </w:rPr>
  </w:style>
  <w:style w:type="character" w:customStyle="1" w:styleId="Style1435">
    <w:name w:val="_Style 1435"/>
    <w:basedOn w:val="Style1245"/>
    <w:autoRedefine/>
    <w:semiHidden/>
    <w:qFormat/>
    <w:rPr>
      <w:rFonts w:eastAsia="宋体" w:cs="Times New Roman"/>
      <w:kern w:val="2"/>
      <w:sz w:val="21"/>
      <w:szCs w:val="21"/>
      <w:lang w:val="en-US" w:eastAsia="zh-CN" w:bidi="ar-SA"/>
    </w:rPr>
  </w:style>
  <w:style w:type="paragraph" w:customStyle="1" w:styleId="Style1436">
    <w:name w:val="_Style 1436"/>
    <w:basedOn w:val="Style1238"/>
    <w:next w:val="Style1152"/>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437">
    <w:name w:val="_Style 1437"/>
    <w:basedOn w:val="Style1237"/>
    <w:autoRedefine/>
    <w:semiHidden/>
    <w:qFormat/>
    <w:pPr>
      <w:keepNext/>
      <w:keepLines/>
      <w:spacing w:before="60" w:after="60"/>
      <w:ind w:hangingChars="200" w:hanging="420"/>
      <w:outlineLvl w:val="4"/>
    </w:pPr>
    <w:rPr>
      <w:rFonts w:cs="Times New Roman"/>
      <w:b/>
      <w:bCs/>
      <w:kern w:val="2"/>
      <w:sz w:val="21"/>
      <w:szCs w:val="21"/>
    </w:rPr>
  </w:style>
  <w:style w:type="character" w:customStyle="1" w:styleId="Style1438">
    <w:name w:val="_Style 1438"/>
    <w:basedOn w:val="Style1245"/>
    <w:autoRedefine/>
    <w:semiHidden/>
    <w:qFormat/>
    <w:rPr>
      <w:kern w:val="2"/>
      <w:sz w:val="21"/>
      <w:szCs w:val="24"/>
    </w:rPr>
  </w:style>
  <w:style w:type="paragraph" w:customStyle="1" w:styleId="Style1439">
    <w:name w:val="_Style 1439"/>
    <w:basedOn w:val="Style1237"/>
    <w:autoRedefine/>
    <w:semiHidden/>
    <w:qFormat/>
    <w:pPr>
      <w:spacing w:before="100" w:after="100"/>
    </w:pPr>
    <w:rPr>
      <w:rFonts w:ascii="Calibri" w:hAnsi="Calibri" w:cs="Times New Roman"/>
      <w:kern w:val="2"/>
      <w:sz w:val="21"/>
    </w:rPr>
  </w:style>
  <w:style w:type="character" w:customStyle="1" w:styleId="Style1440">
    <w:name w:val="_Style 1440"/>
    <w:basedOn w:val="Style1245"/>
    <w:autoRedefine/>
    <w:uiPriority w:val="99"/>
    <w:semiHidden/>
    <w:qFormat/>
    <w:rPr>
      <w:color w:val="auto"/>
    </w:rPr>
  </w:style>
  <w:style w:type="paragraph" w:customStyle="1" w:styleId="Style1441">
    <w:name w:val="_Style 1441"/>
    <w:basedOn w:val="Style1237"/>
    <w:next w:val="Style1152"/>
    <w:autoRedefine/>
    <w:semiHidden/>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Style1442">
    <w:name w:val="_Style 1442"/>
    <w:basedOn w:val="Style1245"/>
    <w:autoRedefine/>
    <w:semiHidden/>
    <w:qFormat/>
    <w:rPr>
      <w:rFonts w:ascii="Times New Roman" w:hAnsi="Times New Roman"/>
      <w:b/>
      <w:kern w:val="2"/>
      <w:sz w:val="21"/>
      <w:szCs w:val="24"/>
    </w:rPr>
  </w:style>
  <w:style w:type="character" w:customStyle="1" w:styleId="Style1443">
    <w:name w:val="_Style 1443"/>
    <w:basedOn w:val="aff8"/>
    <w:autoRedefine/>
    <w:uiPriority w:val="99"/>
    <w:semiHidden/>
    <w:qFormat/>
    <w:rPr>
      <w:rFonts w:ascii="Times New Roman" w:eastAsia="宋体" w:hAnsi="Times New Roman" w:cs="Times New Roman"/>
      <w:b/>
      <w:bCs/>
      <w:kern w:val="2"/>
      <w:sz w:val="21"/>
      <w:szCs w:val="21"/>
    </w:rPr>
  </w:style>
  <w:style w:type="paragraph" w:customStyle="1" w:styleId="Style1444">
    <w:name w:val="_Style 1444"/>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445">
    <w:name w:val="_Style 1445"/>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446">
    <w:name w:val="_Style 1446"/>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447">
    <w:name w:val="_Style 1447"/>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448">
    <w:name w:val="_Style 1448"/>
    <w:basedOn w:val="Style1237"/>
    <w:autoRedefine/>
    <w:semiHidden/>
    <w:qFormat/>
    <w:pPr>
      <w:ind w:firstLine="420"/>
    </w:pPr>
    <w:rPr>
      <w:rFonts w:ascii="Calibri" w:hAnsi="Calibri" w:cs="Times New Roman"/>
      <w:kern w:val="2"/>
      <w:sz w:val="21"/>
      <w:szCs w:val="21"/>
    </w:rPr>
  </w:style>
  <w:style w:type="paragraph" w:customStyle="1" w:styleId="Style1449">
    <w:name w:val="_Style 1449"/>
    <w:basedOn w:val="Style1258"/>
    <w:autoRedefine/>
    <w:uiPriority w:val="99"/>
    <w:semiHidden/>
    <w:qFormat/>
    <w:pPr>
      <w:widowControl/>
      <w:ind w:firstLineChars="100" w:firstLine="420"/>
      <w:jc w:val="left"/>
    </w:pPr>
    <w:rPr>
      <w:rFonts w:ascii="宋体" w:hAnsi="宋体" w:cs="宋体"/>
      <w:kern w:val="0"/>
      <w:sz w:val="24"/>
      <w:szCs w:val="24"/>
    </w:rPr>
  </w:style>
  <w:style w:type="character" w:customStyle="1" w:styleId="Style1450">
    <w:name w:val="_Style 1450"/>
    <w:basedOn w:val="Style1306"/>
    <w:autoRedefine/>
    <w:uiPriority w:val="99"/>
    <w:semiHidden/>
    <w:qFormat/>
    <w:rPr>
      <w:rFonts w:ascii="宋体" w:eastAsia="宋体" w:hAnsi="宋体" w:cs="宋体"/>
      <w:kern w:val="2"/>
      <w:sz w:val="24"/>
      <w:szCs w:val="24"/>
    </w:rPr>
  </w:style>
  <w:style w:type="paragraph" w:customStyle="1" w:styleId="Style1451">
    <w:name w:val="_Style 1451"/>
    <w:basedOn w:val="Style1237"/>
    <w:autoRedefine/>
    <w:uiPriority w:val="99"/>
    <w:semiHidden/>
    <w:qFormat/>
    <w:pPr>
      <w:spacing w:after="120"/>
      <w:ind w:leftChars="200" w:left="420"/>
    </w:pPr>
  </w:style>
  <w:style w:type="character" w:customStyle="1" w:styleId="Style1452">
    <w:name w:val="_Style 1452"/>
    <w:basedOn w:val="Style1245"/>
    <w:autoRedefine/>
    <w:uiPriority w:val="99"/>
    <w:semiHidden/>
    <w:qFormat/>
    <w:rPr>
      <w:rFonts w:ascii="宋体" w:hAnsi="宋体" w:cs="宋体"/>
      <w:sz w:val="24"/>
      <w:szCs w:val="24"/>
    </w:rPr>
  </w:style>
  <w:style w:type="character" w:customStyle="1" w:styleId="Style1453">
    <w:name w:val="_Style 1453"/>
    <w:basedOn w:val="Style1452"/>
    <w:autoRedefine/>
    <w:uiPriority w:val="34"/>
    <w:semiHidden/>
    <w:qFormat/>
    <w:rPr>
      <w:rFonts w:ascii="宋体" w:hAnsi="宋体" w:cs="宋体"/>
      <w:kern w:val="2"/>
      <w:sz w:val="21"/>
      <w:szCs w:val="22"/>
    </w:rPr>
  </w:style>
  <w:style w:type="paragraph" w:customStyle="1" w:styleId="Style1454">
    <w:name w:val="_Style 1454"/>
    <w:basedOn w:val="Style1237"/>
    <w:autoRedefine/>
    <w:uiPriority w:val="99"/>
    <w:semiHidden/>
    <w:qFormat/>
    <w:pPr>
      <w:spacing w:after="120" w:line="480" w:lineRule="auto"/>
    </w:pPr>
  </w:style>
  <w:style w:type="character" w:customStyle="1" w:styleId="Style1455">
    <w:name w:val="_Style 1455"/>
    <w:basedOn w:val="Style1245"/>
    <w:autoRedefine/>
    <w:uiPriority w:val="99"/>
    <w:semiHidden/>
    <w:qFormat/>
    <w:rPr>
      <w:rFonts w:ascii="宋体" w:hAnsi="宋体" w:cs="宋体"/>
      <w:sz w:val="24"/>
      <w:szCs w:val="24"/>
    </w:rPr>
  </w:style>
  <w:style w:type="paragraph" w:customStyle="1" w:styleId="Style1456">
    <w:name w:val="_Style 1456"/>
    <w:basedOn w:val="Style1237"/>
    <w:autoRedefine/>
    <w:uiPriority w:val="99"/>
    <w:semiHidden/>
    <w:qFormat/>
    <w:pPr>
      <w:spacing w:after="120"/>
    </w:pPr>
    <w:rPr>
      <w:sz w:val="16"/>
      <w:szCs w:val="16"/>
    </w:rPr>
  </w:style>
  <w:style w:type="character" w:customStyle="1" w:styleId="Style1457">
    <w:name w:val="_Style 1457"/>
    <w:basedOn w:val="Style1245"/>
    <w:autoRedefine/>
    <w:uiPriority w:val="99"/>
    <w:semiHidden/>
    <w:qFormat/>
    <w:rPr>
      <w:rFonts w:ascii="宋体" w:hAnsi="宋体" w:cs="宋体"/>
      <w:sz w:val="16"/>
      <w:szCs w:val="16"/>
    </w:rPr>
  </w:style>
  <w:style w:type="paragraph" w:customStyle="1" w:styleId="Style1458">
    <w:name w:val="_Style 1458"/>
    <w:basedOn w:val="Style1237"/>
    <w:autoRedefine/>
    <w:uiPriority w:val="99"/>
    <w:semiHidden/>
    <w:qFormat/>
    <w:pPr>
      <w:spacing w:after="120" w:line="480" w:lineRule="auto"/>
      <w:ind w:leftChars="200" w:left="420"/>
    </w:pPr>
  </w:style>
  <w:style w:type="character" w:customStyle="1" w:styleId="Style1459">
    <w:name w:val="_Style 1459"/>
    <w:basedOn w:val="Style1245"/>
    <w:autoRedefine/>
    <w:uiPriority w:val="99"/>
    <w:semiHidden/>
    <w:qFormat/>
    <w:rPr>
      <w:rFonts w:ascii="宋体" w:hAnsi="宋体" w:cs="宋体"/>
      <w:sz w:val="24"/>
      <w:szCs w:val="24"/>
    </w:rPr>
  </w:style>
  <w:style w:type="paragraph" w:customStyle="1" w:styleId="Style1460">
    <w:name w:val="_Style 1460"/>
    <w:basedOn w:val="Style1237"/>
    <w:autoRedefine/>
    <w:uiPriority w:val="99"/>
    <w:semiHidden/>
    <w:qFormat/>
    <w:pPr>
      <w:spacing w:after="120"/>
      <w:ind w:leftChars="200" w:left="420"/>
    </w:pPr>
    <w:rPr>
      <w:sz w:val="16"/>
      <w:szCs w:val="16"/>
    </w:rPr>
  </w:style>
  <w:style w:type="paragraph" w:customStyle="1" w:styleId="Style1461">
    <w:name w:val="_Style 1461"/>
    <w:basedOn w:val="Style480"/>
    <w:next w:val="Style110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462">
    <w:name w:val="_Style 1462"/>
    <w:basedOn w:val="Style480"/>
    <w:next w:val="Style1100"/>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1463">
    <w:name w:val="_Style 1463"/>
    <w:basedOn w:val="Style480"/>
    <w:next w:val="Style1100"/>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1464">
    <w:name w:val="_Style 1464"/>
    <w:basedOn w:val="Style480"/>
    <w:next w:val="Style1100"/>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1465">
    <w:name w:val="_Style 1465"/>
    <w:basedOn w:val="Style480"/>
    <w:next w:val="Style1100"/>
    <w:autoRedefine/>
    <w:uiPriority w:val="9"/>
    <w:semiHidden/>
    <w:qFormat/>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Style1466">
    <w:name w:val="_Style 1466"/>
    <w:basedOn w:val="Style480"/>
    <w:next w:val="Style1100"/>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1467">
    <w:name w:val="_Style 1467"/>
    <w:basedOn w:val="Style480"/>
    <w:next w:val="Style1100"/>
    <w:autoRedefine/>
    <w:uiPriority w:val="9"/>
    <w:semiHidden/>
    <w:qFormat/>
    <w:pPr>
      <w:keepNext/>
      <w:keepLines/>
      <w:spacing w:before="240" w:after="64" w:line="320" w:lineRule="auto"/>
      <w:outlineLvl w:val="6"/>
    </w:pPr>
    <w:rPr>
      <w:b/>
      <w:bCs/>
    </w:rPr>
  </w:style>
  <w:style w:type="paragraph" w:customStyle="1" w:styleId="Style1468">
    <w:name w:val="_Style 1468"/>
    <w:basedOn w:val="Style1461"/>
    <w:next w:val="Style110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469">
    <w:name w:val="_Style 1469"/>
    <w:basedOn w:val="Style480"/>
    <w:next w:val="Style1100"/>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1470">
    <w:name w:val="_Style 1470"/>
    <w:basedOn w:val="Style480"/>
    <w:next w:val="Style1100"/>
    <w:autoRedefine/>
    <w:uiPriority w:val="39"/>
    <w:semiHidden/>
    <w:qFormat/>
    <w:pPr>
      <w:widowControl w:val="0"/>
      <w:ind w:leftChars="200" w:left="420"/>
      <w:jc w:val="both"/>
    </w:pPr>
    <w:rPr>
      <w:rFonts w:ascii="Times New Roman" w:hAnsi="Times New Roman" w:cs="Times New Roman"/>
      <w:kern w:val="2"/>
      <w:szCs w:val="21"/>
    </w:rPr>
  </w:style>
  <w:style w:type="paragraph" w:customStyle="1" w:styleId="Style1471">
    <w:name w:val="_Style 1471"/>
    <w:basedOn w:val="Style480"/>
    <w:next w:val="Style1100"/>
    <w:autoRedefine/>
    <w:uiPriority w:val="99"/>
    <w:semiHidden/>
    <w:qFormat/>
    <w:pPr>
      <w:widowControl w:val="0"/>
      <w:jc w:val="both"/>
    </w:pPr>
    <w:rPr>
      <w:rFonts w:ascii="Times New Roman" w:hAnsi="Times New Roman" w:cs="Times New Roman"/>
      <w:kern w:val="2"/>
      <w:szCs w:val="21"/>
    </w:rPr>
  </w:style>
  <w:style w:type="paragraph" w:customStyle="1" w:styleId="Style1472">
    <w:name w:val="_Style 1472"/>
    <w:basedOn w:val="Style480"/>
    <w:next w:val="Style1100"/>
    <w:autoRedefine/>
    <w:uiPriority w:val="39"/>
    <w:semiHidden/>
    <w:qFormat/>
    <w:pPr>
      <w:spacing w:after="100" w:line="276" w:lineRule="auto"/>
      <w:ind w:left="440"/>
    </w:pPr>
    <w:rPr>
      <w:rFonts w:ascii="Calibri" w:hAnsi="Calibri" w:cs="Times New Roman"/>
      <w:sz w:val="22"/>
      <w:szCs w:val="22"/>
    </w:rPr>
  </w:style>
  <w:style w:type="paragraph" w:customStyle="1" w:styleId="Style1473">
    <w:name w:val="_Style 1473"/>
    <w:basedOn w:val="Style480"/>
    <w:next w:val="Style1100"/>
    <w:autoRedefine/>
    <w:uiPriority w:val="99"/>
    <w:semiHidden/>
    <w:qFormat/>
    <w:pPr>
      <w:widowControl w:val="0"/>
      <w:ind w:leftChars="2500" w:left="100"/>
      <w:jc w:val="both"/>
    </w:pPr>
    <w:rPr>
      <w:rFonts w:ascii="Times New Roman" w:hAnsi="Times New Roman" w:cs="Times New Roman"/>
      <w:kern w:val="2"/>
      <w:szCs w:val="21"/>
    </w:rPr>
  </w:style>
  <w:style w:type="paragraph" w:customStyle="1" w:styleId="Style1474">
    <w:name w:val="_Style 1474"/>
    <w:basedOn w:val="Style480"/>
    <w:next w:val="Style1100"/>
    <w:autoRedefine/>
    <w:uiPriority w:val="99"/>
    <w:semiHidden/>
    <w:qFormat/>
    <w:pPr>
      <w:widowControl w:val="0"/>
      <w:jc w:val="center"/>
    </w:pPr>
    <w:rPr>
      <w:rFonts w:ascii="Times New Roman" w:hAnsi="Times New Roman" w:cs="Times New Roman"/>
      <w:kern w:val="2"/>
      <w:szCs w:val="21"/>
    </w:rPr>
  </w:style>
  <w:style w:type="paragraph" w:customStyle="1" w:styleId="Style1475">
    <w:name w:val="_Style 1475"/>
    <w:basedOn w:val="Style480"/>
    <w:next w:val="Style1100"/>
    <w:autoRedefine/>
    <w:semiHidden/>
    <w:qFormat/>
    <w:pPr>
      <w:widowControl w:val="0"/>
      <w:spacing w:before="120"/>
      <w:jc w:val="both"/>
    </w:pPr>
    <w:rPr>
      <w:rFonts w:ascii="Arial" w:hAnsi="Arial" w:cs="Times New Roman"/>
      <w:b/>
      <w:bCs/>
      <w:kern w:val="2"/>
      <w:szCs w:val="21"/>
    </w:rPr>
  </w:style>
  <w:style w:type="paragraph" w:customStyle="1" w:styleId="Style1476">
    <w:name w:val="_Style 1476"/>
    <w:basedOn w:val="Style480"/>
    <w:next w:val="Style1100"/>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1477">
    <w:name w:val="_Style 1477"/>
    <w:basedOn w:val="Style480"/>
    <w:next w:val="Style1100"/>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1478">
    <w:name w:val="_Style 1478"/>
    <w:basedOn w:val="Style480"/>
    <w:next w:val="Style1100"/>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1479">
    <w:name w:val="_Style 1479"/>
    <w:basedOn w:val="Style480"/>
    <w:next w:val="Style1100"/>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1480">
    <w:name w:val="_Style 1480"/>
    <w:basedOn w:val="Style480"/>
    <w:next w:val="Style1100"/>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1481">
    <w:name w:val="_Style 1481"/>
    <w:basedOn w:val="Style480"/>
    <w:next w:val="Style1100"/>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1482">
    <w:name w:val="_Style 1482"/>
    <w:basedOn w:val="Style480"/>
    <w:next w:val="Style1100"/>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paragraph" w:customStyle="1" w:styleId="Style1483">
    <w:name w:val="_Style 1483"/>
    <w:basedOn w:val="Style480"/>
    <w:next w:val="Style1100"/>
    <w:autoRedefine/>
    <w:semiHidden/>
    <w:qFormat/>
    <w:pPr>
      <w:ind w:firstLineChars="200" w:firstLine="420"/>
    </w:pPr>
    <w:rPr>
      <w:rFonts w:cs="Times New Roman"/>
      <w:color w:val="000000"/>
      <w:szCs w:val="21"/>
    </w:rPr>
  </w:style>
  <w:style w:type="paragraph" w:customStyle="1" w:styleId="Style1484">
    <w:name w:val="_Style 1484"/>
    <w:basedOn w:val="Style480"/>
    <w:next w:val="Style1100"/>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paragraph" w:customStyle="1" w:styleId="Style1485">
    <w:name w:val="_Style 1485"/>
    <w:basedOn w:val="Style4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86">
    <w:name w:val="_Style 1486"/>
    <w:basedOn w:val="Style4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87">
    <w:name w:val="_Style 1487"/>
    <w:basedOn w:val="Style4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88">
    <w:name w:val="_Style 1488"/>
    <w:basedOn w:val="Style4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89">
    <w:name w:val="_Style 1489"/>
    <w:basedOn w:val="Style4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90">
    <w:name w:val="_Style 1490"/>
    <w:basedOn w:val="Style4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91">
    <w:name w:val="_Style 1491"/>
    <w:basedOn w:val="Style480"/>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492">
    <w:name w:val="_Style 1492"/>
    <w:basedOn w:val="Style580"/>
    <w:next w:val="Style110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493">
    <w:name w:val="_Style 1493"/>
    <w:basedOn w:val="Style580"/>
    <w:next w:val="Style1100"/>
    <w:autoRedefine/>
    <w:semiHidden/>
    <w:qFormat/>
    <w:pPr>
      <w:keepNext/>
      <w:keepLines/>
      <w:widowControl w:val="0"/>
      <w:spacing w:before="60" w:after="60"/>
      <w:jc w:val="both"/>
      <w:outlineLvl w:val="1"/>
    </w:pPr>
    <w:rPr>
      <w:rFonts w:ascii="Arial" w:hAnsi="Arial" w:cs="Times New Roman"/>
      <w:b/>
      <w:bCs/>
      <w:kern w:val="2"/>
      <w:szCs w:val="21"/>
    </w:rPr>
  </w:style>
  <w:style w:type="paragraph" w:customStyle="1" w:styleId="Style1494">
    <w:name w:val="_Style 1494"/>
    <w:basedOn w:val="Style580"/>
    <w:next w:val="Style1100"/>
    <w:autoRedefine/>
    <w:uiPriority w:val="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Style1495">
    <w:name w:val="_Style 1495"/>
    <w:basedOn w:val="Style580"/>
    <w:next w:val="Style1100"/>
    <w:autoRedefine/>
    <w:uiPriority w:val="9"/>
    <w:semiHidden/>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Style1496">
    <w:name w:val="_Style 1496"/>
    <w:basedOn w:val="Style580"/>
    <w:next w:val="Style1100"/>
    <w:autoRedefine/>
    <w:uiPriority w:val="9"/>
    <w:semiHidden/>
    <w:qFormat/>
    <w:pPr>
      <w:keepNext/>
      <w:keepLines/>
      <w:widowControl w:val="0"/>
      <w:numPr>
        <w:numId w:val="11"/>
      </w:numPr>
      <w:spacing w:before="60" w:after="60"/>
      <w:ind w:left="426"/>
      <w:jc w:val="both"/>
      <w:outlineLvl w:val="4"/>
    </w:pPr>
    <w:rPr>
      <w:rFonts w:ascii="Calibri" w:hAnsi="Calibri" w:cs="Times New Roman"/>
      <w:b/>
      <w:bCs/>
      <w:kern w:val="2"/>
      <w:szCs w:val="28"/>
    </w:rPr>
  </w:style>
  <w:style w:type="paragraph" w:customStyle="1" w:styleId="Style1497">
    <w:name w:val="_Style 1497"/>
    <w:basedOn w:val="Style580"/>
    <w:next w:val="Style1100"/>
    <w:autoRedefine/>
    <w:uiPriority w:val="9"/>
    <w:semiHidden/>
    <w:qFormat/>
    <w:pPr>
      <w:keepNext/>
      <w:keepLines/>
      <w:spacing w:before="60" w:after="60"/>
      <w:ind w:leftChars="50" w:left="50"/>
      <w:outlineLvl w:val="5"/>
    </w:pPr>
    <w:rPr>
      <w:rFonts w:asciiTheme="majorHAnsi" w:hAnsiTheme="majorHAnsi" w:cstheme="majorBidi"/>
      <w:b/>
      <w:bCs/>
    </w:rPr>
  </w:style>
  <w:style w:type="paragraph" w:customStyle="1" w:styleId="Style1498">
    <w:name w:val="_Style 1498"/>
    <w:basedOn w:val="Style580"/>
    <w:next w:val="Style1100"/>
    <w:autoRedefine/>
    <w:uiPriority w:val="9"/>
    <w:semiHidden/>
    <w:qFormat/>
    <w:pPr>
      <w:keepNext/>
      <w:keepLines/>
      <w:spacing w:before="240" w:after="64" w:line="320" w:lineRule="auto"/>
      <w:outlineLvl w:val="6"/>
    </w:pPr>
    <w:rPr>
      <w:b/>
      <w:bCs/>
    </w:rPr>
  </w:style>
  <w:style w:type="paragraph" w:customStyle="1" w:styleId="Style1499">
    <w:name w:val="_Style 1499"/>
    <w:basedOn w:val="Style1492"/>
    <w:next w:val="Style110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500">
    <w:name w:val="_Style 1500"/>
    <w:basedOn w:val="Style580"/>
    <w:next w:val="Style1100"/>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Style1501">
    <w:name w:val="_Style 1501"/>
    <w:basedOn w:val="Style580"/>
    <w:next w:val="Style1100"/>
    <w:autoRedefine/>
    <w:uiPriority w:val="39"/>
    <w:semiHidden/>
    <w:qFormat/>
    <w:pPr>
      <w:widowControl w:val="0"/>
      <w:ind w:leftChars="200" w:left="420"/>
      <w:jc w:val="both"/>
    </w:pPr>
    <w:rPr>
      <w:rFonts w:ascii="Times New Roman" w:hAnsi="Times New Roman" w:cs="Times New Roman"/>
      <w:kern w:val="2"/>
      <w:szCs w:val="21"/>
    </w:rPr>
  </w:style>
  <w:style w:type="paragraph" w:customStyle="1" w:styleId="Style1502">
    <w:name w:val="_Style 1502"/>
    <w:basedOn w:val="Style580"/>
    <w:next w:val="Style1100"/>
    <w:autoRedefine/>
    <w:uiPriority w:val="99"/>
    <w:semiHidden/>
    <w:qFormat/>
    <w:pPr>
      <w:widowControl w:val="0"/>
      <w:jc w:val="both"/>
    </w:pPr>
    <w:rPr>
      <w:rFonts w:ascii="Times New Roman" w:hAnsi="Times New Roman" w:cs="Times New Roman"/>
      <w:kern w:val="2"/>
      <w:szCs w:val="21"/>
    </w:rPr>
  </w:style>
  <w:style w:type="paragraph" w:customStyle="1" w:styleId="Style1503">
    <w:name w:val="_Style 1503"/>
    <w:basedOn w:val="Style580"/>
    <w:next w:val="Style1100"/>
    <w:autoRedefine/>
    <w:uiPriority w:val="39"/>
    <w:semiHidden/>
    <w:qFormat/>
    <w:pPr>
      <w:spacing w:after="100" w:line="276" w:lineRule="auto"/>
      <w:ind w:left="440"/>
    </w:pPr>
    <w:rPr>
      <w:rFonts w:ascii="Calibri" w:hAnsi="Calibri" w:cs="Times New Roman"/>
      <w:sz w:val="22"/>
      <w:szCs w:val="22"/>
    </w:rPr>
  </w:style>
  <w:style w:type="paragraph" w:customStyle="1" w:styleId="Style1504">
    <w:name w:val="_Style 1504"/>
    <w:basedOn w:val="Style580"/>
    <w:next w:val="Style1100"/>
    <w:autoRedefine/>
    <w:uiPriority w:val="99"/>
    <w:semiHidden/>
    <w:qFormat/>
    <w:pPr>
      <w:widowControl w:val="0"/>
      <w:ind w:leftChars="2500" w:left="100"/>
      <w:jc w:val="both"/>
    </w:pPr>
    <w:rPr>
      <w:rFonts w:ascii="Times New Roman" w:hAnsi="Times New Roman" w:cs="Times New Roman"/>
      <w:kern w:val="2"/>
      <w:szCs w:val="21"/>
    </w:rPr>
  </w:style>
  <w:style w:type="paragraph" w:customStyle="1" w:styleId="Style1505">
    <w:name w:val="_Style 1505"/>
    <w:basedOn w:val="Style580"/>
    <w:next w:val="Style1100"/>
    <w:autoRedefine/>
    <w:uiPriority w:val="99"/>
    <w:semiHidden/>
    <w:qFormat/>
    <w:pPr>
      <w:widowControl w:val="0"/>
      <w:jc w:val="center"/>
    </w:pPr>
    <w:rPr>
      <w:rFonts w:ascii="Times New Roman" w:hAnsi="Times New Roman" w:cs="Times New Roman"/>
      <w:kern w:val="2"/>
      <w:szCs w:val="21"/>
    </w:rPr>
  </w:style>
  <w:style w:type="paragraph" w:customStyle="1" w:styleId="Style1506">
    <w:name w:val="_Style 1506"/>
    <w:basedOn w:val="Style580"/>
    <w:next w:val="Style1100"/>
    <w:autoRedefine/>
    <w:semiHidden/>
    <w:qFormat/>
    <w:pPr>
      <w:widowControl w:val="0"/>
      <w:spacing w:before="120"/>
      <w:jc w:val="both"/>
    </w:pPr>
    <w:rPr>
      <w:rFonts w:ascii="Arial" w:hAnsi="Arial" w:cs="Times New Roman"/>
      <w:b/>
      <w:bCs/>
      <w:kern w:val="2"/>
      <w:szCs w:val="21"/>
    </w:rPr>
  </w:style>
  <w:style w:type="paragraph" w:customStyle="1" w:styleId="Style1507">
    <w:name w:val="_Style 1507"/>
    <w:basedOn w:val="Style580"/>
    <w:next w:val="Style1100"/>
    <w:autoRedefine/>
    <w:uiPriority w:val="10"/>
    <w:semiHidden/>
    <w:qFormat/>
    <w:pPr>
      <w:widowControl w:val="0"/>
      <w:spacing w:before="240" w:after="60"/>
      <w:jc w:val="center"/>
      <w:outlineLvl w:val="0"/>
    </w:pPr>
    <w:rPr>
      <w:rFonts w:asciiTheme="majorHAnsi" w:hAnsiTheme="majorHAnsi" w:cstheme="majorBidi"/>
      <w:b/>
      <w:bCs/>
      <w:kern w:val="2"/>
      <w:sz w:val="32"/>
      <w:szCs w:val="32"/>
    </w:rPr>
  </w:style>
  <w:style w:type="paragraph" w:customStyle="1" w:styleId="Style1508">
    <w:name w:val="_Style 1508"/>
    <w:basedOn w:val="Style580"/>
    <w:next w:val="Style1100"/>
    <w:autoRedefine/>
    <w:uiPriority w:val="39"/>
    <w:semiHidden/>
    <w:qFormat/>
    <w:pPr>
      <w:widowControl w:val="0"/>
      <w:ind w:leftChars="600" w:left="1260"/>
      <w:jc w:val="both"/>
    </w:pPr>
    <w:rPr>
      <w:rFonts w:asciiTheme="minorHAnsi" w:eastAsiaTheme="minorEastAsia" w:hAnsiTheme="minorHAnsi" w:cstheme="minorBidi"/>
      <w:kern w:val="2"/>
      <w:szCs w:val="22"/>
    </w:rPr>
  </w:style>
  <w:style w:type="paragraph" w:customStyle="1" w:styleId="Style1509">
    <w:name w:val="_Style 1509"/>
    <w:basedOn w:val="Style580"/>
    <w:next w:val="Style1100"/>
    <w:autoRedefine/>
    <w:uiPriority w:val="39"/>
    <w:semiHidden/>
    <w:qFormat/>
    <w:pPr>
      <w:widowControl w:val="0"/>
      <w:ind w:leftChars="800" w:left="1680"/>
      <w:jc w:val="both"/>
    </w:pPr>
    <w:rPr>
      <w:rFonts w:asciiTheme="minorHAnsi" w:eastAsiaTheme="minorEastAsia" w:hAnsiTheme="minorHAnsi" w:cstheme="minorBidi"/>
      <w:kern w:val="2"/>
      <w:szCs w:val="22"/>
    </w:rPr>
  </w:style>
  <w:style w:type="paragraph" w:customStyle="1" w:styleId="Style1510">
    <w:name w:val="_Style 1510"/>
    <w:basedOn w:val="Style580"/>
    <w:next w:val="Style1100"/>
    <w:autoRedefine/>
    <w:uiPriority w:val="39"/>
    <w:semiHidden/>
    <w:qFormat/>
    <w:pPr>
      <w:widowControl w:val="0"/>
      <w:ind w:leftChars="1000" w:left="2100"/>
      <w:jc w:val="both"/>
    </w:pPr>
    <w:rPr>
      <w:rFonts w:asciiTheme="minorHAnsi" w:eastAsiaTheme="minorEastAsia" w:hAnsiTheme="minorHAnsi" w:cstheme="minorBidi"/>
      <w:kern w:val="2"/>
      <w:szCs w:val="22"/>
    </w:rPr>
  </w:style>
  <w:style w:type="paragraph" w:customStyle="1" w:styleId="Style1511">
    <w:name w:val="_Style 1511"/>
    <w:basedOn w:val="Style580"/>
    <w:next w:val="Style1100"/>
    <w:autoRedefine/>
    <w:uiPriority w:val="39"/>
    <w:semiHidden/>
    <w:qFormat/>
    <w:pPr>
      <w:widowControl w:val="0"/>
      <w:ind w:leftChars="1200" w:left="2520"/>
      <w:jc w:val="both"/>
    </w:pPr>
    <w:rPr>
      <w:rFonts w:asciiTheme="minorHAnsi" w:eastAsiaTheme="minorEastAsia" w:hAnsiTheme="minorHAnsi" w:cstheme="minorBidi"/>
      <w:kern w:val="2"/>
      <w:szCs w:val="22"/>
    </w:rPr>
  </w:style>
  <w:style w:type="paragraph" w:customStyle="1" w:styleId="Style1512">
    <w:name w:val="_Style 1512"/>
    <w:basedOn w:val="Style580"/>
    <w:next w:val="Style1100"/>
    <w:autoRedefine/>
    <w:uiPriority w:val="39"/>
    <w:semiHidden/>
    <w:qFormat/>
    <w:pPr>
      <w:widowControl w:val="0"/>
      <w:ind w:leftChars="1400" w:left="2940"/>
      <w:jc w:val="both"/>
    </w:pPr>
    <w:rPr>
      <w:rFonts w:asciiTheme="minorHAnsi" w:eastAsiaTheme="minorEastAsia" w:hAnsiTheme="minorHAnsi" w:cstheme="minorBidi"/>
      <w:kern w:val="2"/>
      <w:szCs w:val="22"/>
    </w:rPr>
  </w:style>
  <w:style w:type="paragraph" w:customStyle="1" w:styleId="Style1513">
    <w:name w:val="_Style 1513"/>
    <w:basedOn w:val="Style580"/>
    <w:next w:val="Style1100"/>
    <w:autoRedefine/>
    <w:uiPriority w:val="39"/>
    <w:semiHidden/>
    <w:qFormat/>
    <w:pPr>
      <w:widowControl w:val="0"/>
      <w:ind w:leftChars="1600" w:left="3360"/>
      <w:jc w:val="both"/>
    </w:pPr>
    <w:rPr>
      <w:rFonts w:asciiTheme="minorHAnsi" w:eastAsiaTheme="minorEastAsia" w:hAnsiTheme="minorHAnsi" w:cstheme="minorBidi"/>
      <w:kern w:val="2"/>
      <w:szCs w:val="22"/>
    </w:rPr>
  </w:style>
  <w:style w:type="paragraph" w:customStyle="1" w:styleId="Style1514">
    <w:name w:val="_Style 1514"/>
    <w:basedOn w:val="Style580"/>
    <w:next w:val="Style1100"/>
    <w:autoRedefine/>
    <w:semiHidden/>
    <w:qFormat/>
    <w:pPr>
      <w:ind w:firstLineChars="200" w:firstLine="420"/>
    </w:pPr>
    <w:rPr>
      <w:rFonts w:cs="Times New Roman"/>
      <w:color w:val="000000"/>
      <w:szCs w:val="21"/>
    </w:rPr>
  </w:style>
  <w:style w:type="paragraph" w:customStyle="1" w:styleId="Style1515">
    <w:name w:val="_Style 1515"/>
    <w:basedOn w:val="Style580"/>
    <w:next w:val="Style1100"/>
    <w:autoRedefine/>
    <w:semiHidden/>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paragraph" w:customStyle="1" w:styleId="Style1516">
    <w:name w:val="_Style 1516"/>
    <w:basedOn w:val="Style580"/>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517">
    <w:name w:val="_Style 1517"/>
    <w:basedOn w:val="Style580"/>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518">
    <w:name w:val="_Style 1518"/>
    <w:basedOn w:val="Style580"/>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519">
    <w:name w:val="_Style 1519"/>
    <w:basedOn w:val="Style580"/>
    <w:next w:val="aff7"/>
    <w:autoRedefine/>
    <w:uiPriority w:val="34"/>
    <w:semiHidden/>
    <w:qFormat/>
    <w:pPr>
      <w:widowControl w:val="0"/>
      <w:ind w:firstLineChars="200" w:firstLine="480"/>
      <w:jc w:val="right"/>
    </w:pPr>
    <w:rPr>
      <w:rFonts w:ascii="Calibri" w:hAnsi="Calibri" w:cs="Times New Roman"/>
      <w:kern w:val="2"/>
      <w:szCs w:val="22"/>
    </w:rPr>
  </w:style>
  <w:style w:type="paragraph" w:customStyle="1" w:styleId="Style1520">
    <w:name w:val="_Style 1520"/>
    <w:basedOn w:val="Style580"/>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521">
    <w:name w:val="_Style 1521"/>
    <w:basedOn w:val="Style580"/>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522">
    <w:name w:val="_Style 1522"/>
    <w:basedOn w:val="Style580"/>
    <w:next w:val="aff7"/>
    <w:autoRedefine/>
    <w:uiPriority w:val="34"/>
    <w:semiHidden/>
    <w:qFormat/>
    <w:pPr>
      <w:widowControl w:val="0"/>
      <w:ind w:firstLineChars="200" w:firstLine="420"/>
      <w:jc w:val="both"/>
    </w:pPr>
    <w:rPr>
      <w:rFonts w:ascii="Calibri" w:hAnsi="Calibri" w:cs="Times New Roman"/>
      <w:kern w:val="2"/>
      <w:szCs w:val="22"/>
    </w:rPr>
  </w:style>
  <w:style w:type="paragraph" w:customStyle="1" w:styleId="Style1523">
    <w:name w:val="_Style 1523"/>
    <w:basedOn w:val="Style1237"/>
    <w:autoRedefine/>
    <w:semiHidden/>
    <w:qFormat/>
    <w:pPr>
      <w:ind w:firstLine="420"/>
    </w:pPr>
    <w:rPr>
      <w:rFonts w:ascii="Times New Roman" w:hAnsi="Times New Roman" w:cs="Times New Roman"/>
      <w:kern w:val="2"/>
      <w:sz w:val="21"/>
      <w:szCs w:val="21"/>
    </w:rPr>
  </w:style>
  <w:style w:type="paragraph" w:customStyle="1" w:styleId="Style1524">
    <w:name w:val="_Style 1524"/>
    <w:basedOn w:val="Style1237"/>
    <w:autoRedefine/>
    <w:uiPriority w:val="99"/>
    <w:semiHidden/>
    <w:qFormat/>
    <w:pPr>
      <w:kinsoku w:val="0"/>
      <w:autoSpaceDE w:val="0"/>
      <w:autoSpaceDN w:val="0"/>
      <w:adjustRightInd w:val="0"/>
      <w:snapToGrid w:val="0"/>
      <w:textAlignment w:val="baseline"/>
    </w:pPr>
    <w:rPr>
      <w:rFonts w:ascii="Arial" w:hAnsi="Calibri" w:cs="Times New Roman"/>
      <w:color w:val="000000"/>
      <w:kern w:val="2"/>
      <w:sz w:val="18"/>
      <w:szCs w:val="18"/>
    </w:rPr>
  </w:style>
  <w:style w:type="paragraph" w:customStyle="1" w:styleId="Style1525">
    <w:name w:val="_Style 1525"/>
    <w:basedOn w:val="Style1237"/>
    <w:next w:val="Style1152"/>
    <w:autoRedefine/>
    <w:semiHidden/>
    <w:qFormat/>
    <w:pPr>
      <w:kinsoku w:val="0"/>
      <w:autoSpaceDE w:val="0"/>
      <w:autoSpaceDN w:val="0"/>
      <w:adjustRightInd w:val="0"/>
      <w:snapToGrid w:val="0"/>
      <w:spacing w:before="120"/>
      <w:textAlignment w:val="baseline"/>
    </w:pPr>
    <w:rPr>
      <w:rFonts w:ascii="Arial" w:hAnsi="Arial" w:cs="Times New Roman"/>
      <w:b/>
      <w:bCs/>
      <w:color w:val="000000"/>
      <w:kern w:val="2"/>
      <w:sz w:val="21"/>
      <w:szCs w:val="21"/>
    </w:rPr>
  </w:style>
  <w:style w:type="paragraph" w:customStyle="1" w:styleId="Style1526">
    <w:name w:val="_Style 1526"/>
    <w:basedOn w:val="Style1237"/>
    <w:autoRedefine/>
    <w:semiHidden/>
    <w:qFormat/>
    <w:rPr>
      <w:rFonts w:ascii="Times New Roman" w:hAnsi="Times New Roman" w:cs="Times New Roman"/>
      <w:kern w:val="2"/>
      <w:sz w:val="21"/>
      <w:szCs w:val="21"/>
    </w:rPr>
  </w:style>
  <w:style w:type="paragraph" w:customStyle="1" w:styleId="Style1527">
    <w:name w:val="_Style 1527"/>
    <w:basedOn w:val="Style1237"/>
    <w:next w:val="Style1152"/>
    <w:autoRedefine/>
    <w:uiPriority w:val="99"/>
    <w:semiHidden/>
    <w:qFormat/>
    <w:rPr>
      <w:rFonts w:ascii="Times New Roman" w:hAnsi="Times New Roman" w:cs="Times New Roman"/>
      <w:kern w:val="2"/>
      <w:sz w:val="21"/>
      <w:szCs w:val="21"/>
    </w:rPr>
  </w:style>
  <w:style w:type="paragraph" w:customStyle="1" w:styleId="Style1528">
    <w:name w:val="_Style 1528"/>
    <w:basedOn w:val="Style1237"/>
    <w:autoRedefine/>
    <w:uiPriority w:val="99"/>
    <w:semiHidden/>
    <w:qFormat/>
    <w:pPr>
      <w:spacing w:after="120"/>
    </w:pPr>
    <w:rPr>
      <w:rFonts w:ascii="Times New Roman" w:hAnsi="Times New Roman" w:cs="Times New Roman"/>
      <w:kern w:val="2"/>
      <w:sz w:val="21"/>
      <w:szCs w:val="21"/>
    </w:rPr>
  </w:style>
  <w:style w:type="paragraph" w:customStyle="1" w:styleId="Style1529">
    <w:name w:val="_Style 1529"/>
    <w:basedOn w:val="Style1237"/>
    <w:next w:val="Style1152"/>
    <w:autoRedefine/>
    <w:uiPriority w:val="39"/>
    <w:semiHidden/>
    <w:qFormat/>
    <w:pPr>
      <w:spacing w:after="100" w:line="276" w:lineRule="auto"/>
      <w:ind w:left="440"/>
    </w:pPr>
    <w:rPr>
      <w:rFonts w:ascii="Calibri" w:hAnsi="Calibri" w:cs="Times New Roman"/>
      <w:sz w:val="22"/>
      <w:szCs w:val="22"/>
    </w:rPr>
  </w:style>
  <w:style w:type="paragraph" w:customStyle="1" w:styleId="Style1530">
    <w:name w:val="_Style 1530"/>
    <w:basedOn w:val="Style1237"/>
    <w:autoRedefine/>
    <w:semiHidden/>
    <w:qFormat/>
    <w:rPr>
      <w:rFonts w:hAnsi="Courier New" w:cs="Times New Roman"/>
      <w:kern w:val="2"/>
      <w:sz w:val="21"/>
      <w:szCs w:val="20"/>
    </w:rPr>
  </w:style>
  <w:style w:type="paragraph" w:customStyle="1" w:styleId="Style1531">
    <w:name w:val="_Style 1531"/>
    <w:basedOn w:val="Style1237"/>
    <w:next w:val="Style1152"/>
    <w:autoRedefine/>
    <w:uiPriority w:val="99"/>
    <w:semiHidden/>
    <w:qFormat/>
    <w:pPr>
      <w:ind w:leftChars="2500" w:left="100"/>
    </w:pPr>
    <w:rPr>
      <w:rFonts w:ascii="Times New Roman" w:hAnsi="Times New Roman" w:cs="Times New Roman"/>
      <w:kern w:val="2"/>
      <w:sz w:val="21"/>
      <w:szCs w:val="21"/>
    </w:rPr>
  </w:style>
  <w:style w:type="paragraph" w:customStyle="1" w:styleId="Style1532">
    <w:name w:val="_Style 1532"/>
    <w:basedOn w:val="Style1237"/>
    <w:autoRedefine/>
    <w:uiPriority w:val="99"/>
    <w:semiHidden/>
    <w:qFormat/>
    <w:pPr>
      <w:kinsoku w:val="0"/>
      <w:autoSpaceDE w:val="0"/>
      <w:autoSpaceDN w:val="0"/>
      <w:adjustRightInd w:val="0"/>
      <w:snapToGrid w:val="0"/>
      <w:textAlignment w:val="baseline"/>
    </w:pPr>
    <w:rPr>
      <w:rFonts w:ascii="Arial" w:hAnsi="Arial" w:cs="Arial"/>
      <w:color w:val="000000"/>
      <w:sz w:val="21"/>
      <w:szCs w:val="21"/>
    </w:rPr>
  </w:style>
  <w:style w:type="paragraph" w:customStyle="1" w:styleId="Style1533">
    <w:name w:val="_Style 1533"/>
    <w:basedOn w:val="Style1237"/>
    <w:autoRedefine/>
    <w:uiPriority w:val="99"/>
    <w:semiHidden/>
    <w:qFormat/>
    <w:rPr>
      <w:rFonts w:ascii="Calibri" w:hAnsi="Calibri" w:cs="Times New Roman"/>
      <w:kern w:val="2"/>
      <w:sz w:val="18"/>
      <w:szCs w:val="18"/>
    </w:rPr>
  </w:style>
  <w:style w:type="paragraph" w:customStyle="1" w:styleId="Style1534">
    <w:name w:val="_Style 1534"/>
    <w:basedOn w:val="Style1237"/>
    <w:autoRedefine/>
    <w:uiPriority w:val="99"/>
    <w:semiHidden/>
    <w:qFormat/>
    <w:pPr>
      <w:tabs>
        <w:tab w:val="center" w:pos="4153"/>
        <w:tab w:val="right" w:pos="8306"/>
      </w:tabs>
      <w:snapToGrid w:val="0"/>
    </w:pPr>
    <w:rPr>
      <w:rFonts w:ascii="Calibri" w:hAnsi="Calibri" w:cs="Times New Roman"/>
      <w:kern w:val="2"/>
      <w:sz w:val="18"/>
      <w:szCs w:val="18"/>
    </w:rPr>
  </w:style>
  <w:style w:type="paragraph" w:customStyle="1" w:styleId="Style1535">
    <w:name w:val="_Style 1535"/>
    <w:basedOn w:val="Style1237"/>
    <w:autoRedefine/>
    <w:uiPriority w:val="99"/>
    <w:semiHidden/>
    <w:qFormat/>
    <w:pPr>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Style1536">
    <w:name w:val="_Style 1536"/>
    <w:basedOn w:val="Style1237"/>
    <w:next w:val="Style1152"/>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1537">
    <w:name w:val="_Style 1537"/>
    <w:basedOn w:val="Style1237"/>
    <w:autoRedefine/>
    <w:uiPriority w:val="99"/>
    <w:semiHidden/>
    <w:qFormat/>
    <w:pPr>
      <w:spacing w:before="100" w:beforeAutospacing="1" w:after="100" w:afterAutospacing="1"/>
    </w:pPr>
  </w:style>
  <w:style w:type="paragraph" w:customStyle="1" w:styleId="Style1538">
    <w:name w:val="_Style 1538"/>
    <w:basedOn w:val="Style1237"/>
    <w:next w:val="Style1152"/>
    <w:autoRedefine/>
    <w:semiHidden/>
    <w:qFormat/>
    <w:pPr>
      <w:ind w:firstLine="420"/>
    </w:pPr>
    <w:rPr>
      <w:rFonts w:cs="Times New Roman"/>
      <w:color w:val="000000"/>
      <w:sz w:val="21"/>
      <w:szCs w:val="21"/>
    </w:rPr>
  </w:style>
  <w:style w:type="paragraph" w:customStyle="1" w:styleId="Style1539">
    <w:name w:val="_Style 1539"/>
    <w:basedOn w:val="Style1237"/>
    <w:next w:val="Style1152"/>
    <w:autoRedefine/>
    <w:uiPriority w:val="10"/>
    <w:semiHidden/>
    <w:qFormat/>
    <w:pPr>
      <w:spacing w:before="240" w:after="60"/>
      <w:jc w:val="center"/>
      <w:outlineLvl w:val="0"/>
    </w:pPr>
    <w:rPr>
      <w:rFonts w:asciiTheme="majorHAnsi" w:hAnsiTheme="majorHAnsi" w:cstheme="majorBidi"/>
      <w:b/>
      <w:bCs/>
      <w:kern w:val="2"/>
      <w:sz w:val="32"/>
      <w:szCs w:val="32"/>
    </w:rPr>
  </w:style>
  <w:style w:type="paragraph" w:customStyle="1" w:styleId="Style1540">
    <w:name w:val="_Style 1540"/>
    <w:basedOn w:val="Style1526"/>
    <w:next w:val="Style855"/>
    <w:autoRedefine/>
    <w:uiPriority w:val="99"/>
    <w:semiHidden/>
    <w:qFormat/>
    <w:rPr>
      <w:rFonts w:ascii="Calibri" w:hAnsi="Calibri"/>
      <w:b/>
      <w:bCs/>
      <w:szCs w:val="22"/>
    </w:rPr>
  </w:style>
  <w:style w:type="character" w:customStyle="1" w:styleId="Style1541">
    <w:name w:val="_Style 1541"/>
    <w:basedOn w:val="Style1245"/>
    <w:autoRedefine/>
    <w:uiPriority w:val="99"/>
    <w:semiHidden/>
    <w:qFormat/>
    <w:rPr>
      <w:vertAlign w:val="superscript"/>
    </w:rPr>
  </w:style>
  <w:style w:type="character" w:customStyle="1" w:styleId="Style1542">
    <w:name w:val="_Style 1542"/>
    <w:basedOn w:val="Style1245"/>
    <w:autoRedefine/>
    <w:uiPriority w:val="99"/>
    <w:semiHidden/>
    <w:qFormat/>
    <w:rPr>
      <w:rFonts w:cs="Times New Roman"/>
      <w:color w:val="0000FF"/>
      <w:u w:val="single"/>
    </w:rPr>
  </w:style>
  <w:style w:type="character" w:customStyle="1" w:styleId="Style1543">
    <w:name w:val="_Style 1543"/>
    <w:basedOn w:val="Style1245"/>
    <w:autoRedefine/>
    <w:semiHidden/>
    <w:qFormat/>
    <w:rPr>
      <w:rFonts w:eastAsia="宋体" w:cs="Times New Roman"/>
      <w:kern w:val="2"/>
      <w:sz w:val="21"/>
      <w:szCs w:val="21"/>
      <w:lang w:val="en-US" w:eastAsia="zh-CN" w:bidi="ar-SA"/>
    </w:rPr>
  </w:style>
  <w:style w:type="paragraph" w:customStyle="1" w:styleId="Style1544">
    <w:name w:val="_Style 1544"/>
    <w:basedOn w:val="Style1238"/>
    <w:next w:val="Style1152"/>
    <w:autoRedefine/>
    <w:uiPriority w:val="39"/>
    <w:semiHidden/>
    <w:qFormat/>
    <w:pPr>
      <w:widowControl/>
      <w:spacing w:before="480" w:after="0" w:line="276" w:lineRule="auto"/>
      <w:outlineLvl w:val="9"/>
    </w:pPr>
    <w:rPr>
      <w:rFonts w:ascii="Cambria" w:eastAsia="宋体" w:hAnsi="Cambria"/>
      <w:color w:val="365F91"/>
      <w:kern w:val="0"/>
      <w:szCs w:val="28"/>
    </w:rPr>
  </w:style>
  <w:style w:type="character" w:customStyle="1" w:styleId="Style1545">
    <w:name w:val="_Style 1545"/>
    <w:basedOn w:val="Style1245"/>
    <w:autoRedefine/>
    <w:semiHidden/>
    <w:qFormat/>
    <w:rPr>
      <w:rFonts w:ascii="Times New Roman" w:eastAsia="宋体" w:hAnsi="Times New Roman" w:cs="Times New Roman"/>
      <w:szCs w:val="21"/>
    </w:rPr>
  </w:style>
  <w:style w:type="character" w:customStyle="1" w:styleId="Style1546">
    <w:name w:val="_Style 1546"/>
    <w:basedOn w:val="Style1245"/>
    <w:autoRedefine/>
    <w:uiPriority w:val="99"/>
    <w:semiHidden/>
    <w:qFormat/>
    <w:rPr>
      <w:rFonts w:ascii="Calibri" w:eastAsia="宋体" w:hAnsi="Calibri" w:cs="Times New Roman"/>
      <w:sz w:val="18"/>
      <w:szCs w:val="18"/>
    </w:rPr>
  </w:style>
  <w:style w:type="character" w:customStyle="1" w:styleId="Style1547">
    <w:name w:val="_Style 1547"/>
    <w:basedOn w:val="Style1245"/>
    <w:autoRedefine/>
    <w:uiPriority w:val="99"/>
    <w:semiHidden/>
    <w:qFormat/>
    <w:rPr>
      <w:rFonts w:ascii="Times New Roman" w:hAnsi="Times New Roman"/>
      <w:kern w:val="2"/>
      <w:sz w:val="21"/>
      <w:szCs w:val="21"/>
    </w:rPr>
  </w:style>
  <w:style w:type="paragraph" w:customStyle="1" w:styleId="Style1548">
    <w:name w:val="_Style 1548"/>
    <w:basedOn w:val="Style1237"/>
    <w:autoRedefine/>
    <w:uiPriority w:val="99"/>
    <w:semiHidden/>
    <w:qFormat/>
    <w:pPr>
      <w:numPr>
        <w:numId w:val="12"/>
      </w:numPr>
    </w:pPr>
    <w:rPr>
      <w:rFonts w:asciiTheme="minorEastAsia" w:eastAsiaTheme="minorEastAsia" w:hAnsiTheme="minorEastAsia" w:cs="Times New Roman"/>
      <w:kern w:val="2"/>
    </w:rPr>
  </w:style>
  <w:style w:type="character" w:customStyle="1" w:styleId="Style1549">
    <w:name w:val="_Style 1549"/>
    <w:basedOn w:val="Style1245"/>
    <w:autoRedefine/>
    <w:semiHidden/>
    <w:qFormat/>
    <w:rPr>
      <w:rFonts w:ascii="宋体" w:eastAsia="宋体" w:hAnsi="Courier New" w:cs="Times New Roman"/>
      <w:szCs w:val="20"/>
    </w:rPr>
  </w:style>
  <w:style w:type="character" w:customStyle="1" w:styleId="Style1550">
    <w:name w:val="_Style 1550"/>
    <w:basedOn w:val="Style1245"/>
    <w:autoRedefine/>
    <w:uiPriority w:val="99"/>
    <w:semiHidden/>
    <w:qFormat/>
    <w:rPr>
      <w:rFonts w:ascii="Times New Roman" w:eastAsia="宋体" w:hAnsi="Times New Roman" w:cs="Times New Roman"/>
      <w:szCs w:val="21"/>
    </w:rPr>
  </w:style>
  <w:style w:type="character" w:customStyle="1" w:styleId="Style1551">
    <w:name w:val="_Style 1551"/>
    <w:basedOn w:val="Style1245"/>
    <w:autoRedefine/>
    <w:uiPriority w:val="99"/>
    <w:semiHidden/>
    <w:qFormat/>
    <w:rPr>
      <w:rFonts w:ascii="Times New Roman" w:eastAsia="宋体" w:hAnsi="Times New Roman" w:cs="Times New Roman"/>
      <w:szCs w:val="21"/>
    </w:rPr>
  </w:style>
  <w:style w:type="character" w:customStyle="1" w:styleId="Style1552">
    <w:name w:val="_Style 1552"/>
    <w:basedOn w:val="Style1245"/>
    <w:autoRedefine/>
    <w:semiHidden/>
    <w:qFormat/>
    <w:rPr>
      <w:kern w:val="2"/>
      <w:sz w:val="21"/>
      <w:szCs w:val="24"/>
    </w:rPr>
  </w:style>
  <w:style w:type="paragraph" w:customStyle="1" w:styleId="Style1553">
    <w:name w:val="_Style 1553"/>
    <w:basedOn w:val="Style1237"/>
    <w:autoRedefine/>
    <w:semiHidden/>
    <w:qFormat/>
    <w:pPr>
      <w:spacing w:before="100" w:after="100"/>
    </w:pPr>
    <w:rPr>
      <w:rFonts w:ascii="Calibri" w:hAnsi="Calibri" w:cs="Times New Roman"/>
      <w:kern w:val="2"/>
      <w:sz w:val="21"/>
    </w:rPr>
  </w:style>
  <w:style w:type="character" w:customStyle="1" w:styleId="Style1554">
    <w:name w:val="_Style 1554"/>
    <w:basedOn w:val="Style1245"/>
    <w:autoRedefine/>
    <w:uiPriority w:val="99"/>
    <w:semiHidden/>
    <w:qFormat/>
    <w:rPr>
      <w:rFonts w:ascii="宋体"/>
      <w:kern w:val="2"/>
      <w:sz w:val="18"/>
      <w:szCs w:val="18"/>
    </w:rPr>
  </w:style>
  <w:style w:type="character" w:customStyle="1" w:styleId="Style1555">
    <w:name w:val="_Style 1555"/>
    <w:basedOn w:val="Style1245"/>
    <w:autoRedefine/>
    <w:uiPriority w:val="99"/>
    <w:semiHidden/>
    <w:qFormat/>
    <w:rPr>
      <w:color w:val="auto"/>
    </w:rPr>
  </w:style>
  <w:style w:type="character" w:customStyle="1" w:styleId="Style1556">
    <w:name w:val="_Style 1556"/>
    <w:basedOn w:val="Style1245"/>
    <w:autoRedefine/>
    <w:uiPriority w:val="10"/>
    <w:semiHidden/>
    <w:qFormat/>
    <w:rPr>
      <w:rFonts w:asciiTheme="majorHAnsi" w:hAnsiTheme="majorHAnsi" w:cstheme="majorBidi"/>
      <w:b/>
      <w:bCs/>
      <w:kern w:val="2"/>
      <w:sz w:val="32"/>
      <w:szCs w:val="32"/>
    </w:rPr>
  </w:style>
  <w:style w:type="character" w:customStyle="1" w:styleId="Style1557">
    <w:name w:val="_Style 1557"/>
    <w:basedOn w:val="Style1245"/>
    <w:autoRedefine/>
    <w:uiPriority w:val="99"/>
    <w:semiHidden/>
    <w:qFormat/>
    <w:rPr>
      <w:rFonts w:ascii="宋体" w:hAnsi="宋体" w:cs="宋体"/>
      <w:sz w:val="21"/>
      <w:szCs w:val="24"/>
    </w:rPr>
  </w:style>
  <w:style w:type="paragraph" w:customStyle="1" w:styleId="Style1558">
    <w:name w:val="_Style 1558"/>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559">
    <w:name w:val="_Style 1559"/>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560">
    <w:name w:val="_Style 1560"/>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561">
    <w:name w:val="_Style 1561"/>
    <w:basedOn w:val="Style1237"/>
    <w:autoRedefine/>
    <w:semiHidden/>
    <w:qFormat/>
    <w:pPr>
      <w:ind w:firstLine="420"/>
    </w:pPr>
    <w:rPr>
      <w:rFonts w:ascii="Calibri" w:hAnsi="Calibri" w:cs="Times New Roman"/>
      <w:kern w:val="2"/>
      <w:sz w:val="21"/>
      <w:szCs w:val="21"/>
    </w:rPr>
  </w:style>
  <w:style w:type="paragraph" w:customStyle="1" w:styleId="Style1562">
    <w:name w:val="_Style 1562"/>
    <w:basedOn w:val="Style1237"/>
    <w:autoRedefine/>
    <w:uiPriority w:val="99"/>
    <w:semiHidden/>
    <w:qFormat/>
    <w:pPr>
      <w:spacing w:after="120"/>
      <w:ind w:leftChars="200" w:left="420"/>
    </w:pPr>
  </w:style>
  <w:style w:type="character" w:customStyle="1" w:styleId="Style1563">
    <w:name w:val="_Style 1563"/>
    <w:basedOn w:val="Style1245"/>
    <w:autoRedefine/>
    <w:uiPriority w:val="99"/>
    <w:semiHidden/>
    <w:qFormat/>
    <w:rPr>
      <w:rFonts w:ascii="宋体" w:hAnsi="宋体" w:cs="宋体"/>
      <w:sz w:val="24"/>
      <w:szCs w:val="24"/>
    </w:rPr>
  </w:style>
  <w:style w:type="paragraph" w:customStyle="1" w:styleId="Style1564">
    <w:name w:val="_Style 1564"/>
    <w:basedOn w:val="Style1237"/>
    <w:autoRedefine/>
    <w:uiPriority w:val="99"/>
    <w:semiHidden/>
    <w:qFormat/>
    <w:pPr>
      <w:spacing w:after="120" w:line="480" w:lineRule="auto"/>
    </w:pPr>
  </w:style>
  <w:style w:type="character" w:customStyle="1" w:styleId="Style1565">
    <w:name w:val="_Style 1565"/>
    <w:basedOn w:val="Style1245"/>
    <w:autoRedefine/>
    <w:uiPriority w:val="99"/>
    <w:semiHidden/>
    <w:qFormat/>
    <w:rPr>
      <w:rFonts w:ascii="宋体" w:hAnsi="宋体" w:cs="宋体"/>
      <w:sz w:val="24"/>
      <w:szCs w:val="24"/>
    </w:rPr>
  </w:style>
  <w:style w:type="paragraph" w:customStyle="1" w:styleId="Style1566">
    <w:name w:val="_Style 1566"/>
    <w:basedOn w:val="Style1237"/>
    <w:autoRedefine/>
    <w:uiPriority w:val="99"/>
    <w:semiHidden/>
    <w:qFormat/>
    <w:pPr>
      <w:spacing w:after="120" w:line="480" w:lineRule="auto"/>
      <w:ind w:leftChars="200" w:left="420"/>
    </w:pPr>
  </w:style>
  <w:style w:type="character" w:customStyle="1" w:styleId="Style1567">
    <w:name w:val="_Style 1567"/>
    <w:basedOn w:val="Style1245"/>
    <w:autoRedefine/>
    <w:uiPriority w:val="99"/>
    <w:semiHidden/>
    <w:qFormat/>
    <w:rPr>
      <w:rFonts w:ascii="宋体" w:hAnsi="宋体" w:cs="宋体"/>
      <w:sz w:val="24"/>
      <w:szCs w:val="24"/>
    </w:rPr>
  </w:style>
  <w:style w:type="paragraph" w:customStyle="1" w:styleId="Style1568">
    <w:name w:val="_Style 1568"/>
    <w:semiHidden/>
    <w:qFormat/>
    <w:pPr>
      <w:jc w:val="both"/>
    </w:pPr>
    <w:rPr>
      <w:rFonts w:cs="Calibri"/>
      <w:kern w:val="2"/>
      <w:sz w:val="21"/>
      <w:szCs w:val="21"/>
    </w:rPr>
  </w:style>
  <w:style w:type="paragraph" w:customStyle="1" w:styleId="Style1569">
    <w:name w:val="_Style 1569"/>
    <w:basedOn w:val="Style1237"/>
    <w:next w:val="Style1152"/>
    <w:autoRedefine/>
    <w:uiPriority w:val="39"/>
    <w:semiHidden/>
    <w:qFormat/>
    <w:pPr>
      <w:ind w:leftChars="1200" w:left="2520"/>
    </w:pPr>
    <w:rPr>
      <w:rFonts w:asciiTheme="minorHAnsi" w:eastAsiaTheme="minorEastAsia" w:hAnsiTheme="minorHAnsi" w:cstheme="minorBidi"/>
      <w:kern w:val="2"/>
      <w:sz w:val="21"/>
      <w:szCs w:val="22"/>
    </w:rPr>
  </w:style>
  <w:style w:type="paragraph" w:customStyle="1" w:styleId="Style1570">
    <w:name w:val="_Style 1570"/>
    <w:basedOn w:val="Style1237"/>
    <w:autoRedefine/>
    <w:semiHidden/>
    <w:qFormat/>
    <w:rPr>
      <w:rFonts w:ascii="Times New Roman" w:hAnsi="Times New Roman" w:cs="Times New Roman"/>
      <w:kern w:val="2"/>
      <w:sz w:val="21"/>
      <w:szCs w:val="21"/>
    </w:rPr>
  </w:style>
  <w:style w:type="paragraph" w:customStyle="1" w:styleId="Style1571">
    <w:name w:val="_Style 1571"/>
    <w:basedOn w:val="Style1237"/>
    <w:next w:val="Style1152"/>
    <w:autoRedefine/>
    <w:uiPriority w:val="39"/>
    <w:semiHidden/>
    <w:qFormat/>
    <w:pPr>
      <w:ind w:leftChars="800" w:left="1680"/>
    </w:pPr>
    <w:rPr>
      <w:rFonts w:asciiTheme="minorHAnsi" w:eastAsiaTheme="minorEastAsia" w:hAnsiTheme="minorHAnsi" w:cstheme="minorBidi"/>
      <w:kern w:val="2"/>
      <w:sz w:val="21"/>
      <w:szCs w:val="22"/>
    </w:rPr>
  </w:style>
  <w:style w:type="paragraph" w:customStyle="1" w:styleId="Style1572">
    <w:name w:val="_Style 1572"/>
    <w:basedOn w:val="Style1237"/>
    <w:next w:val="Style1152"/>
    <w:autoRedefine/>
    <w:uiPriority w:val="39"/>
    <w:semiHidden/>
    <w:qFormat/>
    <w:pPr>
      <w:spacing w:after="100" w:line="276" w:lineRule="auto"/>
      <w:ind w:left="440"/>
    </w:pPr>
    <w:rPr>
      <w:rFonts w:ascii="Calibri" w:hAnsi="Calibri" w:cs="Times New Roman"/>
      <w:sz w:val="22"/>
      <w:szCs w:val="22"/>
    </w:rPr>
  </w:style>
  <w:style w:type="paragraph" w:customStyle="1" w:styleId="Style1573">
    <w:name w:val="_Style 1573"/>
    <w:basedOn w:val="Style1237"/>
    <w:next w:val="Style1152"/>
    <w:autoRedefine/>
    <w:uiPriority w:val="39"/>
    <w:semiHidden/>
    <w:qFormat/>
    <w:pPr>
      <w:ind w:leftChars="1400" w:left="2940"/>
    </w:pPr>
    <w:rPr>
      <w:rFonts w:asciiTheme="minorHAnsi" w:eastAsiaTheme="minorEastAsia" w:hAnsiTheme="minorHAnsi" w:cstheme="minorBidi"/>
      <w:kern w:val="2"/>
      <w:sz w:val="21"/>
      <w:szCs w:val="22"/>
    </w:rPr>
  </w:style>
  <w:style w:type="paragraph" w:customStyle="1" w:styleId="Style1574">
    <w:name w:val="_Style 1574"/>
    <w:basedOn w:val="Style1237"/>
    <w:next w:val="Style1152"/>
    <w:autoRedefine/>
    <w:uiPriority w:val="39"/>
    <w:semiHidden/>
    <w:qFormat/>
    <w:pPr>
      <w:tabs>
        <w:tab w:val="left" w:pos="1260"/>
        <w:tab w:val="right" w:leader="dot" w:pos="8823"/>
      </w:tabs>
      <w:spacing w:line="360" w:lineRule="auto"/>
    </w:pPr>
    <w:rPr>
      <w:rFonts w:ascii="Times New Roman" w:hAnsi="Times New Roman" w:cs="Times New Roman"/>
      <w:kern w:val="2"/>
      <w:sz w:val="21"/>
      <w:szCs w:val="21"/>
    </w:rPr>
  </w:style>
  <w:style w:type="paragraph" w:customStyle="1" w:styleId="Style1575">
    <w:name w:val="_Style 1575"/>
    <w:basedOn w:val="Style1237"/>
    <w:next w:val="Style1152"/>
    <w:autoRedefine/>
    <w:uiPriority w:val="39"/>
    <w:semiHidden/>
    <w:qFormat/>
    <w:pPr>
      <w:ind w:leftChars="600" w:left="1260"/>
    </w:pPr>
    <w:rPr>
      <w:rFonts w:asciiTheme="minorHAnsi" w:eastAsiaTheme="minorEastAsia" w:hAnsiTheme="minorHAnsi" w:cstheme="minorBidi"/>
      <w:kern w:val="2"/>
      <w:sz w:val="21"/>
      <w:szCs w:val="22"/>
    </w:rPr>
  </w:style>
  <w:style w:type="paragraph" w:customStyle="1" w:styleId="Style1576">
    <w:name w:val="_Style 1576"/>
    <w:basedOn w:val="Style1237"/>
    <w:next w:val="Style1152"/>
    <w:autoRedefine/>
    <w:uiPriority w:val="39"/>
    <w:semiHidden/>
    <w:qFormat/>
    <w:pPr>
      <w:ind w:leftChars="1000" w:left="2100"/>
    </w:pPr>
    <w:rPr>
      <w:rFonts w:asciiTheme="minorHAnsi" w:eastAsiaTheme="minorEastAsia" w:hAnsiTheme="minorHAnsi" w:cstheme="minorBidi"/>
      <w:kern w:val="2"/>
      <w:sz w:val="21"/>
      <w:szCs w:val="22"/>
    </w:rPr>
  </w:style>
  <w:style w:type="paragraph" w:customStyle="1" w:styleId="Style1577">
    <w:name w:val="_Style 1577"/>
    <w:basedOn w:val="Style1237"/>
    <w:next w:val="Style1152"/>
    <w:autoRedefine/>
    <w:uiPriority w:val="39"/>
    <w:semiHidden/>
    <w:qFormat/>
    <w:pPr>
      <w:ind w:leftChars="200" w:left="420"/>
    </w:pPr>
    <w:rPr>
      <w:rFonts w:ascii="Times New Roman" w:hAnsi="Times New Roman" w:cs="Times New Roman"/>
      <w:kern w:val="2"/>
      <w:sz w:val="21"/>
      <w:szCs w:val="21"/>
    </w:rPr>
  </w:style>
  <w:style w:type="paragraph" w:customStyle="1" w:styleId="Style1578">
    <w:name w:val="_Style 1578"/>
    <w:basedOn w:val="Style1237"/>
    <w:next w:val="Style1152"/>
    <w:autoRedefine/>
    <w:uiPriority w:val="39"/>
    <w:semiHidden/>
    <w:qFormat/>
    <w:pPr>
      <w:ind w:leftChars="1600" w:left="3360"/>
    </w:pPr>
    <w:rPr>
      <w:rFonts w:asciiTheme="minorHAnsi" w:eastAsiaTheme="minorEastAsia" w:hAnsiTheme="minorHAnsi" w:cstheme="minorBidi"/>
      <w:kern w:val="2"/>
      <w:sz w:val="21"/>
      <w:szCs w:val="22"/>
    </w:rPr>
  </w:style>
  <w:style w:type="paragraph" w:customStyle="1" w:styleId="Style1579">
    <w:name w:val="_Style 1579"/>
    <w:basedOn w:val="Style1237"/>
    <w:next w:val="Style1152"/>
    <w:autoRedefine/>
    <w:semiHidden/>
    <w:qFormat/>
    <w:pPr>
      <w:ind w:firstLine="420"/>
    </w:pPr>
    <w:rPr>
      <w:rFonts w:cs="Times New Roman"/>
      <w:color w:val="000000"/>
      <w:sz w:val="21"/>
      <w:szCs w:val="21"/>
    </w:rPr>
  </w:style>
  <w:style w:type="paragraph" w:customStyle="1" w:styleId="Style1580">
    <w:name w:val="_Style 1580"/>
    <w:basedOn w:val="Style1238"/>
    <w:next w:val="Style1152"/>
    <w:autoRedefine/>
    <w:uiPriority w:val="39"/>
    <w:semiHidden/>
    <w:qFormat/>
    <w:pPr>
      <w:widowControl/>
      <w:spacing w:before="480" w:after="0" w:line="276" w:lineRule="auto"/>
      <w:outlineLvl w:val="9"/>
    </w:pPr>
    <w:rPr>
      <w:rFonts w:ascii="Cambria" w:eastAsia="宋体" w:hAnsi="Cambria"/>
      <w:color w:val="365F91"/>
      <w:kern w:val="0"/>
      <w:szCs w:val="28"/>
    </w:rPr>
  </w:style>
  <w:style w:type="character" w:customStyle="1" w:styleId="Style1581">
    <w:name w:val="_Style 1581"/>
    <w:basedOn w:val="Style1245"/>
    <w:autoRedefine/>
    <w:semiHidden/>
    <w:qFormat/>
    <w:rPr>
      <w:rFonts w:ascii="Times New Roman" w:eastAsia="宋体" w:hAnsi="Times New Roman" w:cs="Times New Roman"/>
      <w:szCs w:val="21"/>
    </w:rPr>
  </w:style>
  <w:style w:type="paragraph" w:customStyle="1" w:styleId="Style1582">
    <w:name w:val="_Style 1582"/>
    <w:basedOn w:val="Style1237"/>
    <w:autoRedefine/>
    <w:semiHidden/>
    <w:qFormat/>
    <w:pPr>
      <w:keepNext/>
      <w:keepLines/>
      <w:spacing w:before="60" w:after="60"/>
      <w:ind w:hangingChars="200" w:hanging="420"/>
      <w:outlineLvl w:val="4"/>
    </w:pPr>
    <w:rPr>
      <w:rFonts w:cs="Times New Roman"/>
      <w:b/>
      <w:bCs/>
      <w:kern w:val="2"/>
      <w:sz w:val="21"/>
      <w:szCs w:val="21"/>
    </w:rPr>
  </w:style>
  <w:style w:type="paragraph" w:customStyle="1" w:styleId="Style1583">
    <w:name w:val="_Style 1583"/>
    <w:basedOn w:val="Style1237"/>
    <w:next w:val="Style1152"/>
    <w:autoRedefine/>
    <w:semiHidden/>
    <w:qFormat/>
    <w:pPr>
      <w:keepNext/>
      <w:keepLines/>
      <w:spacing w:before="100" w:beforeAutospacing="1" w:after="100" w:afterAutospacing="1" w:line="415" w:lineRule="auto"/>
    </w:pPr>
    <w:rPr>
      <w:rFonts w:ascii="Times New Roman" w:hAnsi="Times New Roman" w:cs="Times New Roman"/>
      <w:b/>
      <w:kern w:val="2"/>
      <w:sz w:val="21"/>
    </w:rPr>
  </w:style>
  <w:style w:type="character" w:customStyle="1" w:styleId="Style1584">
    <w:name w:val="_Style 1584"/>
    <w:basedOn w:val="Style1245"/>
    <w:autoRedefine/>
    <w:semiHidden/>
    <w:qFormat/>
    <w:rPr>
      <w:rFonts w:ascii="Times New Roman" w:hAnsi="Times New Roman"/>
      <w:b/>
      <w:kern w:val="2"/>
      <w:sz w:val="21"/>
      <w:szCs w:val="24"/>
    </w:rPr>
  </w:style>
  <w:style w:type="paragraph" w:customStyle="1" w:styleId="Style1585">
    <w:name w:val="_Style 1585"/>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586">
    <w:name w:val="_Style 1586"/>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587">
    <w:name w:val="_Style 1587"/>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588">
    <w:name w:val="_Style 1588"/>
    <w:basedOn w:val="Style1237"/>
    <w:next w:val="Style1100"/>
    <w:autoRedefine/>
    <w:uiPriority w:val="34"/>
    <w:semiHidden/>
    <w:qFormat/>
    <w:pPr>
      <w:ind w:firstLine="420"/>
    </w:pPr>
    <w:rPr>
      <w:rFonts w:ascii="Calibri" w:hAnsi="Calibri" w:cs="Times New Roman"/>
      <w:kern w:val="2"/>
      <w:sz w:val="21"/>
      <w:szCs w:val="22"/>
    </w:rPr>
  </w:style>
  <w:style w:type="paragraph" w:customStyle="1" w:styleId="Style1589">
    <w:name w:val="_Style 1589"/>
    <w:basedOn w:val="Style1237"/>
    <w:autoRedefine/>
    <w:semiHidden/>
    <w:qFormat/>
    <w:pPr>
      <w:ind w:firstLine="420"/>
    </w:pPr>
    <w:rPr>
      <w:rFonts w:ascii="Calibri" w:hAnsi="Calibri" w:cs="Times New Roman"/>
      <w:kern w:val="2"/>
      <w:sz w:val="21"/>
      <w:szCs w:val="21"/>
    </w:rPr>
  </w:style>
  <w:style w:type="paragraph" w:customStyle="1" w:styleId="Style1590">
    <w:name w:val="_Style 1590"/>
    <w:basedOn w:val="Style1259"/>
    <w:autoRedefine/>
    <w:uiPriority w:val="99"/>
    <w:semiHidden/>
    <w:qFormat/>
    <w:pPr>
      <w:ind w:firstLine="420"/>
    </w:pPr>
  </w:style>
  <w:style w:type="character" w:customStyle="1" w:styleId="Style1591">
    <w:name w:val="_Style 1591"/>
    <w:basedOn w:val="Style1343"/>
    <w:autoRedefine/>
    <w:uiPriority w:val="99"/>
    <w:semiHidden/>
    <w:qFormat/>
    <w:rPr>
      <w:rFonts w:ascii="宋体" w:hAnsi="宋体" w:cs="宋体"/>
      <w:sz w:val="24"/>
      <w:szCs w:val="24"/>
    </w:rPr>
  </w:style>
  <w:style w:type="paragraph" w:customStyle="1" w:styleId="Style1592">
    <w:name w:val="_Style 1592"/>
    <w:basedOn w:val="Style1237"/>
    <w:autoRedefine/>
    <w:uiPriority w:val="99"/>
    <w:semiHidden/>
    <w:qFormat/>
    <w:pPr>
      <w:spacing w:after="120" w:line="480" w:lineRule="auto"/>
    </w:pPr>
  </w:style>
  <w:style w:type="character" w:customStyle="1" w:styleId="Style1593">
    <w:name w:val="_Style 1593"/>
    <w:basedOn w:val="Style1245"/>
    <w:autoRedefine/>
    <w:uiPriority w:val="99"/>
    <w:semiHidden/>
    <w:qFormat/>
    <w:rPr>
      <w:rFonts w:ascii="宋体" w:hAnsi="宋体" w:cs="宋体"/>
      <w:sz w:val="24"/>
      <w:szCs w:val="24"/>
    </w:rPr>
  </w:style>
  <w:style w:type="paragraph" w:customStyle="1" w:styleId="Style1594">
    <w:name w:val="_Style 1594"/>
    <w:basedOn w:val="Style1237"/>
    <w:autoRedefine/>
    <w:uiPriority w:val="99"/>
    <w:semiHidden/>
    <w:qFormat/>
    <w:pPr>
      <w:spacing w:after="120"/>
    </w:pPr>
    <w:rPr>
      <w:sz w:val="16"/>
      <w:szCs w:val="16"/>
    </w:rPr>
  </w:style>
  <w:style w:type="character" w:customStyle="1" w:styleId="Style1595">
    <w:name w:val="_Style 1595"/>
    <w:basedOn w:val="Style1245"/>
    <w:autoRedefine/>
    <w:uiPriority w:val="99"/>
    <w:semiHidden/>
    <w:qFormat/>
    <w:rPr>
      <w:rFonts w:ascii="宋体" w:hAnsi="宋体" w:cs="宋体"/>
      <w:sz w:val="16"/>
      <w:szCs w:val="16"/>
    </w:rPr>
  </w:style>
  <w:style w:type="paragraph" w:customStyle="1" w:styleId="Style1596">
    <w:name w:val="_Style 1596"/>
    <w:basedOn w:val="Style1237"/>
    <w:autoRedefine/>
    <w:uiPriority w:val="99"/>
    <w:semiHidden/>
    <w:qFormat/>
    <w:pPr>
      <w:spacing w:after="120" w:line="480" w:lineRule="auto"/>
      <w:ind w:leftChars="200" w:left="420"/>
    </w:pPr>
  </w:style>
  <w:style w:type="character" w:customStyle="1" w:styleId="Style1597">
    <w:name w:val="_Style 1597"/>
    <w:basedOn w:val="Style1245"/>
    <w:autoRedefine/>
    <w:uiPriority w:val="99"/>
    <w:semiHidden/>
    <w:qFormat/>
    <w:rPr>
      <w:rFonts w:ascii="宋体" w:hAnsi="宋体" w:cs="宋体"/>
      <w:sz w:val="24"/>
      <w:szCs w:val="24"/>
    </w:rPr>
  </w:style>
  <w:style w:type="paragraph" w:customStyle="1" w:styleId="Style1598">
    <w:name w:val="_Style 1598"/>
    <w:basedOn w:val="Style1237"/>
    <w:autoRedefine/>
    <w:uiPriority w:val="99"/>
    <w:semiHidden/>
    <w:qFormat/>
    <w:pPr>
      <w:spacing w:after="120"/>
      <w:ind w:leftChars="200" w:left="420"/>
    </w:pPr>
    <w:rPr>
      <w:sz w:val="16"/>
      <w:szCs w:val="16"/>
    </w:rPr>
  </w:style>
  <w:style w:type="paragraph" w:customStyle="1" w:styleId="Style1599">
    <w:name w:val="_Style 1599"/>
    <w:basedOn w:val="Style1248"/>
    <w:next w:val="Style1100"/>
    <w:autoRedefine/>
    <w:uiPriority w:val="99"/>
    <w:semiHidden/>
    <w:qFormat/>
    <w:pPr>
      <w:keepNext/>
      <w:keepLines/>
      <w:spacing w:before="60" w:after="60" w:line="360" w:lineRule="auto"/>
      <w:jc w:val="center"/>
      <w:outlineLvl w:val="0"/>
    </w:pPr>
    <w:rPr>
      <w:rFonts w:ascii="Calibri" w:eastAsia="黑体" w:hAnsi="Calibri" w:cs="Times New Roman"/>
      <w:b/>
      <w:bCs/>
      <w:kern w:val="44"/>
      <w:sz w:val="28"/>
      <w:szCs w:val="44"/>
    </w:rPr>
  </w:style>
  <w:style w:type="paragraph" w:customStyle="1" w:styleId="Style16000">
    <w:name w:val="_Style 1600"/>
    <w:basedOn w:val="Style1599"/>
    <w:next w:val="Style110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601">
    <w:name w:val="_Style 1601"/>
    <w:basedOn w:val="Style229"/>
    <w:next w:val="Style110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602">
    <w:name w:val="_Style 1602"/>
    <w:basedOn w:val="Style1601"/>
    <w:next w:val="Style1100"/>
    <w:autoRedefine/>
    <w:uiPriority w:val="39"/>
    <w:semiHidden/>
    <w:qFormat/>
    <w:pPr>
      <w:widowControl/>
      <w:spacing w:before="480" w:after="0" w:line="276" w:lineRule="auto"/>
      <w:outlineLvl w:val="9"/>
    </w:pPr>
    <w:rPr>
      <w:rFonts w:ascii="Cambria" w:eastAsia="宋体" w:hAnsi="Cambria"/>
      <w:color w:val="365F91"/>
      <w:kern w:val="0"/>
      <w:szCs w:val="28"/>
    </w:rPr>
  </w:style>
  <w:style w:type="paragraph" w:customStyle="1" w:styleId="Style1603">
    <w:name w:val="_Style 1603"/>
    <w:basedOn w:val="Style229"/>
    <w:next w:val="Style1100"/>
    <w:autoRedefine/>
    <w:uiPriority w:val="39"/>
    <w:semiHidden/>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character" w:customStyle="1" w:styleId="Style1604">
    <w:name w:val="_Style 1604"/>
    <w:basedOn w:val="Style339"/>
    <w:autoRedefine/>
    <w:uiPriority w:val="34"/>
    <w:semiHidden/>
    <w:qFormat/>
    <w:rPr>
      <w:kern w:val="2"/>
      <w:sz w:val="21"/>
      <w:szCs w:val="22"/>
    </w:rPr>
  </w:style>
  <w:style w:type="character" w:customStyle="1" w:styleId="Style1605">
    <w:name w:val="_Style 1605"/>
    <w:basedOn w:val="Style1452"/>
    <w:autoRedefine/>
    <w:semiHidden/>
    <w:qFormat/>
    <w:rPr>
      <w:rFonts w:ascii="Times New Roman" w:hAnsi="Times New Roman" w:cs="宋体"/>
      <w:kern w:val="2"/>
      <w:sz w:val="21"/>
      <w:szCs w:val="21"/>
    </w:rPr>
  </w:style>
  <w:style w:type="paragraph" w:customStyle="1" w:styleId="Style1606">
    <w:name w:val="_Style 1606"/>
    <w:basedOn w:val="Style480"/>
    <w:next w:val="Style1100"/>
    <w:autoRedefine/>
    <w:uiPriority w:val="99"/>
    <w:semiHidden/>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Style1607">
    <w:name w:val="_Style 1607"/>
    <w:autoRedefine/>
    <w:hidden/>
    <w:uiPriority w:val="99"/>
    <w:unhideWhenUsed/>
    <w:qFormat/>
    <w:rPr>
      <w:rFonts w:ascii="宋体" w:hAnsi="宋体" w:cs="宋体"/>
      <w:sz w:val="24"/>
      <w:szCs w:val="24"/>
    </w:rPr>
  </w:style>
  <w:style w:type="paragraph" w:customStyle="1" w:styleId="Style1608">
    <w:name w:val="_Style 1608"/>
    <w:autoRedefine/>
    <w:hidden/>
    <w:uiPriority w:val="99"/>
    <w:unhideWhenUsed/>
    <w:qFormat/>
    <w:rPr>
      <w:rFonts w:ascii="宋体" w:hAnsi="宋体" w:cs="宋体"/>
      <w:sz w:val="24"/>
      <w:szCs w:val="24"/>
    </w:rPr>
  </w:style>
  <w:style w:type="paragraph" w:customStyle="1" w:styleId="Style1609">
    <w:name w:val="_Style 1609"/>
    <w:basedOn w:val="Style1237"/>
    <w:qFormat/>
    <w:pPr>
      <w:spacing w:beforeLines="50" w:before="120" w:line="360" w:lineRule="auto"/>
      <w:ind w:firstLineChars="200" w:firstLine="480"/>
    </w:pPr>
  </w:style>
  <w:style w:type="character" w:customStyle="1" w:styleId="Style1610">
    <w:name w:val="_Style 1610"/>
    <w:basedOn w:val="Style1245"/>
    <w:autoRedefine/>
    <w:qFormat/>
    <w:rPr>
      <w:rFonts w:ascii="宋体" w:hAnsi="宋体" w:cs="宋体"/>
      <w:sz w:val="24"/>
      <w:szCs w:val="24"/>
    </w:rPr>
  </w:style>
  <w:style w:type="paragraph" w:customStyle="1" w:styleId="Style1611">
    <w:name w:val="_Style 1611"/>
    <w:basedOn w:val="Style160"/>
    <w:autoRedefine/>
    <w:qFormat/>
    <w:pPr>
      <w:ind w:firstLine="200"/>
    </w:pPr>
    <w:rPr>
      <w:rFonts w:hAnsi="宋体" w:cs="宋体"/>
      <w:kern w:val="0"/>
    </w:rPr>
  </w:style>
  <w:style w:type="character" w:customStyle="1" w:styleId="Style1612">
    <w:name w:val="_Style 1612"/>
    <w:basedOn w:val="Style1245"/>
    <w:autoRedefine/>
    <w:semiHidden/>
    <w:qFormat/>
    <w:rPr>
      <w:rFonts w:ascii="宋体" w:hAnsi="宋体" w:cs="宋体"/>
      <w:sz w:val="24"/>
      <w:szCs w:val="24"/>
    </w:rPr>
  </w:style>
  <w:style w:type="character" w:customStyle="1" w:styleId="Style1613">
    <w:name w:val="_Style 1613"/>
    <w:basedOn w:val="Style1600"/>
    <w:autoRedefine/>
    <w:qFormat/>
    <w:rPr>
      <w:rFonts w:ascii="宋体" w:hAnsi="宋体" w:cs="宋体"/>
      <w:kern w:val="2"/>
      <w:sz w:val="24"/>
      <w:szCs w:val="24"/>
    </w:rPr>
  </w:style>
  <w:style w:type="paragraph" w:customStyle="1" w:styleId="Style1614">
    <w:name w:val="_Style 1614"/>
    <w:hidden/>
    <w:uiPriority w:val="99"/>
    <w:semiHidden/>
    <w:rPr>
      <w:rFonts w:ascii="宋体" w:hAnsi="宋体" w:cs="宋体"/>
      <w:sz w:val="24"/>
      <w:szCs w:val="24"/>
    </w:rPr>
  </w:style>
  <w:style w:type="paragraph" w:customStyle="1" w:styleId="Style1615">
    <w:name w:val="_Style 1615"/>
    <w:basedOn w:val="Style607"/>
    <w:autoRedefine/>
    <w:qFormat/>
    <w:pPr>
      <w:jc w:val="right"/>
    </w:pPr>
  </w:style>
  <w:style w:type="character" w:customStyle="1" w:styleId="Style1616">
    <w:name w:val="_Style 1616"/>
    <w:basedOn w:val="Style1245"/>
    <w:semiHidden/>
    <w:rPr>
      <w:rFonts w:ascii="宋体" w:hAnsi="宋体" w:cs="宋体"/>
      <w:sz w:val="24"/>
      <w:szCs w:val="24"/>
    </w:rPr>
  </w:style>
  <w:style w:type="character" w:customStyle="1" w:styleId="14">
    <w:name w:val="无间隔 字符1"/>
    <w:basedOn w:val="Style6070"/>
    <w:link w:val="affd"/>
    <w:rPr>
      <w:rFonts w:ascii="宋体" w:hAnsi="宋体" w:cs="宋体"/>
      <w:kern w:val="2"/>
      <w:sz w:val="24"/>
      <w:szCs w:val="22"/>
    </w:rPr>
  </w:style>
  <w:style w:type="paragraph" w:customStyle="1" w:styleId="Style1618">
    <w:name w:val="_Style 1618"/>
    <w:basedOn w:val="Style1237"/>
    <w:autoRedefine/>
    <w:qFormat/>
    <w:pPr>
      <w:spacing w:line="240" w:lineRule="auto"/>
      <w:jc w:val="right"/>
    </w:pPr>
  </w:style>
  <w:style w:type="character" w:customStyle="1" w:styleId="Style1619">
    <w:name w:val="_Style 1619"/>
    <w:basedOn w:val="Style1245"/>
    <w:link w:val="affe"/>
    <w:rPr>
      <w:rFonts w:ascii="宋体" w:hAnsi="宋体" w:cs="宋体"/>
      <w:sz w:val="24"/>
      <w:szCs w:val="24"/>
    </w:rPr>
  </w:style>
  <w:style w:type="paragraph" w:customStyle="1" w:styleId="Style1620">
    <w:name w:val="_Style 1620"/>
    <w:basedOn w:val="Style607"/>
    <w:autoRedefine/>
    <w:qFormat/>
  </w:style>
  <w:style w:type="character" w:customStyle="1" w:styleId="Style1621">
    <w:name w:val="_Style 1621"/>
    <w:basedOn w:val="Style6070"/>
    <w:rPr>
      <w:rFonts w:ascii="宋体" w:hAnsi="宋体" w:cs="宋体"/>
      <w:kern w:val="2"/>
      <w:sz w:val="24"/>
      <w:szCs w:val="22"/>
    </w:rPr>
  </w:style>
  <w:style w:type="paragraph" w:customStyle="1" w:styleId="Style1622">
    <w:name w:val="_Style 1622"/>
    <w:basedOn w:val="Style1620"/>
    <w:autoRedefine/>
    <w:qFormat/>
    <w:rPr>
      <w:rFonts w:ascii="宋体" w:hAnsi="宋体" w:cs="宋体"/>
      <w:kern w:val="0"/>
      <w:sz w:val="21"/>
      <w:szCs w:val="21"/>
    </w:rPr>
  </w:style>
  <w:style w:type="character" w:customStyle="1" w:styleId="Style1623">
    <w:name w:val="_Style 1623"/>
    <w:basedOn w:val="Style1621"/>
    <w:rPr>
      <w:rFonts w:ascii="宋体" w:hAnsi="宋体" w:cs="宋体"/>
      <w:kern w:val="2"/>
      <w:sz w:val="24"/>
      <w:szCs w:val="22"/>
    </w:rPr>
  </w:style>
  <w:style w:type="paragraph" w:customStyle="1" w:styleId="Style1624">
    <w:name w:val="_Style 1624"/>
    <w:autoRedefine/>
    <w:pPr>
      <w:ind w:left="420" w:hangingChars="420" w:hanging="420"/>
    </w:pPr>
    <w:rPr>
      <w:rFonts w:eastAsiaTheme="minorEastAsia"/>
      <w:b/>
      <w:kern w:val="2"/>
      <w:sz w:val="24"/>
      <w:szCs w:val="32"/>
    </w:rPr>
  </w:style>
  <w:style w:type="character" w:customStyle="1" w:styleId="Style1625">
    <w:name w:val="_Style 1625"/>
    <w:basedOn w:val="Style1612"/>
    <w:uiPriority w:val="9"/>
    <w:rPr>
      <w:rFonts w:asciiTheme="minorEastAsia" w:eastAsiaTheme="minorEastAsia" w:hAnsiTheme="minorEastAsia" w:cs="宋体"/>
      <w:b/>
      <w:bCs/>
      <w:sz w:val="24"/>
      <w:szCs w:val="24"/>
    </w:rPr>
  </w:style>
  <w:style w:type="character" w:customStyle="1" w:styleId="Style1626">
    <w:name w:val="_Style 1626"/>
    <w:basedOn w:val="Style1625"/>
    <w:rPr>
      <w:rFonts w:ascii="宋体" w:eastAsiaTheme="minorEastAsia" w:hAnsi="宋体" w:cs="宋体"/>
      <w:b/>
      <w:bCs w:val="0"/>
      <w:kern w:val="2"/>
      <w:sz w:val="24"/>
      <w:szCs w:val="32"/>
    </w:rPr>
  </w:style>
  <w:style w:type="character" w:customStyle="1" w:styleId="Style1627">
    <w:name w:val="_Style 1627"/>
    <w:basedOn w:val="Style1245"/>
    <w:uiPriority w:val="9"/>
    <w:rPr>
      <w:rFonts w:ascii="宋体" w:hAnsi="宋体" w:cs="宋体"/>
      <w:b/>
      <w:bCs/>
      <w:sz w:val="32"/>
      <w:szCs w:val="32"/>
    </w:rPr>
  </w:style>
  <w:style w:type="paragraph" w:customStyle="1" w:styleId="Style1628">
    <w:name w:val="_Style 1628"/>
    <w:basedOn w:val="Style1238"/>
    <w:next w:val="Style1152"/>
    <w:uiPriority w:val="39"/>
    <w:qFormat/>
    <w:pPr>
      <w:widowControl/>
      <w:spacing w:before="480" w:after="0" w:line="276" w:lineRule="auto"/>
      <w:outlineLvl w:val="9"/>
    </w:pPr>
    <w:rPr>
      <w:rFonts w:ascii="Cambria" w:eastAsia="宋体" w:hAnsi="Cambria"/>
      <w:color w:val="365F91"/>
      <w:kern w:val="0"/>
      <w:szCs w:val="28"/>
    </w:rPr>
  </w:style>
  <w:style w:type="table" w:customStyle="1" w:styleId="g16">
    <w:name w:val="g16"/>
    <w:autoRedefine/>
    <w:uiPriority w:val="99"/>
    <w:semiHidden/>
    <w:unhideWhenUsed/>
    <w:qFormat/>
    <w:rsid w:val="003D5EBE"/>
    <w:rPr>
      <w:rFonts w:asciiTheme="minorHAnsi" w:eastAsiaTheme="minorEastAsia" w:hAnsiTheme="minorHAnsi" w:cstheme="minorBidi"/>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baike.baidu.com/item/%E8%BF%87%E8%BD%BD%E8%83%BD%E5%8A%9B/5210991" TargetMode="Externa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515969" w:rsidRDefault="006B3D04">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515969" w:rsidRDefault="006B3D04">
          <w:r>
            <w:rPr>
              <w:rStyle w:val="a3"/>
              <w:rFonts w:hint="eastAsia"/>
              <w:color w:val="333399"/>
              <w:u w:val="single"/>
            </w:rPr>
            <w:t xml:space="preserve">　　　</w:t>
          </w:r>
        </w:p>
      </w:docPartBody>
    </w:docPart>
    <w:docPart>
      <w:docPartPr>
        <w:name w:val="F5728417BD2E4282A2747EDD7ACB7B5C"/>
        <w:category>
          <w:name w:val="常规"/>
          <w:gallery w:val="placeholder"/>
        </w:category>
        <w:types>
          <w:type w:val="bbPlcHdr"/>
        </w:types>
        <w:behaviors>
          <w:behavior w:val="content"/>
        </w:behaviors>
        <w:guid w:val="{0A345A2B-C3EC-49A0-BC9D-EEEEA119D18D}"/>
      </w:docPartPr>
      <w:docPartBody>
        <w:p w:rsidR="00515969" w:rsidRDefault="006B3D04">
          <w:pPr>
            <w:pStyle w:val="F5728417BD2E4282A2747EDD7ACB7B5C"/>
          </w:pPr>
          <w:r>
            <w:rPr>
              <w:rStyle w:val="a3"/>
              <w:rFonts w:hint="eastAsia"/>
            </w:rPr>
            <w:t xml:space="preserve">　</w:t>
          </w:r>
        </w:p>
      </w:docPartBody>
    </w:docPart>
    <w:docPart>
      <w:docPartPr>
        <w:name w:val="FC584E668F174EF3AC1427A6D24EED0D"/>
        <w:category>
          <w:name w:val="常规"/>
          <w:gallery w:val="placeholder"/>
        </w:category>
        <w:types>
          <w:type w:val="bbPlcHdr"/>
        </w:types>
        <w:behaviors>
          <w:behavior w:val="content"/>
        </w:behaviors>
        <w:guid w:val="{452F708C-4294-4C7A-B449-20B98B8E680E}"/>
      </w:docPartPr>
      <w:docPartBody>
        <w:p w:rsidR="00515969" w:rsidRDefault="006B3D04">
          <w:pPr>
            <w:pStyle w:val="FC584E668F174EF3AC1427A6D24EED0D"/>
          </w:pPr>
          <w:r>
            <w:rPr>
              <w:rStyle w:val="a3"/>
              <w:rFonts w:hint="eastAsia"/>
              <w:color w:val="333399"/>
              <w:u w:val="single"/>
            </w:rPr>
            <w:t xml:space="preserve">　　　</w:t>
          </w:r>
        </w:p>
      </w:docPartBody>
    </w:docPart>
    <w:docPart>
      <w:docPartPr>
        <w:name w:val="130577765B3240DE87A06D187D677C65"/>
        <w:category>
          <w:name w:val="常规"/>
          <w:gallery w:val="placeholder"/>
        </w:category>
        <w:types>
          <w:type w:val="bbPlcHdr"/>
        </w:types>
        <w:behaviors>
          <w:behavior w:val="content"/>
        </w:behaviors>
        <w:guid w:val="{84CEA619-965B-4832-BDD3-3980C0F32A33}"/>
      </w:docPartPr>
      <w:docPartBody>
        <w:p w:rsidR="00515969" w:rsidRDefault="006B3D04">
          <w:pPr>
            <w:pStyle w:val="130577765B3240DE87A06D187D677C65"/>
          </w:pPr>
          <w:r>
            <w:rPr>
              <w:rStyle w:val="a3"/>
              <w:rFonts w:hint="eastAsia"/>
              <w:color w:val="333399"/>
              <w:u w:val="single"/>
            </w:rPr>
            <w:t xml:space="preserve">　　　</w:t>
          </w:r>
        </w:p>
      </w:docPartBody>
    </w:docPart>
    <w:docPart>
      <w:docPartPr>
        <w:name w:val="0B88A83844B5453792C6342880ED2651"/>
        <w:category>
          <w:name w:val="常规"/>
          <w:gallery w:val="placeholder"/>
        </w:category>
        <w:types>
          <w:type w:val="bbPlcHdr"/>
        </w:types>
        <w:behaviors>
          <w:behavior w:val="content"/>
        </w:behaviors>
        <w:guid w:val="{53F82F5A-A392-4A8B-86A9-C81C381BDFB5}"/>
      </w:docPartPr>
      <w:docPartBody>
        <w:p w:rsidR="00515969" w:rsidRDefault="006B3D04">
          <w:pPr>
            <w:pStyle w:val="0B88A83844B5453792C6342880ED2651"/>
          </w:pPr>
          <w:r>
            <w:rPr>
              <w:rStyle w:val="a3"/>
              <w:rFonts w:hint="eastAsia"/>
              <w:color w:val="333399"/>
              <w:u w:val="single"/>
            </w:rPr>
            <w:t xml:space="preserve">　　　</w:t>
          </w:r>
        </w:p>
      </w:docPartBody>
    </w:docPart>
    <w:docPart>
      <w:docPartPr>
        <w:name w:val="D4D21A3050AE4230A4E89AE932B790CE"/>
        <w:category>
          <w:name w:val="常规"/>
          <w:gallery w:val="placeholder"/>
        </w:category>
        <w:types>
          <w:type w:val="bbPlcHdr"/>
        </w:types>
        <w:behaviors>
          <w:behavior w:val="content"/>
        </w:behaviors>
        <w:guid w:val="{1C7C22A6-23CF-4C28-A9EF-B5EC266A87A6}"/>
      </w:docPartPr>
      <w:docPartBody>
        <w:p w:rsidR="00515969" w:rsidRDefault="006B3D04">
          <w:pPr>
            <w:pStyle w:val="D4D21A3050AE4230A4E89AE932B790CE"/>
          </w:pPr>
          <w:r>
            <w:rPr>
              <w:rStyle w:val="a3"/>
              <w:rFonts w:hint="eastAsia"/>
              <w:color w:val="333399"/>
              <w:u w:val="single"/>
            </w:rPr>
            <w:t xml:space="preserve">　　　</w:t>
          </w:r>
        </w:p>
      </w:docPartBody>
    </w:docPart>
    <w:docPart>
      <w:docPartPr>
        <w:name w:val="34DE6560592642A09AFAE2BBD29F7F6A"/>
        <w:category>
          <w:name w:val="常规"/>
          <w:gallery w:val="placeholder"/>
        </w:category>
        <w:types>
          <w:type w:val="bbPlcHdr"/>
        </w:types>
        <w:behaviors>
          <w:behavior w:val="content"/>
        </w:behaviors>
        <w:guid w:val="{57890A30-A712-4103-ABAA-959AD1FC9273}"/>
      </w:docPartPr>
      <w:docPartBody>
        <w:p w:rsidR="00515969" w:rsidRDefault="006B3D04">
          <w:pPr>
            <w:pStyle w:val="34DE6560592642A09AFAE2BBD29F7F6A"/>
          </w:pPr>
          <w:r>
            <w:rPr>
              <w:rStyle w:val="a3"/>
              <w:rFonts w:hint="eastAsia"/>
              <w:color w:val="333399"/>
              <w:u w:val="single"/>
            </w:rPr>
            <w:t xml:space="preserve">　　　</w:t>
          </w:r>
        </w:p>
      </w:docPartBody>
    </w:docPart>
    <w:docPart>
      <w:docPartPr>
        <w:name w:val="A9316230EEAC4C2F8FB019A9D826E29C"/>
        <w:category>
          <w:name w:val="常规"/>
          <w:gallery w:val="placeholder"/>
        </w:category>
        <w:types>
          <w:type w:val="bbPlcHdr"/>
        </w:types>
        <w:behaviors>
          <w:behavior w:val="content"/>
        </w:behaviors>
        <w:guid w:val="{80572276-8B47-40FC-8B33-682A03B12CCB}"/>
      </w:docPartPr>
      <w:docPartBody>
        <w:p w:rsidR="00515969" w:rsidRDefault="006B3D04">
          <w:pPr>
            <w:pStyle w:val="A9316230EEAC4C2F8FB019A9D826E29C"/>
          </w:pPr>
          <w:r>
            <w:rPr>
              <w:rStyle w:val="a3"/>
              <w:rFonts w:hint="eastAsia"/>
              <w:color w:val="333399"/>
              <w:u w:val="single"/>
            </w:rPr>
            <w:t xml:space="preserve">　　　</w:t>
          </w:r>
        </w:p>
      </w:docPartBody>
    </w:docPart>
    <w:docPart>
      <w:docPartPr>
        <w:name w:val="2723172B56BC41F2B617FE6A029D7C0F"/>
        <w:category>
          <w:name w:val="常规"/>
          <w:gallery w:val="placeholder"/>
        </w:category>
        <w:types>
          <w:type w:val="bbPlcHdr"/>
        </w:types>
        <w:behaviors>
          <w:behavior w:val="content"/>
        </w:behaviors>
        <w:guid w:val="{C846EA7D-0887-4CCF-943E-C3B0E5B55C64}"/>
      </w:docPartPr>
      <w:docPartBody>
        <w:p w:rsidR="00515969" w:rsidRDefault="006B3D04">
          <w:pPr>
            <w:pStyle w:val="2723172B56BC41F2B617FE6A029D7C0F"/>
          </w:pPr>
          <w:r>
            <w:rPr>
              <w:rStyle w:val="a3"/>
              <w:rFonts w:hint="eastAsia"/>
              <w:color w:val="333399"/>
              <w:u w:val="single"/>
            </w:rPr>
            <w:t xml:space="preserve">　　　</w:t>
          </w:r>
        </w:p>
      </w:docPartBody>
    </w:docPart>
    <w:docPart>
      <w:docPartPr>
        <w:name w:val="BDFDC1F3631947A3A535FFBA6E404A1F"/>
        <w:category>
          <w:name w:val="常规"/>
          <w:gallery w:val="placeholder"/>
        </w:category>
        <w:types>
          <w:type w:val="bbPlcHdr"/>
        </w:types>
        <w:behaviors>
          <w:behavior w:val="content"/>
        </w:behaviors>
        <w:guid w:val="{DF127974-7301-4D71-AF92-1FCB556E2786}"/>
      </w:docPartPr>
      <w:docPartBody>
        <w:p w:rsidR="00515969" w:rsidRDefault="006B3D04">
          <w:pPr>
            <w:pStyle w:val="BDFDC1F3631947A3A535FFBA6E404A1F"/>
          </w:pPr>
          <w:r>
            <w:rPr>
              <w:rStyle w:val="a3"/>
              <w:rFonts w:hint="eastAsia"/>
              <w:color w:val="333399"/>
              <w:u w:val="single"/>
            </w:rPr>
            <w:t xml:space="preserve">　　　</w:t>
          </w:r>
        </w:p>
      </w:docPartBody>
    </w:docPart>
    <w:docPart>
      <w:docPartPr>
        <w:name w:val="1DD372FB3B2347C283C198977DB684AA"/>
        <w:category>
          <w:name w:val="常规"/>
          <w:gallery w:val="placeholder"/>
        </w:category>
        <w:types>
          <w:type w:val="bbPlcHdr"/>
        </w:types>
        <w:behaviors>
          <w:behavior w:val="content"/>
        </w:behaviors>
        <w:guid w:val="{0596759C-9693-4B18-B9D4-B048AABA5C90}"/>
      </w:docPartPr>
      <w:docPartBody>
        <w:p w:rsidR="00515969" w:rsidRDefault="006B3D04">
          <w:pPr>
            <w:pStyle w:val="1DD372FB3B2347C283C198977DB684AA"/>
          </w:pPr>
          <w:r>
            <w:rPr>
              <w:rStyle w:val="a3"/>
              <w:rFonts w:hint="eastAsia"/>
              <w:color w:val="333399"/>
              <w:u w:val="single"/>
            </w:rPr>
            <w:t xml:space="preserve">　　　</w:t>
          </w:r>
        </w:p>
      </w:docPartBody>
    </w:docPart>
    <w:docPart>
      <w:docPartPr>
        <w:name w:val="22DE4989F8EE45939B1523ECDCAEFCF7"/>
        <w:category>
          <w:name w:val="常规"/>
          <w:gallery w:val="placeholder"/>
        </w:category>
        <w:types>
          <w:type w:val="bbPlcHdr"/>
        </w:types>
        <w:behaviors>
          <w:behavior w:val="content"/>
        </w:behaviors>
        <w:guid w:val="{67A1B21A-9002-4AD4-A414-671FF021371A}"/>
      </w:docPartPr>
      <w:docPartBody>
        <w:p w:rsidR="00515969" w:rsidRDefault="006B3D04">
          <w:pPr>
            <w:pStyle w:val="22DE4989F8EE45939B1523ECDCAEFCF7"/>
          </w:pPr>
          <w:r>
            <w:rPr>
              <w:rStyle w:val="a3"/>
              <w:rFonts w:hint="eastAsia"/>
              <w:color w:val="333399"/>
              <w:u w:val="single"/>
            </w:rPr>
            <w:t xml:space="preserve">　　　</w:t>
          </w:r>
        </w:p>
      </w:docPartBody>
    </w:docPart>
    <w:docPart>
      <w:docPartPr>
        <w:name w:val="0A4AD8793C0B4923BF2AC4D7472703BF"/>
        <w:category>
          <w:name w:val="常规"/>
          <w:gallery w:val="placeholder"/>
        </w:category>
        <w:types>
          <w:type w:val="bbPlcHdr"/>
        </w:types>
        <w:behaviors>
          <w:behavior w:val="content"/>
        </w:behaviors>
        <w:guid w:val="{D2CE9353-49F5-4BE3-8C14-B59F480A1E03}"/>
      </w:docPartPr>
      <w:docPartBody>
        <w:p w:rsidR="00515969" w:rsidRDefault="006B3D04">
          <w:pPr>
            <w:pStyle w:val="0A4AD8793C0B4923BF2AC4D7472703BF"/>
          </w:pPr>
          <w:r>
            <w:rPr>
              <w:rStyle w:val="a3"/>
              <w:rFonts w:hint="eastAsia"/>
              <w:color w:val="333399"/>
              <w:u w:val="single"/>
            </w:rPr>
            <w:t xml:space="preserve">　　　</w:t>
          </w:r>
        </w:p>
      </w:docPartBody>
    </w:docPart>
    <w:docPart>
      <w:docPartPr>
        <w:name w:val="2AA850893639473FA5D8895113258BAA"/>
        <w:category>
          <w:name w:val="常规"/>
          <w:gallery w:val="placeholder"/>
        </w:category>
        <w:types>
          <w:type w:val="bbPlcHdr"/>
        </w:types>
        <w:behaviors>
          <w:behavior w:val="content"/>
        </w:behaviors>
        <w:guid w:val="{6624221C-5749-4DDC-99F8-185E56F567E7}"/>
      </w:docPartPr>
      <w:docPartBody>
        <w:p w:rsidR="00515969" w:rsidRDefault="006B3D04">
          <w:pPr>
            <w:pStyle w:val="2AA850893639473FA5D8895113258BAA"/>
          </w:pPr>
          <w:r>
            <w:rPr>
              <w:rStyle w:val="a3"/>
              <w:rFonts w:hint="eastAsia"/>
              <w:color w:val="333399"/>
              <w:u w:val="single"/>
            </w:rPr>
            <w:t xml:space="preserve">　　　</w:t>
          </w:r>
        </w:p>
      </w:docPartBody>
    </w:docPart>
    <w:docPart>
      <w:docPartPr>
        <w:name w:val="7ED5D781710B4E2D825CC608BE9CD3E2"/>
        <w:category>
          <w:name w:val="常规"/>
          <w:gallery w:val="placeholder"/>
        </w:category>
        <w:types>
          <w:type w:val="bbPlcHdr"/>
        </w:types>
        <w:behaviors>
          <w:behavior w:val="content"/>
        </w:behaviors>
        <w:guid w:val="{05AB7344-6C0E-4B61-8314-C2A85DC1E5DD}"/>
      </w:docPartPr>
      <w:docPartBody>
        <w:p w:rsidR="00515969" w:rsidRDefault="006B3D04">
          <w:pPr>
            <w:pStyle w:val="7ED5D781710B4E2D825CC608BE9CD3E2"/>
          </w:pPr>
          <w:r>
            <w:rPr>
              <w:rStyle w:val="a3"/>
              <w:rFonts w:hint="eastAsia"/>
              <w:color w:val="333399"/>
              <w:u w:val="single"/>
            </w:rPr>
            <w:t xml:space="preserve">　　　</w:t>
          </w:r>
        </w:p>
      </w:docPartBody>
    </w:docPart>
    <w:docPart>
      <w:docPartPr>
        <w:name w:val="12A5BFE2139A4413BF95FC55F95BF679"/>
        <w:category>
          <w:name w:val="常规"/>
          <w:gallery w:val="placeholder"/>
        </w:category>
        <w:types>
          <w:type w:val="bbPlcHdr"/>
        </w:types>
        <w:behaviors>
          <w:behavior w:val="content"/>
        </w:behaviors>
        <w:guid w:val="{141B5670-BB9C-44CC-B5B7-B2BC15754138}"/>
      </w:docPartPr>
      <w:docPartBody>
        <w:p w:rsidR="00515969" w:rsidRDefault="006B3D04">
          <w:pPr>
            <w:pStyle w:val="12A5BFE2139A4413BF95FC55F95BF679"/>
          </w:pPr>
          <w:r>
            <w:rPr>
              <w:rStyle w:val="a3"/>
              <w:rFonts w:hint="eastAsia"/>
            </w:rPr>
            <w:t xml:space="preserve">　</w:t>
          </w:r>
        </w:p>
      </w:docPartBody>
    </w:docPart>
    <w:docPart>
      <w:docPartPr>
        <w:name w:val="9D4ABD48E6F9441A8260071315C0530F"/>
        <w:category>
          <w:name w:val="常规"/>
          <w:gallery w:val="placeholder"/>
        </w:category>
        <w:types>
          <w:type w:val="bbPlcHdr"/>
        </w:types>
        <w:behaviors>
          <w:behavior w:val="content"/>
        </w:behaviors>
        <w:guid w:val="{66ABD077-8824-433E-B13F-20F3A7B3CE4F}"/>
      </w:docPartPr>
      <w:docPartBody>
        <w:p w:rsidR="00515969" w:rsidRDefault="006B3D04">
          <w:pPr>
            <w:pStyle w:val="9D4ABD48E6F9441A8260071315C0530F"/>
          </w:pPr>
          <w:r>
            <w:rPr>
              <w:rStyle w:val="a3"/>
              <w:rFonts w:hint="eastAsia"/>
              <w:color w:val="333399"/>
              <w:u w:val="single"/>
            </w:rPr>
            <w:t xml:space="preserve">　　　</w:t>
          </w:r>
        </w:p>
      </w:docPartBody>
    </w:docPart>
    <w:docPart>
      <w:docPartPr>
        <w:name w:val="5C0C2B2880B24235A4E48F0CDF0C8341"/>
        <w:category>
          <w:name w:val="常规"/>
          <w:gallery w:val="placeholder"/>
        </w:category>
        <w:types>
          <w:type w:val="bbPlcHdr"/>
        </w:types>
        <w:behaviors>
          <w:behavior w:val="content"/>
        </w:behaviors>
        <w:guid w:val="{284A2F22-3C6C-49F1-9755-DA4D5DD35902}"/>
      </w:docPartPr>
      <w:docPartBody>
        <w:p w:rsidR="00515969" w:rsidRDefault="006B3D04">
          <w:pPr>
            <w:pStyle w:val="5C0C2B2880B24235A4E48F0CDF0C8341"/>
          </w:pPr>
          <w:r>
            <w:rPr>
              <w:rStyle w:val="a3"/>
              <w:rFonts w:hint="eastAsia"/>
              <w:color w:val="333399"/>
              <w:u w:val="single"/>
            </w:rPr>
            <w:t xml:space="preserve">　　　</w:t>
          </w:r>
        </w:p>
      </w:docPartBody>
    </w:docPart>
    <w:docPart>
      <w:docPartPr>
        <w:name w:val="689CE4114E0648A4B9A5138AAB5D4C79"/>
        <w:category>
          <w:name w:val="常规"/>
          <w:gallery w:val="placeholder"/>
        </w:category>
        <w:types>
          <w:type w:val="bbPlcHdr"/>
        </w:types>
        <w:behaviors>
          <w:behavior w:val="content"/>
        </w:behaviors>
        <w:guid w:val="{9DD716FF-175D-4976-A674-B8E7082FCE44}"/>
      </w:docPartPr>
      <w:docPartBody>
        <w:p w:rsidR="00515969" w:rsidRDefault="006B3D04">
          <w:pPr>
            <w:pStyle w:val="689CE4114E0648A4B9A5138AAB5D4C79"/>
          </w:pPr>
          <w:r>
            <w:rPr>
              <w:rStyle w:val="a3"/>
              <w:rFonts w:hint="eastAsia"/>
              <w:color w:val="333399"/>
              <w:u w:val="single"/>
            </w:rPr>
            <w:t xml:space="preserve">　　　</w:t>
          </w:r>
        </w:p>
      </w:docPartBody>
    </w:docPart>
    <w:docPart>
      <w:docPartPr>
        <w:name w:val="31FA6AD54F5A4A3F9D2CE354A3DDD1F8"/>
        <w:category>
          <w:name w:val="常规"/>
          <w:gallery w:val="placeholder"/>
        </w:category>
        <w:types>
          <w:type w:val="bbPlcHdr"/>
        </w:types>
        <w:behaviors>
          <w:behavior w:val="content"/>
        </w:behaviors>
        <w:guid w:val="{05453B21-E735-4609-ACFA-62205370610D}"/>
      </w:docPartPr>
      <w:docPartBody>
        <w:p w:rsidR="00515969" w:rsidRDefault="006B3D04">
          <w:pPr>
            <w:pStyle w:val="31FA6AD54F5A4A3F9D2CE354A3DDD1F8"/>
          </w:pPr>
          <w:r>
            <w:rPr>
              <w:rStyle w:val="a3"/>
              <w:rFonts w:hint="eastAsia"/>
              <w:color w:val="333399"/>
              <w:u w:val="single"/>
            </w:rPr>
            <w:t xml:space="preserve">　　　</w:t>
          </w:r>
        </w:p>
      </w:docPartBody>
    </w:docPart>
    <w:docPart>
      <w:docPartPr>
        <w:name w:val="6F30C2BB1B334853BC7D326A08E7687F"/>
        <w:category>
          <w:name w:val="常规"/>
          <w:gallery w:val="placeholder"/>
        </w:category>
        <w:types>
          <w:type w:val="bbPlcHdr"/>
        </w:types>
        <w:behaviors>
          <w:behavior w:val="content"/>
        </w:behaviors>
        <w:guid w:val="{125DB121-979A-41C6-9CDB-C40EAB3E7EF3}"/>
      </w:docPartPr>
      <w:docPartBody>
        <w:p w:rsidR="00515969" w:rsidRDefault="006B3D04">
          <w:pPr>
            <w:pStyle w:val="6F30C2BB1B334853BC7D326A08E7687F"/>
          </w:pPr>
          <w:r>
            <w:rPr>
              <w:rStyle w:val="a3"/>
              <w:rFonts w:hint="eastAsia"/>
              <w:color w:val="333399"/>
              <w:u w:val="single"/>
            </w:rPr>
            <w:t xml:space="preserve">　　　</w:t>
          </w:r>
        </w:p>
      </w:docPartBody>
    </w:docPart>
    <w:docPart>
      <w:docPartPr>
        <w:name w:val="C67414EA563A4790B1030EC9E9C6521A"/>
        <w:category>
          <w:name w:val="常规"/>
          <w:gallery w:val="placeholder"/>
        </w:category>
        <w:types>
          <w:type w:val="bbPlcHdr"/>
        </w:types>
        <w:behaviors>
          <w:behavior w:val="content"/>
        </w:behaviors>
        <w:guid w:val="{717E0DA1-1FE6-4669-99ED-36BB5D2D15D3}"/>
      </w:docPartPr>
      <w:docPartBody>
        <w:p w:rsidR="00515969" w:rsidRDefault="006B3D04">
          <w:pPr>
            <w:pStyle w:val="C67414EA563A4790B1030EC9E9C6521A"/>
          </w:pPr>
          <w:r>
            <w:rPr>
              <w:rStyle w:val="a3"/>
              <w:rFonts w:hint="eastAsia"/>
              <w:color w:val="333399"/>
              <w:u w:val="single"/>
            </w:rPr>
            <w:t xml:space="preserve">　　　</w:t>
          </w:r>
        </w:p>
      </w:docPartBody>
    </w:docPart>
    <w:docPart>
      <w:docPartPr>
        <w:name w:val="33C34E1F4C924AC9A2B4F40563D1E4E0"/>
        <w:category>
          <w:name w:val="常规"/>
          <w:gallery w:val="placeholder"/>
        </w:category>
        <w:types>
          <w:type w:val="bbPlcHdr"/>
        </w:types>
        <w:behaviors>
          <w:behavior w:val="content"/>
        </w:behaviors>
        <w:guid w:val="{C7720A05-7DAA-4562-9476-FA05099DCEDF}"/>
      </w:docPartPr>
      <w:docPartBody>
        <w:p w:rsidR="00515969" w:rsidRDefault="006B3D04">
          <w:pPr>
            <w:pStyle w:val="33C34E1F4C924AC9A2B4F40563D1E4E0"/>
          </w:pPr>
          <w:r>
            <w:rPr>
              <w:rStyle w:val="a3"/>
              <w:rFonts w:hint="eastAsia"/>
            </w:rPr>
            <w:t xml:space="preserve">　</w:t>
          </w:r>
        </w:p>
      </w:docPartBody>
    </w:docPart>
    <w:docPart>
      <w:docPartPr>
        <w:name w:val="E3DC397765C0466D8D51BEC2AA814E2E"/>
        <w:category>
          <w:name w:val="常规"/>
          <w:gallery w:val="placeholder"/>
        </w:category>
        <w:types>
          <w:type w:val="bbPlcHdr"/>
        </w:types>
        <w:behaviors>
          <w:behavior w:val="content"/>
        </w:behaviors>
        <w:guid w:val="{3503266D-B860-4C8E-B17E-6953EB90E75A}"/>
      </w:docPartPr>
      <w:docPartBody>
        <w:p w:rsidR="00515969" w:rsidRDefault="006B3D04">
          <w:pPr>
            <w:pStyle w:val="E3DC397765C0466D8D51BEC2AA814E2E"/>
          </w:pPr>
          <w:r>
            <w:rPr>
              <w:rStyle w:val="a3"/>
              <w:rFonts w:hint="eastAsia"/>
              <w:color w:val="333399"/>
              <w:u w:val="single"/>
            </w:rPr>
            <w:t xml:space="preserve">　　　</w:t>
          </w:r>
        </w:p>
      </w:docPartBody>
    </w:docPart>
    <w:docPart>
      <w:docPartPr>
        <w:name w:val="68BDBE61EC634310993D1FC837DE0779"/>
        <w:category>
          <w:name w:val="常规"/>
          <w:gallery w:val="placeholder"/>
        </w:category>
        <w:types>
          <w:type w:val="bbPlcHdr"/>
        </w:types>
        <w:behaviors>
          <w:behavior w:val="content"/>
        </w:behaviors>
        <w:guid w:val="{3E0EA663-EED1-4FBB-97CC-B470D1216081}"/>
      </w:docPartPr>
      <w:docPartBody>
        <w:p w:rsidR="00515969" w:rsidRDefault="006B3D04">
          <w:pPr>
            <w:pStyle w:val="68BDBE61EC634310993D1FC837DE0779"/>
          </w:pPr>
          <w:r>
            <w:rPr>
              <w:rStyle w:val="a3"/>
              <w:rFonts w:hint="eastAsia"/>
            </w:rPr>
            <w:t xml:space="preserve">　</w:t>
          </w:r>
        </w:p>
      </w:docPartBody>
    </w:docPart>
    <w:docPart>
      <w:docPartPr>
        <w:name w:val="7BE0BD64A9914654B94782C976C72DB2"/>
        <w:category>
          <w:name w:val="常规"/>
          <w:gallery w:val="placeholder"/>
        </w:category>
        <w:types>
          <w:type w:val="bbPlcHdr"/>
        </w:types>
        <w:behaviors>
          <w:behavior w:val="content"/>
        </w:behaviors>
        <w:guid w:val="{3A488D51-498C-42C0-8CE7-021E257A363A}"/>
      </w:docPartPr>
      <w:docPartBody>
        <w:p w:rsidR="00515969" w:rsidRDefault="006B3D04">
          <w:pPr>
            <w:pStyle w:val="7BE0BD64A9914654B94782C976C72DB2"/>
          </w:pPr>
          <w:r>
            <w:rPr>
              <w:rStyle w:val="a3"/>
              <w:rFonts w:hint="eastAsia"/>
            </w:rPr>
            <w:t xml:space="preserve">　</w:t>
          </w:r>
        </w:p>
      </w:docPartBody>
    </w:docPart>
    <w:docPart>
      <w:docPartPr>
        <w:name w:val="EE11A164F13B40C08E9C10EDDC505FF9"/>
        <w:category>
          <w:name w:val="常规"/>
          <w:gallery w:val="placeholder"/>
        </w:category>
        <w:types>
          <w:type w:val="bbPlcHdr"/>
        </w:types>
        <w:behaviors>
          <w:behavior w:val="content"/>
        </w:behaviors>
        <w:guid w:val="{121BA430-88A8-4210-BF4F-E02DB5D174D5}"/>
      </w:docPartPr>
      <w:docPartBody>
        <w:p w:rsidR="00515969" w:rsidRDefault="006B3D04">
          <w:pPr>
            <w:pStyle w:val="EE11A164F13B40C08E9C10EDDC505FF9"/>
          </w:pPr>
          <w:r>
            <w:rPr>
              <w:rStyle w:val="a3"/>
              <w:rFonts w:hint="eastAsia"/>
            </w:rPr>
            <w:t xml:space="preserve">　</w:t>
          </w:r>
        </w:p>
      </w:docPartBody>
    </w:docPart>
    <w:docPart>
      <w:docPartPr>
        <w:name w:val="A973F7FEB81C440DBDD1B1893450C7F9"/>
        <w:category>
          <w:name w:val="常规"/>
          <w:gallery w:val="placeholder"/>
        </w:category>
        <w:types>
          <w:type w:val="bbPlcHdr"/>
        </w:types>
        <w:behaviors>
          <w:behavior w:val="content"/>
        </w:behaviors>
        <w:guid w:val="{7AC2CBB5-29F2-48FB-B493-B073E0D5C40E}"/>
      </w:docPartPr>
      <w:docPartBody>
        <w:p w:rsidR="00515969" w:rsidRDefault="006B3D04">
          <w:pPr>
            <w:pStyle w:val="A973F7FEB81C440DBDD1B1893450C7F9"/>
          </w:pPr>
          <w:r>
            <w:rPr>
              <w:rStyle w:val="a3"/>
              <w:rFonts w:hint="eastAsia"/>
            </w:rPr>
            <w:t xml:space="preserve">　</w:t>
          </w:r>
        </w:p>
      </w:docPartBody>
    </w:docPart>
    <w:docPart>
      <w:docPartPr>
        <w:name w:val="8EFAF814443042018BF7350246F74797"/>
        <w:category>
          <w:name w:val="常规"/>
          <w:gallery w:val="placeholder"/>
        </w:category>
        <w:types>
          <w:type w:val="bbPlcHdr"/>
        </w:types>
        <w:behaviors>
          <w:behavior w:val="content"/>
        </w:behaviors>
        <w:guid w:val="{1EA48C00-C07D-4DFB-8737-578A0A1E70EC}"/>
      </w:docPartPr>
      <w:docPartBody>
        <w:p w:rsidR="00515969" w:rsidRDefault="006B3D04">
          <w:pPr>
            <w:pStyle w:val="8EFAF814443042018BF7350246F74797"/>
          </w:pPr>
          <w:r>
            <w:rPr>
              <w:rStyle w:val="a3"/>
              <w:rFonts w:hint="eastAsia"/>
            </w:rPr>
            <w:t xml:space="preserve">　</w:t>
          </w:r>
        </w:p>
      </w:docPartBody>
    </w:docPart>
    <w:docPart>
      <w:docPartPr>
        <w:name w:val="569D96C1E82D4961A92EF637A2B077F6"/>
        <w:category>
          <w:name w:val="常规"/>
          <w:gallery w:val="placeholder"/>
        </w:category>
        <w:types>
          <w:type w:val="bbPlcHdr"/>
        </w:types>
        <w:behaviors>
          <w:behavior w:val="content"/>
        </w:behaviors>
        <w:guid w:val="{08FFA9A5-5803-4D3D-9AF9-21DB2E8E36A0}"/>
      </w:docPartPr>
      <w:docPartBody>
        <w:p w:rsidR="00515969" w:rsidRDefault="006B3D04">
          <w:pPr>
            <w:pStyle w:val="569D96C1E82D4961A92EF637A2B077F6"/>
          </w:pPr>
          <w:r>
            <w:rPr>
              <w:rStyle w:val="a3"/>
              <w:rFonts w:hint="eastAsia"/>
            </w:rPr>
            <w:t xml:space="preserve">　</w:t>
          </w:r>
        </w:p>
      </w:docPartBody>
    </w:docPart>
    <w:docPart>
      <w:docPartPr>
        <w:name w:val="02609C337D8F4985B097BDA7DA9632F6"/>
        <w:category>
          <w:name w:val="常规"/>
          <w:gallery w:val="placeholder"/>
        </w:category>
        <w:types>
          <w:type w:val="bbPlcHdr"/>
        </w:types>
        <w:behaviors>
          <w:behavior w:val="content"/>
        </w:behaviors>
        <w:guid w:val="{AB27A6FE-74B2-4CE7-BD05-1A9638214290}"/>
      </w:docPartPr>
      <w:docPartBody>
        <w:p w:rsidR="00515969" w:rsidRDefault="006B3D04">
          <w:pPr>
            <w:pStyle w:val="02609C337D8F4985B097BDA7DA9632F6"/>
          </w:pPr>
          <w:r>
            <w:rPr>
              <w:rStyle w:val="a3"/>
              <w:rFonts w:hint="eastAsia"/>
            </w:rPr>
            <w:t xml:space="preserve">　</w:t>
          </w:r>
        </w:p>
      </w:docPartBody>
    </w:docPart>
    <w:docPart>
      <w:docPartPr>
        <w:name w:val="F0051D70CC96429B860F28EDE581E009"/>
        <w:category>
          <w:name w:val="常规"/>
          <w:gallery w:val="placeholder"/>
        </w:category>
        <w:types>
          <w:type w:val="bbPlcHdr"/>
        </w:types>
        <w:behaviors>
          <w:behavior w:val="content"/>
        </w:behaviors>
        <w:guid w:val="{19F56EC6-FD9B-4FD0-9A1F-BC162875FCB2}"/>
      </w:docPartPr>
      <w:docPartBody>
        <w:p w:rsidR="00515969" w:rsidRDefault="006B3D04">
          <w:pPr>
            <w:pStyle w:val="F0051D70CC96429B860F28EDE581E009"/>
          </w:pPr>
          <w:r>
            <w:rPr>
              <w:rStyle w:val="a3"/>
              <w:rFonts w:hint="eastAsia"/>
            </w:rPr>
            <w:t xml:space="preserve">　</w:t>
          </w:r>
        </w:p>
      </w:docPartBody>
    </w:docPart>
    <w:docPart>
      <w:docPartPr>
        <w:name w:val="D5D20756B2F2491B9A93BCA3845C2CED"/>
        <w:category>
          <w:name w:val="常规"/>
          <w:gallery w:val="placeholder"/>
        </w:category>
        <w:types>
          <w:type w:val="bbPlcHdr"/>
        </w:types>
        <w:behaviors>
          <w:behavior w:val="content"/>
        </w:behaviors>
        <w:guid w:val="{AB54F949-CA50-4C56-ACE5-15A3BE09EBAE}"/>
      </w:docPartPr>
      <w:docPartBody>
        <w:p w:rsidR="00515969" w:rsidRDefault="006B3D04">
          <w:pPr>
            <w:pStyle w:val="D5D20756B2F2491B9A93BCA3845C2CED"/>
          </w:pPr>
          <w:r>
            <w:rPr>
              <w:rStyle w:val="a3"/>
              <w:rFonts w:hint="eastAsia"/>
            </w:rPr>
            <w:t xml:space="preserve">　</w:t>
          </w:r>
        </w:p>
      </w:docPartBody>
    </w:docPart>
    <w:docPart>
      <w:docPartPr>
        <w:name w:val="9BF1979FFA1046958D121A5487488682"/>
        <w:category>
          <w:name w:val="常规"/>
          <w:gallery w:val="placeholder"/>
        </w:category>
        <w:types>
          <w:type w:val="bbPlcHdr"/>
        </w:types>
        <w:behaviors>
          <w:behavior w:val="content"/>
        </w:behaviors>
        <w:guid w:val="{EA2958A2-A091-4970-9C04-5DA7017F3B37}"/>
      </w:docPartPr>
      <w:docPartBody>
        <w:p w:rsidR="00515969" w:rsidRDefault="006B3D04">
          <w:pPr>
            <w:pStyle w:val="9BF1979FFA1046958D121A5487488682"/>
          </w:pPr>
          <w:r>
            <w:rPr>
              <w:rStyle w:val="a3"/>
              <w:rFonts w:hint="eastAsia"/>
            </w:rPr>
            <w:t xml:space="preserve">　</w:t>
          </w:r>
        </w:p>
      </w:docPartBody>
    </w:docPart>
    <w:docPart>
      <w:docPartPr>
        <w:name w:val="663B6BE891A44EE19F932F1B4730A617"/>
        <w:category>
          <w:name w:val="常规"/>
          <w:gallery w:val="placeholder"/>
        </w:category>
        <w:types>
          <w:type w:val="bbPlcHdr"/>
        </w:types>
        <w:behaviors>
          <w:behavior w:val="content"/>
        </w:behaviors>
        <w:guid w:val="{FB5C7F35-2E20-4A9B-8F4A-DEA23CD14733}"/>
      </w:docPartPr>
      <w:docPartBody>
        <w:p w:rsidR="00515969" w:rsidRDefault="006B3D04">
          <w:pPr>
            <w:pStyle w:val="663B6BE891A44EE19F932F1B4730A617"/>
          </w:pPr>
          <w:r>
            <w:rPr>
              <w:rStyle w:val="a3"/>
              <w:rFonts w:hint="eastAsia"/>
            </w:rPr>
            <w:t xml:space="preserve">　</w:t>
          </w:r>
        </w:p>
      </w:docPartBody>
    </w:docPart>
    <w:docPart>
      <w:docPartPr>
        <w:name w:val="769EBA86121243CF99CC02D24982176D"/>
        <w:category>
          <w:name w:val="常规"/>
          <w:gallery w:val="placeholder"/>
        </w:category>
        <w:types>
          <w:type w:val="bbPlcHdr"/>
        </w:types>
        <w:behaviors>
          <w:behavior w:val="content"/>
        </w:behaviors>
        <w:guid w:val="{AEB1AF08-792C-4E9A-A882-19E28EC08BF1}"/>
      </w:docPartPr>
      <w:docPartBody>
        <w:p w:rsidR="00515969" w:rsidRDefault="006B3D04">
          <w:pPr>
            <w:pStyle w:val="769EBA86121243CF99CC02D24982176D"/>
          </w:pPr>
          <w:r>
            <w:rPr>
              <w:rStyle w:val="a3"/>
              <w:rFonts w:hint="eastAsia"/>
            </w:rPr>
            <w:t xml:space="preserve">　</w:t>
          </w:r>
        </w:p>
      </w:docPartBody>
    </w:docPart>
    <w:docPart>
      <w:docPartPr>
        <w:name w:val="8647C5537776418DBEB313E207EE5800"/>
        <w:category>
          <w:name w:val="常规"/>
          <w:gallery w:val="placeholder"/>
        </w:category>
        <w:types>
          <w:type w:val="bbPlcHdr"/>
        </w:types>
        <w:behaviors>
          <w:behavior w:val="content"/>
        </w:behaviors>
        <w:guid w:val="{3CCBAC82-EA16-4C6C-82F5-E4323950B4EB}"/>
      </w:docPartPr>
      <w:docPartBody>
        <w:p w:rsidR="00515969" w:rsidRDefault="006B3D04">
          <w:pPr>
            <w:pStyle w:val="8647C5537776418DBEB313E207EE5800"/>
          </w:pPr>
          <w:r>
            <w:rPr>
              <w:rStyle w:val="a3"/>
              <w:rFonts w:hint="eastAsia"/>
            </w:rPr>
            <w:t xml:space="preserve">　</w:t>
          </w:r>
        </w:p>
      </w:docPartBody>
    </w:docPart>
    <w:docPart>
      <w:docPartPr>
        <w:name w:val="CA060A66F4824E2E8C56CD346823244F"/>
        <w:category>
          <w:name w:val="常规"/>
          <w:gallery w:val="placeholder"/>
        </w:category>
        <w:types>
          <w:type w:val="bbPlcHdr"/>
        </w:types>
        <w:behaviors>
          <w:behavior w:val="content"/>
        </w:behaviors>
        <w:guid w:val="{5FE1C02C-1A34-4D59-801F-1CA1D85013EE}"/>
      </w:docPartPr>
      <w:docPartBody>
        <w:p w:rsidR="00515969" w:rsidRDefault="006B3D04">
          <w:pPr>
            <w:pStyle w:val="CA060A66F4824E2E8C56CD346823244F"/>
          </w:pPr>
          <w:r>
            <w:rPr>
              <w:rStyle w:val="a3"/>
              <w:rFonts w:hint="eastAsia"/>
            </w:rPr>
            <w:t xml:space="preserve">　</w:t>
          </w:r>
        </w:p>
      </w:docPartBody>
    </w:docPart>
    <w:docPart>
      <w:docPartPr>
        <w:name w:val="22DB351DC27E4FE7AAACEE0AA66CE3D5"/>
        <w:category>
          <w:name w:val="常规"/>
          <w:gallery w:val="placeholder"/>
        </w:category>
        <w:types>
          <w:type w:val="bbPlcHdr"/>
        </w:types>
        <w:behaviors>
          <w:behavior w:val="content"/>
        </w:behaviors>
        <w:guid w:val="{C4A6ADA7-3E2D-484E-B7F9-8E0E95EA8438}"/>
      </w:docPartPr>
      <w:docPartBody>
        <w:p w:rsidR="00515969" w:rsidRDefault="006B3D04">
          <w:pPr>
            <w:pStyle w:val="22DB351DC27E4FE7AAACEE0AA66CE3D5"/>
          </w:pPr>
          <w:r>
            <w:rPr>
              <w:rStyle w:val="a3"/>
              <w:rFonts w:hint="eastAsia"/>
            </w:rPr>
            <w:t xml:space="preserve">　</w:t>
          </w:r>
        </w:p>
      </w:docPartBody>
    </w:docPart>
    <w:docPart>
      <w:docPartPr>
        <w:name w:val="6AABF43690014A4B85E98B92E76B9294"/>
        <w:category>
          <w:name w:val="常规"/>
          <w:gallery w:val="placeholder"/>
        </w:category>
        <w:types>
          <w:type w:val="bbPlcHdr"/>
        </w:types>
        <w:behaviors>
          <w:behavior w:val="content"/>
        </w:behaviors>
        <w:guid w:val="{D29BBC2B-80CD-4C70-8713-2E3B3CE96293}"/>
      </w:docPartPr>
      <w:docPartBody>
        <w:p w:rsidR="00515969" w:rsidRDefault="006B3D04">
          <w:pPr>
            <w:pStyle w:val="6AABF43690014A4B85E98B92E76B9294"/>
          </w:pPr>
          <w:r>
            <w:rPr>
              <w:rStyle w:val="a3"/>
              <w:rFonts w:hint="eastAsia"/>
            </w:rPr>
            <w:t xml:space="preserve">　</w:t>
          </w:r>
        </w:p>
      </w:docPartBody>
    </w:docPart>
    <w:docPart>
      <w:docPartPr>
        <w:name w:val="A025B019A5124977A79A7E0E28C115D7"/>
        <w:category>
          <w:name w:val="常规"/>
          <w:gallery w:val="placeholder"/>
        </w:category>
        <w:types>
          <w:type w:val="bbPlcHdr"/>
        </w:types>
        <w:behaviors>
          <w:behavior w:val="content"/>
        </w:behaviors>
        <w:guid w:val="{6A72236A-3507-4883-9F6F-B3BCF3137CE0}"/>
      </w:docPartPr>
      <w:docPartBody>
        <w:p w:rsidR="00515969" w:rsidRDefault="006B3D04">
          <w:pPr>
            <w:pStyle w:val="A025B019A5124977A79A7E0E28C115D7"/>
          </w:pPr>
          <w:r>
            <w:rPr>
              <w:rStyle w:val="a3"/>
              <w:rFonts w:hint="eastAsia"/>
            </w:rPr>
            <w:t xml:space="preserve">　</w:t>
          </w:r>
        </w:p>
      </w:docPartBody>
    </w:docPart>
    <w:docPart>
      <w:docPartPr>
        <w:name w:val="850E60BC6A764AF6AF0D2E55C2EFD297"/>
        <w:category>
          <w:name w:val="常规"/>
          <w:gallery w:val="placeholder"/>
        </w:category>
        <w:types>
          <w:type w:val="bbPlcHdr"/>
        </w:types>
        <w:behaviors>
          <w:behavior w:val="content"/>
        </w:behaviors>
        <w:guid w:val="{3CC86E57-2301-4479-BCA9-37618770B56E}"/>
      </w:docPartPr>
      <w:docPartBody>
        <w:p w:rsidR="00515969" w:rsidRDefault="006B3D04">
          <w:pPr>
            <w:pStyle w:val="850E60BC6A764AF6AF0D2E55C2EFD297"/>
          </w:pPr>
          <w:r>
            <w:rPr>
              <w:rStyle w:val="a3"/>
              <w:rFonts w:hint="eastAsia"/>
            </w:rPr>
            <w:t xml:space="preserve">　</w:t>
          </w:r>
        </w:p>
      </w:docPartBody>
    </w:docPart>
    <w:docPart>
      <w:docPartPr>
        <w:name w:val="71CC470498E34EBD92ABA2E6615C8671"/>
        <w:category>
          <w:name w:val="常规"/>
          <w:gallery w:val="placeholder"/>
        </w:category>
        <w:types>
          <w:type w:val="bbPlcHdr"/>
        </w:types>
        <w:behaviors>
          <w:behavior w:val="content"/>
        </w:behaviors>
        <w:guid w:val="{26410169-2A4E-416C-A119-99EBA21F8085}"/>
      </w:docPartPr>
      <w:docPartBody>
        <w:p w:rsidR="00515969" w:rsidRDefault="006B3D04">
          <w:pPr>
            <w:pStyle w:val="71CC470498E34EBD92ABA2E6615C8671"/>
          </w:pPr>
          <w:r>
            <w:rPr>
              <w:rStyle w:val="a3"/>
              <w:rFonts w:hint="eastAsia"/>
              <w:color w:val="333399"/>
              <w:u w:val="single"/>
            </w:rPr>
            <w:t xml:space="preserve">　　　</w:t>
          </w:r>
        </w:p>
      </w:docPartBody>
    </w:docPart>
    <w:docPart>
      <w:docPartPr>
        <w:name w:val="7463CE1EB9264073B481337247E16444"/>
        <w:category>
          <w:name w:val="常规"/>
          <w:gallery w:val="placeholder"/>
        </w:category>
        <w:types>
          <w:type w:val="bbPlcHdr"/>
        </w:types>
        <w:behaviors>
          <w:behavior w:val="content"/>
        </w:behaviors>
        <w:guid w:val="{23F33306-7EC2-4A4C-87BD-5D6FC8F3D44D}"/>
      </w:docPartPr>
      <w:docPartBody>
        <w:p w:rsidR="00515969" w:rsidRDefault="006B3D04">
          <w:pPr>
            <w:pStyle w:val="7463CE1EB9264073B481337247E16444"/>
          </w:pPr>
          <w:r>
            <w:rPr>
              <w:rStyle w:val="a3"/>
              <w:rFonts w:hint="eastAsia"/>
            </w:rPr>
            <w:t xml:space="preserve">　</w:t>
          </w:r>
        </w:p>
      </w:docPartBody>
    </w:docPart>
    <w:docPart>
      <w:docPartPr>
        <w:name w:val="F68006B737DB4B7CB946B1FE051AA511"/>
        <w:category>
          <w:name w:val="常规"/>
          <w:gallery w:val="placeholder"/>
        </w:category>
        <w:types>
          <w:type w:val="bbPlcHdr"/>
        </w:types>
        <w:behaviors>
          <w:behavior w:val="content"/>
        </w:behaviors>
        <w:guid w:val="{A1407BE5-76EC-4B98-ADA4-0E8F4A2FD9FE}"/>
      </w:docPartPr>
      <w:docPartBody>
        <w:p w:rsidR="00515969" w:rsidRDefault="006B3D04">
          <w:pPr>
            <w:pStyle w:val="F68006B737DB4B7CB946B1FE051AA511"/>
          </w:pPr>
          <w:r>
            <w:rPr>
              <w:rStyle w:val="a3"/>
              <w:rFonts w:hint="eastAsia"/>
              <w:color w:val="333399"/>
              <w:u w:val="single"/>
            </w:rPr>
            <w:t xml:space="preserve">　　　</w:t>
          </w:r>
        </w:p>
      </w:docPartBody>
    </w:docPart>
    <w:docPart>
      <w:docPartPr>
        <w:name w:val="583F57A7E05C48ED86FC75DB91F7A82E"/>
        <w:category>
          <w:name w:val="常规"/>
          <w:gallery w:val="placeholder"/>
        </w:category>
        <w:types>
          <w:type w:val="bbPlcHdr"/>
        </w:types>
        <w:behaviors>
          <w:behavior w:val="content"/>
        </w:behaviors>
        <w:guid w:val="{F405D18B-F198-4F8F-A9E5-FE0A993ED10C}"/>
      </w:docPartPr>
      <w:docPartBody>
        <w:p w:rsidR="00515969" w:rsidRDefault="006B3D04">
          <w:pPr>
            <w:pStyle w:val="583F57A7E05C48ED86FC75DB91F7A82E"/>
          </w:pPr>
          <w:r>
            <w:rPr>
              <w:rStyle w:val="a3"/>
              <w:rFonts w:hint="eastAsia"/>
              <w:color w:val="333399"/>
              <w:u w:val="single"/>
            </w:rPr>
            <w:t xml:space="preserve">　　　</w:t>
          </w:r>
        </w:p>
      </w:docPartBody>
    </w:docPart>
    <w:docPart>
      <w:docPartPr>
        <w:name w:val="56299B4B77654DCBBB5DEE139D57D181"/>
        <w:category>
          <w:name w:val="常规"/>
          <w:gallery w:val="placeholder"/>
        </w:category>
        <w:types>
          <w:type w:val="bbPlcHdr"/>
        </w:types>
        <w:behaviors>
          <w:behavior w:val="content"/>
        </w:behaviors>
        <w:guid w:val="{8D8C6259-4762-4DDD-8E47-042FBB936C84}"/>
      </w:docPartPr>
      <w:docPartBody>
        <w:p w:rsidR="00515969" w:rsidRDefault="006B3D04">
          <w:pPr>
            <w:pStyle w:val="56299B4B77654DCBBB5DEE139D57D181"/>
          </w:pPr>
          <w:r>
            <w:rPr>
              <w:rStyle w:val="a3"/>
              <w:rFonts w:hint="eastAsia"/>
              <w:color w:val="333399"/>
              <w:u w:val="single"/>
            </w:rPr>
            <w:t xml:space="preserve">　　　</w:t>
          </w:r>
        </w:p>
      </w:docPartBody>
    </w:docPart>
    <w:docPart>
      <w:docPartPr>
        <w:name w:val="B6E151B0A6CF429AA6790492B60E6665"/>
        <w:category>
          <w:name w:val="常规"/>
          <w:gallery w:val="placeholder"/>
        </w:category>
        <w:types>
          <w:type w:val="bbPlcHdr"/>
        </w:types>
        <w:behaviors>
          <w:behavior w:val="content"/>
        </w:behaviors>
        <w:guid w:val="{F566814C-6F1F-4E82-937B-5559EF59051F}"/>
      </w:docPartPr>
      <w:docPartBody>
        <w:p w:rsidR="00515969" w:rsidRDefault="006B3D04">
          <w:pPr>
            <w:pStyle w:val="B6E151B0A6CF429AA6790492B60E6665"/>
          </w:pPr>
          <w:r>
            <w:rPr>
              <w:rStyle w:val="a3"/>
              <w:rFonts w:hint="eastAsia"/>
            </w:rPr>
            <w:t xml:space="preserve">　</w:t>
          </w:r>
        </w:p>
      </w:docPartBody>
    </w:docPart>
    <w:docPart>
      <w:docPartPr>
        <w:name w:val="DE1F664FBB794E9ABBCBBAC41724405F"/>
        <w:category>
          <w:name w:val="常规"/>
          <w:gallery w:val="placeholder"/>
        </w:category>
        <w:types>
          <w:type w:val="bbPlcHdr"/>
        </w:types>
        <w:behaviors>
          <w:behavior w:val="content"/>
        </w:behaviors>
        <w:guid w:val="{79C22B60-096F-445E-9171-CDC990749685}"/>
      </w:docPartPr>
      <w:docPartBody>
        <w:p w:rsidR="00515969" w:rsidRDefault="006B3D04">
          <w:pPr>
            <w:pStyle w:val="DE1F664FBB794E9ABBCBBAC41724405F"/>
          </w:pPr>
          <w:r>
            <w:rPr>
              <w:rStyle w:val="a3"/>
              <w:rFonts w:hint="eastAsia"/>
              <w:color w:val="333399"/>
              <w:u w:val="single"/>
            </w:rPr>
            <w:t xml:space="preserve">　　　</w:t>
          </w:r>
        </w:p>
      </w:docPartBody>
    </w:docPart>
    <w:docPart>
      <w:docPartPr>
        <w:name w:val="5649DA1BB9E843DCB7A1FD4CB51D8C5E"/>
        <w:category>
          <w:name w:val="常规"/>
          <w:gallery w:val="placeholder"/>
        </w:category>
        <w:types>
          <w:type w:val="bbPlcHdr"/>
        </w:types>
        <w:behaviors>
          <w:behavior w:val="content"/>
        </w:behaviors>
        <w:guid w:val="{CCDF1AAA-CD22-40B5-92E6-4517A479597B}"/>
      </w:docPartPr>
      <w:docPartBody>
        <w:p w:rsidR="00515969" w:rsidRDefault="006B3D04">
          <w:pPr>
            <w:pStyle w:val="5649DA1BB9E843DCB7A1FD4CB51D8C5E"/>
          </w:pPr>
          <w:r>
            <w:rPr>
              <w:rStyle w:val="a3"/>
              <w:rFonts w:hint="eastAsia"/>
            </w:rPr>
            <w:t xml:space="preserve">　</w:t>
          </w:r>
        </w:p>
      </w:docPartBody>
    </w:docPart>
    <w:docPart>
      <w:docPartPr>
        <w:name w:val="DE24EA7F95EE4C5BBDCD249E4BE0A1FE"/>
        <w:category>
          <w:name w:val="常规"/>
          <w:gallery w:val="placeholder"/>
        </w:category>
        <w:types>
          <w:type w:val="bbPlcHdr"/>
        </w:types>
        <w:behaviors>
          <w:behavior w:val="content"/>
        </w:behaviors>
        <w:guid w:val="{5F87DB98-1B6C-470B-8814-1768D5B16F3C}"/>
      </w:docPartPr>
      <w:docPartBody>
        <w:p w:rsidR="00515969" w:rsidRDefault="006B3D04">
          <w:pPr>
            <w:pStyle w:val="DE24EA7F95EE4C5BBDCD249E4BE0A1FE"/>
          </w:pPr>
          <w:r>
            <w:rPr>
              <w:rStyle w:val="a3"/>
              <w:rFonts w:hint="eastAsia"/>
              <w:color w:val="333399"/>
              <w:u w:val="single"/>
            </w:rPr>
            <w:t xml:space="preserve">　　　</w:t>
          </w:r>
        </w:p>
      </w:docPartBody>
    </w:docPart>
    <w:docPart>
      <w:docPartPr>
        <w:name w:val="85392106702549C4AC05DA7F7526D92C"/>
        <w:category>
          <w:name w:val="常规"/>
          <w:gallery w:val="placeholder"/>
        </w:category>
        <w:types>
          <w:type w:val="bbPlcHdr"/>
        </w:types>
        <w:behaviors>
          <w:behavior w:val="content"/>
        </w:behaviors>
        <w:guid w:val="{59321F10-02F7-4893-8F12-F6E8F1BE96E2}"/>
      </w:docPartPr>
      <w:docPartBody>
        <w:p w:rsidR="00515969" w:rsidRDefault="006B3D04">
          <w:pPr>
            <w:pStyle w:val="85392106702549C4AC05DA7F7526D92C"/>
          </w:pPr>
          <w:r>
            <w:rPr>
              <w:rStyle w:val="a3"/>
              <w:rFonts w:hint="eastAsia"/>
              <w:color w:val="333399"/>
              <w:u w:val="single"/>
            </w:rPr>
            <w:t xml:space="preserve">　　　</w:t>
          </w:r>
        </w:p>
      </w:docPartBody>
    </w:docPart>
    <w:docPart>
      <w:docPartPr>
        <w:name w:val="5D45A576BD8E4B0985A9045B005EE7C8"/>
        <w:category>
          <w:name w:val="常规"/>
          <w:gallery w:val="placeholder"/>
        </w:category>
        <w:types>
          <w:type w:val="bbPlcHdr"/>
        </w:types>
        <w:behaviors>
          <w:behavior w:val="content"/>
        </w:behaviors>
        <w:guid w:val="{9CFFE03C-75ED-4004-A85D-EB44C7A45C1F}"/>
      </w:docPartPr>
      <w:docPartBody>
        <w:p w:rsidR="00515969" w:rsidRDefault="006B3D04">
          <w:pPr>
            <w:pStyle w:val="5D45A576BD8E4B0985A9045B005EE7C8"/>
          </w:pPr>
          <w:r>
            <w:rPr>
              <w:rStyle w:val="a3"/>
              <w:rFonts w:hint="eastAsia"/>
              <w:color w:val="333399"/>
              <w:u w:val="single"/>
            </w:rPr>
            <w:t xml:space="preserve">　　　</w:t>
          </w:r>
        </w:p>
      </w:docPartBody>
    </w:docPart>
    <w:docPart>
      <w:docPartPr>
        <w:name w:val="14C52424A3B943AD8328CE98DF998C0E"/>
        <w:category>
          <w:name w:val="常规"/>
          <w:gallery w:val="placeholder"/>
        </w:category>
        <w:types>
          <w:type w:val="bbPlcHdr"/>
        </w:types>
        <w:behaviors>
          <w:behavior w:val="content"/>
        </w:behaviors>
        <w:guid w:val="{742FCBD6-4F33-431F-858C-3B398D03F5B4}"/>
      </w:docPartPr>
      <w:docPartBody>
        <w:p w:rsidR="00515969" w:rsidRDefault="006B3D04">
          <w:pPr>
            <w:pStyle w:val="14C52424A3B943AD8328CE98DF998C0E"/>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E43"/>
    <w:rsid w:val="0000161E"/>
    <w:rsid w:val="00002689"/>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D68"/>
    <w:rsid w:val="000234EA"/>
    <w:rsid w:val="0002361B"/>
    <w:rsid w:val="000236A0"/>
    <w:rsid w:val="0002605F"/>
    <w:rsid w:val="00030279"/>
    <w:rsid w:val="00032504"/>
    <w:rsid w:val="00032ECB"/>
    <w:rsid w:val="0003417E"/>
    <w:rsid w:val="00034C17"/>
    <w:rsid w:val="0003500B"/>
    <w:rsid w:val="000353DC"/>
    <w:rsid w:val="0003608F"/>
    <w:rsid w:val="000403D5"/>
    <w:rsid w:val="00042F49"/>
    <w:rsid w:val="00044179"/>
    <w:rsid w:val="00044916"/>
    <w:rsid w:val="00045444"/>
    <w:rsid w:val="00047197"/>
    <w:rsid w:val="00051FA4"/>
    <w:rsid w:val="00053ABC"/>
    <w:rsid w:val="00055561"/>
    <w:rsid w:val="00055BDC"/>
    <w:rsid w:val="00055DED"/>
    <w:rsid w:val="000615DF"/>
    <w:rsid w:val="00061F65"/>
    <w:rsid w:val="00062ED3"/>
    <w:rsid w:val="0006349C"/>
    <w:rsid w:val="00063874"/>
    <w:rsid w:val="00063CC6"/>
    <w:rsid w:val="00064D04"/>
    <w:rsid w:val="0006532F"/>
    <w:rsid w:val="00065B5A"/>
    <w:rsid w:val="000667C2"/>
    <w:rsid w:val="00067105"/>
    <w:rsid w:val="000674E4"/>
    <w:rsid w:val="00067DCC"/>
    <w:rsid w:val="0007022E"/>
    <w:rsid w:val="00070ACB"/>
    <w:rsid w:val="00071C74"/>
    <w:rsid w:val="00073371"/>
    <w:rsid w:val="000743A2"/>
    <w:rsid w:val="0007487C"/>
    <w:rsid w:val="00076D57"/>
    <w:rsid w:val="0007717F"/>
    <w:rsid w:val="00082580"/>
    <w:rsid w:val="00083B00"/>
    <w:rsid w:val="00083C63"/>
    <w:rsid w:val="00084E8F"/>
    <w:rsid w:val="00087193"/>
    <w:rsid w:val="0009029E"/>
    <w:rsid w:val="00090B08"/>
    <w:rsid w:val="00091B0E"/>
    <w:rsid w:val="00092CBB"/>
    <w:rsid w:val="00093BE5"/>
    <w:rsid w:val="00093C40"/>
    <w:rsid w:val="000958C3"/>
    <w:rsid w:val="00097A4D"/>
    <w:rsid w:val="000A07A6"/>
    <w:rsid w:val="000A1ED8"/>
    <w:rsid w:val="000A5079"/>
    <w:rsid w:val="000A632D"/>
    <w:rsid w:val="000A63E1"/>
    <w:rsid w:val="000A6DCF"/>
    <w:rsid w:val="000B1E96"/>
    <w:rsid w:val="000B2987"/>
    <w:rsid w:val="000B3464"/>
    <w:rsid w:val="000B375A"/>
    <w:rsid w:val="000B5C82"/>
    <w:rsid w:val="000B5E0D"/>
    <w:rsid w:val="000B6B1C"/>
    <w:rsid w:val="000B6E5C"/>
    <w:rsid w:val="000B76C0"/>
    <w:rsid w:val="000B7F0A"/>
    <w:rsid w:val="000C11C1"/>
    <w:rsid w:val="000C26DD"/>
    <w:rsid w:val="000C5F2F"/>
    <w:rsid w:val="000C600B"/>
    <w:rsid w:val="000C6E4C"/>
    <w:rsid w:val="000D0276"/>
    <w:rsid w:val="000D0529"/>
    <w:rsid w:val="000D1066"/>
    <w:rsid w:val="000D2323"/>
    <w:rsid w:val="000D2DBA"/>
    <w:rsid w:val="000D3839"/>
    <w:rsid w:val="000D3D3C"/>
    <w:rsid w:val="000E37AA"/>
    <w:rsid w:val="000E5FF1"/>
    <w:rsid w:val="000E6959"/>
    <w:rsid w:val="000E7B4D"/>
    <w:rsid w:val="000F147D"/>
    <w:rsid w:val="000F3B57"/>
    <w:rsid w:val="000F41A3"/>
    <w:rsid w:val="000F440D"/>
    <w:rsid w:val="000F5144"/>
    <w:rsid w:val="000F527F"/>
    <w:rsid w:val="000F52F7"/>
    <w:rsid w:val="000F70C0"/>
    <w:rsid w:val="000F76A7"/>
    <w:rsid w:val="000F7B0F"/>
    <w:rsid w:val="001029A8"/>
    <w:rsid w:val="00103415"/>
    <w:rsid w:val="00103D62"/>
    <w:rsid w:val="00103FA8"/>
    <w:rsid w:val="00104879"/>
    <w:rsid w:val="00105328"/>
    <w:rsid w:val="00105693"/>
    <w:rsid w:val="001061D4"/>
    <w:rsid w:val="001073AE"/>
    <w:rsid w:val="001079B3"/>
    <w:rsid w:val="00107EAF"/>
    <w:rsid w:val="00110AE1"/>
    <w:rsid w:val="001124AB"/>
    <w:rsid w:val="001127EE"/>
    <w:rsid w:val="00114109"/>
    <w:rsid w:val="001160EB"/>
    <w:rsid w:val="00117118"/>
    <w:rsid w:val="00120BE3"/>
    <w:rsid w:val="00122BB8"/>
    <w:rsid w:val="00123C52"/>
    <w:rsid w:val="0012740D"/>
    <w:rsid w:val="0012741E"/>
    <w:rsid w:val="001279CA"/>
    <w:rsid w:val="00131D2F"/>
    <w:rsid w:val="00132E0F"/>
    <w:rsid w:val="00133739"/>
    <w:rsid w:val="00140824"/>
    <w:rsid w:val="0014233D"/>
    <w:rsid w:val="00142460"/>
    <w:rsid w:val="00142487"/>
    <w:rsid w:val="001426BA"/>
    <w:rsid w:val="00142AC6"/>
    <w:rsid w:val="00142BBE"/>
    <w:rsid w:val="00142C80"/>
    <w:rsid w:val="00143C74"/>
    <w:rsid w:val="00144295"/>
    <w:rsid w:val="0014577A"/>
    <w:rsid w:val="001516EC"/>
    <w:rsid w:val="00151EE9"/>
    <w:rsid w:val="00153272"/>
    <w:rsid w:val="00155B0D"/>
    <w:rsid w:val="00155B88"/>
    <w:rsid w:val="00156761"/>
    <w:rsid w:val="00157128"/>
    <w:rsid w:val="00157170"/>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B7C"/>
    <w:rsid w:val="001A5C0B"/>
    <w:rsid w:val="001A6392"/>
    <w:rsid w:val="001A6ECA"/>
    <w:rsid w:val="001A79B6"/>
    <w:rsid w:val="001A7EBE"/>
    <w:rsid w:val="001B0779"/>
    <w:rsid w:val="001B1217"/>
    <w:rsid w:val="001B17E0"/>
    <w:rsid w:val="001B182A"/>
    <w:rsid w:val="001B2FBB"/>
    <w:rsid w:val="001B3808"/>
    <w:rsid w:val="001B3DB4"/>
    <w:rsid w:val="001B64A1"/>
    <w:rsid w:val="001B7B09"/>
    <w:rsid w:val="001C0932"/>
    <w:rsid w:val="001C18E2"/>
    <w:rsid w:val="001C2062"/>
    <w:rsid w:val="001C2312"/>
    <w:rsid w:val="001C319A"/>
    <w:rsid w:val="001C3593"/>
    <w:rsid w:val="001C50D4"/>
    <w:rsid w:val="001C5881"/>
    <w:rsid w:val="001D126F"/>
    <w:rsid w:val="001D3DF5"/>
    <w:rsid w:val="001E0886"/>
    <w:rsid w:val="001E2A87"/>
    <w:rsid w:val="001E41DB"/>
    <w:rsid w:val="001E4A2E"/>
    <w:rsid w:val="001E659F"/>
    <w:rsid w:val="001E7AC2"/>
    <w:rsid w:val="001F025C"/>
    <w:rsid w:val="001F3623"/>
    <w:rsid w:val="001F5095"/>
    <w:rsid w:val="001F792E"/>
    <w:rsid w:val="001F7AEB"/>
    <w:rsid w:val="00201E15"/>
    <w:rsid w:val="00202BF5"/>
    <w:rsid w:val="00203591"/>
    <w:rsid w:val="0020502D"/>
    <w:rsid w:val="00205382"/>
    <w:rsid w:val="0020747C"/>
    <w:rsid w:val="00207664"/>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445B"/>
    <w:rsid w:val="00245286"/>
    <w:rsid w:val="00245E71"/>
    <w:rsid w:val="00252183"/>
    <w:rsid w:val="00252D04"/>
    <w:rsid w:val="00255343"/>
    <w:rsid w:val="00255510"/>
    <w:rsid w:val="00256FFA"/>
    <w:rsid w:val="00261363"/>
    <w:rsid w:val="00262DE3"/>
    <w:rsid w:val="00263D14"/>
    <w:rsid w:val="00263EBB"/>
    <w:rsid w:val="00267287"/>
    <w:rsid w:val="00267486"/>
    <w:rsid w:val="00267758"/>
    <w:rsid w:val="00272B6A"/>
    <w:rsid w:val="002743C3"/>
    <w:rsid w:val="002773A4"/>
    <w:rsid w:val="00277FB1"/>
    <w:rsid w:val="002806A5"/>
    <w:rsid w:val="00282709"/>
    <w:rsid w:val="00282807"/>
    <w:rsid w:val="00283C4E"/>
    <w:rsid w:val="0028759F"/>
    <w:rsid w:val="002910AB"/>
    <w:rsid w:val="00291691"/>
    <w:rsid w:val="00291B05"/>
    <w:rsid w:val="0029327C"/>
    <w:rsid w:val="002939B4"/>
    <w:rsid w:val="00293FEC"/>
    <w:rsid w:val="00294CBD"/>
    <w:rsid w:val="00295B2D"/>
    <w:rsid w:val="002964A2"/>
    <w:rsid w:val="00296AA3"/>
    <w:rsid w:val="002A133C"/>
    <w:rsid w:val="002A1B3D"/>
    <w:rsid w:val="002A29E2"/>
    <w:rsid w:val="002A3115"/>
    <w:rsid w:val="002A3D43"/>
    <w:rsid w:val="002A46C6"/>
    <w:rsid w:val="002A5566"/>
    <w:rsid w:val="002B0A2C"/>
    <w:rsid w:val="002B4C4B"/>
    <w:rsid w:val="002B51B1"/>
    <w:rsid w:val="002C052B"/>
    <w:rsid w:val="002C1384"/>
    <w:rsid w:val="002C1FA8"/>
    <w:rsid w:val="002C3082"/>
    <w:rsid w:val="002C4B91"/>
    <w:rsid w:val="002C4EDD"/>
    <w:rsid w:val="002C60AD"/>
    <w:rsid w:val="002C74B0"/>
    <w:rsid w:val="002C7F45"/>
    <w:rsid w:val="002D0B31"/>
    <w:rsid w:val="002D1456"/>
    <w:rsid w:val="002D2464"/>
    <w:rsid w:val="002D24AC"/>
    <w:rsid w:val="002D36DA"/>
    <w:rsid w:val="002D3778"/>
    <w:rsid w:val="002D3BBC"/>
    <w:rsid w:val="002D45B4"/>
    <w:rsid w:val="002D4B62"/>
    <w:rsid w:val="002D539C"/>
    <w:rsid w:val="002D5902"/>
    <w:rsid w:val="002D6EFF"/>
    <w:rsid w:val="002D76CF"/>
    <w:rsid w:val="002E2371"/>
    <w:rsid w:val="002E2BCE"/>
    <w:rsid w:val="002E5050"/>
    <w:rsid w:val="002E52A1"/>
    <w:rsid w:val="002F0D46"/>
    <w:rsid w:val="002F1103"/>
    <w:rsid w:val="002F2CFA"/>
    <w:rsid w:val="002F3ABF"/>
    <w:rsid w:val="002F5423"/>
    <w:rsid w:val="002F77BF"/>
    <w:rsid w:val="00300265"/>
    <w:rsid w:val="0030275E"/>
    <w:rsid w:val="00302990"/>
    <w:rsid w:val="00304B0C"/>
    <w:rsid w:val="003076E0"/>
    <w:rsid w:val="003107C9"/>
    <w:rsid w:val="00311067"/>
    <w:rsid w:val="00311281"/>
    <w:rsid w:val="00312F3E"/>
    <w:rsid w:val="003145A5"/>
    <w:rsid w:val="003161CE"/>
    <w:rsid w:val="0031780B"/>
    <w:rsid w:val="00317AFF"/>
    <w:rsid w:val="00321D6D"/>
    <w:rsid w:val="00325D2B"/>
    <w:rsid w:val="003262C7"/>
    <w:rsid w:val="00326AAF"/>
    <w:rsid w:val="00326ECB"/>
    <w:rsid w:val="00330444"/>
    <w:rsid w:val="00331404"/>
    <w:rsid w:val="00331507"/>
    <w:rsid w:val="00331BC5"/>
    <w:rsid w:val="003333AF"/>
    <w:rsid w:val="003348B5"/>
    <w:rsid w:val="00334A8D"/>
    <w:rsid w:val="003352A9"/>
    <w:rsid w:val="00335DE6"/>
    <w:rsid w:val="00337CC9"/>
    <w:rsid w:val="003411FF"/>
    <w:rsid w:val="00341210"/>
    <w:rsid w:val="00342071"/>
    <w:rsid w:val="00342477"/>
    <w:rsid w:val="003428DF"/>
    <w:rsid w:val="003435A6"/>
    <w:rsid w:val="00343E54"/>
    <w:rsid w:val="00344700"/>
    <w:rsid w:val="00344D91"/>
    <w:rsid w:val="00345D7B"/>
    <w:rsid w:val="0034636A"/>
    <w:rsid w:val="00350C5B"/>
    <w:rsid w:val="00350EFF"/>
    <w:rsid w:val="00353213"/>
    <w:rsid w:val="00353AE0"/>
    <w:rsid w:val="003564AF"/>
    <w:rsid w:val="00356A92"/>
    <w:rsid w:val="00357296"/>
    <w:rsid w:val="00357A61"/>
    <w:rsid w:val="003630F2"/>
    <w:rsid w:val="003635D3"/>
    <w:rsid w:val="00365D0A"/>
    <w:rsid w:val="00366433"/>
    <w:rsid w:val="00367508"/>
    <w:rsid w:val="0037057F"/>
    <w:rsid w:val="00370BC6"/>
    <w:rsid w:val="00372979"/>
    <w:rsid w:val="00373786"/>
    <w:rsid w:val="00373FCD"/>
    <w:rsid w:val="003758B1"/>
    <w:rsid w:val="00381BC0"/>
    <w:rsid w:val="00382574"/>
    <w:rsid w:val="00382F4F"/>
    <w:rsid w:val="003830AC"/>
    <w:rsid w:val="00384F78"/>
    <w:rsid w:val="003862C7"/>
    <w:rsid w:val="0038686C"/>
    <w:rsid w:val="0038711A"/>
    <w:rsid w:val="0039064D"/>
    <w:rsid w:val="003908FA"/>
    <w:rsid w:val="00393226"/>
    <w:rsid w:val="0039324D"/>
    <w:rsid w:val="00394C27"/>
    <w:rsid w:val="00395175"/>
    <w:rsid w:val="00395DCF"/>
    <w:rsid w:val="003962B1"/>
    <w:rsid w:val="003A12DC"/>
    <w:rsid w:val="003A1706"/>
    <w:rsid w:val="003A2414"/>
    <w:rsid w:val="003A2DE3"/>
    <w:rsid w:val="003A4A04"/>
    <w:rsid w:val="003A601C"/>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0F04"/>
    <w:rsid w:val="003E29F3"/>
    <w:rsid w:val="003E2F24"/>
    <w:rsid w:val="003E33F2"/>
    <w:rsid w:val="003E4A8D"/>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90A"/>
    <w:rsid w:val="00412A83"/>
    <w:rsid w:val="004135B4"/>
    <w:rsid w:val="00413AAB"/>
    <w:rsid w:val="00413C6E"/>
    <w:rsid w:val="004140D9"/>
    <w:rsid w:val="00414CEC"/>
    <w:rsid w:val="00415531"/>
    <w:rsid w:val="00415A60"/>
    <w:rsid w:val="004211CC"/>
    <w:rsid w:val="00423F2A"/>
    <w:rsid w:val="004244EF"/>
    <w:rsid w:val="00424809"/>
    <w:rsid w:val="00424A0C"/>
    <w:rsid w:val="00425314"/>
    <w:rsid w:val="0043080F"/>
    <w:rsid w:val="00431BE9"/>
    <w:rsid w:val="00432A1F"/>
    <w:rsid w:val="004336EF"/>
    <w:rsid w:val="00433F6F"/>
    <w:rsid w:val="0043488A"/>
    <w:rsid w:val="00434DD2"/>
    <w:rsid w:val="004361CF"/>
    <w:rsid w:val="00440B78"/>
    <w:rsid w:val="00440C41"/>
    <w:rsid w:val="00440DF2"/>
    <w:rsid w:val="00440F19"/>
    <w:rsid w:val="00441562"/>
    <w:rsid w:val="00442DFF"/>
    <w:rsid w:val="00444133"/>
    <w:rsid w:val="0044430D"/>
    <w:rsid w:val="004506BE"/>
    <w:rsid w:val="004506FF"/>
    <w:rsid w:val="0045153E"/>
    <w:rsid w:val="00451E8D"/>
    <w:rsid w:val="004533D1"/>
    <w:rsid w:val="00455B73"/>
    <w:rsid w:val="004570B3"/>
    <w:rsid w:val="00457596"/>
    <w:rsid w:val="00457C94"/>
    <w:rsid w:val="0046025C"/>
    <w:rsid w:val="00462366"/>
    <w:rsid w:val="004629D5"/>
    <w:rsid w:val="00463534"/>
    <w:rsid w:val="00464159"/>
    <w:rsid w:val="004641B7"/>
    <w:rsid w:val="00466620"/>
    <w:rsid w:val="00470D86"/>
    <w:rsid w:val="00470F61"/>
    <w:rsid w:val="00471691"/>
    <w:rsid w:val="004719CF"/>
    <w:rsid w:val="004724C4"/>
    <w:rsid w:val="0047340A"/>
    <w:rsid w:val="00473804"/>
    <w:rsid w:val="004743EC"/>
    <w:rsid w:val="004748B0"/>
    <w:rsid w:val="00483329"/>
    <w:rsid w:val="004843D0"/>
    <w:rsid w:val="004850C9"/>
    <w:rsid w:val="00485A15"/>
    <w:rsid w:val="004869DC"/>
    <w:rsid w:val="00486B60"/>
    <w:rsid w:val="00486D77"/>
    <w:rsid w:val="004902F3"/>
    <w:rsid w:val="004903CB"/>
    <w:rsid w:val="00491337"/>
    <w:rsid w:val="0049223A"/>
    <w:rsid w:val="00492496"/>
    <w:rsid w:val="00493BA3"/>
    <w:rsid w:val="00494271"/>
    <w:rsid w:val="004942F5"/>
    <w:rsid w:val="004960B4"/>
    <w:rsid w:val="0049694C"/>
    <w:rsid w:val="004972B2"/>
    <w:rsid w:val="004A127C"/>
    <w:rsid w:val="004A15F7"/>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5748"/>
    <w:rsid w:val="004C7007"/>
    <w:rsid w:val="004C72C4"/>
    <w:rsid w:val="004C76CE"/>
    <w:rsid w:val="004D20EE"/>
    <w:rsid w:val="004D2666"/>
    <w:rsid w:val="004D3594"/>
    <w:rsid w:val="004D6D25"/>
    <w:rsid w:val="004D7489"/>
    <w:rsid w:val="004D7840"/>
    <w:rsid w:val="004D7FCD"/>
    <w:rsid w:val="004E04F7"/>
    <w:rsid w:val="004E0B84"/>
    <w:rsid w:val="004E10F5"/>
    <w:rsid w:val="004E1A44"/>
    <w:rsid w:val="004E1F1C"/>
    <w:rsid w:val="004E1FCE"/>
    <w:rsid w:val="004E3251"/>
    <w:rsid w:val="004E3AF1"/>
    <w:rsid w:val="004E6544"/>
    <w:rsid w:val="004E7802"/>
    <w:rsid w:val="004F009B"/>
    <w:rsid w:val="004F0C5E"/>
    <w:rsid w:val="004F1B57"/>
    <w:rsid w:val="004F207A"/>
    <w:rsid w:val="004F2401"/>
    <w:rsid w:val="004F3A1D"/>
    <w:rsid w:val="005027B4"/>
    <w:rsid w:val="00504773"/>
    <w:rsid w:val="005068BC"/>
    <w:rsid w:val="00507161"/>
    <w:rsid w:val="00507773"/>
    <w:rsid w:val="00511D38"/>
    <w:rsid w:val="00513606"/>
    <w:rsid w:val="0051385A"/>
    <w:rsid w:val="00513BDD"/>
    <w:rsid w:val="00515969"/>
    <w:rsid w:val="00516D73"/>
    <w:rsid w:val="0052293F"/>
    <w:rsid w:val="00522F6B"/>
    <w:rsid w:val="00523110"/>
    <w:rsid w:val="0052491C"/>
    <w:rsid w:val="005251C1"/>
    <w:rsid w:val="005252E0"/>
    <w:rsid w:val="00526766"/>
    <w:rsid w:val="005268E0"/>
    <w:rsid w:val="00526A34"/>
    <w:rsid w:val="00527744"/>
    <w:rsid w:val="00527DB2"/>
    <w:rsid w:val="005313CD"/>
    <w:rsid w:val="00531980"/>
    <w:rsid w:val="00533531"/>
    <w:rsid w:val="00533650"/>
    <w:rsid w:val="00533F72"/>
    <w:rsid w:val="00534A33"/>
    <w:rsid w:val="0053661C"/>
    <w:rsid w:val="00536956"/>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5FE1"/>
    <w:rsid w:val="00556A44"/>
    <w:rsid w:val="0055739C"/>
    <w:rsid w:val="00557E06"/>
    <w:rsid w:val="005603CF"/>
    <w:rsid w:val="00560A87"/>
    <w:rsid w:val="00560D3D"/>
    <w:rsid w:val="00560D94"/>
    <w:rsid w:val="005621D9"/>
    <w:rsid w:val="005645BD"/>
    <w:rsid w:val="0056541D"/>
    <w:rsid w:val="005654AC"/>
    <w:rsid w:val="0056627B"/>
    <w:rsid w:val="005670C9"/>
    <w:rsid w:val="00567462"/>
    <w:rsid w:val="00567D9E"/>
    <w:rsid w:val="00570275"/>
    <w:rsid w:val="00570EF9"/>
    <w:rsid w:val="00571364"/>
    <w:rsid w:val="005724D5"/>
    <w:rsid w:val="005733AE"/>
    <w:rsid w:val="005738C9"/>
    <w:rsid w:val="00574FB4"/>
    <w:rsid w:val="00575D97"/>
    <w:rsid w:val="00575EA3"/>
    <w:rsid w:val="005762C3"/>
    <w:rsid w:val="005762D8"/>
    <w:rsid w:val="005779AE"/>
    <w:rsid w:val="00580587"/>
    <w:rsid w:val="00581310"/>
    <w:rsid w:val="0058143D"/>
    <w:rsid w:val="005822A8"/>
    <w:rsid w:val="00582E12"/>
    <w:rsid w:val="0058385E"/>
    <w:rsid w:val="00585A72"/>
    <w:rsid w:val="00585AC6"/>
    <w:rsid w:val="00586C9A"/>
    <w:rsid w:val="00587530"/>
    <w:rsid w:val="0059503F"/>
    <w:rsid w:val="0059545D"/>
    <w:rsid w:val="005979DC"/>
    <w:rsid w:val="005A202E"/>
    <w:rsid w:val="005A21E3"/>
    <w:rsid w:val="005A2CE2"/>
    <w:rsid w:val="005A2E6F"/>
    <w:rsid w:val="005A37D0"/>
    <w:rsid w:val="005A4D3F"/>
    <w:rsid w:val="005A6D6C"/>
    <w:rsid w:val="005A6DB6"/>
    <w:rsid w:val="005A6ED8"/>
    <w:rsid w:val="005B0696"/>
    <w:rsid w:val="005B0BB4"/>
    <w:rsid w:val="005B17B7"/>
    <w:rsid w:val="005B2A61"/>
    <w:rsid w:val="005B3CB6"/>
    <w:rsid w:val="005B5439"/>
    <w:rsid w:val="005B57A5"/>
    <w:rsid w:val="005B7548"/>
    <w:rsid w:val="005B78D2"/>
    <w:rsid w:val="005C028E"/>
    <w:rsid w:val="005C2D90"/>
    <w:rsid w:val="005C3EB9"/>
    <w:rsid w:val="005C5DA2"/>
    <w:rsid w:val="005C5DC2"/>
    <w:rsid w:val="005D191C"/>
    <w:rsid w:val="005D6837"/>
    <w:rsid w:val="005D6C4C"/>
    <w:rsid w:val="005E0D33"/>
    <w:rsid w:val="005E2835"/>
    <w:rsid w:val="005E2D1E"/>
    <w:rsid w:val="005E3B88"/>
    <w:rsid w:val="005E4249"/>
    <w:rsid w:val="005E4997"/>
    <w:rsid w:val="005E61F9"/>
    <w:rsid w:val="005E644B"/>
    <w:rsid w:val="005E7CE3"/>
    <w:rsid w:val="005F0430"/>
    <w:rsid w:val="005F08EC"/>
    <w:rsid w:val="005F1189"/>
    <w:rsid w:val="005F3BA5"/>
    <w:rsid w:val="005F49DC"/>
    <w:rsid w:val="005F5372"/>
    <w:rsid w:val="005F589F"/>
    <w:rsid w:val="005F58DF"/>
    <w:rsid w:val="005F7396"/>
    <w:rsid w:val="006007A2"/>
    <w:rsid w:val="0060301F"/>
    <w:rsid w:val="00605435"/>
    <w:rsid w:val="006076C3"/>
    <w:rsid w:val="006109C1"/>
    <w:rsid w:val="006116F4"/>
    <w:rsid w:val="006144EC"/>
    <w:rsid w:val="00614965"/>
    <w:rsid w:val="00614ADC"/>
    <w:rsid w:val="00616877"/>
    <w:rsid w:val="00617EEA"/>
    <w:rsid w:val="006216E7"/>
    <w:rsid w:val="0062250B"/>
    <w:rsid w:val="00622A95"/>
    <w:rsid w:val="006234DE"/>
    <w:rsid w:val="00623ABC"/>
    <w:rsid w:val="0062477F"/>
    <w:rsid w:val="00624EE3"/>
    <w:rsid w:val="00625224"/>
    <w:rsid w:val="00625796"/>
    <w:rsid w:val="00626F2D"/>
    <w:rsid w:val="00627316"/>
    <w:rsid w:val="006316CF"/>
    <w:rsid w:val="006359D1"/>
    <w:rsid w:val="00635B65"/>
    <w:rsid w:val="00636BC7"/>
    <w:rsid w:val="00640DE1"/>
    <w:rsid w:val="0064157C"/>
    <w:rsid w:val="00642566"/>
    <w:rsid w:val="006433EC"/>
    <w:rsid w:val="006443EA"/>
    <w:rsid w:val="0064473F"/>
    <w:rsid w:val="00644AAA"/>
    <w:rsid w:val="0064745E"/>
    <w:rsid w:val="00650116"/>
    <w:rsid w:val="00650ADB"/>
    <w:rsid w:val="00653904"/>
    <w:rsid w:val="006539B9"/>
    <w:rsid w:val="00655C16"/>
    <w:rsid w:val="00655E06"/>
    <w:rsid w:val="00655EE7"/>
    <w:rsid w:val="00656049"/>
    <w:rsid w:val="0065606C"/>
    <w:rsid w:val="00657714"/>
    <w:rsid w:val="00657EA3"/>
    <w:rsid w:val="00661FF1"/>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1D1B"/>
    <w:rsid w:val="00693167"/>
    <w:rsid w:val="00694205"/>
    <w:rsid w:val="00696D0B"/>
    <w:rsid w:val="006A20D1"/>
    <w:rsid w:val="006A3BBC"/>
    <w:rsid w:val="006A54EF"/>
    <w:rsid w:val="006A7E2E"/>
    <w:rsid w:val="006B06A3"/>
    <w:rsid w:val="006B08D7"/>
    <w:rsid w:val="006B0A7A"/>
    <w:rsid w:val="006B1B86"/>
    <w:rsid w:val="006B25FE"/>
    <w:rsid w:val="006B2F1C"/>
    <w:rsid w:val="006B3D04"/>
    <w:rsid w:val="006B428F"/>
    <w:rsid w:val="006B52B0"/>
    <w:rsid w:val="006B556D"/>
    <w:rsid w:val="006B5B2D"/>
    <w:rsid w:val="006B5E23"/>
    <w:rsid w:val="006B6DE4"/>
    <w:rsid w:val="006C0BFE"/>
    <w:rsid w:val="006C10BC"/>
    <w:rsid w:val="006C1C90"/>
    <w:rsid w:val="006C425B"/>
    <w:rsid w:val="006C4D85"/>
    <w:rsid w:val="006C4D8A"/>
    <w:rsid w:val="006C5037"/>
    <w:rsid w:val="006C593D"/>
    <w:rsid w:val="006C59BD"/>
    <w:rsid w:val="006C6A36"/>
    <w:rsid w:val="006C7EDF"/>
    <w:rsid w:val="006D0081"/>
    <w:rsid w:val="006D0624"/>
    <w:rsid w:val="006D0AED"/>
    <w:rsid w:val="006D2063"/>
    <w:rsid w:val="006D2E8E"/>
    <w:rsid w:val="006D7649"/>
    <w:rsid w:val="006E035E"/>
    <w:rsid w:val="006E285E"/>
    <w:rsid w:val="006E3EA5"/>
    <w:rsid w:val="006E6B2E"/>
    <w:rsid w:val="006E7F9A"/>
    <w:rsid w:val="006F1A0B"/>
    <w:rsid w:val="006F39D6"/>
    <w:rsid w:val="006F4FF6"/>
    <w:rsid w:val="006F546F"/>
    <w:rsid w:val="006F6F4E"/>
    <w:rsid w:val="00700D5B"/>
    <w:rsid w:val="00701DD2"/>
    <w:rsid w:val="00703C57"/>
    <w:rsid w:val="0070452E"/>
    <w:rsid w:val="00705307"/>
    <w:rsid w:val="007055F6"/>
    <w:rsid w:val="00705C49"/>
    <w:rsid w:val="00710304"/>
    <w:rsid w:val="0071097C"/>
    <w:rsid w:val="007109BB"/>
    <w:rsid w:val="00710A14"/>
    <w:rsid w:val="00710DF6"/>
    <w:rsid w:val="00711502"/>
    <w:rsid w:val="0071327A"/>
    <w:rsid w:val="00714F7A"/>
    <w:rsid w:val="007156A6"/>
    <w:rsid w:val="00722B1B"/>
    <w:rsid w:val="0072518E"/>
    <w:rsid w:val="007267EC"/>
    <w:rsid w:val="00727B3A"/>
    <w:rsid w:val="00731723"/>
    <w:rsid w:val="00732BBD"/>
    <w:rsid w:val="00733BB5"/>
    <w:rsid w:val="00733C39"/>
    <w:rsid w:val="007342DC"/>
    <w:rsid w:val="00734566"/>
    <w:rsid w:val="007355F3"/>
    <w:rsid w:val="007360D9"/>
    <w:rsid w:val="00740175"/>
    <w:rsid w:val="0074099B"/>
    <w:rsid w:val="00743F53"/>
    <w:rsid w:val="007450BA"/>
    <w:rsid w:val="007458AD"/>
    <w:rsid w:val="0074600A"/>
    <w:rsid w:val="00752B90"/>
    <w:rsid w:val="00752E78"/>
    <w:rsid w:val="007534BD"/>
    <w:rsid w:val="0075376C"/>
    <w:rsid w:val="007555B0"/>
    <w:rsid w:val="00756612"/>
    <w:rsid w:val="007571F3"/>
    <w:rsid w:val="00762126"/>
    <w:rsid w:val="00762FF5"/>
    <w:rsid w:val="00763E92"/>
    <w:rsid w:val="007646FE"/>
    <w:rsid w:val="00764A07"/>
    <w:rsid w:val="00765FF6"/>
    <w:rsid w:val="007660C4"/>
    <w:rsid w:val="00766357"/>
    <w:rsid w:val="007737FB"/>
    <w:rsid w:val="00774941"/>
    <w:rsid w:val="00775421"/>
    <w:rsid w:val="00776D56"/>
    <w:rsid w:val="00780475"/>
    <w:rsid w:val="007804E6"/>
    <w:rsid w:val="00780C31"/>
    <w:rsid w:val="00780C8F"/>
    <w:rsid w:val="0078284E"/>
    <w:rsid w:val="00782C46"/>
    <w:rsid w:val="007833B9"/>
    <w:rsid w:val="007842B4"/>
    <w:rsid w:val="00784D7A"/>
    <w:rsid w:val="00785097"/>
    <w:rsid w:val="00785555"/>
    <w:rsid w:val="0078588D"/>
    <w:rsid w:val="00785F79"/>
    <w:rsid w:val="00790D3F"/>
    <w:rsid w:val="00791311"/>
    <w:rsid w:val="0079224A"/>
    <w:rsid w:val="00792A72"/>
    <w:rsid w:val="00793111"/>
    <w:rsid w:val="007936C3"/>
    <w:rsid w:val="00793726"/>
    <w:rsid w:val="007945B6"/>
    <w:rsid w:val="007A1551"/>
    <w:rsid w:val="007A2732"/>
    <w:rsid w:val="007A2B2D"/>
    <w:rsid w:val="007A3FBF"/>
    <w:rsid w:val="007A5D7F"/>
    <w:rsid w:val="007A6A0B"/>
    <w:rsid w:val="007A7984"/>
    <w:rsid w:val="007B135F"/>
    <w:rsid w:val="007B2B55"/>
    <w:rsid w:val="007B3617"/>
    <w:rsid w:val="007B3C14"/>
    <w:rsid w:val="007B774E"/>
    <w:rsid w:val="007C0882"/>
    <w:rsid w:val="007C1043"/>
    <w:rsid w:val="007C14DF"/>
    <w:rsid w:val="007C2D30"/>
    <w:rsid w:val="007C32D4"/>
    <w:rsid w:val="007C4161"/>
    <w:rsid w:val="007C4BE1"/>
    <w:rsid w:val="007C51EF"/>
    <w:rsid w:val="007C6F74"/>
    <w:rsid w:val="007C7751"/>
    <w:rsid w:val="007D20E3"/>
    <w:rsid w:val="007D419F"/>
    <w:rsid w:val="007D4228"/>
    <w:rsid w:val="007D6D69"/>
    <w:rsid w:val="007D6F29"/>
    <w:rsid w:val="007D709C"/>
    <w:rsid w:val="007D735A"/>
    <w:rsid w:val="007E0DDC"/>
    <w:rsid w:val="007E1014"/>
    <w:rsid w:val="007F0584"/>
    <w:rsid w:val="007F093A"/>
    <w:rsid w:val="007F11B8"/>
    <w:rsid w:val="007F378F"/>
    <w:rsid w:val="007F3EEA"/>
    <w:rsid w:val="007F65C7"/>
    <w:rsid w:val="008023FD"/>
    <w:rsid w:val="00802845"/>
    <w:rsid w:val="00803299"/>
    <w:rsid w:val="008035F7"/>
    <w:rsid w:val="008058CF"/>
    <w:rsid w:val="0081339B"/>
    <w:rsid w:val="008139F4"/>
    <w:rsid w:val="00815953"/>
    <w:rsid w:val="00816216"/>
    <w:rsid w:val="008165EA"/>
    <w:rsid w:val="00816907"/>
    <w:rsid w:val="00816CF0"/>
    <w:rsid w:val="0081790A"/>
    <w:rsid w:val="00821CF3"/>
    <w:rsid w:val="0082217E"/>
    <w:rsid w:val="00822E49"/>
    <w:rsid w:val="00822E96"/>
    <w:rsid w:val="00824063"/>
    <w:rsid w:val="00825C50"/>
    <w:rsid w:val="00825D16"/>
    <w:rsid w:val="008267EE"/>
    <w:rsid w:val="00826BB1"/>
    <w:rsid w:val="00827717"/>
    <w:rsid w:val="00830A74"/>
    <w:rsid w:val="008316EF"/>
    <w:rsid w:val="0083273C"/>
    <w:rsid w:val="008331C1"/>
    <w:rsid w:val="008379B1"/>
    <w:rsid w:val="008424D3"/>
    <w:rsid w:val="00842FF3"/>
    <w:rsid w:val="00843E84"/>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6776D"/>
    <w:rsid w:val="00870DBE"/>
    <w:rsid w:val="008723EF"/>
    <w:rsid w:val="00872745"/>
    <w:rsid w:val="0087301D"/>
    <w:rsid w:val="00873818"/>
    <w:rsid w:val="00873F7F"/>
    <w:rsid w:val="00874239"/>
    <w:rsid w:val="00874269"/>
    <w:rsid w:val="00877A6D"/>
    <w:rsid w:val="00881AFF"/>
    <w:rsid w:val="00882301"/>
    <w:rsid w:val="00886903"/>
    <w:rsid w:val="00890F00"/>
    <w:rsid w:val="0089241D"/>
    <w:rsid w:val="0089283A"/>
    <w:rsid w:val="00894204"/>
    <w:rsid w:val="00895A94"/>
    <w:rsid w:val="00896702"/>
    <w:rsid w:val="0089696C"/>
    <w:rsid w:val="00897A46"/>
    <w:rsid w:val="008A12DA"/>
    <w:rsid w:val="008A4677"/>
    <w:rsid w:val="008A5DB2"/>
    <w:rsid w:val="008A6DE5"/>
    <w:rsid w:val="008B092F"/>
    <w:rsid w:val="008B09EE"/>
    <w:rsid w:val="008B0D8A"/>
    <w:rsid w:val="008B1A1A"/>
    <w:rsid w:val="008B1FF2"/>
    <w:rsid w:val="008B2496"/>
    <w:rsid w:val="008B4BFE"/>
    <w:rsid w:val="008B7A72"/>
    <w:rsid w:val="008B7D97"/>
    <w:rsid w:val="008C255E"/>
    <w:rsid w:val="008C7062"/>
    <w:rsid w:val="008D1E50"/>
    <w:rsid w:val="008D51B8"/>
    <w:rsid w:val="008E0178"/>
    <w:rsid w:val="008E0B6D"/>
    <w:rsid w:val="008E1F7D"/>
    <w:rsid w:val="008E6C46"/>
    <w:rsid w:val="008F24FD"/>
    <w:rsid w:val="008F3574"/>
    <w:rsid w:val="008F4657"/>
    <w:rsid w:val="0090042E"/>
    <w:rsid w:val="00901597"/>
    <w:rsid w:val="00904A3E"/>
    <w:rsid w:val="009062E6"/>
    <w:rsid w:val="0090687A"/>
    <w:rsid w:val="00907144"/>
    <w:rsid w:val="009078EE"/>
    <w:rsid w:val="00907A65"/>
    <w:rsid w:val="00910DEE"/>
    <w:rsid w:val="00913362"/>
    <w:rsid w:val="009140C4"/>
    <w:rsid w:val="00916593"/>
    <w:rsid w:val="00916B1C"/>
    <w:rsid w:val="00916DBA"/>
    <w:rsid w:val="0091724A"/>
    <w:rsid w:val="0091781F"/>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34D2"/>
    <w:rsid w:val="009457DA"/>
    <w:rsid w:val="00945BA6"/>
    <w:rsid w:val="00946FD0"/>
    <w:rsid w:val="0095041C"/>
    <w:rsid w:val="009515F5"/>
    <w:rsid w:val="00953A46"/>
    <w:rsid w:val="009548A5"/>
    <w:rsid w:val="00955007"/>
    <w:rsid w:val="009550FD"/>
    <w:rsid w:val="00955DFC"/>
    <w:rsid w:val="00960C95"/>
    <w:rsid w:val="0096111A"/>
    <w:rsid w:val="009611A2"/>
    <w:rsid w:val="00963BA6"/>
    <w:rsid w:val="009642B6"/>
    <w:rsid w:val="0097078C"/>
    <w:rsid w:val="00972799"/>
    <w:rsid w:val="00972B18"/>
    <w:rsid w:val="00974899"/>
    <w:rsid w:val="00974A56"/>
    <w:rsid w:val="00976D34"/>
    <w:rsid w:val="00977E8D"/>
    <w:rsid w:val="0098078B"/>
    <w:rsid w:val="00984CC5"/>
    <w:rsid w:val="00986A33"/>
    <w:rsid w:val="00991F79"/>
    <w:rsid w:val="0099624C"/>
    <w:rsid w:val="0099658A"/>
    <w:rsid w:val="0099687C"/>
    <w:rsid w:val="00996906"/>
    <w:rsid w:val="00997435"/>
    <w:rsid w:val="009A0674"/>
    <w:rsid w:val="009A31D3"/>
    <w:rsid w:val="009A550B"/>
    <w:rsid w:val="009A55ED"/>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B79FE"/>
    <w:rsid w:val="009C0F45"/>
    <w:rsid w:val="009C37F6"/>
    <w:rsid w:val="009C64EC"/>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DAB"/>
    <w:rsid w:val="009F0978"/>
    <w:rsid w:val="009F163B"/>
    <w:rsid w:val="009F1D76"/>
    <w:rsid w:val="009F5150"/>
    <w:rsid w:val="009F5450"/>
    <w:rsid w:val="009F7580"/>
    <w:rsid w:val="00A00B13"/>
    <w:rsid w:val="00A01D8D"/>
    <w:rsid w:val="00A02ED9"/>
    <w:rsid w:val="00A044B5"/>
    <w:rsid w:val="00A04892"/>
    <w:rsid w:val="00A05E96"/>
    <w:rsid w:val="00A061FC"/>
    <w:rsid w:val="00A06708"/>
    <w:rsid w:val="00A0725F"/>
    <w:rsid w:val="00A07390"/>
    <w:rsid w:val="00A0798E"/>
    <w:rsid w:val="00A11F2E"/>
    <w:rsid w:val="00A13335"/>
    <w:rsid w:val="00A15BB3"/>
    <w:rsid w:val="00A16CF2"/>
    <w:rsid w:val="00A235CD"/>
    <w:rsid w:val="00A24A10"/>
    <w:rsid w:val="00A24FE8"/>
    <w:rsid w:val="00A253B3"/>
    <w:rsid w:val="00A26AB4"/>
    <w:rsid w:val="00A270B9"/>
    <w:rsid w:val="00A30A00"/>
    <w:rsid w:val="00A30C5D"/>
    <w:rsid w:val="00A31BD2"/>
    <w:rsid w:val="00A344EF"/>
    <w:rsid w:val="00A3647B"/>
    <w:rsid w:val="00A368B5"/>
    <w:rsid w:val="00A36EC1"/>
    <w:rsid w:val="00A40ACE"/>
    <w:rsid w:val="00A41AB8"/>
    <w:rsid w:val="00A423C8"/>
    <w:rsid w:val="00A42B52"/>
    <w:rsid w:val="00A452C1"/>
    <w:rsid w:val="00A45DA3"/>
    <w:rsid w:val="00A472A7"/>
    <w:rsid w:val="00A50C65"/>
    <w:rsid w:val="00A52B82"/>
    <w:rsid w:val="00A52BC4"/>
    <w:rsid w:val="00A5314E"/>
    <w:rsid w:val="00A53C20"/>
    <w:rsid w:val="00A5595E"/>
    <w:rsid w:val="00A57FB9"/>
    <w:rsid w:val="00A653BB"/>
    <w:rsid w:val="00A65574"/>
    <w:rsid w:val="00A67011"/>
    <w:rsid w:val="00A677A4"/>
    <w:rsid w:val="00A71BD5"/>
    <w:rsid w:val="00A7220F"/>
    <w:rsid w:val="00A72B22"/>
    <w:rsid w:val="00A74CBD"/>
    <w:rsid w:val="00A75E22"/>
    <w:rsid w:val="00A76206"/>
    <w:rsid w:val="00A80344"/>
    <w:rsid w:val="00A808C1"/>
    <w:rsid w:val="00A80911"/>
    <w:rsid w:val="00A80D61"/>
    <w:rsid w:val="00A80F35"/>
    <w:rsid w:val="00A811DB"/>
    <w:rsid w:val="00A81C90"/>
    <w:rsid w:val="00A83E9B"/>
    <w:rsid w:val="00A863A7"/>
    <w:rsid w:val="00A875E0"/>
    <w:rsid w:val="00A90637"/>
    <w:rsid w:val="00A93989"/>
    <w:rsid w:val="00A93BF0"/>
    <w:rsid w:val="00A96545"/>
    <w:rsid w:val="00AA0138"/>
    <w:rsid w:val="00AA06BA"/>
    <w:rsid w:val="00AA2955"/>
    <w:rsid w:val="00AA2AD3"/>
    <w:rsid w:val="00AA489D"/>
    <w:rsid w:val="00AA4A92"/>
    <w:rsid w:val="00AA52CC"/>
    <w:rsid w:val="00AA709D"/>
    <w:rsid w:val="00AB3FDB"/>
    <w:rsid w:val="00AB431D"/>
    <w:rsid w:val="00AB49FC"/>
    <w:rsid w:val="00AB4F81"/>
    <w:rsid w:val="00AB7DCC"/>
    <w:rsid w:val="00AC2467"/>
    <w:rsid w:val="00AC2C37"/>
    <w:rsid w:val="00AC3066"/>
    <w:rsid w:val="00AC5F56"/>
    <w:rsid w:val="00AC65C2"/>
    <w:rsid w:val="00AD2E39"/>
    <w:rsid w:val="00AD4280"/>
    <w:rsid w:val="00AD6C78"/>
    <w:rsid w:val="00AD73F8"/>
    <w:rsid w:val="00AD751F"/>
    <w:rsid w:val="00AD76E8"/>
    <w:rsid w:val="00AE4A24"/>
    <w:rsid w:val="00AF0D8C"/>
    <w:rsid w:val="00AF1074"/>
    <w:rsid w:val="00AF2026"/>
    <w:rsid w:val="00AF2AA7"/>
    <w:rsid w:val="00AF2F09"/>
    <w:rsid w:val="00AF4E8C"/>
    <w:rsid w:val="00AF69A9"/>
    <w:rsid w:val="00B01BE5"/>
    <w:rsid w:val="00B01D33"/>
    <w:rsid w:val="00B02D4F"/>
    <w:rsid w:val="00B037C8"/>
    <w:rsid w:val="00B12C74"/>
    <w:rsid w:val="00B147AD"/>
    <w:rsid w:val="00B14DDE"/>
    <w:rsid w:val="00B15E75"/>
    <w:rsid w:val="00B16C25"/>
    <w:rsid w:val="00B224F4"/>
    <w:rsid w:val="00B22B29"/>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0017"/>
    <w:rsid w:val="00B404B6"/>
    <w:rsid w:val="00B4196F"/>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B1F"/>
    <w:rsid w:val="00B90EF9"/>
    <w:rsid w:val="00B93E0C"/>
    <w:rsid w:val="00B93E93"/>
    <w:rsid w:val="00B940C6"/>
    <w:rsid w:val="00B9536C"/>
    <w:rsid w:val="00BA1A64"/>
    <w:rsid w:val="00BA20CD"/>
    <w:rsid w:val="00BA333D"/>
    <w:rsid w:val="00BA79D9"/>
    <w:rsid w:val="00BB0F16"/>
    <w:rsid w:val="00BB13D2"/>
    <w:rsid w:val="00BB25D8"/>
    <w:rsid w:val="00BB2FE6"/>
    <w:rsid w:val="00BB32B9"/>
    <w:rsid w:val="00BB56BD"/>
    <w:rsid w:val="00BC041D"/>
    <w:rsid w:val="00BC1999"/>
    <w:rsid w:val="00BC285D"/>
    <w:rsid w:val="00BC4296"/>
    <w:rsid w:val="00BC44A2"/>
    <w:rsid w:val="00BC6153"/>
    <w:rsid w:val="00BC61CD"/>
    <w:rsid w:val="00BC6298"/>
    <w:rsid w:val="00BC62C3"/>
    <w:rsid w:val="00BD038E"/>
    <w:rsid w:val="00BD1CBA"/>
    <w:rsid w:val="00BD2529"/>
    <w:rsid w:val="00BD272F"/>
    <w:rsid w:val="00BD598C"/>
    <w:rsid w:val="00BD7AEB"/>
    <w:rsid w:val="00BE0542"/>
    <w:rsid w:val="00BE0D6A"/>
    <w:rsid w:val="00BE1678"/>
    <w:rsid w:val="00BE2FB1"/>
    <w:rsid w:val="00BE4748"/>
    <w:rsid w:val="00BE5E61"/>
    <w:rsid w:val="00BE64B5"/>
    <w:rsid w:val="00BE6ECE"/>
    <w:rsid w:val="00BF278F"/>
    <w:rsid w:val="00BF4CEF"/>
    <w:rsid w:val="00BF4EE7"/>
    <w:rsid w:val="00BF5D15"/>
    <w:rsid w:val="00BF6B43"/>
    <w:rsid w:val="00BF7208"/>
    <w:rsid w:val="00C01FB9"/>
    <w:rsid w:val="00C03B2D"/>
    <w:rsid w:val="00C03C20"/>
    <w:rsid w:val="00C0413C"/>
    <w:rsid w:val="00C054C7"/>
    <w:rsid w:val="00C05EB7"/>
    <w:rsid w:val="00C128C6"/>
    <w:rsid w:val="00C12A4C"/>
    <w:rsid w:val="00C152E8"/>
    <w:rsid w:val="00C15991"/>
    <w:rsid w:val="00C16784"/>
    <w:rsid w:val="00C222BF"/>
    <w:rsid w:val="00C23EC6"/>
    <w:rsid w:val="00C25332"/>
    <w:rsid w:val="00C259AF"/>
    <w:rsid w:val="00C2637F"/>
    <w:rsid w:val="00C307D6"/>
    <w:rsid w:val="00C30B4B"/>
    <w:rsid w:val="00C3290A"/>
    <w:rsid w:val="00C3387C"/>
    <w:rsid w:val="00C34786"/>
    <w:rsid w:val="00C34B0A"/>
    <w:rsid w:val="00C36EEA"/>
    <w:rsid w:val="00C371D5"/>
    <w:rsid w:val="00C402A6"/>
    <w:rsid w:val="00C40BB5"/>
    <w:rsid w:val="00C41075"/>
    <w:rsid w:val="00C43DF8"/>
    <w:rsid w:val="00C43F05"/>
    <w:rsid w:val="00C4655D"/>
    <w:rsid w:val="00C46A44"/>
    <w:rsid w:val="00C46AF8"/>
    <w:rsid w:val="00C47133"/>
    <w:rsid w:val="00C477F3"/>
    <w:rsid w:val="00C508E4"/>
    <w:rsid w:val="00C5468E"/>
    <w:rsid w:val="00C54C77"/>
    <w:rsid w:val="00C54E4F"/>
    <w:rsid w:val="00C60986"/>
    <w:rsid w:val="00C61BE9"/>
    <w:rsid w:val="00C61C97"/>
    <w:rsid w:val="00C62834"/>
    <w:rsid w:val="00C63174"/>
    <w:rsid w:val="00C63576"/>
    <w:rsid w:val="00C63F05"/>
    <w:rsid w:val="00C64B4D"/>
    <w:rsid w:val="00C664B1"/>
    <w:rsid w:val="00C67B17"/>
    <w:rsid w:val="00C7142A"/>
    <w:rsid w:val="00C72476"/>
    <w:rsid w:val="00C74245"/>
    <w:rsid w:val="00C746FA"/>
    <w:rsid w:val="00C749FE"/>
    <w:rsid w:val="00C75831"/>
    <w:rsid w:val="00C84339"/>
    <w:rsid w:val="00C846DB"/>
    <w:rsid w:val="00C849EA"/>
    <w:rsid w:val="00C84E85"/>
    <w:rsid w:val="00C85D82"/>
    <w:rsid w:val="00C8703F"/>
    <w:rsid w:val="00C87130"/>
    <w:rsid w:val="00C8717A"/>
    <w:rsid w:val="00C872B0"/>
    <w:rsid w:val="00C919E7"/>
    <w:rsid w:val="00C91E20"/>
    <w:rsid w:val="00C953FB"/>
    <w:rsid w:val="00C9581C"/>
    <w:rsid w:val="00CA08D7"/>
    <w:rsid w:val="00CA0E93"/>
    <w:rsid w:val="00CA2544"/>
    <w:rsid w:val="00CA2695"/>
    <w:rsid w:val="00CA2B37"/>
    <w:rsid w:val="00CA3008"/>
    <w:rsid w:val="00CA3FF7"/>
    <w:rsid w:val="00CB0F42"/>
    <w:rsid w:val="00CB13D1"/>
    <w:rsid w:val="00CB2CD8"/>
    <w:rsid w:val="00CB2E5E"/>
    <w:rsid w:val="00CB2E7E"/>
    <w:rsid w:val="00CB5A04"/>
    <w:rsid w:val="00CB5BBC"/>
    <w:rsid w:val="00CB6462"/>
    <w:rsid w:val="00CB7F07"/>
    <w:rsid w:val="00CC0761"/>
    <w:rsid w:val="00CC1E17"/>
    <w:rsid w:val="00CC4326"/>
    <w:rsid w:val="00CC4686"/>
    <w:rsid w:val="00CC47DD"/>
    <w:rsid w:val="00CC71B4"/>
    <w:rsid w:val="00CD0658"/>
    <w:rsid w:val="00CD088E"/>
    <w:rsid w:val="00CD1620"/>
    <w:rsid w:val="00CD23AF"/>
    <w:rsid w:val="00CD3A69"/>
    <w:rsid w:val="00CD430E"/>
    <w:rsid w:val="00CD4BBA"/>
    <w:rsid w:val="00CD6909"/>
    <w:rsid w:val="00CE06E3"/>
    <w:rsid w:val="00CE0DF5"/>
    <w:rsid w:val="00CE0EAA"/>
    <w:rsid w:val="00CE27E1"/>
    <w:rsid w:val="00CE3B71"/>
    <w:rsid w:val="00CE4379"/>
    <w:rsid w:val="00CE457E"/>
    <w:rsid w:val="00CE4E86"/>
    <w:rsid w:val="00CE4FC8"/>
    <w:rsid w:val="00CE6A40"/>
    <w:rsid w:val="00CE6C5B"/>
    <w:rsid w:val="00CF02B1"/>
    <w:rsid w:val="00CF113C"/>
    <w:rsid w:val="00CF1779"/>
    <w:rsid w:val="00CF1900"/>
    <w:rsid w:val="00CF1B4D"/>
    <w:rsid w:val="00CF4897"/>
    <w:rsid w:val="00CF4AA1"/>
    <w:rsid w:val="00CF52F4"/>
    <w:rsid w:val="00CF5D04"/>
    <w:rsid w:val="00CF5F3A"/>
    <w:rsid w:val="00D00B95"/>
    <w:rsid w:val="00D03E61"/>
    <w:rsid w:val="00D0472A"/>
    <w:rsid w:val="00D04920"/>
    <w:rsid w:val="00D05F1A"/>
    <w:rsid w:val="00D068C3"/>
    <w:rsid w:val="00D1249E"/>
    <w:rsid w:val="00D134FE"/>
    <w:rsid w:val="00D13563"/>
    <w:rsid w:val="00D13A65"/>
    <w:rsid w:val="00D13C3D"/>
    <w:rsid w:val="00D162E1"/>
    <w:rsid w:val="00D16AB0"/>
    <w:rsid w:val="00D174F1"/>
    <w:rsid w:val="00D20F1A"/>
    <w:rsid w:val="00D22C1E"/>
    <w:rsid w:val="00D234CC"/>
    <w:rsid w:val="00D23DCF"/>
    <w:rsid w:val="00D24524"/>
    <w:rsid w:val="00D247C2"/>
    <w:rsid w:val="00D24A6D"/>
    <w:rsid w:val="00D26125"/>
    <w:rsid w:val="00D302AC"/>
    <w:rsid w:val="00D312BA"/>
    <w:rsid w:val="00D31746"/>
    <w:rsid w:val="00D31962"/>
    <w:rsid w:val="00D31AB0"/>
    <w:rsid w:val="00D32F89"/>
    <w:rsid w:val="00D3306D"/>
    <w:rsid w:val="00D346A9"/>
    <w:rsid w:val="00D3690F"/>
    <w:rsid w:val="00D40381"/>
    <w:rsid w:val="00D411E6"/>
    <w:rsid w:val="00D41F03"/>
    <w:rsid w:val="00D42363"/>
    <w:rsid w:val="00D4390A"/>
    <w:rsid w:val="00D43E87"/>
    <w:rsid w:val="00D44153"/>
    <w:rsid w:val="00D443FF"/>
    <w:rsid w:val="00D5115D"/>
    <w:rsid w:val="00D514A5"/>
    <w:rsid w:val="00D51E66"/>
    <w:rsid w:val="00D52BD5"/>
    <w:rsid w:val="00D57C08"/>
    <w:rsid w:val="00D57F45"/>
    <w:rsid w:val="00D6090F"/>
    <w:rsid w:val="00D64C79"/>
    <w:rsid w:val="00D65DDF"/>
    <w:rsid w:val="00D65F08"/>
    <w:rsid w:val="00D67118"/>
    <w:rsid w:val="00D70462"/>
    <w:rsid w:val="00D71183"/>
    <w:rsid w:val="00D727F0"/>
    <w:rsid w:val="00D75C3F"/>
    <w:rsid w:val="00D76320"/>
    <w:rsid w:val="00D766F7"/>
    <w:rsid w:val="00D8157D"/>
    <w:rsid w:val="00D8279D"/>
    <w:rsid w:val="00D82972"/>
    <w:rsid w:val="00D82E7A"/>
    <w:rsid w:val="00D837EC"/>
    <w:rsid w:val="00D843FB"/>
    <w:rsid w:val="00D866A6"/>
    <w:rsid w:val="00D8741B"/>
    <w:rsid w:val="00D87DB3"/>
    <w:rsid w:val="00D90030"/>
    <w:rsid w:val="00D94305"/>
    <w:rsid w:val="00D9649B"/>
    <w:rsid w:val="00DA16AE"/>
    <w:rsid w:val="00DA6308"/>
    <w:rsid w:val="00DA6EC7"/>
    <w:rsid w:val="00DB03AF"/>
    <w:rsid w:val="00DB03F4"/>
    <w:rsid w:val="00DB0983"/>
    <w:rsid w:val="00DB3743"/>
    <w:rsid w:val="00DB5E3A"/>
    <w:rsid w:val="00DB67B6"/>
    <w:rsid w:val="00DB6B9A"/>
    <w:rsid w:val="00DC02E5"/>
    <w:rsid w:val="00DC0A9A"/>
    <w:rsid w:val="00DC1C45"/>
    <w:rsid w:val="00DC1EB4"/>
    <w:rsid w:val="00DC1FE5"/>
    <w:rsid w:val="00DC221B"/>
    <w:rsid w:val="00DC2C9C"/>
    <w:rsid w:val="00DC4405"/>
    <w:rsid w:val="00DC4FAF"/>
    <w:rsid w:val="00DC5A17"/>
    <w:rsid w:val="00DC639E"/>
    <w:rsid w:val="00DC6750"/>
    <w:rsid w:val="00DC6752"/>
    <w:rsid w:val="00DC6B0F"/>
    <w:rsid w:val="00DC78EC"/>
    <w:rsid w:val="00DC7D1C"/>
    <w:rsid w:val="00DD032D"/>
    <w:rsid w:val="00DD0785"/>
    <w:rsid w:val="00DD0A6A"/>
    <w:rsid w:val="00DD1C13"/>
    <w:rsid w:val="00DD4CDB"/>
    <w:rsid w:val="00DD528E"/>
    <w:rsid w:val="00DD6A35"/>
    <w:rsid w:val="00DD7C5E"/>
    <w:rsid w:val="00DE0F10"/>
    <w:rsid w:val="00DE264A"/>
    <w:rsid w:val="00DE36B3"/>
    <w:rsid w:val="00DE4F38"/>
    <w:rsid w:val="00DE62A6"/>
    <w:rsid w:val="00DE68D4"/>
    <w:rsid w:val="00DF0AA5"/>
    <w:rsid w:val="00DF14F3"/>
    <w:rsid w:val="00DF5D9B"/>
    <w:rsid w:val="00DF64A7"/>
    <w:rsid w:val="00E004E5"/>
    <w:rsid w:val="00E00C93"/>
    <w:rsid w:val="00E02EBD"/>
    <w:rsid w:val="00E0415A"/>
    <w:rsid w:val="00E074DA"/>
    <w:rsid w:val="00E1075D"/>
    <w:rsid w:val="00E13714"/>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1DAD"/>
    <w:rsid w:val="00E525E5"/>
    <w:rsid w:val="00E55A89"/>
    <w:rsid w:val="00E57AFE"/>
    <w:rsid w:val="00E61729"/>
    <w:rsid w:val="00E62500"/>
    <w:rsid w:val="00E632A3"/>
    <w:rsid w:val="00E63583"/>
    <w:rsid w:val="00E63753"/>
    <w:rsid w:val="00E64B66"/>
    <w:rsid w:val="00E64ED2"/>
    <w:rsid w:val="00E65A1C"/>
    <w:rsid w:val="00E66266"/>
    <w:rsid w:val="00E66677"/>
    <w:rsid w:val="00E66C93"/>
    <w:rsid w:val="00E67BD1"/>
    <w:rsid w:val="00E67EDB"/>
    <w:rsid w:val="00E71083"/>
    <w:rsid w:val="00E71DB2"/>
    <w:rsid w:val="00E750F1"/>
    <w:rsid w:val="00E765E8"/>
    <w:rsid w:val="00E77C76"/>
    <w:rsid w:val="00E80852"/>
    <w:rsid w:val="00E812A6"/>
    <w:rsid w:val="00E822A7"/>
    <w:rsid w:val="00E83CCB"/>
    <w:rsid w:val="00E84EBE"/>
    <w:rsid w:val="00E91C21"/>
    <w:rsid w:val="00E91C6E"/>
    <w:rsid w:val="00E928CB"/>
    <w:rsid w:val="00E93248"/>
    <w:rsid w:val="00E93972"/>
    <w:rsid w:val="00E945FE"/>
    <w:rsid w:val="00E95DE3"/>
    <w:rsid w:val="00E97BCF"/>
    <w:rsid w:val="00EA1325"/>
    <w:rsid w:val="00EA1C75"/>
    <w:rsid w:val="00EA2287"/>
    <w:rsid w:val="00EA2D25"/>
    <w:rsid w:val="00EA35D2"/>
    <w:rsid w:val="00EA37AF"/>
    <w:rsid w:val="00EA3BC2"/>
    <w:rsid w:val="00EA3C19"/>
    <w:rsid w:val="00EA4000"/>
    <w:rsid w:val="00EA4F59"/>
    <w:rsid w:val="00EA526E"/>
    <w:rsid w:val="00EA5ED9"/>
    <w:rsid w:val="00EA65AC"/>
    <w:rsid w:val="00EA7A10"/>
    <w:rsid w:val="00EA7AA0"/>
    <w:rsid w:val="00EB0325"/>
    <w:rsid w:val="00EB03F0"/>
    <w:rsid w:val="00EB1330"/>
    <w:rsid w:val="00EB2097"/>
    <w:rsid w:val="00EB3167"/>
    <w:rsid w:val="00EB504E"/>
    <w:rsid w:val="00EB58AB"/>
    <w:rsid w:val="00EB6734"/>
    <w:rsid w:val="00EB687E"/>
    <w:rsid w:val="00EB6C14"/>
    <w:rsid w:val="00EC0A37"/>
    <w:rsid w:val="00EC0E7B"/>
    <w:rsid w:val="00EC2FB1"/>
    <w:rsid w:val="00EC7F75"/>
    <w:rsid w:val="00ED27AA"/>
    <w:rsid w:val="00ED36A0"/>
    <w:rsid w:val="00ED3BE4"/>
    <w:rsid w:val="00ED4CA9"/>
    <w:rsid w:val="00EE2D6F"/>
    <w:rsid w:val="00EE425E"/>
    <w:rsid w:val="00EF4478"/>
    <w:rsid w:val="00EF465C"/>
    <w:rsid w:val="00EF5435"/>
    <w:rsid w:val="00F0002B"/>
    <w:rsid w:val="00F002E1"/>
    <w:rsid w:val="00F00723"/>
    <w:rsid w:val="00F00B5C"/>
    <w:rsid w:val="00F01015"/>
    <w:rsid w:val="00F0256E"/>
    <w:rsid w:val="00F028FB"/>
    <w:rsid w:val="00F03828"/>
    <w:rsid w:val="00F03CE1"/>
    <w:rsid w:val="00F040FD"/>
    <w:rsid w:val="00F043E8"/>
    <w:rsid w:val="00F04B76"/>
    <w:rsid w:val="00F06716"/>
    <w:rsid w:val="00F0728E"/>
    <w:rsid w:val="00F100F6"/>
    <w:rsid w:val="00F1025B"/>
    <w:rsid w:val="00F104E1"/>
    <w:rsid w:val="00F11BD4"/>
    <w:rsid w:val="00F12194"/>
    <w:rsid w:val="00F12A14"/>
    <w:rsid w:val="00F135D0"/>
    <w:rsid w:val="00F202CE"/>
    <w:rsid w:val="00F23055"/>
    <w:rsid w:val="00F24689"/>
    <w:rsid w:val="00F25976"/>
    <w:rsid w:val="00F26C2D"/>
    <w:rsid w:val="00F26D99"/>
    <w:rsid w:val="00F26DBC"/>
    <w:rsid w:val="00F303F9"/>
    <w:rsid w:val="00F34C63"/>
    <w:rsid w:val="00F371A1"/>
    <w:rsid w:val="00F37A07"/>
    <w:rsid w:val="00F4111F"/>
    <w:rsid w:val="00F41D20"/>
    <w:rsid w:val="00F45171"/>
    <w:rsid w:val="00F456C9"/>
    <w:rsid w:val="00F45FF5"/>
    <w:rsid w:val="00F476B3"/>
    <w:rsid w:val="00F47BE3"/>
    <w:rsid w:val="00F50CF2"/>
    <w:rsid w:val="00F517F2"/>
    <w:rsid w:val="00F52DE7"/>
    <w:rsid w:val="00F548A8"/>
    <w:rsid w:val="00F5495E"/>
    <w:rsid w:val="00F55470"/>
    <w:rsid w:val="00F6039B"/>
    <w:rsid w:val="00F6279D"/>
    <w:rsid w:val="00F62EF9"/>
    <w:rsid w:val="00F6683B"/>
    <w:rsid w:val="00F66AD9"/>
    <w:rsid w:val="00F703C2"/>
    <w:rsid w:val="00F7566F"/>
    <w:rsid w:val="00F75BB1"/>
    <w:rsid w:val="00F76D5D"/>
    <w:rsid w:val="00F77164"/>
    <w:rsid w:val="00F775FB"/>
    <w:rsid w:val="00F80652"/>
    <w:rsid w:val="00F8334F"/>
    <w:rsid w:val="00F83AD2"/>
    <w:rsid w:val="00F840F4"/>
    <w:rsid w:val="00F8531C"/>
    <w:rsid w:val="00F86FA0"/>
    <w:rsid w:val="00F87847"/>
    <w:rsid w:val="00F90514"/>
    <w:rsid w:val="00F9117D"/>
    <w:rsid w:val="00F96994"/>
    <w:rsid w:val="00F96A08"/>
    <w:rsid w:val="00F9723B"/>
    <w:rsid w:val="00FA289F"/>
    <w:rsid w:val="00FA29C0"/>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6D93"/>
    <w:rsid w:val="00FB72AC"/>
    <w:rsid w:val="00FC1107"/>
    <w:rsid w:val="00FC148F"/>
    <w:rsid w:val="00FC19AC"/>
    <w:rsid w:val="00FC2F84"/>
    <w:rsid w:val="00FC30EB"/>
    <w:rsid w:val="00FC3F17"/>
    <w:rsid w:val="00FC500D"/>
    <w:rsid w:val="00FC5034"/>
    <w:rsid w:val="00FC786E"/>
    <w:rsid w:val="00FC7A92"/>
    <w:rsid w:val="00FD02BE"/>
    <w:rsid w:val="00FD0FC3"/>
    <w:rsid w:val="00FD25B1"/>
    <w:rsid w:val="00FD2B02"/>
    <w:rsid w:val="00FD347E"/>
    <w:rsid w:val="00FD559E"/>
    <w:rsid w:val="00FD66BF"/>
    <w:rsid w:val="00FE03EB"/>
    <w:rsid w:val="00FE1DA0"/>
    <w:rsid w:val="00FE2E15"/>
    <w:rsid w:val="00FE4396"/>
    <w:rsid w:val="00FE5674"/>
    <w:rsid w:val="00FF064B"/>
    <w:rsid w:val="00FF13C9"/>
    <w:rsid w:val="00FF153D"/>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link w:val="Style189"/>
    <w:uiPriority w:val="99"/>
    <w:rPr>
      <w:color w:val="808080"/>
    </w:rPr>
  </w:style>
  <w:style w:type="paragraph" w:customStyle="1" w:styleId="Style189">
    <w:name w:val="_Style 189"/>
    <w:basedOn w:val="a"/>
    <w:link w:val="a3"/>
    <w:autoRedefine/>
    <w:uiPriority w:val="99"/>
    <w:qFormat/>
    <w:pPr>
      <w:snapToGrid w:val="0"/>
    </w:pPr>
    <w:rPr>
      <w:color w:val="808080"/>
      <w:kern w:val="0"/>
      <w:sz w:val="20"/>
      <w:szCs w:val="20"/>
    </w:rPr>
  </w:style>
  <w:style w:type="paragraph" w:customStyle="1" w:styleId="F5728417BD2E4282A2747EDD7ACB7B5C">
    <w:name w:val="F5728417BD2E4282A2747EDD7ACB7B5C"/>
    <w:autoRedefine/>
    <w:qFormat/>
    <w:pPr>
      <w:widowControl w:val="0"/>
      <w:jc w:val="both"/>
    </w:pPr>
    <w:rPr>
      <w:kern w:val="2"/>
      <w:sz w:val="21"/>
      <w:szCs w:val="22"/>
    </w:rPr>
  </w:style>
  <w:style w:type="paragraph" w:customStyle="1" w:styleId="FC584E668F174EF3AC1427A6D24EED0D">
    <w:name w:val="FC584E668F174EF3AC1427A6D24EED0D"/>
    <w:autoRedefine/>
    <w:qFormat/>
    <w:pPr>
      <w:widowControl w:val="0"/>
      <w:jc w:val="both"/>
    </w:pPr>
    <w:rPr>
      <w:kern w:val="2"/>
      <w:sz w:val="21"/>
      <w:szCs w:val="22"/>
    </w:rPr>
  </w:style>
  <w:style w:type="paragraph" w:customStyle="1" w:styleId="130577765B3240DE87A06D187D677C65">
    <w:name w:val="130577765B3240DE87A06D187D677C65"/>
    <w:autoRedefine/>
    <w:qFormat/>
    <w:pPr>
      <w:widowControl w:val="0"/>
      <w:jc w:val="both"/>
    </w:pPr>
    <w:rPr>
      <w:kern w:val="2"/>
      <w:sz w:val="21"/>
      <w:szCs w:val="22"/>
    </w:rPr>
  </w:style>
  <w:style w:type="paragraph" w:customStyle="1" w:styleId="0B88A83844B5453792C6342880ED2651">
    <w:name w:val="0B88A83844B5453792C6342880ED2651"/>
    <w:autoRedefine/>
    <w:qFormat/>
    <w:pPr>
      <w:widowControl w:val="0"/>
      <w:jc w:val="both"/>
    </w:pPr>
    <w:rPr>
      <w:kern w:val="2"/>
      <w:sz w:val="21"/>
      <w:szCs w:val="22"/>
    </w:rPr>
  </w:style>
  <w:style w:type="paragraph" w:customStyle="1" w:styleId="D4D21A3050AE4230A4E89AE932B790CE">
    <w:name w:val="D4D21A3050AE4230A4E89AE932B790CE"/>
    <w:autoRedefine/>
    <w:qFormat/>
    <w:pPr>
      <w:widowControl w:val="0"/>
      <w:jc w:val="both"/>
    </w:pPr>
    <w:rPr>
      <w:kern w:val="2"/>
      <w:sz w:val="21"/>
      <w:szCs w:val="22"/>
    </w:rPr>
  </w:style>
  <w:style w:type="paragraph" w:customStyle="1" w:styleId="2AA850893639473FA5D8895113258BAA">
    <w:name w:val="2AA850893639473FA5D8895113258BAA"/>
    <w:autoRedefine/>
    <w:qFormat/>
    <w:pPr>
      <w:widowControl w:val="0"/>
      <w:jc w:val="both"/>
    </w:pPr>
    <w:rPr>
      <w:kern w:val="2"/>
      <w:sz w:val="21"/>
      <w:szCs w:val="22"/>
      <w14:ligatures w14:val="standardContextual"/>
    </w:rPr>
  </w:style>
  <w:style w:type="paragraph" w:customStyle="1" w:styleId="34DE6560592642A09AFAE2BBD29F7F6A">
    <w:name w:val="34DE6560592642A09AFAE2BBD29F7F6A"/>
    <w:autoRedefine/>
    <w:qFormat/>
    <w:pPr>
      <w:widowControl w:val="0"/>
      <w:jc w:val="both"/>
    </w:pPr>
    <w:rPr>
      <w:kern w:val="2"/>
      <w:sz w:val="21"/>
      <w:szCs w:val="22"/>
      <w14:ligatures w14:val="standardContextual"/>
    </w:rPr>
  </w:style>
  <w:style w:type="paragraph" w:customStyle="1" w:styleId="A9316230EEAC4C2F8FB019A9D826E29C">
    <w:name w:val="A9316230EEAC4C2F8FB019A9D826E29C"/>
    <w:autoRedefine/>
    <w:qFormat/>
    <w:pPr>
      <w:widowControl w:val="0"/>
      <w:jc w:val="both"/>
    </w:pPr>
    <w:rPr>
      <w:kern w:val="2"/>
      <w:sz w:val="21"/>
      <w:szCs w:val="22"/>
      <w14:ligatures w14:val="standardContextual"/>
    </w:rPr>
  </w:style>
  <w:style w:type="paragraph" w:customStyle="1" w:styleId="2723172B56BC41F2B617FE6A029D7C0F">
    <w:name w:val="2723172B56BC41F2B617FE6A029D7C0F"/>
    <w:autoRedefine/>
    <w:qFormat/>
    <w:pPr>
      <w:widowControl w:val="0"/>
      <w:jc w:val="both"/>
    </w:pPr>
    <w:rPr>
      <w:kern w:val="2"/>
      <w:sz w:val="21"/>
      <w:szCs w:val="22"/>
      <w14:ligatures w14:val="standardContextual"/>
    </w:rPr>
  </w:style>
  <w:style w:type="paragraph" w:customStyle="1" w:styleId="1DD372FB3B2347C283C198977DB684AA">
    <w:name w:val="1DD372FB3B2347C283C198977DB684AA"/>
    <w:autoRedefine/>
    <w:qFormat/>
    <w:pPr>
      <w:widowControl w:val="0"/>
      <w:jc w:val="both"/>
    </w:pPr>
    <w:rPr>
      <w:kern w:val="2"/>
      <w:sz w:val="21"/>
      <w:szCs w:val="22"/>
      <w14:ligatures w14:val="standardContextual"/>
    </w:rPr>
  </w:style>
  <w:style w:type="paragraph" w:customStyle="1" w:styleId="22DE4989F8EE45939B1523ECDCAEFCF7">
    <w:name w:val="22DE4989F8EE45939B1523ECDCAEFCF7"/>
    <w:autoRedefine/>
    <w:qFormat/>
    <w:pPr>
      <w:widowControl w:val="0"/>
      <w:jc w:val="both"/>
    </w:pPr>
    <w:rPr>
      <w:kern w:val="2"/>
      <w:sz w:val="21"/>
      <w:szCs w:val="22"/>
      <w14:ligatures w14:val="standardContextual"/>
    </w:rPr>
  </w:style>
  <w:style w:type="paragraph" w:customStyle="1" w:styleId="BDFDC1F3631947A3A535FFBA6E404A1F">
    <w:name w:val="BDFDC1F3631947A3A535FFBA6E404A1F"/>
    <w:autoRedefine/>
    <w:qFormat/>
    <w:pPr>
      <w:widowControl w:val="0"/>
      <w:jc w:val="both"/>
    </w:pPr>
    <w:rPr>
      <w:kern w:val="2"/>
      <w:sz w:val="21"/>
      <w:szCs w:val="22"/>
      <w14:ligatures w14:val="standardContextual"/>
    </w:rPr>
  </w:style>
  <w:style w:type="paragraph" w:customStyle="1" w:styleId="0A4AD8793C0B4923BF2AC4D7472703BF">
    <w:name w:val="0A4AD8793C0B4923BF2AC4D7472703BF"/>
    <w:autoRedefine/>
    <w:qFormat/>
    <w:pPr>
      <w:widowControl w:val="0"/>
      <w:jc w:val="both"/>
    </w:pPr>
    <w:rPr>
      <w:kern w:val="2"/>
      <w:sz w:val="21"/>
      <w:szCs w:val="22"/>
      <w14:ligatures w14:val="standardContextual"/>
    </w:rPr>
  </w:style>
  <w:style w:type="paragraph" w:customStyle="1" w:styleId="7ED5D781710B4E2D825CC608BE9CD3E2">
    <w:name w:val="7ED5D781710B4E2D825CC608BE9CD3E2"/>
    <w:autoRedefine/>
    <w:qFormat/>
    <w:pPr>
      <w:widowControl w:val="0"/>
      <w:jc w:val="both"/>
    </w:pPr>
    <w:rPr>
      <w:kern w:val="2"/>
      <w:sz w:val="21"/>
      <w:szCs w:val="22"/>
      <w14:ligatures w14:val="standardContextual"/>
    </w:rPr>
  </w:style>
  <w:style w:type="paragraph" w:customStyle="1" w:styleId="12A5BFE2139A4413BF95FC55F95BF679">
    <w:name w:val="12A5BFE2139A4413BF95FC55F95BF679"/>
    <w:autoRedefine/>
    <w:qFormat/>
    <w:pPr>
      <w:widowControl w:val="0"/>
      <w:jc w:val="both"/>
    </w:pPr>
    <w:rPr>
      <w:kern w:val="2"/>
      <w:sz w:val="21"/>
      <w:szCs w:val="22"/>
      <w14:ligatures w14:val="standardContextual"/>
    </w:rPr>
  </w:style>
  <w:style w:type="paragraph" w:customStyle="1" w:styleId="9D4ABD48E6F9441A8260071315C0530F">
    <w:name w:val="9D4ABD48E6F9441A8260071315C0530F"/>
    <w:autoRedefine/>
    <w:qFormat/>
    <w:pPr>
      <w:widowControl w:val="0"/>
      <w:jc w:val="both"/>
    </w:pPr>
    <w:rPr>
      <w:kern w:val="2"/>
      <w:sz w:val="21"/>
      <w:szCs w:val="22"/>
      <w14:ligatures w14:val="standardContextual"/>
    </w:rPr>
  </w:style>
  <w:style w:type="paragraph" w:customStyle="1" w:styleId="5C0C2B2880B24235A4E48F0CDF0C8341">
    <w:name w:val="5C0C2B2880B24235A4E48F0CDF0C8341"/>
    <w:autoRedefine/>
    <w:qFormat/>
    <w:pPr>
      <w:widowControl w:val="0"/>
      <w:jc w:val="both"/>
    </w:pPr>
    <w:rPr>
      <w:kern w:val="2"/>
      <w:sz w:val="21"/>
      <w:szCs w:val="22"/>
      <w14:ligatures w14:val="standardContextual"/>
    </w:rPr>
  </w:style>
  <w:style w:type="paragraph" w:customStyle="1" w:styleId="689CE4114E0648A4B9A5138AAB5D4C79">
    <w:name w:val="689CE4114E0648A4B9A5138AAB5D4C79"/>
    <w:autoRedefine/>
    <w:qFormat/>
    <w:pPr>
      <w:widowControl w:val="0"/>
      <w:jc w:val="both"/>
    </w:pPr>
    <w:rPr>
      <w:kern w:val="2"/>
      <w:sz w:val="21"/>
      <w:szCs w:val="22"/>
      <w14:ligatures w14:val="standardContextual"/>
    </w:rPr>
  </w:style>
  <w:style w:type="paragraph" w:customStyle="1" w:styleId="31FA6AD54F5A4A3F9D2CE354A3DDD1F8">
    <w:name w:val="31FA6AD54F5A4A3F9D2CE354A3DDD1F8"/>
    <w:autoRedefine/>
    <w:qFormat/>
    <w:pPr>
      <w:widowControl w:val="0"/>
      <w:jc w:val="both"/>
    </w:pPr>
    <w:rPr>
      <w:kern w:val="2"/>
      <w:sz w:val="21"/>
      <w:szCs w:val="22"/>
      <w14:ligatures w14:val="standardContextual"/>
    </w:rPr>
  </w:style>
  <w:style w:type="paragraph" w:customStyle="1" w:styleId="6F30C2BB1B334853BC7D326A08E7687F">
    <w:name w:val="6F30C2BB1B334853BC7D326A08E7687F"/>
    <w:autoRedefine/>
    <w:qFormat/>
    <w:pPr>
      <w:widowControl w:val="0"/>
      <w:jc w:val="both"/>
    </w:pPr>
    <w:rPr>
      <w:kern w:val="2"/>
      <w:sz w:val="21"/>
      <w:szCs w:val="22"/>
    </w:rPr>
  </w:style>
  <w:style w:type="paragraph" w:customStyle="1" w:styleId="C67414EA563A4790B1030EC9E9C6521A">
    <w:name w:val="C67414EA563A4790B1030EC9E9C6521A"/>
    <w:autoRedefine/>
    <w:qFormat/>
    <w:pPr>
      <w:widowControl w:val="0"/>
      <w:jc w:val="both"/>
    </w:pPr>
    <w:rPr>
      <w:kern w:val="2"/>
      <w:sz w:val="21"/>
      <w:szCs w:val="22"/>
      <w14:ligatures w14:val="standardContextual"/>
    </w:rPr>
  </w:style>
  <w:style w:type="paragraph" w:customStyle="1" w:styleId="E3DC397765C0466D8D51BEC2AA814E2E">
    <w:name w:val="E3DC397765C0466D8D51BEC2AA814E2E"/>
    <w:autoRedefine/>
    <w:qFormat/>
    <w:pPr>
      <w:widowControl w:val="0"/>
      <w:jc w:val="both"/>
    </w:pPr>
    <w:rPr>
      <w:kern w:val="2"/>
      <w:sz w:val="21"/>
      <w:szCs w:val="22"/>
      <w14:ligatures w14:val="standardContextual"/>
    </w:rPr>
  </w:style>
  <w:style w:type="paragraph" w:customStyle="1" w:styleId="68BDBE61EC634310993D1FC837DE0779">
    <w:name w:val="68BDBE61EC634310993D1FC837DE0779"/>
    <w:autoRedefine/>
    <w:qFormat/>
    <w:pPr>
      <w:widowControl w:val="0"/>
      <w:jc w:val="both"/>
    </w:pPr>
    <w:rPr>
      <w:kern w:val="2"/>
      <w:sz w:val="21"/>
      <w:szCs w:val="22"/>
      <w14:ligatures w14:val="standardContextual"/>
    </w:rPr>
  </w:style>
  <w:style w:type="paragraph" w:customStyle="1" w:styleId="7BE0BD64A9914654B94782C976C72DB2">
    <w:name w:val="7BE0BD64A9914654B94782C976C72DB2"/>
    <w:autoRedefine/>
    <w:qFormat/>
    <w:pPr>
      <w:widowControl w:val="0"/>
      <w:jc w:val="both"/>
    </w:pPr>
    <w:rPr>
      <w:kern w:val="2"/>
      <w:sz w:val="21"/>
      <w:szCs w:val="22"/>
      <w14:ligatures w14:val="standardContextual"/>
    </w:rPr>
  </w:style>
  <w:style w:type="paragraph" w:customStyle="1" w:styleId="EE11A164F13B40C08E9C10EDDC505FF9">
    <w:name w:val="EE11A164F13B40C08E9C10EDDC505FF9"/>
    <w:autoRedefine/>
    <w:qFormat/>
    <w:pPr>
      <w:widowControl w:val="0"/>
      <w:jc w:val="both"/>
    </w:pPr>
    <w:rPr>
      <w:kern w:val="2"/>
      <w:sz w:val="21"/>
      <w:szCs w:val="22"/>
      <w14:ligatures w14:val="standardContextual"/>
    </w:rPr>
  </w:style>
  <w:style w:type="paragraph" w:customStyle="1" w:styleId="33C34E1F4C924AC9A2B4F40563D1E4E0">
    <w:name w:val="33C34E1F4C924AC9A2B4F40563D1E4E0"/>
    <w:autoRedefine/>
    <w:qFormat/>
    <w:pPr>
      <w:widowControl w:val="0"/>
      <w:jc w:val="both"/>
    </w:pPr>
    <w:rPr>
      <w:kern w:val="2"/>
      <w:sz w:val="21"/>
      <w:szCs w:val="22"/>
    </w:rPr>
  </w:style>
  <w:style w:type="paragraph" w:customStyle="1" w:styleId="A973F7FEB81C440DBDD1B1893450C7F9">
    <w:name w:val="A973F7FEB81C440DBDD1B1893450C7F9"/>
    <w:autoRedefine/>
    <w:qFormat/>
    <w:pPr>
      <w:widowControl w:val="0"/>
      <w:jc w:val="both"/>
    </w:pPr>
    <w:rPr>
      <w:kern w:val="2"/>
      <w:sz w:val="21"/>
      <w:szCs w:val="22"/>
      <w14:ligatures w14:val="standardContextual"/>
    </w:rPr>
  </w:style>
  <w:style w:type="paragraph" w:customStyle="1" w:styleId="8EFAF814443042018BF7350246F74797">
    <w:name w:val="8EFAF814443042018BF7350246F74797"/>
    <w:autoRedefine/>
    <w:qFormat/>
    <w:pPr>
      <w:widowControl w:val="0"/>
      <w:jc w:val="both"/>
    </w:pPr>
    <w:rPr>
      <w:kern w:val="2"/>
      <w:sz w:val="21"/>
      <w:szCs w:val="22"/>
      <w14:ligatures w14:val="standardContextual"/>
    </w:rPr>
  </w:style>
  <w:style w:type="paragraph" w:customStyle="1" w:styleId="569D96C1E82D4961A92EF637A2B077F6">
    <w:name w:val="569D96C1E82D4961A92EF637A2B077F6"/>
    <w:autoRedefine/>
    <w:qFormat/>
    <w:pPr>
      <w:widowControl w:val="0"/>
      <w:jc w:val="both"/>
    </w:pPr>
    <w:rPr>
      <w:kern w:val="2"/>
      <w:sz w:val="21"/>
      <w:szCs w:val="22"/>
      <w14:ligatures w14:val="standardContextual"/>
    </w:rPr>
  </w:style>
  <w:style w:type="paragraph" w:customStyle="1" w:styleId="02609C337D8F4985B097BDA7DA9632F6">
    <w:name w:val="02609C337D8F4985B097BDA7DA9632F6"/>
    <w:autoRedefine/>
    <w:qFormat/>
    <w:pPr>
      <w:widowControl w:val="0"/>
      <w:jc w:val="both"/>
    </w:pPr>
    <w:rPr>
      <w:kern w:val="2"/>
      <w:sz w:val="21"/>
      <w:szCs w:val="22"/>
      <w14:ligatures w14:val="standardContextual"/>
    </w:rPr>
  </w:style>
  <w:style w:type="paragraph" w:customStyle="1" w:styleId="F0051D70CC96429B860F28EDE581E009">
    <w:name w:val="F0051D70CC96429B860F28EDE581E009"/>
    <w:autoRedefine/>
    <w:qFormat/>
    <w:pPr>
      <w:widowControl w:val="0"/>
      <w:jc w:val="both"/>
    </w:pPr>
    <w:rPr>
      <w:kern w:val="2"/>
      <w:sz w:val="21"/>
      <w:szCs w:val="22"/>
      <w14:ligatures w14:val="standardContextual"/>
    </w:rPr>
  </w:style>
  <w:style w:type="paragraph" w:customStyle="1" w:styleId="D5D20756B2F2491B9A93BCA3845C2CED">
    <w:name w:val="D5D20756B2F2491B9A93BCA3845C2CED"/>
    <w:autoRedefine/>
    <w:qFormat/>
    <w:pPr>
      <w:widowControl w:val="0"/>
      <w:jc w:val="both"/>
    </w:pPr>
    <w:rPr>
      <w:kern w:val="2"/>
      <w:sz w:val="21"/>
      <w:szCs w:val="22"/>
      <w14:ligatures w14:val="standardContextual"/>
    </w:rPr>
  </w:style>
  <w:style w:type="paragraph" w:customStyle="1" w:styleId="9BF1979FFA1046958D121A5487488682">
    <w:name w:val="9BF1979FFA1046958D121A5487488682"/>
    <w:autoRedefine/>
    <w:qFormat/>
    <w:pPr>
      <w:widowControl w:val="0"/>
      <w:jc w:val="both"/>
    </w:pPr>
    <w:rPr>
      <w:kern w:val="2"/>
      <w:sz w:val="21"/>
      <w:szCs w:val="22"/>
      <w14:ligatures w14:val="standardContextual"/>
    </w:rPr>
  </w:style>
  <w:style w:type="paragraph" w:customStyle="1" w:styleId="663B6BE891A44EE19F932F1B4730A617">
    <w:name w:val="663B6BE891A44EE19F932F1B4730A617"/>
    <w:autoRedefine/>
    <w:qFormat/>
    <w:pPr>
      <w:widowControl w:val="0"/>
      <w:jc w:val="both"/>
    </w:pPr>
    <w:rPr>
      <w:kern w:val="2"/>
      <w:sz w:val="21"/>
      <w:szCs w:val="22"/>
      <w14:ligatures w14:val="standardContextual"/>
    </w:rPr>
  </w:style>
  <w:style w:type="paragraph" w:customStyle="1" w:styleId="769EBA86121243CF99CC02D24982176D">
    <w:name w:val="769EBA86121243CF99CC02D24982176D"/>
    <w:autoRedefine/>
    <w:qFormat/>
    <w:pPr>
      <w:widowControl w:val="0"/>
      <w:jc w:val="both"/>
    </w:pPr>
    <w:rPr>
      <w:kern w:val="2"/>
      <w:sz w:val="21"/>
      <w:szCs w:val="22"/>
      <w14:ligatures w14:val="standardContextual"/>
    </w:rPr>
  </w:style>
  <w:style w:type="paragraph" w:customStyle="1" w:styleId="8647C5537776418DBEB313E207EE5800">
    <w:name w:val="8647C5537776418DBEB313E207EE5800"/>
    <w:autoRedefine/>
    <w:qFormat/>
    <w:pPr>
      <w:widowControl w:val="0"/>
      <w:jc w:val="both"/>
    </w:pPr>
    <w:rPr>
      <w:kern w:val="2"/>
      <w:sz w:val="21"/>
      <w:szCs w:val="22"/>
      <w14:ligatures w14:val="standardContextual"/>
    </w:rPr>
  </w:style>
  <w:style w:type="paragraph" w:customStyle="1" w:styleId="CA060A66F4824E2E8C56CD346823244F">
    <w:name w:val="CA060A66F4824E2E8C56CD346823244F"/>
    <w:autoRedefine/>
    <w:qFormat/>
    <w:pPr>
      <w:widowControl w:val="0"/>
      <w:jc w:val="both"/>
    </w:pPr>
    <w:rPr>
      <w:kern w:val="2"/>
      <w:sz w:val="21"/>
      <w:szCs w:val="22"/>
      <w14:ligatures w14:val="standardContextual"/>
    </w:rPr>
  </w:style>
  <w:style w:type="paragraph" w:customStyle="1" w:styleId="22DB351DC27E4FE7AAACEE0AA66CE3D5">
    <w:name w:val="22DB351DC27E4FE7AAACEE0AA66CE3D5"/>
    <w:autoRedefine/>
    <w:qFormat/>
    <w:pPr>
      <w:widowControl w:val="0"/>
      <w:jc w:val="both"/>
    </w:pPr>
    <w:rPr>
      <w:kern w:val="2"/>
      <w:sz w:val="21"/>
      <w:szCs w:val="22"/>
      <w14:ligatures w14:val="standardContextual"/>
    </w:rPr>
  </w:style>
  <w:style w:type="paragraph" w:customStyle="1" w:styleId="6AABF43690014A4B85E98B92E76B9294">
    <w:name w:val="6AABF43690014A4B85E98B92E76B9294"/>
    <w:autoRedefine/>
    <w:qFormat/>
    <w:pPr>
      <w:widowControl w:val="0"/>
      <w:jc w:val="both"/>
    </w:pPr>
    <w:rPr>
      <w:kern w:val="2"/>
      <w:sz w:val="21"/>
      <w:szCs w:val="22"/>
      <w14:ligatures w14:val="standardContextual"/>
    </w:rPr>
  </w:style>
  <w:style w:type="paragraph" w:customStyle="1" w:styleId="A025B019A5124977A79A7E0E28C115D7">
    <w:name w:val="A025B019A5124977A79A7E0E28C115D7"/>
    <w:autoRedefine/>
    <w:qFormat/>
    <w:pPr>
      <w:widowControl w:val="0"/>
      <w:jc w:val="both"/>
    </w:pPr>
    <w:rPr>
      <w:kern w:val="2"/>
      <w:sz w:val="21"/>
      <w:szCs w:val="22"/>
      <w14:ligatures w14:val="standardContextual"/>
    </w:rPr>
  </w:style>
  <w:style w:type="paragraph" w:customStyle="1" w:styleId="71CC470498E34EBD92ABA2E6615C8671">
    <w:name w:val="71CC470498E34EBD92ABA2E6615C8671"/>
    <w:pPr>
      <w:widowControl w:val="0"/>
      <w:jc w:val="both"/>
    </w:pPr>
    <w:rPr>
      <w:kern w:val="2"/>
      <w:sz w:val="21"/>
      <w:szCs w:val="22"/>
      <w14:ligatures w14:val="standardContextual"/>
    </w:rPr>
  </w:style>
  <w:style w:type="paragraph" w:customStyle="1" w:styleId="7463CE1EB9264073B481337247E16444">
    <w:name w:val="7463CE1EB9264073B481337247E16444"/>
    <w:pPr>
      <w:widowControl w:val="0"/>
      <w:jc w:val="both"/>
    </w:pPr>
    <w:rPr>
      <w:kern w:val="2"/>
      <w:sz w:val="21"/>
      <w:szCs w:val="22"/>
      <w14:ligatures w14:val="standardContextual"/>
    </w:rPr>
  </w:style>
  <w:style w:type="paragraph" w:customStyle="1" w:styleId="850E60BC6A764AF6AF0D2E55C2EFD297">
    <w:name w:val="850E60BC6A764AF6AF0D2E55C2EFD297"/>
    <w:autoRedefine/>
    <w:qFormat/>
    <w:pPr>
      <w:widowControl w:val="0"/>
      <w:jc w:val="both"/>
    </w:pPr>
    <w:rPr>
      <w:kern w:val="2"/>
      <w:sz w:val="21"/>
      <w:szCs w:val="22"/>
      <w14:ligatures w14:val="standardContextual"/>
    </w:rPr>
  </w:style>
  <w:style w:type="paragraph" w:customStyle="1" w:styleId="F68006B737DB4B7CB946B1FE051AA511">
    <w:name w:val="F68006B737DB4B7CB946B1FE051AA511"/>
    <w:pPr>
      <w:widowControl w:val="0"/>
      <w:jc w:val="both"/>
    </w:pPr>
    <w:rPr>
      <w:kern w:val="2"/>
      <w:sz w:val="21"/>
      <w:szCs w:val="22"/>
      <w14:ligatures w14:val="standardContextual"/>
    </w:rPr>
  </w:style>
  <w:style w:type="paragraph" w:customStyle="1" w:styleId="583F57A7E05C48ED86FC75DB91F7A82E">
    <w:name w:val="583F57A7E05C48ED86FC75DB91F7A82E"/>
    <w:pPr>
      <w:widowControl w:val="0"/>
      <w:jc w:val="both"/>
    </w:pPr>
    <w:rPr>
      <w:kern w:val="2"/>
      <w:sz w:val="21"/>
      <w:szCs w:val="22"/>
      <w14:ligatures w14:val="standardContextual"/>
    </w:rPr>
  </w:style>
  <w:style w:type="paragraph" w:customStyle="1" w:styleId="56299B4B77654DCBBB5DEE139D57D181">
    <w:name w:val="56299B4B77654DCBBB5DEE139D57D181"/>
    <w:pPr>
      <w:widowControl w:val="0"/>
      <w:jc w:val="both"/>
    </w:pPr>
    <w:rPr>
      <w:kern w:val="2"/>
      <w:sz w:val="21"/>
      <w:szCs w:val="22"/>
      <w14:ligatures w14:val="standardContextual"/>
    </w:rPr>
  </w:style>
  <w:style w:type="paragraph" w:customStyle="1" w:styleId="B6E151B0A6CF429AA6790492B60E6665">
    <w:name w:val="B6E151B0A6CF429AA6790492B60E6665"/>
    <w:pPr>
      <w:widowControl w:val="0"/>
      <w:jc w:val="both"/>
    </w:pPr>
    <w:rPr>
      <w:kern w:val="2"/>
      <w:sz w:val="21"/>
      <w:szCs w:val="22"/>
      <w14:ligatures w14:val="standardContextual"/>
    </w:rPr>
  </w:style>
  <w:style w:type="paragraph" w:customStyle="1" w:styleId="DE1F664FBB794E9ABBCBBAC41724405F">
    <w:name w:val="DE1F664FBB794E9ABBCBBAC41724405F"/>
    <w:pPr>
      <w:widowControl w:val="0"/>
      <w:jc w:val="both"/>
    </w:pPr>
    <w:rPr>
      <w:kern w:val="2"/>
      <w:sz w:val="21"/>
      <w:szCs w:val="22"/>
      <w14:ligatures w14:val="standardContextual"/>
    </w:rPr>
  </w:style>
  <w:style w:type="paragraph" w:customStyle="1" w:styleId="5649DA1BB9E843DCB7A1FD4CB51D8C5E">
    <w:name w:val="5649DA1BB9E843DCB7A1FD4CB51D8C5E"/>
    <w:pPr>
      <w:widowControl w:val="0"/>
      <w:jc w:val="both"/>
    </w:pPr>
    <w:rPr>
      <w:kern w:val="2"/>
      <w:sz w:val="21"/>
      <w:szCs w:val="22"/>
      <w14:ligatures w14:val="standardContextual"/>
    </w:rPr>
  </w:style>
  <w:style w:type="paragraph" w:customStyle="1" w:styleId="DE24EA7F95EE4C5BBDCD249E4BE0A1FE">
    <w:name w:val="DE24EA7F95EE4C5BBDCD249E4BE0A1FE"/>
    <w:pPr>
      <w:widowControl w:val="0"/>
      <w:jc w:val="both"/>
    </w:pPr>
    <w:rPr>
      <w:kern w:val="2"/>
      <w:sz w:val="21"/>
      <w:szCs w:val="22"/>
    </w:rPr>
  </w:style>
  <w:style w:type="paragraph" w:customStyle="1" w:styleId="85392106702549C4AC05DA7F7526D92C">
    <w:name w:val="85392106702549C4AC05DA7F7526D92C"/>
    <w:pPr>
      <w:widowControl w:val="0"/>
      <w:jc w:val="both"/>
    </w:pPr>
    <w:rPr>
      <w:kern w:val="2"/>
      <w:sz w:val="21"/>
      <w:szCs w:val="22"/>
      <w14:ligatures w14:val="standardContextual"/>
    </w:rPr>
  </w:style>
  <w:style w:type="paragraph" w:customStyle="1" w:styleId="5D45A576BD8E4B0985A9045B005EE7C8">
    <w:name w:val="5D45A576BD8E4B0985A9045B005EE7C8"/>
    <w:pPr>
      <w:widowControl w:val="0"/>
      <w:jc w:val="both"/>
    </w:pPr>
    <w:rPr>
      <w:kern w:val="2"/>
      <w:sz w:val="21"/>
      <w:szCs w:val="22"/>
      <w14:ligatures w14:val="standardContextual"/>
    </w:rPr>
  </w:style>
  <w:style w:type="paragraph" w:customStyle="1" w:styleId="BD285B9C3A194ABEAC4F6EE485947A40">
    <w:name w:val="BD285B9C3A194ABEAC4F6EE485947A40"/>
    <w:pPr>
      <w:widowControl w:val="0"/>
      <w:jc w:val="both"/>
    </w:pPr>
    <w:rPr>
      <w:kern w:val="2"/>
      <w:sz w:val="21"/>
      <w:szCs w:val="22"/>
    </w:rPr>
  </w:style>
  <w:style w:type="paragraph" w:customStyle="1" w:styleId="F0ED84CA9A404B148E0C0E2737D160AA">
    <w:name w:val="F0ED84CA9A404B148E0C0E2737D160AA"/>
    <w:pPr>
      <w:widowControl w:val="0"/>
      <w:jc w:val="both"/>
    </w:pPr>
    <w:rPr>
      <w:kern w:val="2"/>
      <w:sz w:val="21"/>
      <w:szCs w:val="22"/>
    </w:rPr>
  </w:style>
  <w:style w:type="paragraph" w:customStyle="1" w:styleId="A32E29E24E6D47B6AC8AD56D5601B542">
    <w:name w:val="A32E29E24E6D47B6AC8AD56D5601B542"/>
    <w:pPr>
      <w:widowControl w:val="0"/>
      <w:jc w:val="both"/>
    </w:pPr>
    <w:rPr>
      <w:kern w:val="2"/>
      <w:sz w:val="21"/>
      <w:szCs w:val="22"/>
    </w:rPr>
  </w:style>
  <w:style w:type="paragraph" w:customStyle="1" w:styleId="14C52424A3B943AD8328CE98DF998C0E">
    <w:name w:val="14C52424A3B943AD8328CE98DF998C0E"/>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重庆望变电气（集团）股份有限公司</clcid-cgi:GongSiFaDingZhongWenMingCheng>
  <clcid-mr:GongSiFuZeRenXingMing xmlns:clcid-mr="clcid-mr">杨泽民</clcid-mr:GongSiFuZeRenXingMing>
  <clcid-mr:ZhuGuanKuaiJiGongZuoFuZeRenXingMing xmlns:clcid-mr="clcid-mr">李代萍</clcid-mr:ZhuGuanKuaiJiGongZuoFuZeRenXingMing>
  <clcid-mr:KuaiJiJiGouFuZeRenXingMing xmlns:clcid-mr="clcid-mr">杨万华</clcid-mr:KuaiJiJiGouFuZeRenXingMing>
  <clcid-cgi:GongSiFaDingDaiBiaoRen xmlns:clcid-cgi="clcid-cgi"/>
  <clcid-ci-ar:DanWeiKouChuFeiJingChangXingSunYiXiangMuHeJinE xmlns:clcid-ci-ar="clcid-ci-ar">10000</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binding>
</file>

<file path=customXml/item3.xml><?xml version="1.0" encoding="utf-8"?>
<m:mapping xmlns:m="http://mapping.word.org/2012/mapping">
  <m:sm4><![CDATA[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]]></m:sm4>
</m:mapping>
</file>

<file path=customXml/item4.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]]></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FE102DCF-8890-48F4-B9FB-D3A6F2CCC870}">
  <ds:schemaRefs>
    <ds:schemaRef ds:uri="http://mapping.word.org/2012/mapping"/>
  </ds:schemaRefs>
</ds:datastoreItem>
</file>

<file path=customXml/itemProps4.xml><?xml version="1.0" encoding="utf-8"?>
<ds:datastoreItem xmlns:ds="http://schemas.openxmlformats.org/officeDocument/2006/customXml" ds:itemID="{420F245B-02EC-4F07-B632-0F91859D12E8}">
  <ds:schemaRefs>
    <ds:schemaRef ds:uri="http://mapping.word.org/2012/template"/>
  </ds:schemaRefs>
</ds:datastoreItem>
</file>

<file path=customXml/itemProps5.xml><?xml version="1.0" encoding="utf-8"?>
<ds:datastoreItem xmlns:ds="http://schemas.openxmlformats.org/officeDocument/2006/customXml" ds:itemID="{AACE4889-61D3-490E-87C6-9AC4F121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84</TotalTime>
  <Pages>302</Pages>
  <Words>43384</Words>
  <Characters>247293</Characters>
  <Application>Microsoft Office Word</Application>
  <DocSecurity>0</DocSecurity>
  <Lines>2060</Lines>
  <Paragraphs>580</Paragraphs>
  <ScaleCrop>false</ScaleCrop>
  <Company>Sky123.Org</Company>
  <LinksUpToDate>false</LinksUpToDate>
  <CharactersWithSpaces>290097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丽日百草</dc:creator>
  <cp:lastModifiedBy>W</cp:lastModifiedBy>
  <cp:revision>23</cp:revision>
  <cp:lastPrinted>2024-04-25T08:28:00Z</cp:lastPrinted>
  <dcterms:created xsi:type="dcterms:W3CDTF">2024-04-25T05:38:00Z</dcterms:created>
  <dcterms:modified xsi:type="dcterms:W3CDTF">2024-04-26T04:46:00Z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F131BAD52A334427A5E1A4F2D2749F8E_13</vt:lpwstr>
  </property>
</Properties>
</file>