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eastAsia="宋体"/>
          <w:b/>
          <w:sz w:val="24"/>
          <w:szCs w:val="24"/>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024-0</w:t>
      </w:r>
      <w:r>
        <w:rPr>
          <w:rFonts w:hint="eastAsia" w:ascii="宋体" w:hAnsi="宋体" w:eastAsia="宋体"/>
          <w:b/>
          <w:sz w:val="24"/>
          <w:szCs w:val="24"/>
        </w:rPr>
        <w:t>35</w:t>
      </w:r>
    </w:p>
    <w:p>
      <w:pPr>
        <w:adjustRightInd w:val="0"/>
        <w:snapToGrid w:val="0"/>
        <w:spacing w:line="560" w:lineRule="exact"/>
        <w:jc w:val="left"/>
        <w:rPr>
          <w:rFonts w:ascii="仿宋" w:hAnsi="仿宋" w:eastAsia="仿宋_GB2312"/>
          <w:sz w:val="30"/>
          <w:szCs w:val="30"/>
        </w:rPr>
      </w:pPr>
    </w:p>
    <w:p>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关于使用暂时闲置募集资金进行现金管理的公告</w:t>
      </w:r>
    </w:p>
    <w:p>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pPr>
        <w:autoSpaceDE w:val="0"/>
        <w:autoSpaceDN w:val="0"/>
        <w:adjustRightInd w:val="0"/>
        <w:snapToGrid w:val="0"/>
        <w:spacing w:line="560" w:lineRule="exact"/>
        <w:rPr>
          <w:rFonts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重庆望变电气（集团）股份有限公司（以下简称“公司”）于202</w:t>
      </w:r>
      <w:r>
        <w:rPr>
          <w:rFonts w:ascii="宋体" w:hAnsi="宋体" w:eastAsia="宋体"/>
          <w:color w:val="000000"/>
          <w:sz w:val="24"/>
          <w:szCs w:val="24"/>
        </w:rPr>
        <w:t>4</w:t>
      </w:r>
      <w:r>
        <w:rPr>
          <w:rFonts w:hint="eastAsia" w:ascii="宋体" w:hAnsi="宋体" w:eastAsia="宋体"/>
          <w:color w:val="000000"/>
          <w:sz w:val="24"/>
          <w:szCs w:val="24"/>
        </w:rPr>
        <w:t>年4月2</w:t>
      </w:r>
      <w:r>
        <w:rPr>
          <w:rFonts w:ascii="宋体" w:hAnsi="宋体" w:eastAsia="宋体"/>
          <w:color w:val="000000"/>
          <w:sz w:val="24"/>
          <w:szCs w:val="24"/>
        </w:rPr>
        <w:t>4</w:t>
      </w:r>
      <w:r>
        <w:rPr>
          <w:rFonts w:hint="eastAsia" w:ascii="宋体" w:hAnsi="宋体" w:eastAsia="宋体"/>
          <w:color w:val="000000"/>
          <w:sz w:val="24"/>
          <w:szCs w:val="24"/>
        </w:rPr>
        <w:t>日召开了第四届董事会第五次会议和第四届监事会第四次会议，审议通过了《关于使用暂时闲置募集资金进行现金管理的议案》，同意公司使用不超过</w:t>
      </w:r>
      <w:r>
        <w:rPr>
          <w:rFonts w:ascii="宋体" w:hAnsi="宋体" w:eastAsia="宋体"/>
          <w:color w:val="000000"/>
          <w:sz w:val="24"/>
          <w:szCs w:val="24"/>
        </w:rPr>
        <w:t>29</w:t>
      </w:r>
      <w:r>
        <w:rPr>
          <w:rFonts w:hint="eastAsia" w:ascii="宋体" w:hAnsi="宋体" w:eastAsia="宋体"/>
          <w:color w:val="000000"/>
          <w:sz w:val="24"/>
          <w:szCs w:val="24"/>
        </w:rPr>
        <w:t>,000万元的暂时闲置募集资金进行现金管理，该额度的有效期自董事会审议通过之日至2024年12月31日止，在上述额度及有效期限内，公司可循环滚动使用，公司董事会授权总经理行使投资决策并签署相关合同文件。</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outlineLvl w:val="0"/>
        <w:rPr>
          <w:rFonts w:ascii="宋体" w:hAnsi="宋体" w:eastAsia="宋体"/>
          <w:b/>
          <w:bCs/>
          <w:sz w:val="24"/>
          <w:szCs w:val="24"/>
        </w:rPr>
      </w:pPr>
      <w:r>
        <w:rPr>
          <w:rFonts w:hint="eastAsia" w:ascii="宋体" w:hAnsi="宋体" w:eastAsia="宋体"/>
          <w:b/>
          <w:bCs/>
          <w:sz w:val="24"/>
          <w:szCs w:val="24"/>
        </w:rPr>
        <w:t>一、募集资金基本情况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经中国证券监督管理委员会证监许可[2022]490号文核准，并经上海证券交易所同意，本公司由主承销商中信证券股份有限公司于2022年4月18日向社会公众公开发行普通股（A股）股票83,291,852股，每股面值1元，每股发行价人民币11.86元。截至2022年4月22日止，本公司共募集资金人民币987,841,364.72元，扣除发行费用合计133,279,564.72元，募集资金净额人民币854,561,800.00元。</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截止2022年4月22日，本公司上述发行募集的资金已全部到位，业经大华会计师事务所（特殊普通合伙）以“大华验字[2022]000143号”验资报告验证确认。</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outlineLvl w:val="0"/>
        <w:rPr>
          <w:rFonts w:ascii="宋体" w:hAnsi="宋体" w:eastAsia="宋体"/>
          <w:b/>
          <w:bCs/>
          <w:sz w:val="24"/>
          <w:szCs w:val="24"/>
        </w:rPr>
      </w:pPr>
      <w:r>
        <w:rPr>
          <w:rFonts w:hint="eastAsia" w:ascii="宋体" w:hAnsi="宋体" w:eastAsia="宋体"/>
          <w:b/>
          <w:bCs/>
          <w:sz w:val="24"/>
          <w:szCs w:val="24"/>
        </w:rPr>
        <w:t>二、募集资金的管理情况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为了规范募集资金的管理和使用，保护投资者权益，本公司依照《中华人民共和国公司法》《中华人民共和国证券法》《上海证券交易所股票上市规则》《上海证券交易所上市公司自律监管指引第1号——规范运作》等法律法规，结合公司实际情况，制定了《重庆望变电气（集团）股份有限公司募集资金管理制度》（以下简称“《管理制度》”），该《管理制度》经本公司2022年第三届第十一次董事会审议通过，并业经本公司2022年第一次临时股东大会表决通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根据《管理制度》的要求，并结合公司经营需要，本公司分别在招商银行股份有限公司重庆长寿支行（该专户已于2022年6月22日注销）、重庆三峡银行股份有限公司长寿支行、上海浦东发展银行股份有限公司重庆分行、中信银行重庆分行营业部（该专户已于2023年10月13日注销）、中国农业银行股份有限公司重庆长寿支行（该专户已于2023年6月26日注销）、哈尔滨银行股份有限公司重庆分行开设募集资金专项账户。公司与各开户银行、保荐机构签署了募集资金三方监管协议，对公开发行股票募集资金的存放和使用情况进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outlineLvl w:val="0"/>
        <w:rPr>
          <w:rFonts w:ascii="宋体" w:hAnsi="宋体" w:eastAsia="宋体"/>
          <w:b/>
          <w:bCs/>
          <w:sz w:val="24"/>
          <w:szCs w:val="24"/>
        </w:rPr>
      </w:pPr>
      <w:r>
        <w:rPr>
          <w:rFonts w:hint="eastAsia" w:ascii="宋体" w:hAnsi="宋体" w:eastAsia="宋体"/>
          <w:b/>
          <w:bCs/>
          <w:sz w:val="24"/>
          <w:szCs w:val="24"/>
        </w:rPr>
        <w:t>三、募集资金结存情况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lang w:val="en-US" w:eastAsia="zh-CN"/>
        </w:rPr>
        <w:t>截至2023年12月31日，</w:t>
      </w:r>
      <w:r>
        <w:rPr>
          <w:rFonts w:hint="eastAsia" w:ascii="宋体" w:hAnsi="宋体" w:eastAsia="宋体"/>
          <w:sz w:val="24"/>
          <w:szCs w:val="24"/>
        </w:rPr>
        <w:t>公司首次公开发行股票募集资金结存情况如下：</w:t>
      </w:r>
    </w:p>
    <w:p>
      <w:pPr>
        <w:adjustRightInd w:val="0"/>
        <w:snapToGrid w:val="0"/>
        <w:spacing w:line="360" w:lineRule="auto"/>
        <w:ind w:firstLine="420" w:firstLineChars="200"/>
        <w:jc w:val="right"/>
        <w:rPr>
          <w:rFonts w:ascii="宋体" w:hAnsi="宋体" w:eastAsia="宋体"/>
          <w:szCs w:val="21"/>
        </w:rPr>
      </w:pPr>
      <w:r>
        <w:rPr>
          <w:rFonts w:hint="eastAsia" w:ascii="宋体" w:hAnsi="宋体" w:eastAsia="宋体"/>
          <w:szCs w:val="21"/>
        </w:rPr>
        <w:t>单位：万元</w:t>
      </w:r>
    </w:p>
    <w:tbl>
      <w:tblPr>
        <w:tblStyle w:val="9"/>
        <w:tblW w:w="9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119"/>
        <w:gridCol w:w="1547"/>
        <w:gridCol w:w="1495"/>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2519" w:type="dxa"/>
            <w:vAlign w:val="center"/>
          </w:tcPr>
          <w:p>
            <w:pPr>
              <w:widowControl w:val="0"/>
              <w:snapToGrid w:val="0"/>
              <w:spacing w:after="0" w:line="240" w:lineRule="auto"/>
              <w:ind w:left="0" w:right="0" w:firstLine="0"/>
              <w:jc w:val="center"/>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银行名称</w:t>
            </w:r>
          </w:p>
        </w:tc>
        <w:tc>
          <w:tcPr>
            <w:tcW w:w="2119" w:type="dxa"/>
            <w:vAlign w:val="center"/>
          </w:tcPr>
          <w:p>
            <w:pPr>
              <w:widowControl w:val="0"/>
              <w:snapToGrid w:val="0"/>
              <w:spacing w:after="0" w:line="240" w:lineRule="auto"/>
              <w:ind w:left="0" w:right="0" w:firstLine="0"/>
              <w:jc w:val="center"/>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账号</w:t>
            </w:r>
          </w:p>
        </w:tc>
        <w:tc>
          <w:tcPr>
            <w:tcW w:w="1547" w:type="dxa"/>
            <w:vAlign w:val="center"/>
          </w:tcPr>
          <w:p>
            <w:pPr>
              <w:widowControl w:val="0"/>
              <w:snapToGrid w:val="0"/>
              <w:spacing w:after="0" w:line="240" w:lineRule="auto"/>
              <w:ind w:left="0" w:right="0" w:firstLine="0"/>
              <w:jc w:val="center"/>
              <w:rPr>
                <w:rFonts w:ascii="Times New Roman" w:hAnsi="Times New Roman" w:cs="Times New Roman"/>
                <w:b/>
                <w:bCs/>
                <w:color w:val="auto"/>
                <w:kern w:val="0"/>
                <w:sz w:val="20"/>
                <w:szCs w:val="20"/>
              </w:rPr>
            </w:pPr>
            <w:r>
              <w:rPr>
                <w:rFonts w:hint="eastAsia" w:ascii="Times New Roman" w:hAnsi="Times New Roman" w:cs="Times New Roman"/>
                <w:b/>
                <w:bCs/>
                <w:color w:val="auto"/>
                <w:kern w:val="0"/>
                <w:sz w:val="20"/>
                <w:szCs w:val="20"/>
                <w:lang w:eastAsia="zh-CN"/>
              </w:rPr>
              <w:t>初始</w:t>
            </w:r>
            <w:r>
              <w:rPr>
                <w:rFonts w:ascii="Times New Roman" w:hAnsi="Times New Roman" w:cs="Times New Roman"/>
                <w:b/>
                <w:bCs/>
                <w:color w:val="auto"/>
                <w:kern w:val="0"/>
                <w:sz w:val="20"/>
                <w:szCs w:val="20"/>
              </w:rPr>
              <w:t>存放金额</w:t>
            </w:r>
          </w:p>
        </w:tc>
        <w:tc>
          <w:tcPr>
            <w:tcW w:w="1495" w:type="dxa"/>
            <w:vAlign w:val="center"/>
          </w:tcPr>
          <w:p>
            <w:pPr>
              <w:widowControl w:val="0"/>
              <w:snapToGrid w:val="0"/>
              <w:spacing w:after="0" w:line="240" w:lineRule="auto"/>
              <w:ind w:left="0" w:right="0" w:firstLine="0"/>
              <w:jc w:val="center"/>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截止日余额</w:t>
            </w:r>
          </w:p>
        </w:tc>
        <w:tc>
          <w:tcPr>
            <w:tcW w:w="1379" w:type="dxa"/>
            <w:vAlign w:val="center"/>
          </w:tcPr>
          <w:p>
            <w:pPr>
              <w:widowControl w:val="0"/>
              <w:snapToGrid w:val="0"/>
              <w:spacing w:after="0" w:line="240" w:lineRule="auto"/>
              <w:ind w:left="0" w:right="0" w:firstLine="0"/>
              <w:jc w:val="center"/>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存储方式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highlight w:val="none"/>
              </w:rPr>
              <w:t>招商银行股份有限公司</w:t>
            </w:r>
            <w:r>
              <w:rPr>
                <w:rFonts w:hint="eastAsia" w:ascii="Times New Roman" w:hAnsi="Times New Roman" w:cs="Times New Roman"/>
                <w:color w:val="auto"/>
                <w:kern w:val="0"/>
                <w:sz w:val="20"/>
                <w:szCs w:val="20"/>
              </w:rPr>
              <w:t>重庆分行长寿支行</w:t>
            </w:r>
          </w:p>
        </w:tc>
        <w:tc>
          <w:tcPr>
            <w:tcW w:w="21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123905910610303</w:t>
            </w:r>
          </w:p>
        </w:tc>
        <w:tc>
          <w:tcPr>
            <w:tcW w:w="1547"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390,429,100.00</w:t>
            </w:r>
          </w:p>
        </w:tc>
        <w:tc>
          <w:tcPr>
            <w:tcW w:w="1495"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w:t>
            </w:r>
          </w:p>
        </w:tc>
        <w:tc>
          <w:tcPr>
            <w:tcW w:w="137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highlight w:val="none"/>
              </w:rPr>
            </w:pPr>
            <w:r>
              <w:rPr>
                <w:rFonts w:hint="eastAsia" w:ascii="Times New Roman" w:hAnsi="Times New Roman" w:cs="Times New Roman"/>
                <w:color w:val="auto"/>
                <w:kern w:val="0"/>
                <w:sz w:val="20"/>
                <w:szCs w:val="20"/>
                <w:highlight w:val="none"/>
              </w:rPr>
              <w:t>账户已注销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highlight w:val="none"/>
              </w:rPr>
              <w:t>中信银行股份有限公司重庆分行营业部</w:t>
            </w:r>
          </w:p>
        </w:tc>
        <w:tc>
          <w:tcPr>
            <w:tcW w:w="21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8111201012200530541</w:t>
            </w:r>
          </w:p>
        </w:tc>
        <w:tc>
          <w:tcPr>
            <w:tcW w:w="1547"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128,326,800.00</w:t>
            </w:r>
          </w:p>
        </w:tc>
        <w:tc>
          <w:tcPr>
            <w:tcW w:w="1495"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w:t>
            </w:r>
          </w:p>
        </w:tc>
        <w:tc>
          <w:tcPr>
            <w:tcW w:w="137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highlight w:val="none"/>
              </w:rPr>
            </w:pPr>
            <w:r>
              <w:rPr>
                <w:rFonts w:hint="eastAsia" w:ascii="Times New Roman" w:hAnsi="Times New Roman" w:cs="Times New Roman"/>
                <w:color w:val="auto"/>
                <w:kern w:val="0"/>
                <w:sz w:val="20"/>
                <w:szCs w:val="20"/>
                <w:highlight w:val="none"/>
              </w:rPr>
              <w:t>账户已注销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重庆三峡银行股份有限公司长寿支行</w:t>
            </w:r>
          </w:p>
        </w:tc>
        <w:tc>
          <w:tcPr>
            <w:tcW w:w="21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0153016820000020</w:t>
            </w:r>
          </w:p>
        </w:tc>
        <w:tc>
          <w:tcPr>
            <w:tcW w:w="1547"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73,305,900.00</w:t>
            </w:r>
          </w:p>
        </w:tc>
        <w:tc>
          <w:tcPr>
            <w:tcW w:w="1495"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42,888,555.15</w:t>
            </w:r>
          </w:p>
        </w:tc>
        <w:tc>
          <w:tcPr>
            <w:tcW w:w="137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活期存款/活期协议存款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highlight w:val="none"/>
              </w:rPr>
              <w:t>上海浦东发展银行股份有限公司重庆</w:t>
            </w:r>
            <w:r>
              <w:rPr>
                <w:rFonts w:hint="eastAsia" w:ascii="Times New Roman" w:hAnsi="Times New Roman" w:cs="Times New Roman"/>
                <w:color w:val="auto"/>
                <w:kern w:val="0"/>
                <w:sz w:val="20"/>
                <w:szCs w:val="20"/>
                <w:highlight w:val="none"/>
                <w:lang w:val="en-US" w:eastAsia="zh-CN"/>
              </w:rPr>
              <w:t>长寿支行</w:t>
            </w:r>
          </w:p>
        </w:tc>
        <w:tc>
          <w:tcPr>
            <w:tcW w:w="21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83260078801700000608</w:t>
            </w:r>
          </w:p>
        </w:tc>
        <w:tc>
          <w:tcPr>
            <w:tcW w:w="1547"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62,500,000.00</w:t>
            </w:r>
          </w:p>
        </w:tc>
        <w:tc>
          <w:tcPr>
            <w:tcW w:w="1495"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35,253,303.32</w:t>
            </w:r>
          </w:p>
        </w:tc>
        <w:tc>
          <w:tcPr>
            <w:tcW w:w="137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活期存款/活期协议存款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中国农业银行股份有限</w:t>
            </w:r>
            <w:bookmarkStart w:id="0" w:name="_GoBack"/>
            <w:bookmarkEnd w:id="0"/>
            <w:r>
              <w:rPr>
                <w:rFonts w:hint="eastAsia" w:ascii="Times New Roman" w:hAnsi="Times New Roman" w:cs="Times New Roman"/>
                <w:color w:val="auto"/>
                <w:kern w:val="0"/>
                <w:sz w:val="20"/>
                <w:szCs w:val="20"/>
              </w:rPr>
              <w:t>公司重庆长寿支行</w:t>
            </w:r>
          </w:p>
        </w:tc>
        <w:tc>
          <w:tcPr>
            <w:tcW w:w="21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31130101040017435</w:t>
            </w:r>
          </w:p>
        </w:tc>
        <w:tc>
          <w:tcPr>
            <w:tcW w:w="1547"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229,864,470.38</w:t>
            </w:r>
          </w:p>
        </w:tc>
        <w:tc>
          <w:tcPr>
            <w:tcW w:w="1495"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w:t>
            </w:r>
          </w:p>
        </w:tc>
        <w:tc>
          <w:tcPr>
            <w:tcW w:w="137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highlight w:val="none"/>
              </w:rPr>
            </w:pPr>
            <w:r>
              <w:rPr>
                <w:rFonts w:hint="eastAsia" w:ascii="Times New Roman" w:hAnsi="Times New Roman" w:cs="Times New Roman"/>
                <w:color w:val="auto"/>
                <w:kern w:val="0"/>
                <w:sz w:val="20"/>
                <w:szCs w:val="20"/>
                <w:highlight w:val="none"/>
              </w:rPr>
              <w:t>账户已注销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哈尔滨银行股份有限公司重庆分行</w:t>
            </w:r>
          </w:p>
        </w:tc>
        <w:tc>
          <w:tcPr>
            <w:tcW w:w="211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18010000001689409</w:t>
            </w:r>
          </w:p>
        </w:tc>
        <w:tc>
          <w:tcPr>
            <w:tcW w:w="1547" w:type="dxa"/>
            <w:vAlign w:val="center"/>
          </w:tcPr>
          <w:p>
            <w:pPr>
              <w:widowControl w:val="0"/>
              <w:snapToGrid w:val="0"/>
              <w:spacing w:after="0" w:line="240" w:lineRule="auto"/>
              <w:ind w:left="0" w:right="0" w:firstLine="0"/>
              <w:jc w:val="right"/>
              <w:rPr>
                <w:rFonts w:hint="eastAsia" w:ascii="Times New Roman" w:hAnsi="Times New Roman" w:cs="Times New Roman" w:eastAsiaTheme="minorEastAsia"/>
                <w:color w:val="auto"/>
                <w:kern w:val="0"/>
                <w:sz w:val="20"/>
                <w:szCs w:val="20"/>
                <w:lang w:val="en-US" w:eastAsia="zh-CN"/>
              </w:rPr>
            </w:pPr>
            <w:r>
              <w:rPr>
                <w:rFonts w:hint="eastAsia" w:ascii="Times New Roman" w:hAnsi="Times New Roman" w:cs="Times New Roman"/>
                <w:color w:val="auto"/>
                <w:kern w:val="0"/>
                <w:sz w:val="20"/>
                <w:szCs w:val="20"/>
                <w:lang w:val="en-US" w:eastAsia="zh-CN"/>
              </w:rPr>
              <w:t>-</w:t>
            </w:r>
          </w:p>
        </w:tc>
        <w:tc>
          <w:tcPr>
            <w:tcW w:w="1495" w:type="dxa"/>
            <w:vAlign w:val="center"/>
          </w:tcPr>
          <w:p>
            <w:pPr>
              <w:widowControl w:val="0"/>
              <w:snapToGrid w:val="0"/>
              <w:spacing w:after="0" w:line="240" w:lineRule="auto"/>
              <w:ind w:left="0" w:right="0" w:firstLine="0"/>
              <w:jc w:val="right"/>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216,538,109.08</w:t>
            </w:r>
          </w:p>
        </w:tc>
        <w:tc>
          <w:tcPr>
            <w:tcW w:w="1379" w:type="dxa"/>
            <w:vAlign w:val="center"/>
          </w:tcPr>
          <w:p>
            <w:pPr>
              <w:widowControl w:val="0"/>
              <w:snapToGrid w:val="0"/>
              <w:spacing w:after="0" w:line="240" w:lineRule="auto"/>
              <w:ind w:left="0" w:right="0" w:firstLine="0"/>
              <w:jc w:val="both"/>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活期协议存款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519" w:type="dxa"/>
            <w:vAlign w:val="center"/>
          </w:tcPr>
          <w:p>
            <w:pPr>
              <w:widowControl w:val="0"/>
              <w:snapToGrid w:val="0"/>
              <w:spacing w:after="0" w:line="240" w:lineRule="auto"/>
              <w:ind w:left="0" w:right="0" w:firstLine="0"/>
              <w:jc w:val="center"/>
              <w:rPr>
                <w:rFonts w:ascii="Times New Roman" w:hAnsi="Times New Roman" w:cs="Times New Roman"/>
                <w:b/>
                <w:bCs/>
                <w:color w:val="auto"/>
                <w:kern w:val="0"/>
                <w:sz w:val="20"/>
                <w:szCs w:val="20"/>
              </w:rPr>
            </w:pPr>
            <w:r>
              <w:rPr>
                <w:rFonts w:hint="eastAsia" w:ascii="Times New Roman" w:hAnsi="Times New Roman" w:cs="Times New Roman"/>
                <w:b/>
                <w:bCs/>
                <w:color w:val="auto"/>
                <w:kern w:val="0"/>
                <w:sz w:val="20"/>
                <w:szCs w:val="20"/>
              </w:rPr>
              <w:t>合计</w:t>
            </w:r>
          </w:p>
        </w:tc>
        <w:tc>
          <w:tcPr>
            <w:tcW w:w="2119" w:type="dxa"/>
            <w:vAlign w:val="center"/>
          </w:tcPr>
          <w:p>
            <w:pPr>
              <w:widowControl w:val="0"/>
              <w:snapToGrid w:val="0"/>
              <w:spacing w:after="0" w:line="240" w:lineRule="auto"/>
              <w:ind w:left="0" w:right="0" w:firstLine="0"/>
              <w:jc w:val="right"/>
              <w:rPr>
                <w:rFonts w:hint="eastAsia" w:ascii="Times New Roman" w:hAnsi="Times New Roman" w:cs="Times New Roman" w:eastAsiaTheme="minorEastAsia"/>
                <w:b/>
                <w:bCs/>
                <w:color w:val="auto"/>
                <w:kern w:val="0"/>
                <w:sz w:val="20"/>
                <w:szCs w:val="20"/>
                <w:lang w:val="en-US" w:eastAsia="zh-CN"/>
              </w:rPr>
            </w:pPr>
            <w:r>
              <w:rPr>
                <w:rFonts w:hint="eastAsia" w:ascii="Times New Roman" w:hAnsi="Times New Roman" w:cs="Times New Roman"/>
                <w:b/>
                <w:bCs/>
                <w:color w:val="auto"/>
                <w:kern w:val="0"/>
                <w:sz w:val="20"/>
                <w:szCs w:val="20"/>
                <w:lang w:val="en-US" w:eastAsia="zh-CN"/>
              </w:rPr>
              <w:t>-</w:t>
            </w:r>
          </w:p>
        </w:tc>
        <w:tc>
          <w:tcPr>
            <w:tcW w:w="1547" w:type="dxa"/>
            <w:vAlign w:val="center"/>
          </w:tcPr>
          <w:p>
            <w:pPr>
              <w:widowControl w:val="0"/>
              <w:snapToGrid w:val="0"/>
              <w:spacing w:after="0" w:line="240" w:lineRule="auto"/>
              <w:ind w:left="0" w:right="0" w:firstLine="0"/>
              <w:jc w:val="right"/>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884,426,270.38</w:t>
            </w:r>
          </w:p>
        </w:tc>
        <w:tc>
          <w:tcPr>
            <w:tcW w:w="1495" w:type="dxa"/>
            <w:vAlign w:val="center"/>
          </w:tcPr>
          <w:p>
            <w:pPr>
              <w:widowControl w:val="0"/>
              <w:snapToGrid w:val="0"/>
              <w:spacing w:after="0" w:line="240" w:lineRule="auto"/>
              <w:ind w:left="0" w:right="0" w:firstLine="0"/>
              <w:jc w:val="right"/>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294,679,967.55</w:t>
            </w:r>
          </w:p>
        </w:tc>
        <w:tc>
          <w:tcPr>
            <w:tcW w:w="1379" w:type="dxa"/>
            <w:vAlign w:val="center"/>
          </w:tcPr>
          <w:p>
            <w:pPr>
              <w:widowControl w:val="0"/>
              <w:snapToGrid w:val="0"/>
              <w:spacing w:after="0" w:line="240" w:lineRule="auto"/>
              <w:ind w:left="0" w:right="0" w:firstLine="0"/>
              <w:jc w:val="right"/>
              <w:rPr>
                <w:rFonts w:hint="eastAsia" w:ascii="Times New Roman" w:hAnsi="Times New Roman" w:cs="Times New Roman" w:eastAsiaTheme="minorEastAsia"/>
                <w:b/>
                <w:bCs/>
                <w:color w:val="auto"/>
                <w:kern w:val="0"/>
                <w:sz w:val="20"/>
                <w:szCs w:val="20"/>
                <w:lang w:val="en-US" w:eastAsia="zh-CN"/>
              </w:rPr>
            </w:pPr>
            <w:r>
              <w:rPr>
                <w:rFonts w:hint="eastAsia" w:ascii="Times New Roman" w:hAnsi="Times New Roman" w:cs="Times New Roman"/>
                <w:b/>
                <w:bCs/>
                <w:color w:val="auto"/>
                <w:kern w:val="0"/>
                <w:sz w:val="20"/>
                <w:szCs w:val="20"/>
                <w:lang w:val="en-US" w:eastAsia="zh-CN"/>
              </w:rPr>
              <w:t>-</w:t>
            </w:r>
          </w:p>
        </w:tc>
      </w:tr>
    </w:tbl>
    <w:p>
      <w:pPr>
        <w:adjustRightInd w:val="0"/>
        <w:snapToGrid w:val="0"/>
        <w:spacing w:line="560" w:lineRule="exact"/>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四、本次使用暂时闲置募集资金进行现金管理的基本情况</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1、投资目的</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由于募投项目建设需要一定周期，公司的募集资金存在暂时闲置的情形。为提高公司闲置募集资金使用效率，在确保日常经营资金需求和资金安全的前提下，公司拟利用闲置募集资金进行现金管理，以增加公司资金收益。</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2、资金来源及额度</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公司拟使用合计最高额不超过29,000万元的暂时闲置募集资金进行现金管理，并于到期后归还至募集资金专用账户。</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3、投资范围</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为控制风险，公司拟使用暂时闲置募集资金购买安全性高、流动性好、具有合法经营资格的金融机构销售的投资产品（包括协定存款、定期存款、通知存款、大额存单、结构性存款、收益凭证等）。投资产品不得用于质押，公司不得使用上述资金从事以证券投资为目的的投资行为。</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4、投资期限</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自董事会审议通过之日至2024年12月31日止，在上述额度在有效期限内，公司可循环滚动使用。</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5、实施方式</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在上述投资额度和期限范围内，授权总经理行使投资决策并签署相关合同文件，包括但不限于：选择合格的金融机构、投资产品品种、明确投资金额、投资期限、签署合同或协议等。公司财务部门负责具体组织实施，并建立投资台账。</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公司购买的现金管理产品不得用于质押，产品专用结算账户不得存放非募集资金或用作其他用途。</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6、信息披露</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公司将根据《上海证券交易所股票上市规则》《上市公司监管指引第2号—上市公司募集资金管理和使用的监管要求》等相关法规和规范性文件的要求，及时履行信息披露义务。</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7、关联关系说明</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公司与拟购买的现金管理产品的发行主体不得存在关联关系。</w:t>
      </w:r>
    </w:p>
    <w:p>
      <w:pPr>
        <w:adjustRightInd w:val="0"/>
        <w:snapToGrid w:val="0"/>
        <w:spacing w:line="560" w:lineRule="exact"/>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五、对上市公司的影响</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本次拟使用暂时闲置募集资金进行现金管理是根据公司经营发展和财务状况，在确保公司募投项目所需资金和保证募集资金安全的前提下进行的，履行了必要的法定程序，有助于提高募集资金使用效率，不影响公司主营业务的正常发展，不影响募集资金项目的正常进行，不存在变相改变募集资金用途的行为。</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公司使用部分暂时闲置募集资金进行现金管理有利于提高资金使用效率，能够为公司和股东谋取良好的投资回报。</w:t>
      </w:r>
    </w:p>
    <w:p>
      <w:pPr>
        <w:adjustRightInd w:val="0"/>
        <w:snapToGrid w:val="0"/>
        <w:spacing w:line="560" w:lineRule="exact"/>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六、风险控制措施</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（一）投资风险</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尽管公司拟投资安全性高、流动性好的现金管理产品，总体风险可控，但该类产品受货币政策等宏观经济政策的影响较大，公司将根据经济形势以及金融市场的变化适时适量介入，但不排除该项投资收益受到市场波动的影响，存在一定的系统性风险。</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（二）风险控制措施</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公司按照决策、执行、监督职能相分离的原则建立健全现金管理的审批和执行程序，确保购买事宜的有效开展和规范运行，确保资金安全。拟采取的具体措施如下：</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1、公司财务部门相关人员将及时分析和跟踪所投资产品的投向、项目进展情况，如评估发现存在可能影响公司资金安全的风险因素，将及时采取相应的措施，控制投资风险。</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2、公司审计部门负责对资金的使用与保管情况进行审计与监督。</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3、独立董事、监事会有权对资金使用情况进行监督与检查，必要时可以聘请专业机构进行审计。</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4、公司财务部门必须建立台账对购买的现金管理产品进行管理，建立健全会计账目，做好资金使用的账务核算工作。</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5、公司将依据上海证券交易所的相关规定，履行信息披露义务。</w:t>
      </w:r>
    </w:p>
    <w:p>
      <w:pPr>
        <w:pStyle w:val="2"/>
        <w:rPr>
          <w:rFonts w:hAnsi="宋体"/>
        </w:rPr>
      </w:pPr>
    </w:p>
    <w:p>
      <w:pPr>
        <w:adjustRightInd w:val="0"/>
        <w:snapToGri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七、专项意见说明</w:t>
      </w:r>
    </w:p>
    <w:p>
      <w:pPr>
        <w:adjustRightInd w:val="0"/>
        <w:snapToGrid w:val="0"/>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（一）监事会意见</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监事会认为：为提高资金使用效率，合理利用闲置募集资金，在确保不变相改变募集资金用途与不影响募集资金投资项目正常运行的情况下，公司拟使用合计最高额不超过29,000万元的暂时闲置募集资金进行现金管理，使用期限自董事会审议通过之日至2024年12月31日止，在上述额度及有效期限内，公司可循环滚动使用。同意《关于使用暂时闲置募集资金进行现金管理的议案》。</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（二）保荐机构核查意见</w:t>
      </w:r>
    </w:p>
    <w:p>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保荐机构核查意见：公司使用暂时闲置募集资金进行现金管理的事项已经公司董事会、监事会审议通过，履行了必要的法律程序。该事项符合《上市公司监管指引第2号—上市公司募集资金管理和使用的监管要求》以及公司《募集资金管理制度》的相关规定，不存在变相改变募集资金用途的情况，不会影响公司募集资金投资项目的正常实施；在不影响募集资金使用的前提下，有利于提高资金使用效率，能够为公司和股东谋取良好的投资回报。保荐机构对公司本次使用暂时闲置募集资金进行现金管理的事项无异议。</w:t>
      </w:r>
    </w:p>
    <w:p>
      <w:pPr>
        <w:adjustRightInd w:val="0"/>
        <w:snapToGrid w:val="0"/>
        <w:spacing w:line="560" w:lineRule="exact"/>
        <w:ind w:firstLine="960" w:firstLineChars="400"/>
        <w:rPr>
          <w:rFonts w:ascii="宋体" w:hAnsi="宋体" w:eastAsia="宋体"/>
          <w:color w:val="000000"/>
          <w:sz w:val="24"/>
          <w:szCs w:val="24"/>
        </w:rPr>
      </w:pPr>
      <w:r>
        <w:rPr>
          <w:rFonts w:hint="eastAsia" w:ascii="宋体" w:hAnsi="宋体" w:eastAsia="宋体"/>
          <w:color w:val="000000"/>
          <w:sz w:val="24"/>
          <w:szCs w:val="24"/>
        </w:rPr>
        <w:t>特此公告。</w:t>
      </w:r>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2024</w:t>
      </w:r>
      <w:r>
        <w:rPr>
          <w:rFonts w:hint="eastAsia" w:ascii="宋体" w:hAnsi="宋体" w:eastAsia="宋体"/>
          <w:color w:val="000000"/>
          <w:sz w:val="24"/>
          <w:szCs w:val="24"/>
        </w:rPr>
        <w:t>年4月26日</w:t>
      </w:r>
    </w:p>
    <w:p>
      <w:pPr>
        <w:adjustRightInd w:val="0"/>
        <w:snapToGrid w:val="0"/>
        <w:spacing w:line="560" w:lineRule="exact"/>
        <w:rPr>
          <w:rFonts w:ascii="宋体" w:hAnsi="宋体" w:eastAsia="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8555B"/>
    <w:rsid w:val="000857C7"/>
    <w:rsid w:val="000B1A1F"/>
    <w:rsid w:val="000B726B"/>
    <w:rsid w:val="000E46E0"/>
    <w:rsid w:val="00123266"/>
    <w:rsid w:val="00127276"/>
    <w:rsid w:val="00140439"/>
    <w:rsid w:val="0014777F"/>
    <w:rsid w:val="001723E5"/>
    <w:rsid w:val="00192BD0"/>
    <w:rsid w:val="001A727A"/>
    <w:rsid w:val="001A7942"/>
    <w:rsid w:val="001C1AC8"/>
    <w:rsid w:val="001D06CF"/>
    <w:rsid w:val="001D18AD"/>
    <w:rsid w:val="00207B64"/>
    <w:rsid w:val="00225FE6"/>
    <w:rsid w:val="00240088"/>
    <w:rsid w:val="002462D5"/>
    <w:rsid w:val="00252550"/>
    <w:rsid w:val="002D6C0D"/>
    <w:rsid w:val="0032463B"/>
    <w:rsid w:val="00347CA1"/>
    <w:rsid w:val="003571E3"/>
    <w:rsid w:val="00391A1B"/>
    <w:rsid w:val="003D1F6B"/>
    <w:rsid w:val="003E38F1"/>
    <w:rsid w:val="003F1451"/>
    <w:rsid w:val="00425BF0"/>
    <w:rsid w:val="00433901"/>
    <w:rsid w:val="00464AFC"/>
    <w:rsid w:val="00491096"/>
    <w:rsid w:val="004A204F"/>
    <w:rsid w:val="004A790E"/>
    <w:rsid w:val="004B5841"/>
    <w:rsid w:val="004D041E"/>
    <w:rsid w:val="004D0E8E"/>
    <w:rsid w:val="004D4AAB"/>
    <w:rsid w:val="00522BE2"/>
    <w:rsid w:val="005429C2"/>
    <w:rsid w:val="0055216A"/>
    <w:rsid w:val="005704F4"/>
    <w:rsid w:val="005A2954"/>
    <w:rsid w:val="005B7B64"/>
    <w:rsid w:val="005F61E9"/>
    <w:rsid w:val="006150E2"/>
    <w:rsid w:val="00637BC1"/>
    <w:rsid w:val="00646D1E"/>
    <w:rsid w:val="006704CD"/>
    <w:rsid w:val="006E4DD1"/>
    <w:rsid w:val="006F53AF"/>
    <w:rsid w:val="006F5503"/>
    <w:rsid w:val="00701AEA"/>
    <w:rsid w:val="00726F44"/>
    <w:rsid w:val="0077799F"/>
    <w:rsid w:val="00795CF5"/>
    <w:rsid w:val="007A61FA"/>
    <w:rsid w:val="007B073D"/>
    <w:rsid w:val="007B1916"/>
    <w:rsid w:val="007C3FFA"/>
    <w:rsid w:val="00811F4F"/>
    <w:rsid w:val="008320FC"/>
    <w:rsid w:val="00832A0F"/>
    <w:rsid w:val="0084121D"/>
    <w:rsid w:val="008E2655"/>
    <w:rsid w:val="008F3AB1"/>
    <w:rsid w:val="0090186C"/>
    <w:rsid w:val="00906FA1"/>
    <w:rsid w:val="00915D39"/>
    <w:rsid w:val="00923C08"/>
    <w:rsid w:val="00947C32"/>
    <w:rsid w:val="009B47DE"/>
    <w:rsid w:val="009D1A30"/>
    <w:rsid w:val="009E3152"/>
    <w:rsid w:val="009E3407"/>
    <w:rsid w:val="00A059A1"/>
    <w:rsid w:val="00A11663"/>
    <w:rsid w:val="00A11AA1"/>
    <w:rsid w:val="00A15569"/>
    <w:rsid w:val="00A3299E"/>
    <w:rsid w:val="00A41121"/>
    <w:rsid w:val="00A51C23"/>
    <w:rsid w:val="00A823F8"/>
    <w:rsid w:val="00AC22AE"/>
    <w:rsid w:val="00AC3419"/>
    <w:rsid w:val="00AE6C4E"/>
    <w:rsid w:val="00AF36B4"/>
    <w:rsid w:val="00AF6E63"/>
    <w:rsid w:val="00B6730B"/>
    <w:rsid w:val="00B9137C"/>
    <w:rsid w:val="00B950AB"/>
    <w:rsid w:val="00BB61B6"/>
    <w:rsid w:val="00BC233A"/>
    <w:rsid w:val="00BD4D0F"/>
    <w:rsid w:val="00BF7BDB"/>
    <w:rsid w:val="00C13691"/>
    <w:rsid w:val="00C14637"/>
    <w:rsid w:val="00C47186"/>
    <w:rsid w:val="00C76A66"/>
    <w:rsid w:val="00C80E82"/>
    <w:rsid w:val="00CB781A"/>
    <w:rsid w:val="00CD5091"/>
    <w:rsid w:val="00CE1271"/>
    <w:rsid w:val="00D01967"/>
    <w:rsid w:val="00D4059C"/>
    <w:rsid w:val="00D42972"/>
    <w:rsid w:val="00D45861"/>
    <w:rsid w:val="00D46F41"/>
    <w:rsid w:val="00D613FF"/>
    <w:rsid w:val="00D65BA4"/>
    <w:rsid w:val="00D8189C"/>
    <w:rsid w:val="00D96175"/>
    <w:rsid w:val="00DB744D"/>
    <w:rsid w:val="00DD62E6"/>
    <w:rsid w:val="00DF73E8"/>
    <w:rsid w:val="00E301F1"/>
    <w:rsid w:val="00E558AE"/>
    <w:rsid w:val="00E71A70"/>
    <w:rsid w:val="00E95F43"/>
    <w:rsid w:val="00E976BD"/>
    <w:rsid w:val="00EC496E"/>
    <w:rsid w:val="00EE084C"/>
    <w:rsid w:val="00F0268C"/>
    <w:rsid w:val="00F0742F"/>
    <w:rsid w:val="00F229F1"/>
    <w:rsid w:val="00F450F3"/>
    <w:rsid w:val="00F670DD"/>
    <w:rsid w:val="00FA5504"/>
    <w:rsid w:val="00FB78EE"/>
    <w:rsid w:val="00FE6306"/>
    <w:rsid w:val="00FF7741"/>
    <w:rsid w:val="11405265"/>
    <w:rsid w:val="12F56C57"/>
    <w:rsid w:val="15B50403"/>
    <w:rsid w:val="19A44770"/>
    <w:rsid w:val="1E581FEF"/>
    <w:rsid w:val="1FE74C8E"/>
    <w:rsid w:val="21B374E9"/>
    <w:rsid w:val="22091C70"/>
    <w:rsid w:val="22BD192C"/>
    <w:rsid w:val="22F05680"/>
    <w:rsid w:val="23165EFA"/>
    <w:rsid w:val="258465FA"/>
    <w:rsid w:val="2916738A"/>
    <w:rsid w:val="2DB497F8"/>
    <w:rsid w:val="3085722D"/>
    <w:rsid w:val="31CD42F6"/>
    <w:rsid w:val="342F295E"/>
    <w:rsid w:val="3EF00E78"/>
    <w:rsid w:val="3F7F54F7"/>
    <w:rsid w:val="417A619E"/>
    <w:rsid w:val="49307E26"/>
    <w:rsid w:val="5150387B"/>
    <w:rsid w:val="521827E2"/>
    <w:rsid w:val="52932FE4"/>
    <w:rsid w:val="54CA7B2B"/>
    <w:rsid w:val="63D972B3"/>
    <w:rsid w:val="65DE0270"/>
    <w:rsid w:val="6FFF471A"/>
    <w:rsid w:val="738726DB"/>
    <w:rsid w:val="74E044A9"/>
    <w:rsid w:val="77D11EA6"/>
    <w:rsid w:val="7CA750A8"/>
    <w:rsid w:val="7D6D9934"/>
    <w:rsid w:val="7E78641A"/>
    <w:rsid w:val="B7FF91EE"/>
    <w:rsid w:val="BAF79ADF"/>
    <w:rsid w:val="F7BE7F37"/>
    <w:rsid w:val="FC57C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link w:val="17"/>
    <w:autoRedefine/>
    <w:qFormat/>
    <w:uiPriority w:val="0"/>
    <w:pPr>
      <w:jc w:val="left"/>
    </w:pPr>
  </w:style>
  <w:style w:type="paragraph" w:styleId="4">
    <w:name w:val="Balloon Text"/>
    <w:basedOn w:val="1"/>
    <w:link w:val="16"/>
    <w:autoRedefine/>
    <w:qFormat/>
    <w:uiPriority w:val="0"/>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
    <w:name w:val="annotation subject"/>
    <w:basedOn w:val="3"/>
    <w:next w:val="3"/>
    <w:link w:val="18"/>
    <w:autoRedefine/>
    <w:qFormat/>
    <w:uiPriority w:val="0"/>
    <w:rPr>
      <w:b/>
      <w:bCs/>
    </w:rPr>
  </w:style>
  <w:style w:type="character" w:styleId="11">
    <w:name w:val="Hyperlink"/>
    <w:basedOn w:val="10"/>
    <w:autoRedefine/>
    <w:unhideWhenUsed/>
    <w:qFormat/>
    <w:uiPriority w:val="0"/>
    <w:rPr>
      <w:color w:val="0563C1" w:themeColor="hyperlink"/>
      <w:u w:val="single"/>
      <w14:textFill>
        <w14:solidFill>
          <w14:schemeClr w14:val="hlink"/>
        </w14:solidFill>
      </w14:textFill>
    </w:rPr>
  </w:style>
  <w:style w:type="character" w:styleId="12">
    <w:name w:val="annotation reference"/>
    <w:basedOn w:val="10"/>
    <w:autoRedefine/>
    <w:qFormat/>
    <w:uiPriority w:val="0"/>
    <w:rPr>
      <w:sz w:val="21"/>
      <w:szCs w:val="21"/>
    </w:rPr>
  </w:style>
  <w:style w:type="character" w:customStyle="1" w:styleId="13">
    <w:name w:val="页眉 字符"/>
    <w:basedOn w:val="10"/>
    <w:link w:val="6"/>
    <w:autoRedefine/>
    <w:qFormat/>
    <w:uiPriority w:val="0"/>
    <w:rPr>
      <w:kern w:val="2"/>
      <w:sz w:val="18"/>
      <w:szCs w:val="18"/>
    </w:rPr>
  </w:style>
  <w:style w:type="character" w:customStyle="1" w:styleId="14">
    <w:name w:val="页脚 字符"/>
    <w:basedOn w:val="10"/>
    <w:link w:val="5"/>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批注框文本 字符"/>
    <w:basedOn w:val="10"/>
    <w:link w:val="4"/>
    <w:autoRedefine/>
    <w:qFormat/>
    <w:uiPriority w:val="0"/>
    <w:rPr>
      <w:kern w:val="2"/>
      <w:sz w:val="18"/>
      <w:szCs w:val="18"/>
    </w:rPr>
  </w:style>
  <w:style w:type="character" w:customStyle="1" w:styleId="17">
    <w:name w:val="批注文字 字符"/>
    <w:basedOn w:val="10"/>
    <w:link w:val="3"/>
    <w:autoRedefine/>
    <w:qFormat/>
    <w:uiPriority w:val="0"/>
    <w:rPr>
      <w:kern w:val="2"/>
      <w:sz w:val="21"/>
      <w:szCs w:val="22"/>
    </w:rPr>
  </w:style>
  <w:style w:type="character" w:customStyle="1" w:styleId="18">
    <w:name w:val="批注主题 字符"/>
    <w:basedOn w:val="17"/>
    <w:link w:val="8"/>
    <w:autoRedefine/>
    <w:qFormat/>
    <w:uiPriority w:val="0"/>
    <w:rPr>
      <w:b/>
      <w:bCs/>
      <w:kern w:val="2"/>
      <w:sz w:val="21"/>
      <w:szCs w:val="22"/>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507</Words>
  <Characters>2895</Characters>
  <Lines>24</Lines>
  <Paragraphs>6</Paragraphs>
  <TotalTime>7</TotalTime>
  <ScaleCrop>false</ScaleCrop>
  <LinksUpToDate>false</LinksUpToDate>
  <CharactersWithSpaces>3396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2024-04-16T19:44:00Z</dcterms:created>
  <dc:creator>BJB-ZB-03</dc:creator>
  <cp:lastModifiedBy>Y.    Miss</cp:lastModifiedBy>
  <dcterms:modified xsi:type="dcterms:W3CDTF">2024-04-25T05:34:53Z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281D4D4CAC58563687EC1C6640D9C59C_43</vt:lpwstr>
  </property>
</Properties>
</file>