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 w:hAnsi="仿宋" w:eastAsia="宋体"/>
          <w:sz w:val="30"/>
          <w:szCs w:val="30"/>
          <w:lang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highlight w:val="none"/>
        </w:rPr>
        <w:t>4</w:t>
      </w:r>
      <w:r>
        <w:rPr>
          <w:rFonts w:ascii="宋体" w:hAnsi="宋体" w:eastAsia="宋体"/>
          <w:b/>
          <w:sz w:val="24"/>
          <w:szCs w:val="24"/>
          <w:highlight w:val="none"/>
        </w:rPr>
        <w:t>-0</w:t>
      </w:r>
      <w:r>
        <w:rPr>
          <w:rFonts w:hint="eastAsia" w:ascii="宋体" w:hAnsi="宋体" w:eastAsia="宋体"/>
          <w:b/>
          <w:sz w:val="24"/>
          <w:szCs w:val="24"/>
          <w:highlight w:val="none"/>
        </w:rPr>
        <w:t>2</w:t>
      </w:r>
      <w:r>
        <w:rPr>
          <w:rFonts w:hint="eastAsia" w:ascii="宋体" w:hAnsi="宋体" w:eastAsia="宋体"/>
          <w:b/>
          <w:sz w:val="24"/>
          <w:szCs w:val="24"/>
          <w:highlight w:val="none"/>
          <w:lang w:val="en-US" w:eastAsia="zh-CN"/>
        </w:rPr>
        <w:t>9</w:t>
      </w: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ascii="仿宋_GB2312" w:hAnsi="仿宋_GB2312" w:eastAsia="宋体" w:cs="仿宋_GB2312"/>
          <w:b/>
          <w:bCs/>
          <w:color w:val="FF0000"/>
          <w:sz w:val="30"/>
          <w:szCs w:val="30"/>
        </w:rPr>
      </w:pPr>
      <w:r>
        <w:rPr>
          <w:rFonts w:hint="eastAsia" w:ascii="宋体" w:hAnsi="宋体" w:eastAsia="宋体" w:cs="仿宋_GB2312"/>
          <w:b/>
          <w:bCs/>
          <w:color w:val="FF0000"/>
          <w:sz w:val="36"/>
          <w:szCs w:val="36"/>
        </w:rPr>
        <w:t>关于2024年限制性股票激励计划首次授予结果公告</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pPr>
        <w:autoSpaceDE w:val="0"/>
        <w:autoSpaceDN w:val="0"/>
        <w:adjustRightInd w:val="0"/>
        <w:snapToGrid w:val="0"/>
        <w:spacing w:line="560" w:lineRule="exact"/>
        <w:rPr>
          <w:rFonts w:ascii="仿宋" w:hAnsi="仿宋" w:eastAsia="仿宋_GB2312"/>
          <w:color w:val="000000"/>
          <w:sz w:val="30"/>
          <w:szCs w:val="30"/>
        </w:rPr>
      </w:pPr>
    </w:p>
    <w:p>
      <w:pPr>
        <w:snapToGrid w:val="0"/>
        <w:spacing w:line="560" w:lineRule="exact"/>
        <w:ind w:firstLine="482" w:firstLineChars="200"/>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rPr>
        <w:t>重要内容提示：</w:t>
      </w:r>
    </w:p>
    <w:p>
      <w:pPr>
        <w:numPr>
          <w:ilvl w:val="0"/>
          <w:numId w:val="12"/>
        </w:numPr>
        <w:snapToGrid w:val="0"/>
        <w:spacing w:line="56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限制性股票登记日：2024年</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日</w:t>
      </w:r>
    </w:p>
    <w:p>
      <w:pPr>
        <w:numPr>
          <w:ilvl w:val="0"/>
          <w:numId w:val="12"/>
        </w:numPr>
        <w:snapToGrid w:val="0"/>
        <w:spacing w:line="56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限制性股票登记数量：255万股</w:t>
      </w:r>
    </w:p>
    <w:p>
      <w:pPr>
        <w:tabs>
          <w:tab w:val="left" w:pos="900"/>
        </w:tabs>
        <w:snapToGrid w:val="0"/>
        <w:spacing w:line="560" w:lineRule="exact"/>
        <w:ind w:firstLine="480" w:firstLineChars="200"/>
        <w:rPr>
          <w:rFonts w:asciiTheme="majorEastAsia" w:hAnsiTheme="majorEastAsia" w:eastAsiaTheme="majorEastAsia" w:cstheme="majorEastAsia"/>
          <w:sz w:val="24"/>
          <w:szCs w:val="24"/>
          <w:highlight w:val="none"/>
        </w:rPr>
      </w:pPr>
    </w:p>
    <w:p>
      <w:pPr>
        <w:tabs>
          <w:tab w:val="left" w:pos="900"/>
        </w:tabs>
        <w:snapToGrid w:val="0"/>
        <w:spacing w:line="56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根据中国证券监督管理委员会《上市公司股权激励管理办法》的规定，以及上海证券交易所、中国证券登记结算有限责任公司上海分公司（以下简称“中国结算上海分公司”）的有关要求，重庆望变电气（集团）股份有限公司（以下简称“公司”）于 2024 年</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日在中国结算上海分公司办理完成公司 2024年限制性股票激励计划(以下简称 “激励计划”)首次授予登记工作，现将有关情况公告如下：</w:t>
      </w:r>
    </w:p>
    <w:p>
      <w:pPr>
        <w:snapToGrid w:val="0"/>
        <w:spacing w:line="560" w:lineRule="exac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 xml:space="preserve">    一、限制性股票授予情况</w:t>
      </w:r>
    </w:p>
    <w:p>
      <w:pPr>
        <w:snapToGrid w:val="0"/>
        <w:spacing w:line="56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2024年3月5日，公司召开了第四届董事会薪酬与考核委员会第二次会议、第四届董事会第三次会议和第四届监事会第三次会议审议通过了《关于向公司2024年限制性股票激励计划激励对象首次授予限制性股票的议案》。关联董事回避表决，监事会对本次授予限制性股票进行了核实，北京市嘉源律师事务所出具了《关于望变电气2024年制性股票激励计划调整及首次授予事项的法律意见书》。</w:t>
      </w:r>
    </w:p>
    <w:p>
      <w:pPr>
        <w:snapToGrid w:val="0"/>
        <w:spacing w:line="56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本次限制性股票授予情况如下：</w:t>
      </w:r>
    </w:p>
    <w:p>
      <w:pPr>
        <w:widowControl/>
        <w:numPr>
          <w:ilvl w:val="0"/>
          <w:numId w:val="13"/>
        </w:numPr>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首次授予日：2024年3月5日</w:t>
      </w:r>
    </w:p>
    <w:p>
      <w:pPr>
        <w:widowControl/>
        <w:numPr>
          <w:ilvl w:val="0"/>
          <w:numId w:val="13"/>
        </w:numPr>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首次授予数量： 260万股</w:t>
      </w:r>
    </w:p>
    <w:p>
      <w:pPr>
        <w:widowControl/>
        <w:numPr>
          <w:ilvl w:val="0"/>
          <w:numId w:val="13"/>
        </w:numPr>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首次授予人数： 58人</w:t>
      </w:r>
    </w:p>
    <w:p>
      <w:pPr>
        <w:widowControl/>
        <w:numPr>
          <w:ilvl w:val="0"/>
          <w:numId w:val="13"/>
        </w:numPr>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首次授予价格： 首次授予的限制性股票授予价格为8.09 元/股。</w:t>
      </w:r>
    </w:p>
    <w:p>
      <w:pPr>
        <w:widowControl/>
        <w:numPr>
          <w:ilvl w:val="0"/>
          <w:numId w:val="13"/>
        </w:numPr>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股票来源： 公司以集中竞价方式回购的本公司人民币A股普通股股票。</w:t>
      </w:r>
    </w:p>
    <w:p>
      <w:pPr>
        <w:widowControl/>
        <w:numPr>
          <w:ilvl w:val="0"/>
          <w:numId w:val="13"/>
        </w:numPr>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实际授予数量与拟授予数量的差异说明</w:t>
      </w:r>
    </w:p>
    <w:p>
      <w:pPr>
        <w:widowControl/>
        <w:kinsoku w:val="0"/>
        <w:autoSpaceDE w:val="0"/>
        <w:autoSpaceDN w:val="0"/>
        <w:adjustRightInd w:val="0"/>
        <w:snapToGrid w:val="0"/>
        <w:spacing w:line="560" w:lineRule="exact"/>
        <w:ind w:firstLine="480"/>
        <w:textAlignment w:val="baseline"/>
        <w:rPr>
          <w:rFonts w:ascii="宋体" w:hAnsi="宋体" w:eastAsia="宋体" w:cs="宋体"/>
          <w:sz w:val="24"/>
          <w:szCs w:val="24"/>
          <w:highlight w:val="none"/>
        </w:rPr>
      </w:pPr>
      <w:r>
        <w:rPr>
          <w:rFonts w:ascii="宋体" w:hAnsi="宋体" w:eastAsia="宋体" w:cs="宋体"/>
          <w:sz w:val="24"/>
          <w:szCs w:val="24"/>
          <w:highlight w:val="none"/>
        </w:rPr>
        <w:t>公司董事会确定授予日后，在缴款验资环节</w:t>
      </w:r>
      <w:r>
        <w:rPr>
          <w:rFonts w:hint="eastAsia" w:ascii="宋体" w:hAnsi="宋体" w:eastAsia="宋体" w:cs="宋体"/>
          <w:sz w:val="24"/>
          <w:szCs w:val="24"/>
          <w:highlight w:val="none"/>
        </w:rPr>
        <w:t>有1</w:t>
      </w:r>
      <w:r>
        <w:rPr>
          <w:rFonts w:ascii="宋体" w:hAnsi="宋体" w:eastAsia="宋体" w:cs="宋体"/>
          <w:sz w:val="24"/>
          <w:szCs w:val="24"/>
          <w:highlight w:val="none"/>
        </w:rPr>
        <w:t>名激励对象因个人原因自愿放弃</w:t>
      </w:r>
      <w:r>
        <w:rPr>
          <w:rFonts w:hint="eastAsia" w:ascii="宋体" w:hAnsi="宋体" w:eastAsia="宋体" w:cs="宋体"/>
          <w:sz w:val="24"/>
          <w:szCs w:val="24"/>
          <w:highlight w:val="none"/>
        </w:rPr>
        <w:t>其</w:t>
      </w:r>
      <w:r>
        <w:rPr>
          <w:rFonts w:ascii="宋体" w:hAnsi="宋体" w:eastAsia="宋体" w:cs="宋体"/>
          <w:sz w:val="24"/>
          <w:szCs w:val="24"/>
          <w:highlight w:val="none"/>
        </w:rPr>
        <w:t>认购获授的</w:t>
      </w:r>
      <w:r>
        <w:rPr>
          <w:rFonts w:hint="eastAsia" w:ascii="宋体" w:hAnsi="宋体" w:eastAsia="宋体" w:cs="宋体"/>
          <w:sz w:val="24"/>
          <w:szCs w:val="24"/>
          <w:highlight w:val="none"/>
        </w:rPr>
        <w:t>全部3万股</w:t>
      </w:r>
      <w:r>
        <w:rPr>
          <w:rFonts w:ascii="宋体" w:hAnsi="宋体" w:eastAsia="宋体" w:cs="宋体"/>
          <w:sz w:val="24"/>
          <w:szCs w:val="24"/>
          <w:highlight w:val="none"/>
        </w:rPr>
        <w:t>限制性股票</w:t>
      </w:r>
      <w:r>
        <w:rPr>
          <w:rFonts w:hint="eastAsia" w:ascii="宋体" w:hAnsi="宋体" w:eastAsia="宋体" w:cs="宋体"/>
          <w:sz w:val="24"/>
          <w:szCs w:val="24"/>
          <w:highlight w:val="none"/>
        </w:rPr>
        <w:t>，有2名激励对象因个人原因自愿放弃其认购获授的部分限制性股票合计2万股</w:t>
      </w:r>
      <w:r>
        <w:rPr>
          <w:rFonts w:ascii="宋体" w:hAnsi="宋体" w:eastAsia="宋体" w:cs="宋体"/>
          <w:sz w:val="24"/>
          <w:szCs w:val="24"/>
          <w:highlight w:val="none"/>
        </w:rPr>
        <w:t>，上述</w:t>
      </w:r>
      <w:r>
        <w:rPr>
          <w:rFonts w:hint="eastAsia" w:ascii="宋体" w:hAnsi="宋体" w:eastAsia="宋体" w:cs="宋体"/>
          <w:sz w:val="24"/>
          <w:szCs w:val="24"/>
          <w:highlight w:val="none"/>
        </w:rPr>
        <w:t>3名</w:t>
      </w:r>
      <w:r>
        <w:rPr>
          <w:rFonts w:ascii="宋体" w:hAnsi="宋体" w:eastAsia="宋体" w:cs="宋体"/>
          <w:sz w:val="24"/>
          <w:szCs w:val="24"/>
          <w:highlight w:val="none"/>
        </w:rPr>
        <w:t>激励对象放弃的</w:t>
      </w:r>
      <w:r>
        <w:rPr>
          <w:rFonts w:hint="eastAsia" w:ascii="宋体" w:hAnsi="宋体" w:eastAsia="宋体" w:cs="宋体"/>
          <w:sz w:val="24"/>
          <w:szCs w:val="24"/>
          <w:highlight w:val="none"/>
        </w:rPr>
        <w:t>共计5</w:t>
      </w:r>
      <w:r>
        <w:rPr>
          <w:rFonts w:ascii="宋体" w:hAnsi="宋体" w:eastAsia="宋体" w:cs="宋体"/>
          <w:sz w:val="24"/>
          <w:szCs w:val="24"/>
          <w:highlight w:val="none"/>
        </w:rPr>
        <w:t>万股限制性股票。因此，本次限制性股票激励计划</w:t>
      </w:r>
      <w:r>
        <w:rPr>
          <w:rFonts w:hint="eastAsia" w:ascii="宋体" w:hAnsi="宋体" w:eastAsia="宋体" w:cs="宋体"/>
          <w:sz w:val="24"/>
          <w:szCs w:val="24"/>
          <w:highlight w:val="none"/>
        </w:rPr>
        <w:t>首次</w:t>
      </w:r>
      <w:r>
        <w:rPr>
          <w:rFonts w:ascii="宋体" w:hAnsi="宋体" w:eastAsia="宋体" w:cs="宋体"/>
          <w:sz w:val="24"/>
          <w:szCs w:val="24"/>
          <w:highlight w:val="none"/>
        </w:rPr>
        <w:t>授予</w:t>
      </w:r>
      <w:r>
        <w:rPr>
          <w:rFonts w:hint="eastAsia" w:ascii="宋体" w:hAnsi="宋体" w:eastAsia="宋体" w:cs="宋体"/>
          <w:sz w:val="24"/>
          <w:szCs w:val="24"/>
          <w:highlight w:val="none"/>
        </w:rPr>
        <w:t>部分的限制性股票实际授予</w:t>
      </w:r>
      <w:r>
        <w:rPr>
          <w:rFonts w:ascii="宋体" w:hAnsi="宋体" w:eastAsia="宋体" w:cs="宋体"/>
          <w:sz w:val="24"/>
          <w:szCs w:val="24"/>
          <w:highlight w:val="none"/>
        </w:rPr>
        <w:t>激励对象</w:t>
      </w:r>
      <w:r>
        <w:rPr>
          <w:rFonts w:hint="eastAsia" w:ascii="宋体" w:hAnsi="宋体" w:eastAsia="宋体" w:cs="宋体"/>
          <w:sz w:val="24"/>
          <w:szCs w:val="24"/>
          <w:highlight w:val="none"/>
        </w:rPr>
        <w:t>人数</w:t>
      </w:r>
      <w:r>
        <w:rPr>
          <w:rFonts w:ascii="宋体" w:hAnsi="宋体" w:eastAsia="宋体" w:cs="宋体"/>
          <w:sz w:val="24"/>
          <w:szCs w:val="24"/>
          <w:highlight w:val="none"/>
        </w:rPr>
        <w:t>由</w:t>
      </w:r>
      <w:r>
        <w:rPr>
          <w:rFonts w:hint="eastAsia" w:ascii="宋体" w:hAnsi="宋体" w:eastAsia="宋体" w:cs="宋体"/>
          <w:sz w:val="24"/>
          <w:szCs w:val="24"/>
          <w:highlight w:val="none"/>
        </w:rPr>
        <w:t>58</w:t>
      </w:r>
      <w:r>
        <w:rPr>
          <w:rFonts w:ascii="宋体" w:hAnsi="宋体" w:eastAsia="宋体" w:cs="宋体"/>
          <w:sz w:val="24"/>
          <w:szCs w:val="24"/>
          <w:highlight w:val="none"/>
        </w:rPr>
        <w:t>人调整为</w:t>
      </w:r>
      <w:r>
        <w:rPr>
          <w:rFonts w:hint="eastAsia" w:ascii="宋体" w:hAnsi="宋体" w:eastAsia="宋体" w:cs="宋体"/>
          <w:sz w:val="24"/>
          <w:szCs w:val="24"/>
          <w:highlight w:val="none"/>
        </w:rPr>
        <w:t>57</w:t>
      </w:r>
      <w:r>
        <w:rPr>
          <w:rFonts w:ascii="宋体" w:hAnsi="宋体" w:eastAsia="宋体" w:cs="宋体"/>
          <w:sz w:val="24"/>
          <w:szCs w:val="24"/>
          <w:highlight w:val="none"/>
        </w:rPr>
        <w:t>人，</w:t>
      </w:r>
      <w:r>
        <w:rPr>
          <w:rFonts w:hint="eastAsia" w:ascii="宋体" w:hAnsi="宋体" w:eastAsia="宋体" w:cs="宋体"/>
          <w:sz w:val="24"/>
          <w:szCs w:val="24"/>
          <w:highlight w:val="none"/>
        </w:rPr>
        <w:t>首次</w:t>
      </w:r>
      <w:r>
        <w:rPr>
          <w:rFonts w:ascii="宋体" w:hAnsi="宋体" w:eastAsia="宋体" w:cs="宋体"/>
          <w:sz w:val="24"/>
          <w:szCs w:val="24"/>
          <w:highlight w:val="none"/>
        </w:rPr>
        <w:t>授予</w:t>
      </w:r>
      <w:r>
        <w:rPr>
          <w:rFonts w:hint="eastAsia" w:ascii="宋体" w:hAnsi="宋体" w:eastAsia="宋体" w:cs="宋体"/>
          <w:sz w:val="24"/>
          <w:szCs w:val="24"/>
          <w:highlight w:val="none"/>
        </w:rPr>
        <w:t>部分</w:t>
      </w:r>
      <w:r>
        <w:rPr>
          <w:rFonts w:ascii="宋体" w:hAnsi="宋体" w:eastAsia="宋体" w:cs="宋体"/>
          <w:sz w:val="24"/>
          <w:szCs w:val="24"/>
          <w:highlight w:val="none"/>
        </w:rPr>
        <w:t>的限制性股票</w:t>
      </w:r>
      <w:r>
        <w:rPr>
          <w:rFonts w:hint="eastAsia" w:ascii="宋体" w:hAnsi="宋体" w:eastAsia="宋体" w:cs="宋体"/>
          <w:sz w:val="24"/>
          <w:szCs w:val="24"/>
          <w:highlight w:val="none"/>
        </w:rPr>
        <w:t>的实际授予数量</w:t>
      </w:r>
      <w:r>
        <w:rPr>
          <w:rFonts w:ascii="宋体" w:hAnsi="宋体" w:eastAsia="宋体" w:cs="宋体"/>
          <w:sz w:val="24"/>
          <w:szCs w:val="24"/>
          <w:highlight w:val="none"/>
        </w:rPr>
        <w:t>由</w:t>
      </w:r>
      <w:r>
        <w:rPr>
          <w:rFonts w:hint="eastAsia" w:ascii="宋体" w:hAnsi="宋体" w:eastAsia="宋体" w:cs="宋体"/>
          <w:sz w:val="24"/>
          <w:szCs w:val="24"/>
          <w:highlight w:val="none"/>
        </w:rPr>
        <w:t>260</w:t>
      </w:r>
      <w:r>
        <w:rPr>
          <w:rFonts w:ascii="宋体" w:hAnsi="宋体" w:eastAsia="宋体" w:cs="宋体"/>
          <w:sz w:val="24"/>
          <w:szCs w:val="24"/>
          <w:highlight w:val="none"/>
        </w:rPr>
        <w:t>万股调整为</w:t>
      </w:r>
      <w:r>
        <w:rPr>
          <w:rFonts w:hint="eastAsia" w:ascii="宋体" w:hAnsi="宋体" w:eastAsia="宋体" w:cs="宋体"/>
          <w:sz w:val="24"/>
          <w:szCs w:val="24"/>
          <w:highlight w:val="none"/>
        </w:rPr>
        <w:t>255</w:t>
      </w:r>
      <w:r>
        <w:rPr>
          <w:rFonts w:ascii="宋体" w:hAnsi="宋体" w:eastAsia="宋体" w:cs="宋体"/>
          <w:sz w:val="24"/>
          <w:szCs w:val="24"/>
          <w:highlight w:val="none"/>
        </w:rPr>
        <w:t>万股。</w:t>
      </w:r>
    </w:p>
    <w:p>
      <w:pPr>
        <w:widowControl/>
        <w:numPr>
          <w:ilvl w:val="0"/>
          <w:numId w:val="13"/>
        </w:numPr>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本次激励对象名单及授予情况</w:t>
      </w:r>
    </w:p>
    <w:tbl>
      <w:tblPr>
        <w:tblStyle w:val="88"/>
        <w:tblW w:w="50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50"/>
        <w:gridCol w:w="831"/>
        <w:gridCol w:w="1785"/>
        <w:gridCol w:w="1432"/>
        <w:gridCol w:w="1532"/>
        <w:gridCol w:w="1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36" w:type="pct"/>
            <w:shd w:val="clear" w:color="auto" w:fill="BFBFB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姓名</w:t>
            </w:r>
          </w:p>
        </w:tc>
        <w:tc>
          <w:tcPr>
            <w:tcW w:w="489" w:type="pct"/>
            <w:shd w:val="clear" w:color="auto" w:fill="BFBFB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国籍</w:t>
            </w:r>
          </w:p>
        </w:tc>
        <w:tc>
          <w:tcPr>
            <w:tcW w:w="1049" w:type="pct"/>
            <w:shd w:val="clear" w:color="auto" w:fill="BFBFB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职务</w:t>
            </w:r>
          </w:p>
        </w:tc>
        <w:tc>
          <w:tcPr>
            <w:tcW w:w="843" w:type="pct"/>
            <w:shd w:val="clear" w:color="auto" w:fill="BFBFB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获授的限制性股票数量（万股）</w:t>
            </w:r>
          </w:p>
        </w:tc>
        <w:tc>
          <w:tcPr>
            <w:tcW w:w="902" w:type="pct"/>
            <w:shd w:val="clear" w:color="auto" w:fill="BFBFB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占授予限制性股票总数的比例</w:t>
            </w:r>
          </w:p>
        </w:tc>
        <w:tc>
          <w:tcPr>
            <w:tcW w:w="977" w:type="pct"/>
            <w:shd w:val="clear" w:color="auto" w:fill="BFBFB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占本激励计划公告时股本总额的比例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6"/>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一、董事、高级管理人员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杨林</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董事、副总经理</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22.00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6.98%</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胡守天</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董事、副总经理</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2.86%</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王海波</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董事、副总经理</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2.86%</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付康</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2.86%</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李代萍</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副总经理、董事会秘书</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2.86%</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刘柏林</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副总经理</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19.00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6.03%</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肖永号</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副总经理</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2.86%</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36"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杨万华</w:t>
            </w:r>
          </w:p>
        </w:tc>
        <w:tc>
          <w:tcPr>
            <w:tcW w:w="48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49"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财务总监</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7.00</w:t>
            </w:r>
          </w:p>
        </w:tc>
        <w:tc>
          <w:tcPr>
            <w:tcW w:w="902" w:type="pct"/>
            <w:shd w:val="clear" w:color="auto" w:fill="FFFFFF"/>
            <w:tcMar>
              <w:top w:w="0" w:type="dxa"/>
              <w:left w:w="0" w:type="dxa"/>
              <w:bottom w:w="0" w:type="dxa"/>
              <w:right w:w="0" w:type="dxa"/>
            </w:tcMar>
            <w:vAlign w:val="bottom"/>
          </w:tcPr>
          <w:p>
            <w:pPr>
              <w:widowControl/>
              <w:jc w:val="right"/>
              <w:textAlignment w:val="bottom"/>
              <w:rPr>
                <w:rFonts w:ascii="宋体" w:hAnsi="宋体" w:eastAsia="宋体" w:cs="宋体"/>
                <w:color w:val="000000"/>
                <w:sz w:val="18"/>
                <w:szCs w:val="18"/>
                <w:highlight w:val="none"/>
              </w:rPr>
            </w:pPr>
            <w:r>
              <w:rPr>
                <w:rFonts w:hint="eastAsia" w:ascii="等线" w:hAnsi="等线" w:eastAsia="等线" w:cs="等线"/>
                <w:color w:val="000000"/>
                <w:kern w:val="0"/>
                <w:sz w:val="22"/>
                <w:highlight w:val="none"/>
                <w:lang w:bidi="ar"/>
              </w:rPr>
              <w:t>2.22%</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76" w:type="pct"/>
            <w:gridSpan w:val="3"/>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小计</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b/>
                <w:color w:val="000000"/>
                <w:sz w:val="18"/>
                <w:szCs w:val="18"/>
                <w:highlight w:val="none"/>
              </w:rPr>
            </w:pPr>
            <w:r>
              <w:rPr>
                <w:rFonts w:hint="eastAsia" w:ascii="宋体" w:hAnsi="宋体" w:eastAsia="宋体" w:cs="宋体"/>
                <w:b/>
                <w:bCs/>
                <w:color w:val="000000"/>
                <w:sz w:val="18"/>
                <w:szCs w:val="18"/>
                <w:highlight w:val="none"/>
              </w:rPr>
              <w:t>93</w:t>
            </w:r>
            <w:r>
              <w:rPr>
                <w:rFonts w:hint="eastAsia" w:ascii="宋体" w:hAnsi="宋体" w:eastAsia="宋体" w:cs="宋体"/>
                <w:b/>
                <w:color w:val="000000"/>
                <w:sz w:val="18"/>
                <w:szCs w:val="18"/>
                <w:highlight w:val="none"/>
              </w:rPr>
              <w:t>.00</w:t>
            </w:r>
          </w:p>
        </w:tc>
        <w:tc>
          <w:tcPr>
            <w:tcW w:w="902"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b/>
                <w:color w:val="000000"/>
                <w:sz w:val="18"/>
                <w:szCs w:val="18"/>
                <w:highlight w:val="none"/>
              </w:rPr>
            </w:pPr>
            <w:r>
              <w:rPr>
                <w:rFonts w:hint="eastAsia" w:ascii="宋体" w:hAnsi="宋体" w:eastAsia="宋体" w:cs="宋体"/>
                <w:b/>
                <w:bCs/>
                <w:color w:val="000000"/>
                <w:sz w:val="18"/>
                <w:szCs w:val="18"/>
                <w:highlight w:val="none"/>
              </w:rPr>
              <w:t>29.52</w:t>
            </w:r>
            <w:r>
              <w:rPr>
                <w:rFonts w:hint="eastAsia" w:ascii="宋体" w:hAnsi="宋体" w:eastAsia="宋体" w:cs="宋体"/>
                <w:b/>
                <w:color w:val="000000"/>
                <w:sz w:val="18"/>
                <w:szCs w:val="18"/>
                <w:highlight w:val="none"/>
              </w:rPr>
              <w:t>%</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0.</w:t>
            </w:r>
            <w:r>
              <w:rPr>
                <w:rFonts w:hint="eastAsia" w:ascii="宋体" w:hAnsi="宋体" w:eastAsia="宋体" w:cs="宋体"/>
                <w:b/>
                <w:bCs/>
                <w:color w:val="000000"/>
                <w:sz w:val="18"/>
                <w:szCs w:val="18"/>
                <w:highlight w:val="none"/>
              </w:rPr>
              <w:t>28</w:t>
            </w:r>
            <w:r>
              <w:rPr>
                <w:rFonts w:hint="eastAsia" w:ascii="宋体" w:hAnsi="宋体" w:eastAsia="宋体" w:cs="宋体"/>
                <w:b/>
                <w:color w:val="00000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76" w:type="pct"/>
            <w:gridSpan w:val="3"/>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二、董事会认为需要激励的其他人员（49人）</w:t>
            </w:r>
          </w:p>
        </w:tc>
        <w:tc>
          <w:tcPr>
            <w:tcW w:w="843"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b/>
                <w:color w:val="000000"/>
                <w:sz w:val="18"/>
                <w:szCs w:val="18"/>
                <w:highlight w:val="none"/>
              </w:rPr>
            </w:pPr>
            <w:r>
              <w:rPr>
                <w:rFonts w:hint="eastAsia" w:ascii="宋体" w:hAnsi="宋体" w:eastAsia="宋体" w:cs="宋体"/>
                <w:b/>
                <w:bCs/>
                <w:color w:val="000000"/>
                <w:sz w:val="18"/>
                <w:szCs w:val="18"/>
                <w:highlight w:val="none"/>
              </w:rPr>
              <w:t>162</w:t>
            </w:r>
            <w:r>
              <w:rPr>
                <w:rFonts w:hint="eastAsia" w:ascii="宋体" w:hAnsi="宋体" w:eastAsia="宋体" w:cs="宋体"/>
                <w:b/>
                <w:color w:val="000000"/>
                <w:sz w:val="18"/>
                <w:szCs w:val="18"/>
                <w:highlight w:val="none"/>
              </w:rPr>
              <w:t>.00</w:t>
            </w:r>
          </w:p>
        </w:tc>
        <w:tc>
          <w:tcPr>
            <w:tcW w:w="902"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b/>
                <w:color w:val="000000"/>
                <w:sz w:val="18"/>
                <w:szCs w:val="18"/>
                <w:highlight w:val="none"/>
              </w:rPr>
            </w:pPr>
            <w:r>
              <w:rPr>
                <w:rFonts w:hint="eastAsia" w:ascii="宋体" w:hAnsi="宋体" w:eastAsia="宋体" w:cs="宋体"/>
                <w:b/>
                <w:bCs/>
                <w:color w:val="000000"/>
                <w:sz w:val="18"/>
                <w:szCs w:val="18"/>
                <w:highlight w:val="none"/>
              </w:rPr>
              <w:t>51.43</w:t>
            </w:r>
            <w:r>
              <w:rPr>
                <w:rFonts w:hint="eastAsia" w:ascii="宋体" w:hAnsi="宋体" w:eastAsia="宋体" w:cs="宋体"/>
                <w:b/>
                <w:color w:val="000000"/>
                <w:sz w:val="18"/>
                <w:szCs w:val="18"/>
                <w:highlight w:val="none"/>
              </w:rPr>
              <w:t>%</w:t>
            </w:r>
          </w:p>
        </w:tc>
        <w:tc>
          <w:tcPr>
            <w:tcW w:w="977" w:type="pct"/>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right"/>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76" w:type="pct"/>
            <w:gridSpan w:val="3"/>
            <w:shd w:val="clear" w:color="auto" w:fill="FFFFFF"/>
            <w:tcMar>
              <w:top w:w="0" w:type="dxa"/>
              <w:left w:w="0" w:type="dxa"/>
              <w:bottom w:w="0" w:type="dxa"/>
              <w:right w:w="0" w:type="dxa"/>
            </w:tcMar>
            <w:vAlign w:val="center"/>
          </w:tcPr>
          <w:p>
            <w:pPr>
              <w:kinsoku w:val="0"/>
              <w:autoSpaceDE w:val="0"/>
              <w:autoSpaceDN w:val="0"/>
              <w:adjustRightInd w:val="0"/>
              <w:snapToGrid w:val="0"/>
              <w:spacing w:line="360" w:lineRule="auto"/>
              <w:jc w:val="center"/>
              <w:textAlignment w:val="baseline"/>
              <w:rPr>
                <w:rFonts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合计</w:t>
            </w:r>
          </w:p>
        </w:tc>
        <w:tc>
          <w:tcPr>
            <w:tcW w:w="1428" w:type="dxa"/>
            <w:shd w:val="clear" w:color="auto" w:fill="FFFFFF"/>
            <w:tcMar>
              <w:top w:w="0" w:type="dxa"/>
              <w:left w:w="0" w:type="dxa"/>
              <w:bottom w:w="0" w:type="dxa"/>
              <w:right w:w="0" w:type="dxa"/>
            </w:tcMar>
            <w:vAlign w:val="bottom"/>
          </w:tcPr>
          <w:p>
            <w:pPr>
              <w:kinsoku w:val="0"/>
              <w:autoSpaceDE w:val="0"/>
              <w:autoSpaceDN w:val="0"/>
              <w:adjustRightInd w:val="0"/>
              <w:snapToGrid w:val="0"/>
              <w:spacing w:line="360" w:lineRule="auto"/>
              <w:jc w:val="right"/>
              <w:textAlignment w:val="baseline"/>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255.00</w:t>
            </w:r>
          </w:p>
        </w:tc>
        <w:tc>
          <w:tcPr>
            <w:tcW w:w="1527" w:type="dxa"/>
            <w:shd w:val="clear" w:color="auto" w:fill="FFFFFF"/>
            <w:tcMar>
              <w:top w:w="0" w:type="dxa"/>
              <w:left w:w="0" w:type="dxa"/>
              <w:bottom w:w="0" w:type="dxa"/>
              <w:right w:w="0" w:type="dxa"/>
            </w:tcMar>
            <w:vAlign w:val="bottom"/>
          </w:tcPr>
          <w:p>
            <w:pPr>
              <w:kinsoku w:val="0"/>
              <w:autoSpaceDE w:val="0"/>
              <w:autoSpaceDN w:val="0"/>
              <w:adjustRightInd w:val="0"/>
              <w:snapToGrid w:val="0"/>
              <w:spacing w:line="360" w:lineRule="auto"/>
              <w:jc w:val="right"/>
              <w:textAlignment w:val="baseline"/>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80.95%</w:t>
            </w:r>
          </w:p>
        </w:tc>
        <w:tc>
          <w:tcPr>
            <w:tcW w:w="1655" w:type="dxa"/>
            <w:shd w:val="clear" w:color="auto" w:fill="FFFFFF"/>
            <w:tcMar>
              <w:top w:w="0" w:type="dxa"/>
              <w:left w:w="0" w:type="dxa"/>
              <w:bottom w:w="0" w:type="dxa"/>
              <w:right w:w="0" w:type="dxa"/>
            </w:tcMar>
            <w:vAlign w:val="bottom"/>
          </w:tcPr>
          <w:p>
            <w:pPr>
              <w:kinsoku w:val="0"/>
              <w:autoSpaceDE w:val="0"/>
              <w:autoSpaceDN w:val="0"/>
              <w:adjustRightInd w:val="0"/>
              <w:snapToGrid w:val="0"/>
              <w:spacing w:line="360" w:lineRule="auto"/>
              <w:jc w:val="right"/>
              <w:textAlignment w:val="baseline"/>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0.77%</w:t>
            </w:r>
          </w:p>
        </w:tc>
      </w:tr>
    </w:tbl>
    <w:p>
      <w:pPr>
        <w:snapToGrid w:val="0"/>
        <w:spacing w:line="560" w:lineRule="exact"/>
        <w:rPr>
          <w:rFonts w:ascii="仿宋_GB2312" w:hAnsi="宋体" w:eastAsia="仿宋_GB2312"/>
          <w:sz w:val="30"/>
          <w:szCs w:val="30"/>
          <w:highlight w:val="none"/>
        </w:rPr>
      </w:pPr>
    </w:p>
    <w:p>
      <w:pPr>
        <w:snapToGrid w:val="0"/>
        <w:spacing w:line="560" w:lineRule="exact"/>
        <w:rPr>
          <w:rFonts w:ascii="仿宋_GB2312" w:hAnsi="宋体" w:eastAsia="仿宋_GB2312"/>
          <w:sz w:val="30"/>
          <w:szCs w:val="30"/>
          <w:highlight w:val="none"/>
        </w:rPr>
      </w:pPr>
    </w:p>
    <w:p>
      <w:pPr>
        <w:snapToGrid w:val="0"/>
        <w:spacing w:line="560" w:lineRule="exact"/>
        <w:rPr>
          <w:rFonts w:ascii="仿宋_GB2312" w:hAnsi="宋体" w:eastAsia="仿宋_GB2312"/>
          <w:sz w:val="30"/>
          <w:szCs w:val="30"/>
          <w:highlight w:val="none"/>
        </w:rPr>
      </w:pPr>
    </w:p>
    <w:p>
      <w:pPr>
        <w:numPr>
          <w:ilvl w:val="0"/>
          <w:numId w:val="14"/>
        </w:numPr>
        <w:snapToGrid w:val="0"/>
        <w:spacing w:line="56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激励计划的有效期、限售期及解除限售安排情况</w:t>
      </w:r>
    </w:p>
    <w:p>
      <w:pPr>
        <w:widowControl/>
        <w:kinsoku w:val="0"/>
        <w:autoSpaceDE w:val="0"/>
        <w:autoSpaceDN w:val="0"/>
        <w:adjustRightInd w:val="0"/>
        <w:snapToGrid w:val="0"/>
        <w:spacing w:line="560" w:lineRule="exact"/>
        <w:ind w:firstLine="460" w:firstLineChars="192"/>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1、有效期</w:t>
      </w:r>
    </w:p>
    <w:p>
      <w:pPr>
        <w:widowControl/>
        <w:kinsoku w:val="0"/>
        <w:autoSpaceDE w:val="0"/>
        <w:autoSpaceDN w:val="0"/>
        <w:adjustRightInd w:val="0"/>
        <w:snapToGrid w:val="0"/>
        <w:spacing w:line="560" w:lineRule="exact"/>
        <w:ind w:firstLine="460" w:firstLineChars="192"/>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pacing w:val="-12"/>
          <w:sz w:val="24"/>
          <w:szCs w:val="24"/>
          <w:highlight w:val="none"/>
        </w:rPr>
        <w:t>次</w:t>
      </w:r>
      <w:r>
        <w:rPr>
          <w:rFonts w:hint="eastAsia" w:ascii="宋体" w:hAnsi="宋体" w:eastAsia="宋体" w:cs="宋体"/>
          <w:sz w:val="24"/>
          <w:szCs w:val="24"/>
          <w:highlight w:val="none"/>
        </w:rPr>
        <w:t>激励计划有效期自限制性股票首次授予之日起至激励对象获授的限制性股票全部解除限售或回购注销之日止，最长不超过48个月。</w:t>
      </w:r>
    </w:p>
    <w:p>
      <w:pPr>
        <w:widowControl/>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2、限售期及解除限售安排</w:t>
      </w:r>
    </w:p>
    <w:p>
      <w:pPr>
        <w:widowControl/>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自激励对象获授限制性股票授予之日起12个月内为限售期。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pPr>
        <w:widowControl/>
        <w:kinsoku w:val="0"/>
        <w:autoSpaceDE w:val="0"/>
        <w:autoSpaceDN w:val="0"/>
        <w:adjustRightInd w:val="0"/>
        <w:snapToGrid w:val="0"/>
        <w:spacing w:line="56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本计划首次授予的限制性股票解除限售期及各期解除限售时间安排如下表所示：</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674"/>
        <w:gridCol w:w="2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pPr>
              <w:kinsoku w:val="0"/>
              <w:autoSpaceDE w:val="0"/>
              <w:autoSpaceDN w:val="0"/>
              <w:adjustRightInd w:val="0"/>
              <w:snapToGrid w:val="0"/>
              <w:spacing w:before="156" w:beforeLines="50" w:line="360" w:lineRule="auto"/>
              <w:jc w:val="center"/>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解除限售安排</w:t>
            </w:r>
          </w:p>
        </w:tc>
        <w:tc>
          <w:tcPr>
            <w:tcW w:w="4677" w:type="dxa"/>
            <w:shd w:val="clear" w:color="auto" w:fill="BFBFBF"/>
            <w:vAlign w:val="center"/>
          </w:tcPr>
          <w:p>
            <w:pPr>
              <w:kinsoku w:val="0"/>
              <w:autoSpaceDE w:val="0"/>
              <w:autoSpaceDN w:val="0"/>
              <w:adjustRightInd w:val="0"/>
              <w:snapToGrid w:val="0"/>
              <w:spacing w:line="360" w:lineRule="auto"/>
              <w:jc w:val="center"/>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解除限售时间</w:t>
            </w:r>
          </w:p>
        </w:tc>
        <w:tc>
          <w:tcPr>
            <w:tcW w:w="2181" w:type="dxa"/>
            <w:shd w:val="clear" w:color="auto" w:fill="BFBFBF"/>
            <w:vAlign w:val="center"/>
          </w:tcPr>
          <w:p>
            <w:pPr>
              <w:kinsoku w:val="0"/>
              <w:autoSpaceDE w:val="0"/>
              <w:autoSpaceDN w:val="0"/>
              <w:adjustRightInd w:val="0"/>
              <w:snapToGrid w:val="0"/>
              <w:spacing w:line="360" w:lineRule="auto"/>
              <w:jc w:val="left"/>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可解除限售权益数量占授予权益总量的比例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insoku w:val="0"/>
              <w:autoSpaceDE w:val="0"/>
              <w:autoSpaceDN w:val="0"/>
              <w:adjustRightInd w:val="0"/>
              <w:snapToGrid w:val="0"/>
              <w:spacing w:line="360" w:lineRule="auto"/>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第一个解除限售期</w:t>
            </w:r>
          </w:p>
        </w:tc>
        <w:tc>
          <w:tcPr>
            <w:tcW w:w="4677" w:type="dxa"/>
            <w:vAlign w:val="center"/>
          </w:tcPr>
          <w:p>
            <w:pPr>
              <w:kinsoku w:val="0"/>
              <w:autoSpaceDE w:val="0"/>
              <w:autoSpaceDN w:val="0"/>
              <w:adjustRightInd w:val="0"/>
              <w:snapToGrid w:val="0"/>
              <w:spacing w:line="360" w:lineRule="auto"/>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自授予之日起12个月后的首个交易日至授予之日起24个月内的最后一个交易日止</w:t>
            </w:r>
          </w:p>
        </w:tc>
        <w:tc>
          <w:tcPr>
            <w:tcW w:w="2181" w:type="dxa"/>
            <w:vAlign w:val="center"/>
          </w:tcPr>
          <w:p>
            <w:pPr>
              <w:kinsoku w:val="0"/>
              <w:autoSpaceDE w:val="0"/>
              <w:autoSpaceDN w:val="0"/>
              <w:adjustRightInd w:val="0"/>
              <w:snapToGrid w:val="0"/>
              <w:spacing w:line="360" w:lineRule="auto"/>
              <w:ind w:firstLine="420"/>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insoku w:val="0"/>
              <w:autoSpaceDE w:val="0"/>
              <w:autoSpaceDN w:val="0"/>
              <w:adjustRightInd w:val="0"/>
              <w:snapToGrid w:val="0"/>
              <w:spacing w:line="360" w:lineRule="auto"/>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第二个解除限售期</w:t>
            </w:r>
          </w:p>
        </w:tc>
        <w:tc>
          <w:tcPr>
            <w:tcW w:w="4677" w:type="dxa"/>
            <w:vAlign w:val="center"/>
          </w:tcPr>
          <w:p>
            <w:pPr>
              <w:kinsoku w:val="0"/>
              <w:autoSpaceDE w:val="0"/>
              <w:autoSpaceDN w:val="0"/>
              <w:adjustRightInd w:val="0"/>
              <w:snapToGrid w:val="0"/>
              <w:spacing w:line="360" w:lineRule="auto"/>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自授予之日起24个月后的首个交易日至授予之日起36个月内的最后一个交易日止</w:t>
            </w:r>
          </w:p>
        </w:tc>
        <w:tc>
          <w:tcPr>
            <w:tcW w:w="2181" w:type="dxa"/>
            <w:vAlign w:val="center"/>
          </w:tcPr>
          <w:p>
            <w:pPr>
              <w:kinsoku w:val="0"/>
              <w:autoSpaceDE w:val="0"/>
              <w:autoSpaceDN w:val="0"/>
              <w:adjustRightInd w:val="0"/>
              <w:snapToGrid w:val="0"/>
              <w:spacing w:line="360" w:lineRule="auto"/>
              <w:ind w:firstLine="420"/>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insoku w:val="0"/>
              <w:autoSpaceDE w:val="0"/>
              <w:autoSpaceDN w:val="0"/>
              <w:adjustRightInd w:val="0"/>
              <w:snapToGrid w:val="0"/>
              <w:spacing w:line="360" w:lineRule="auto"/>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第三个解除限售期</w:t>
            </w:r>
          </w:p>
        </w:tc>
        <w:tc>
          <w:tcPr>
            <w:tcW w:w="4677" w:type="dxa"/>
            <w:vAlign w:val="center"/>
          </w:tcPr>
          <w:p>
            <w:pPr>
              <w:kinsoku w:val="0"/>
              <w:autoSpaceDE w:val="0"/>
              <w:autoSpaceDN w:val="0"/>
              <w:adjustRightInd w:val="0"/>
              <w:snapToGrid w:val="0"/>
              <w:spacing w:line="360" w:lineRule="auto"/>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自授予之日起36个月后的首个交易日至授予之日起48个月内的最后一个交易日止</w:t>
            </w:r>
          </w:p>
        </w:tc>
        <w:tc>
          <w:tcPr>
            <w:tcW w:w="2181" w:type="dxa"/>
            <w:vAlign w:val="center"/>
          </w:tcPr>
          <w:p>
            <w:pPr>
              <w:kinsoku w:val="0"/>
              <w:autoSpaceDE w:val="0"/>
              <w:autoSpaceDN w:val="0"/>
              <w:adjustRightInd w:val="0"/>
              <w:snapToGrid w:val="0"/>
              <w:spacing w:line="360" w:lineRule="auto"/>
              <w:ind w:firstLine="420"/>
              <w:textAlignment w:val="baseline"/>
              <w:rPr>
                <w:rFonts w:ascii="宋体" w:hAnsi="宋体" w:eastAsia="宋体" w:cs="宋体"/>
                <w:sz w:val="18"/>
                <w:szCs w:val="18"/>
                <w:highlight w:val="none"/>
              </w:rPr>
            </w:pPr>
            <w:r>
              <w:rPr>
                <w:rFonts w:hint="eastAsia" w:ascii="宋体" w:hAnsi="宋体" w:eastAsia="宋体" w:cs="宋体"/>
                <w:sz w:val="18"/>
                <w:szCs w:val="18"/>
                <w:highlight w:val="none"/>
              </w:rPr>
              <w:t>40%</w:t>
            </w:r>
          </w:p>
        </w:tc>
      </w:tr>
    </w:tbl>
    <w:p>
      <w:pPr>
        <w:snapToGrid w:val="0"/>
        <w:spacing w:line="560" w:lineRule="exact"/>
        <w:rPr>
          <w:rFonts w:ascii="仿宋_GB2312" w:hAnsi="宋体" w:eastAsia="仿宋_GB2312"/>
          <w:b/>
          <w:sz w:val="30"/>
          <w:szCs w:val="30"/>
          <w:highlight w:val="none"/>
        </w:rPr>
      </w:pPr>
    </w:p>
    <w:p>
      <w:pPr>
        <w:snapToGrid w:val="0"/>
        <w:spacing w:line="560" w:lineRule="exact"/>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三、限制性股票认购资金的验资情况</w:t>
      </w:r>
    </w:p>
    <w:p>
      <w:pPr>
        <w:snapToGrid w:val="0"/>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大华会计师事务所（特殊普通合伙）</w:t>
      </w:r>
      <w:r>
        <w:rPr>
          <w:rFonts w:hint="eastAsia" w:ascii="宋体" w:hAnsi="宋体" w:eastAsia="宋体" w:cs="宋体"/>
          <w:sz w:val="24"/>
          <w:szCs w:val="24"/>
          <w:highlight w:val="none"/>
          <w:lang w:val="en-US" w:eastAsia="zh-CN"/>
        </w:rPr>
        <w:t>对公司本次激励计划的缴款情况进行审验，并于</w:t>
      </w:r>
      <w:r>
        <w:rPr>
          <w:rFonts w:hint="eastAsia" w:ascii="宋体" w:hAnsi="宋体" w:eastAsia="宋体" w:cs="宋体"/>
          <w:sz w:val="24"/>
          <w:szCs w:val="24"/>
          <w:highlight w:val="none"/>
        </w:rPr>
        <w:t>2024年3月22日出具了《验资报告》（大华验字[2024]0011000114号）。截至2024年3月21日止，</w:t>
      </w:r>
      <w:r>
        <w:rPr>
          <w:rFonts w:hint="eastAsia" w:ascii="宋体" w:hAnsi="宋体" w:eastAsia="宋体" w:cs="宋体"/>
          <w:sz w:val="24"/>
          <w:szCs w:val="24"/>
          <w:highlight w:val="none"/>
          <w:lang w:val="en-US" w:eastAsia="zh-CN"/>
        </w:rPr>
        <w:t>公司</w:t>
      </w:r>
      <w:bookmarkStart w:id="0" w:name="_GoBack"/>
      <w:bookmarkEnd w:id="0"/>
      <w:r>
        <w:rPr>
          <w:rFonts w:hint="eastAsia" w:ascii="宋体" w:hAnsi="宋体" w:eastAsia="宋体" w:cs="宋体"/>
          <w:sz w:val="24"/>
          <w:szCs w:val="24"/>
          <w:highlight w:val="none"/>
        </w:rPr>
        <w:t>己收到57名限制性股票授予对象缴纳的出资款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总额为</w:t>
      </w:r>
      <w:r>
        <w:rPr>
          <w:rFonts w:hint="eastAsia" w:ascii="宋体" w:hAnsi="宋体" w:eastAsia="宋体" w:cs="宋体"/>
          <w:sz w:val="24"/>
          <w:szCs w:val="24"/>
          <w:highlight w:val="none"/>
        </w:rPr>
        <w:t>人民币20,629,500.00元</w:t>
      </w:r>
      <w:r>
        <w:rPr>
          <w:rFonts w:hint="eastAsia" w:ascii="宋体" w:hAnsi="宋体" w:eastAsia="宋体" w:cs="宋体"/>
          <w:sz w:val="24"/>
          <w:szCs w:val="24"/>
          <w:highlight w:val="none"/>
          <w:lang w:eastAsia="zh-CN"/>
        </w:rPr>
        <w:t>。</w:t>
      </w:r>
    </w:p>
    <w:p>
      <w:pPr>
        <w:snapToGrid w:val="0"/>
        <w:spacing w:line="5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由于本次激励计划授予的股票均系公司从二级市场回购的A股普通股，故公司注册资本未发生变更。</w:t>
      </w:r>
    </w:p>
    <w:p>
      <w:pPr>
        <w:snapToGrid w:val="0"/>
        <w:spacing w:line="560" w:lineRule="exact"/>
        <w:ind w:firstLine="482" w:firstLineChars="200"/>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四、限制性股票的登记情况</w:t>
      </w:r>
    </w:p>
    <w:p>
      <w:pPr>
        <w:snapToGrid w:val="0"/>
        <w:spacing w:line="5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激励计划首次授予的限制性股票为255万股，公司已在中国结算上海分公司完成上述股份的首次授予登记工作，并取得中国结算上海分公司出具的《证券变更登记证明》和《过户登记确认书》，本次激励计划首次授予限制性股票登记日为2024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w:t>
      </w:r>
    </w:p>
    <w:p>
      <w:pPr>
        <w:snapToGrid w:val="0"/>
        <w:spacing w:line="560" w:lineRule="exact"/>
        <w:ind w:firstLine="482" w:firstLineChars="200"/>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五、授予前后对公司控股股东的影响</w:t>
      </w:r>
    </w:p>
    <w:p>
      <w:pPr>
        <w:snapToGrid w:val="0"/>
        <w:spacing w:line="560" w:lineRule="exact"/>
        <w:ind w:firstLine="480" w:firstLineChars="200"/>
        <w:rPr>
          <w:rFonts w:ascii="仿宋_GB2312" w:hAnsi="宋体" w:eastAsia="仿宋_GB2312"/>
          <w:sz w:val="30"/>
          <w:szCs w:val="30"/>
          <w:highlight w:val="none"/>
        </w:rPr>
      </w:pPr>
      <w:r>
        <w:rPr>
          <w:rFonts w:hint="eastAsia" w:ascii="宋体" w:hAnsi="宋体" w:eastAsia="宋体" w:cs="宋体"/>
          <w:sz w:val="24"/>
          <w:szCs w:val="24"/>
          <w:highlight w:val="none"/>
        </w:rPr>
        <w:t>本次限制性股票激励计划未导致股本总额发生变动，本次权益授予后不会导致公司控股股东控制权发生变化。</w:t>
      </w:r>
    </w:p>
    <w:p>
      <w:pPr>
        <w:snapToGrid w:val="0"/>
        <w:spacing w:line="560" w:lineRule="exact"/>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六、股权结构变动情况</w:t>
      </w:r>
    </w:p>
    <w:p>
      <w:pPr>
        <w:snapToGrid w:val="0"/>
        <w:spacing w:line="560" w:lineRule="exact"/>
        <w:ind w:right="48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本次限制性股票授予完成前后，公司股本结构变动情况如下 </w:t>
      </w:r>
    </w:p>
    <w:p>
      <w:pPr>
        <w:snapToGrid w:val="0"/>
        <w:spacing w:line="560" w:lineRule="exact"/>
        <w:ind w:right="480" w:firstLine="480" w:firstLineChars="200"/>
        <w:jc w:val="right"/>
        <w:rPr>
          <w:rFonts w:ascii="仿宋_GB2312" w:hAnsi="宋体" w:eastAsia="仿宋_GB2312"/>
          <w:sz w:val="24"/>
          <w:szCs w:val="24"/>
          <w:highlight w:val="none"/>
        </w:rPr>
      </w:pPr>
      <w:r>
        <w:rPr>
          <w:rFonts w:hint="eastAsia" w:ascii="仿宋_GB2312" w:hAnsi="宋体" w:eastAsia="仿宋_GB2312"/>
          <w:sz w:val="24"/>
          <w:szCs w:val="24"/>
          <w:highlight w:val="none"/>
        </w:rPr>
        <w:t>单位：股</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603"/>
        <w:gridCol w:w="195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984" w:type="dxa"/>
          </w:tcPr>
          <w:p>
            <w:pPr>
              <w:snapToGrid w:val="0"/>
              <w:spacing w:line="560" w:lineRule="exact"/>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类别</w:t>
            </w:r>
          </w:p>
        </w:tc>
        <w:tc>
          <w:tcPr>
            <w:tcW w:w="1603" w:type="dxa"/>
          </w:tcPr>
          <w:p>
            <w:pPr>
              <w:snapToGrid w:val="0"/>
              <w:spacing w:line="560" w:lineRule="exact"/>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变动前</w:t>
            </w:r>
          </w:p>
        </w:tc>
        <w:tc>
          <w:tcPr>
            <w:tcW w:w="1959" w:type="dxa"/>
          </w:tcPr>
          <w:p>
            <w:pPr>
              <w:snapToGrid w:val="0"/>
              <w:spacing w:line="560" w:lineRule="exact"/>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本次变动</w:t>
            </w:r>
          </w:p>
        </w:tc>
        <w:tc>
          <w:tcPr>
            <w:tcW w:w="1960" w:type="dxa"/>
          </w:tcPr>
          <w:p>
            <w:pPr>
              <w:snapToGrid w:val="0"/>
              <w:spacing w:line="560" w:lineRule="exact"/>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84" w:type="dxa"/>
          </w:tcPr>
          <w:p>
            <w:pPr>
              <w:snapToGrid w:val="0"/>
              <w:spacing w:line="560" w:lineRule="exact"/>
              <w:rPr>
                <w:rFonts w:ascii="宋体" w:hAnsi="宋体" w:eastAsia="宋体" w:cs="宋体"/>
                <w:kern w:val="0"/>
                <w:szCs w:val="21"/>
                <w:highlight w:val="none"/>
              </w:rPr>
            </w:pPr>
            <w:r>
              <w:rPr>
                <w:rFonts w:hint="eastAsia" w:ascii="宋体" w:hAnsi="宋体" w:eastAsia="宋体" w:cs="宋体"/>
                <w:kern w:val="0"/>
                <w:szCs w:val="21"/>
                <w:highlight w:val="none"/>
              </w:rPr>
              <w:t>有限售条件股份</w:t>
            </w:r>
          </w:p>
        </w:tc>
        <w:tc>
          <w:tcPr>
            <w:tcW w:w="1603" w:type="dxa"/>
          </w:tcPr>
          <w:p>
            <w:pPr>
              <w:snapToGrid w:val="0"/>
              <w:spacing w:line="560" w:lineRule="exact"/>
              <w:jc w:val="right"/>
              <w:rPr>
                <w:rFonts w:ascii="宋体" w:hAnsi="宋体" w:eastAsia="宋体" w:cs="宋体"/>
                <w:kern w:val="0"/>
                <w:szCs w:val="21"/>
                <w:highlight w:val="none"/>
              </w:rPr>
            </w:pPr>
            <w:r>
              <w:rPr>
                <w:rFonts w:hint="eastAsia" w:ascii="宋体" w:hAnsi="宋体" w:eastAsia="宋体" w:cs="宋体"/>
                <w:kern w:val="0"/>
                <w:szCs w:val="21"/>
                <w:highlight w:val="none"/>
              </w:rPr>
              <w:t xml:space="preserve"> 143,911,541 </w:t>
            </w:r>
          </w:p>
        </w:tc>
        <w:tc>
          <w:tcPr>
            <w:tcW w:w="1959" w:type="dxa"/>
          </w:tcPr>
          <w:p>
            <w:pPr>
              <w:snapToGrid w:val="0"/>
              <w:spacing w:line="560" w:lineRule="exact"/>
              <w:jc w:val="right"/>
              <w:rPr>
                <w:rFonts w:ascii="宋体" w:hAnsi="宋体" w:eastAsia="宋体" w:cs="宋体"/>
                <w:kern w:val="0"/>
                <w:szCs w:val="21"/>
                <w:highlight w:val="none"/>
              </w:rPr>
            </w:pPr>
            <w:r>
              <w:rPr>
                <w:rFonts w:hint="eastAsia" w:ascii="宋体" w:hAnsi="宋体" w:eastAsia="宋体" w:cs="宋体"/>
                <w:kern w:val="0"/>
                <w:szCs w:val="21"/>
                <w:highlight w:val="none"/>
              </w:rPr>
              <w:t>+2,550,000</w:t>
            </w:r>
          </w:p>
        </w:tc>
        <w:tc>
          <w:tcPr>
            <w:tcW w:w="1960" w:type="dxa"/>
          </w:tcPr>
          <w:p>
            <w:pPr>
              <w:snapToGrid w:val="0"/>
              <w:spacing w:line="560" w:lineRule="exact"/>
              <w:jc w:val="right"/>
              <w:rPr>
                <w:rFonts w:ascii="宋体" w:hAnsi="宋体" w:eastAsia="宋体" w:cs="宋体"/>
                <w:kern w:val="0"/>
                <w:szCs w:val="21"/>
                <w:highlight w:val="none"/>
              </w:rPr>
            </w:pPr>
            <w:r>
              <w:rPr>
                <w:rFonts w:hint="eastAsia" w:ascii="宋体" w:hAnsi="宋体" w:eastAsia="宋体" w:cs="宋体"/>
                <w:kern w:val="0"/>
                <w:szCs w:val="21"/>
                <w:highlight w:val="none"/>
              </w:rPr>
              <w:t xml:space="preserve">146,461,541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984" w:type="dxa"/>
          </w:tcPr>
          <w:p>
            <w:pPr>
              <w:snapToGrid w:val="0"/>
              <w:spacing w:line="560" w:lineRule="exact"/>
              <w:rPr>
                <w:rFonts w:ascii="宋体" w:hAnsi="宋体" w:eastAsia="宋体" w:cs="宋体"/>
                <w:kern w:val="0"/>
                <w:szCs w:val="21"/>
                <w:highlight w:val="none"/>
              </w:rPr>
            </w:pPr>
            <w:r>
              <w:rPr>
                <w:rFonts w:hint="eastAsia" w:ascii="宋体" w:hAnsi="宋体" w:eastAsia="宋体" w:cs="宋体"/>
                <w:kern w:val="0"/>
                <w:szCs w:val="21"/>
                <w:highlight w:val="none"/>
              </w:rPr>
              <w:t>无限售条件股份</w:t>
            </w:r>
          </w:p>
        </w:tc>
        <w:tc>
          <w:tcPr>
            <w:tcW w:w="1603" w:type="dxa"/>
          </w:tcPr>
          <w:p>
            <w:pPr>
              <w:snapToGrid w:val="0"/>
              <w:spacing w:line="560" w:lineRule="exact"/>
              <w:jc w:val="right"/>
              <w:rPr>
                <w:rFonts w:ascii="宋体" w:hAnsi="宋体" w:eastAsia="宋体" w:cs="宋体"/>
                <w:kern w:val="0"/>
                <w:szCs w:val="21"/>
                <w:highlight w:val="none"/>
              </w:rPr>
            </w:pPr>
            <w:r>
              <w:rPr>
                <w:rFonts w:hint="eastAsia" w:ascii="宋体" w:hAnsi="宋体" w:eastAsia="宋体" w:cs="宋体"/>
                <w:kern w:val="0"/>
                <w:szCs w:val="21"/>
                <w:highlight w:val="none"/>
              </w:rPr>
              <w:t xml:space="preserve"> 189,255,866 </w:t>
            </w:r>
          </w:p>
        </w:tc>
        <w:tc>
          <w:tcPr>
            <w:tcW w:w="1959" w:type="dxa"/>
          </w:tcPr>
          <w:p>
            <w:pPr>
              <w:snapToGrid w:val="0"/>
              <w:spacing w:line="560" w:lineRule="exact"/>
              <w:jc w:val="right"/>
              <w:rPr>
                <w:rFonts w:ascii="宋体" w:hAnsi="宋体" w:eastAsia="宋体" w:cs="宋体"/>
                <w:kern w:val="0"/>
                <w:szCs w:val="21"/>
                <w:highlight w:val="none"/>
              </w:rPr>
            </w:pPr>
            <w:r>
              <w:rPr>
                <w:rFonts w:hint="eastAsia" w:ascii="宋体" w:hAnsi="宋体" w:eastAsia="宋体" w:cs="宋体"/>
                <w:kern w:val="0"/>
                <w:szCs w:val="21"/>
                <w:highlight w:val="none"/>
              </w:rPr>
              <w:t>-2,550,000</w:t>
            </w:r>
          </w:p>
        </w:tc>
        <w:tc>
          <w:tcPr>
            <w:tcW w:w="1960" w:type="dxa"/>
          </w:tcPr>
          <w:p>
            <w:pPr>
              <w:snapToGrid w:val="0"/>
              <w:spacing w:line="560" w:lineRule="exact"/>
              <w:jc w:val="right"/>
              <w:rPr>
                <w:rFonts w:ascii="宋体" w:hAnsi="宋体" w:eastAsia="宋体" w:cs="宋体"/>
                <w:kern w:val="0"/>
                <w:szCs w:val="21"/>
                <w:highlight w:val="none"/>
              </w:rPr>
            </w:pPr>
            <w:r>
              <w:rPr>
                <w:rFonts w:hint="eastAsia" w:ascii="宋体" w:hAnsi="宋体" w:eastAsia="宋体" w:cs="宋体"/>
                <w:kern w:val="0"/>
                <w:szCs w:val="21"/>
                <w:highlight w:val="none"/>
              </w:rPr>
              <w:t xml:space="preserve">186,705,866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84" w:type="dxa"/>
          </w:tcPr>
          <w:p>
            <w:pPr>
              <w:snapToGrid w:val="0"/>
              <w:spacing w:line="560" w:lineRule="exact"/>
              <w:rPr>
                <w:rFonts w:ascii="宋体" w:hAnsi="宋体" w:eastAsia="宋体" w:cs="宋体"/>
                <w:b/>
                <w:bCs/>
                <w:kern w:val="0"/>
                <w:szCs w:val="21"/>
                <w:highlight w:val="none"/>
              </w:rPr>
            </w:pPr>
            <w:r>
              <w:rPr>
                <w:rFonts w:hint="eastAsia" w:ascii="宋体" w:hAnsi="宋体" w:eastAsia="宋体" w:cs="宋体"/>
                <w:b/>
                <w:bCs/>
                <w:kern w:val="0"/>
                <w:szCs w:val="21"/>
                <w:highlight w:val="none"/>
              </w:rPr>
              <w:t>总计</w:t>
            </w:r>
          </w:p>
        </w:tc>
        <w:tc>
          <w:tcPr>
            <w:tcW w:w="1603" w:type="dxa"/>
          </w:tcPr>
          <w:p>
            <w:pPr>
              <w:snapToGrid w:val="0"/>
              <w:spacing w:line="560" w:lineRule="exact"/>
              <w:jc w:val="right"/>
              <w:rPr>
                <w:rFonts w:ascii="宋体" w:hAnsi="宋体" w:eastAsia="宋体" w:cs="宋体"/>
                <w:b/>
                <w:bCs/>
                <w:kern w:val="0"/>
                <w:szCs w:val="21"/>
                <w:highlight w:val="none"/>
              </w:rPr>
            </w:pPr>
            <w:r>
              <w:rPr>
                <w:rFonts w:hint="eastAsia" w:ascii="宋体" w:hAnsi="宋体" w:eastAsia="宋体" w:cs="宋体"/>
                <w:b/>
                <w:bCs/>
                <w:kern w:val="0"/>
                <w:szCs w:val="21"/>
                <w:highlight w:val="none"/>
              </w:rPr>
              <w:t>333,167,407</w:t>
            </w:r>
          </w:p>
        </w:tc>
        <w:tc>
          <w:tcPr>
            <w:tcW w:w="1959" w:type="dxa"/>
          </w:tcPr>
          <w:p>
            <w:pPr>
              <w:snapToGrid w:val="0"/>
              <w:spacing w:line="560" w:lineRule="exact"/>
              <w:jc w:val="right"/>
              <w:rPr>
                <w:rFonts w:ascii="宋体" w:hAnsi="宋体" w:eastAsia="宋体" w:cs="宋体"/>
                <w:b/>
                <w:bCs/>
                <w:kern w:val="0"/>
                <w:szCs w:val="21"/>
                <w:highlight w:val="none"/>
              </w:rPr>
            </w:pPr>
            <w:r>
              <w:rPr>
                <w:rFonts w:hint="eastAsia" w:ascii="宋体" w:hAnsi="宋体" w:eastAsia="宋体" w:cs="宋体"/>
                <w:b/>
                <w:bCs/>
                <w:kern w:val="0"/>
                <w:szCs w:val="21"/>
                <w:highlight w:val="none"/>
              </w:rPr>
              <w:t>0</w:t>
            </w:r>
          </w:p>
        </w:tc>
        <w:tc>
          <w:tcPr>
            <w:tcW w:w="1960" w:type="dxa"/>
          </w:tcPr>
          <w:p>
            <w:pPr>
              <w:snapToGrid w:val="0"/>
              <w:spacing w:line="560" w:lineRule="exact"/>
              <w:jc w:val="right"/>
              <w:rPr>
                <w:rFonts w:ascii="宋体" w:hAnsi="宋体" w:eastAsia="宋体" w:cs="宋体"/>
                <w:b/>
                <w:bCs/>
                <w:kern w:val="0"/>
                <w:szCs w:val="21"/>
                <w:highlight w:val="none"/>
              </w:rPr>
            </w:pPr>
            <w:r>
              <w:rPr>
                <w:rFonts w:hint="eastAsia" w:ascii="宋体" w:hAnsi="宋体" w:eastAsia="宋体" w:cs="宋体"/>
                <w:b/>
                <w:bCs/>
                <w:kern w:val="0"/>
                <w:szCs w:val="21"/>
                <w:highlight w:val="none"/>
              </w:rPr>
              <w:t>333,167,407</w:t>
            </w:r>
          </w:p>
        </w:tc>
      </w:tr>
    </w:tbl>
    <w:p>
      <w:pPr>
        <w:snapToGrid w:val="0"/>
        <w:spacing w:line="560" w:lineRule="exact"/>
        <w:ind w:firstLine="602" w:firstLineChars="200"/>
        <w:rPr>
          <w:rFonts w:ascii="仿宋_GB2312" w:hAnsi="宋体" w:eastAsia="仿宋_GB2312"/>
          <w:b/>
          <w:sz w:val="30"/>
          <w:szCs w:val="30"/>
          <w:highlight w:val="none"/>
        </w:rPr>
      </w:pPr>
    </w:p>
    <w:p>
      <w:pPr>
        <w:widowControl/>
        <w:adjustRightInd w:val="0"/>
        <w:snapToGrid w:val="0"/>
        <w:spacing w:line="560" w:lineRule="exact"/>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七、本次募集资金使用计划</w:t>
      </w:r>
    </w:p>
    <w:p>
      <w:pPr>
        <w:widowControl/>
        <w:adjustRightInd w:val="0"/>
        <w:snapToGrid w:val="0"/>
        <w:spacing w:line="560" w:lineRule="exact"/>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公司本次限制性股票激励计划所筹集资金将全部用于补充公司流动资金。</w:t>
      </w:r>
    </w:p>
    <w:p>
      <w:pPr>
        <w:widowControl/>
        <w:numPr>
          <w:ilvl w:val="0"/>
          <w:numId w:val="15"/>
        </w:numPr>
        <w:adjustRightInd w:val="0"/>
        <w:snapToGrid w:val="0"/>
        <w:spacing w:line="560" w:lineRule="exact"/>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rPr>
        <w:t>本次授予后对最近一期财务报告的影响</w:t>
      </w:r>
    </w:p>
    <w:p>
      <w:pPr>
        <w:widowControl/>
        <w:adjustRightInd w:val="0"/>
        <w:snapToGrid w:val="0"/>
        <w:spacing w:line="560" w:lineRule="exact"/>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公司董事会已确认本次激励计划权益首次授予日为2024年3月5日，根据授予日收盘价格为15.85元/股，基于授予日收盘价格的测算，本次激励计划首次授予限制性股票对各期会计成本的影响如下表所示：                  </w:t>
      </w:r>
    </w:p>
    <w:p>
      <w:pPr>
        <w:widowControl/>
        <w:adjustRightInd w:val="0"/>
        <w:snapToGrid w:val="0"/>
        <w:spacing w:line="560" w:lineRule="exact"/>
        <w:ind w:firstLine="6480" w:firstLineChars="2700"/>
        <w:jc w:val="left"/>
        <w:rPr>
          <w:rFonts w:ascii="宋体" w:hAnsi="宋体" w:eastAsia="宋体" w:cs="宋体"/>
          <w:bCs/>
          <w:sz w:val="24"/>
          <w:szCs w:val="24"/>
          <w:highlight w:val="none"/>
        </w:rPr>
      </w:pPr>
      <w:r>
        <w:rPr>
          <w:rFonts w:hint="eastAsia" w:ascii="宋体" w:hAnsi="宋体" w:eastAsia="宋体" w:cs="宋体"/>
          <w:bCs/>
          <w:sz w:val="24"/>
          <w:szCs w:val="24"/>
          <w:highlight w:val="none"/>
        </w:rPr>
        <w:t>单位：万股、万元</w:t>
      </w:r>
    </w:p>
    <w:tbl>
      <w:tblPr>
        <w:tblStyle w:val="8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1822"/>
        <w:gridCol w:w="1279"/>
        <w:gridCol w:w="1432"/>
        <w:gridCol w:w="1432"/>
        <w:gridCol w:w="12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trPr>
        <w:tc>
          <w:tcPr>
            <w:tcW w:w="792" w:type="pct"/>
            <w:shd w:val="clear" w:color="auto" w:fill="D9D9D9"/>
            <w:vAlign w:val="center"/>
          </w:tcPr>
          <w:p>
            <w:pPr>
              <w:kinsoku w:val="0"/>
              <w:autoSpaceDE w:val="0"/>
              <w:autoSpaceDN w:val="0"/>
              <w:adjustRightInd w:val="0"/>
              <w:snapToGrid w:val="0"/>
              <w:spacing w:line="560" w:lineRule="exact"/>
              <w:jc w:val="center"/>
              <w:textAlignment w:val="baseline"/>
              <w:rPr>
                <w:rFonts w:asciiTheme="majorEastAsia" w:hAnsiTheme="majorEastAsia" w:eastAsiaTheme="majorEastAsia" w:cstheme="majorEastAsia"/>
                <w:b/>
                <w:color w:val="000000"/>
                <w:sz w:val="18"/>
                <w:szCs w:val="18"/>
                <w:highlight w:val="none"/>
              </w:rPr>
            </w:pPr>
            <w:r>
              <w:rPr>
                <w:rFonts w:hint="eastAsia" w:asciiTheme="majorEastAsia" w:hAnsiTheme="majorEastAsia" w:eastAsiaTheme="majorEastAsia" w:cstheme="majorEastAsia"/>
                <w:b/>
                <w:color w:val="000000"/>
                <w:sz w:val="18"/>
                <w:szCs w:val="18"/>
                <w:highlight w:val="none"/>
              </w:rPr>
              <w:t>首次授予数量</w:t>
            </w:r>
          </w:p>
        </w:tc>
        <w:tc>
          <w:tcPr>
            <w:tcW w:w="1069" w:type="pct"/>
            <w:shd w:val="clear" w:color="auto" w:fill="D9D9D9"/>
            <w:vAlign w:val="center"/>
          </w:tcPr>
          <w:p>
            <w:pPr>
              <w:kinsoku w:val="0"/>
              <w:autoSpaceDE w:val="0"/>
              <w:autoSpaceDN w:val="0"/>
              <w:adjustRightInd w:val="0"/>
              <w:snapToGrid w:val="0"/>
              <w:spacing w:line="560" w:lineRule="exact"/>
              <w:jc w:val="center"/>
              <w:textAlignment w:val="baseline"/>
              <w:rPr>
                <w:rFonts w:asciiTheme="majorEastAsia" w:hAnsiTheme="majorEastAsia" w:eastAsiaTheme="majorEastAsia" w:cstheme="majorEastAsia"/>
                <w:b/>
                <w:color w:val="000000"/>
                <w:sz w:val="18"/>
                <w:szCs w:val="18"/>
                <w:highlight w:val="none"/>
              </w:rPr>
            </w:pPr>
            <w:r>
              <w:rPr>
                <w:rFonts w:hint="eastAsia" w:asciiTheme="majorEastAsia" w:hAnsiTheme="majorEastAsia" w:eastAsiaTheme="majorEastAsia" w:cstheme="majorEastAsia"/>
                <w:b/>
                <w:color w:val="000000"/>
                <w:sz w:val="18"/>
                <w:szCs w:val="18"/>
                <w:highlight w:val="none"/>
              </w:rPr>
              <w:t>预计摊销的总费用</w:t>
            </w:r>
          </w:p>
        </w:tc>
        <w:tc>
          <w:tcPr>
            <w:tcW w:w="750" w:type="pct"/>
            <w:shd w:val="clear" w:color="auto" w:fill="D9D9D9"/>
            <w:vAlign w:val="center"/>
          </w:tcPr>
          <w:p>
            <w:pPr>
              <w:kinsoku w:val="0"/>
              <w:autoSpaceDE w:val="0"/>
              <w:autoSpaceDN w:val="0"/>
              <w:adjustRightInd w:val="0"/>
              <w:snapToGrid w:val="0"/>
              <w:spacing w:line="560" w:lineRule="exact"/>
              <w:jc w:val="center"/>
              <w:textAlignment w:val="baseline"/>
              <w:rPr>
                <w:rFonts w:asciiTheme="majorEastAsia" w:hAnsiTheme="majorEastAsia" w:eastAsiaTheme="majorEastAsia" w:cstheme="majorEastAsia"/>
                <w:b/>
                <w:color w:val="000000"/>
                <w:sz w:val="18"/>
                <w:szCs w:val="18"/>
                <w:highlight w:val="none"/>
              </w:rPr>
            </w:pPr>
            <w:r>
              <w:rPr>
                <w:rFonts w:hint="eastAsia" w:asciiTheme="majorEastAsia" w:hAnsiTheme="majorEastAsia" w:eastAsiaTheme="majorEastAsia" w:cstheme="majorEastAsia"/>
                <w:b/>
                <w:color w:val="000000"/>
                <w:sz w:val="18"/>
                <w:szCs w:val="18"/>
                <w:highlight w:val="none"/>
              </w:rPr>
              <w:t>2024年</w:t>
            </w:r>
          </w:p>
        </w:tc>
        <w:tc>
          <w:tcPr>
            <w:tcW w:w="840" w:type="pct"/>
            <w:shd w:val="clear" w:color="auto" w:fill="D9D9D9"/>
            <w:vAlign w:val="center"/>
          </w:tcPr>
          <w:p>
            <w:pPr>
              <w:kinsoku w:val="0"/>
              <w:autoSpaceDE w:val="0"/>
              <w:autoSpaceDN w:val="0"/>
              <w:adjustRightInd w:val="0"/>
              <w:snapToGrid w:val="0"/>
              <w:spacing w:line="560" w:lineRule="exact"/>
              <w:jc w:val="center"/>
              <w:textAlignment w:val="baseline"/>
              <w:rPr>
                <w:rFonts w:asciiTheme="majorEastAsia" w:hAnsiTheme="majorEastAsia" w:eastAsiaTheme="majorEastAsia" w:cstheme="majorEastAsia"/>
                <w:b/>
                <w:color w:val="000000"/>
                <w:sz w:val="18"/>
                <w:szCs w:val="18"/>
                <w:highlight w:val="none"/>
              </w:rPr>
            </w:pPr>
            <w:r>
              <w:rPr>
                <w:rFonts w:hint="eastAsia" w:asciiTheme="majorEastAsia" w:hAnsiTheme="majorEastAsia" w:eastAsiaTheme="majorEastAsia" w:cstheme="majorEastAsia"/>
                <w:b/>
                <w:color w:val="000000"/>
                <w:sz w:val="18"/>
                <w:szCs w:val="18"/>
                <w:highlight w:val="none"/>
              </w:rPr>
              <w:t>2025年</w:t>
            </w:r>
          </w:p>
        </w:tc>
        <w:tc>
          <w:tcPr>
            <w:tcW w:w="840" w:type="pct"/>
            <w:shd w:val="clear" w:color="auto" w:fill="D9D9D9"/>
            <w:vAlign w:val="center"/>
          </w:tcPr>
          <w:p>
            <w:pPr>
              <w:kinsoku w:val="0"/>
              <w:autoSpaceDE w:val="0"/>
              <w:autoSpaceDN w:val="0"/>
              <w:adjustRightInd w:val="0"/>
              <w:snapToGrid w:val="0"/>
              <w:spacing w:line="560" w:lineRule="exact"/>
              <w:jc w:val="center"/>
              <w:textAlignment w:val="baseline"/>
              <w:rPr>
                <w:rFonts w:asciiTheme="majorEastAsia" w:hAnsiTheme="majorEastAsia" w:eastAsiaTheme="majorEastAsia" w:cstheme="majorEastAsia"/>
                <w:b/>
                <w:color w:val="000000"/>
                <w:sz w:val="18"/>
                <w:szCs w:val="18"/>
                <w:highlight w:val="none"/>
              </w:rPr>
            </w:pPr>
            <w:r>
              <w:rPr>
                <w:rFonts w:hint="eastAsia" w:asciiTheme="majorEastAsia" w:hAnsiTheme="majorEastAsia" w:eastAsiaTheme="majorEastAsia" w:cstheme="majorEastAsia"/>
                <w:b/>
                <w:color w:val="000000"/>
                <w:sz w:val="18"/>
                <w:szCs w:val="18"/>
                <w:highlight w:val="none"/>
              </w:rPr>
              <w:t>2026年</w:t>
            </w:r>
          </w:p>
        </w:tc>
        <w:tc>
          <w:tcPr>
            <w:tcW w:w="706" w:type="pct"/>
            <w:shd w:val="clear" w:color="auto" w:fill="D9D9D9"/>
            <w:vAlign w:val="center"/>
          </w:tcPr>
          <w:p>
            <w:pPr>
              <w:kinsoku w:val="0"/>
              <w:autoSpaceDE w:val="0"/>
              <w:autoSpaceDN w:val="0"/>
              <w:adjustRightInd w:val="0"/>
              <w:snapToGrid w:val="0"/>
              <w:spacing w:line="560" w:lineRule="exact"/>
              <w:jc w:val="center"/>
              <w:textAlignment w:val="baseline"/>
              <w:rPr>
                <w:rFonts w:asciiTheme="majorEastAsia" w:hAnsiTheme="majorEastAsia" w:eastAsiaTheme="majorEastAsia" w:cstheme="majorEastAsia"/>
                <w:b/>
                <w:color w:val="000000"/>
                <w:sz w:val="18"/>
                <w:szCs w:val="18"/>
                <w:highlight w:val="none"/>
              </w:rPr>
            </w:pPr>
            <w:r>
              <w:rPr>
                <w:rFonts w:hint="eastAsia" w:asciiTheme="majorEastAsia" w:hAnsiTheme="majorEastAsia" w:eastAsiaTheme="majorEastAsia" w:cstheme="majorEastAsia"/>
                <w:b/>
                <w:color w:val="000000"/>
                <w:sz w:val="18"/>
                <w:szCs w:val="18"/>
                <w:highlight w:val="none"/>
              </w:rPr>
              <w:t>2027年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792" w:type="pct"/>
            <w:shd w:val="clear" w:color="auto" w:fill="auto"/>
            <w:vAlign w:val="center"/>
          </w:tcPr>
          <w:p>
            <w:pPr>
              <w:widowControl/>
              <w:jc w:val="center"/>
              <w:textAlignment w:val="bottom"/>
              <w:rPr>
                <w:rFonts w:asciiTheme="majorEastAsia" w:hAnsiTheme="majorEastAsia" w:eastAsiaTheme="majorEastAsia" w:cstheme="majorEastAsia"/>
                <w:snapToGrid w:val="0"/>
                <w:color w:val="000000"/>
                <w:kern w:val="0"/>
                <w:sz w:val="18"/>
                <w:szCs w:val="18"/>
                <w:highlight w:val="none"/>
                <w:lang w:bidi="ar"/>
              </w:rPr>
            </w:pPr>
            <w:r>
              <w:rPr>
                <w:rFonts w:hint="eastAsia" w:asciiTheme="majorEastAsia" w:hAnsiTheme="majorEastAsia" w:eastAsiaTheme="majorEastAsia" w:cstheme="majorEastAsia"/>
                <w:snapToGrid w:val="0"/>
                <w:color w:val="000000"/>
                <w:kern w:val="0"/>
                <w:sz w:val="18"/>
                <w:szCs w:val="18"/>
                <w:highlight w:val="none"/>
                <w:lang w:bidi="ar"/>
              </w:rPr>
              <w:t>2</w:t>
            </w:r>
            <w:r>
              <w:rPr>
                <w:rFonts w:hint="eastAsia" w:asciiTheme="majorEastAsia" w:hAnsiTheme="majorEastAsia" w:eastAsiaTheme="majorEastAsia" w:cstheme="majorEastAsia"/>
                <w:snapToGrid w:val="0"/>
                <w:color w:val="000000"/>
                <w:kern w:val="0"/>
                <w:sz w:val="18"/>
                <w:szCs w:val="18"/>
                <w:highlight w:val="none"/>
                <w:lang w:val="en-US" w:eastAsia="zh-CN" w:bidi="ar"/>
              </w:rPr>
              <w:t>55</w:t>
            </w:r>
            <w:r>
              <w:rPr>
                <w:rFonts w:hint="eastAsia" w:asciiTheme="majorEastAsia" w:hAnsiTheme="majorEastAsia" w:eastAsiaTheme="majorEastAsia" w:cstheme="majorEastAsia"/>
                <w:snapToGrid w:val="0"/>
                <w:color w:val="000000"/>
                <w:kern w:val="0"/>
                <w:sz w:val="18"/>
                <w:szCs w:val="18"/>
                <w:highlight w:val="none"/>
                <w:lang w:bidi="ar"/>
              </w:rPr>
              <w:t>.00</w:t>
            </w:r>
          </w:p>
        </w:tc>
        <w:tc>
          <w:tcPr>
            <w:tcW w:w="1069" w:type="pct"/>
            <w:shd w:val="clear" w:color="auto" w:fill="auto"/>
            <w:vAlign w:val="center"/>
          </w:tcPr>
          <w:p>
            <w:pPr>
              <w:widowControl/>
              <w:jc w:val="center"/>
              <w:textAlignment w:val="bottom"/>
              <w:rPr>
                <w:rFonts w:hint="default" w:asciiTheme="majorEastAsia" w:hAnsiTheme="majorEastAsia" w:eastAsiaTheme="majorEastAsia" w:cstheme="majorEastAsia"/>
                <w:snapToGrid w:val="0"/>
                <w:color w:val="000000"/>
                <w:kern w:val="0"/>
                <w:sz w:val="18"/>
                <w:szCs w:val="18"/>
                <w:highlight w:val="none"/>
                <w:lang w:val="en-US" w:eastAsia="zh-CN" w:bidi="ar"/>
              </w:rPr>
            </w:pPr>
            <w:r>
              <w:rPr>
                <w:rFonts w:hint="eastAsia" w:asciiTheme="majorEastAsia" w:hAnsiTheme="majorEastAsia" w:eastAsiaTheme="majorEastAsia" w:cstheme="majorEastAsia"/>
                <w:snapToGrid w:val="0"/>
                <w:color w:val="000000"/>
                <w:kern w:val="0"/>
                <w:sz w:val="18"/>
                <w:szCs w:val="18"/>
                <w:highlight w:val="none"/>
                <w:lang w:val="en-US" w:eastAsia="zh-CN" w:bidi="ar"/>
              </w:rPr>
              <w:t>1978.80</w:t>
            </w:r>
          </w:p>
        </w:tc>
        <w:tc>
          <w:tcPr>
            <w:tcW w:w="750" w:type="pct"/>
            <w:shd w:val="clear" w:color="auto" w:fill="auto"/>
            <w:vAlign w:val="center"/>
          </w:tcPr>
          <w:p>
            <w:pPr>
              <w:widowControl/>
              <w:jc w:val="center"/>
              <w:textAlignment w:val="bottom"/>
              <w:rPr>
                <w:rFonts w:hint="default" w:asciiTheme="majorEastAsia" w:hAnsiTheme="majorEastAsia" w:eastAsiaTheme="majorEastAsia" w:cstheme="majorEastAsia"/>
                <w:snapToGrid w:val="0"/>
                <w:color w:val="000000"/>
                <w:kern w:val="0"/>
                <w:sz w:val="18"/>
                <w:szCs w:val="18"/>
                <w:highlight w:val="none"/>
                <w:lang w:val="en-US" w:eastAsia="zh-CN" w:bidi="ar"/>
              </w:rPr>
            </w:pPr>
            <w:r>
              <w:rPr>
                <w:rFonts w:hint="eastAsia" w:asciiTheme="majorEastAsia" w:hAnsiTheme="majorEastAsia" w:eastAsiaTheme="majorEastAsia" w:cstheme="majorEastAsia"/>
                <w:snapToGrid w:val="0"/>
                <w:color w:val="000000"/>
                <w:kern w:val="0"/>
                <w:sz w:val="18"/>
                <w:szCs w:val="18"/>
                <w:highlight w:val="none"/>
                <w:lang w:val="en-US" w:eastAsia="zh-CN" w:bidi="ar"/>
              </w:rPr>
              <w:t>961.92</w:t>
            </w:r>
          </w:p>
        </w:tc>
        <w:tc>
          <w:tcPr>
            <w:tcW w:w="840" w:type="pct"/>
            <w:shd w:val="clear" w:color="auto" w:fill="auto"/>
            <w:vAlign w:val="center"/>
          </w:tcPr>
          <w:p>
            <w:pPr>
              <w:widowControl/>
              <w:jc w:val="center"/>
              <w:textAlignment w:val="bottom"/>
              <w:rPr>
                <w:rFonts w:hint="default" w:asciiTheme="majorEastAsia" w:hAnsiTheme="majorEastAsia" w:eastAsiaTheme="majorEastAsia" w:cstheme="majorEastAsia"/>
                <w:snapToGrid w:val="0"/>
                <w:color w:val="000000"/>
                <w:sz w:val="18"/>
                <w:szCs w:val="18"/>
                <w:highlight w:val="none"/>
                <w:lang w:val="en-US" w:eastAsia="zh-CN"/>
              </w:rPr>
            </w:pPr>
            <w:r>
              <w:rPr>
                <w:rFonts w:hint="eastAsia" w:asciiTheme="majorEastAsia" w:hAnsiTheme="majorEastAsia" w:eastAsiaTheme="majorEastAsia" w:cstheme="majorEastAsia"/>
                <w:snapToGrid w:val="0"/>
                <w:color w:val="000000"/>
                <w:kern w:val="0"/>
                <w:sz w:val="18"/>
                <w:szCs w:val="18"/>
                <w:highlight w:val="none"/>
                <w:lang w:val="en-US" w:eastAsia="zh-CN" w:bidi="ar"/>
              </w:rPr>
              <w:t>659.60</w:t>
            </w:r>
          </w:p>
        </w:tc>
        <w:tc>
          <w:tcPr>
            <w:tcW w:w="840" w:type="pct"/>
            <w:shd w:val="clear" w:color="auto" w:fill="auto"/>
            <w:vAlign w:val="center"/>
          </w:tcPr>
          <w:p>
            <w:pPr>
              <w:widowControl/>
              <w:jc w:val="center"/>
              <w:textAlignment w:val="bottom"/>
              <w:rPr>
                <w:rFonts w:hint="default" w:asciiTheme="majorEastAsia" w:hAnsiTheme="majorEastAsia" w:eastAsiaTheme="majorEastAsia" w:cstheme="majorEastAsia"/>
                <w:snapToGrid w:val="0"/>
                <w:color w:val="000000"/>
                <w:sz w:val="18"/>
                <w:szCs w:val="18"/>
                <w:highlight w:val="none"/>
                <w:lang w:val="en-US" w:eastAsia="zh-CN"/>
              </w:rPr>
            </w:pPr>
            <w:r>
              <w:rPr>
                <w:rFonts w:hint="eastAsia" w:asciiTheme="majorEastAsia" w:hAnsiTheme="majorEastAsia" w:eastAsiaTheme="majorEastAsia" w:cstheme="majorEastAsia"/>
                <w:snapToGrid w:val="0"/>
                <w:color w:val="000000"/>
                <w:kern w:val="0"/>
                <w:sz w:val="18"/>
                <w:szCs w:val="18"/>
                <w:highlight w:val="none"/>
                <w:lang w:val="en-US" w:eastAsia="zh-CN" w:bidi="ar"/>
              </w:rPr>
              <w:t>313.31</w:t>
            </w:r>
          </w:p>
        </w:tc>
        <w:tc>
          <w:tcPr>
            <w:tcW w:w="706" w:type="pct"/>
            <w:shd w:val="clear" w:color="auto" w:fill="auto"/>
            <w:vAlign w:val="center"/>
          </w:tcPr>
          <w:p>
            <w:pPr>
              <w:widowControl/>
              <w:jc w:val="center"/>
              <w:textAlignment w:val="bottom"/>
              <w:rPr>
                <w:rFonts w:hint="default" w:asciiTheme="majorEastAsia" w:hAnsiTheme="majorEastAsia" w:eastAsiaTheme="minorEastAsia" w:cstheme="majorEastAsia"/>
                <w:snapToGrid w:val="0"/>
                <w:color w:val="000000"/>
                <w:sz w:val="18"/>
                <w:szCs w:val="18"/>
                <w:highlight w:val="none"/>
                <w:lang w:val="en-US" w:eastAsia="zh-CN"/>
              </w:rPr>
            </w:pPr>
            <w:r>
              <w:rPr>
                <w:rFonts w:hint="eastAsia" w:asciiTheme="majorEastAsia" w:hAnsiTheme="majorEastAsia" w:eastAsiaTheme="majorEastAsia" w:cstheme="majorEastAsia"/>
                <w:snapToGrid w:val="0"/>
                <w:color w:val="000000"/>
                <w:kern w:val="0"/>
                <w:sz w:val="18"/>
                <w:szCs w:val="18"/>
                <w:highlight w:val="none"/>
                <w:lang w:val="en-US" w:eastAsia="zh-CN" w:bidi="ar"/>
              </w:rPr>
              <w:t>43.97</w:t>
            </w:r>
          </w:p>
        </w:tc>
      </w:tr>
    </w:tbl>
    <w:p>
      <w:pPr>
        <w:widowControl/>
        <w:adjustRightInd w:val="0"/>
        <w:snapToGrid w:val="0"/>
        <w:spacing w:line="560" w:lineRule="exact"/>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上述测算部分不包含限制性股票的预留部分60.00万股，预留部分授予时将产生额外的股份支付费用。限制性股票的预留部分60.00万股，将在本次激励计划经股东大会通过后12个月内明确激励对象并授予，并根据届时授予日的市场价格测算确定股份支付费用，预留限制性股票的会计处理同首次授予限制性股票的会计处理。</w:t>
      </w:r>
    </w:p>
    <w:p>
      <w:pPr>
        <w:widowControl/>
        <w:adjustRightInd w:val="0"/>
        <w:snapToGrid w:val="0"/>
        <w:spacing w:line="560" w:lineRule="exact"/>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公司以目前信息初步估计，限制性股票费用的摊销对有效期内各年净利润有所影响。但同时本次激励计划实施后，将进一步提升员工的凝聚力、团队稳定性，并有效激发管理团队的积极性，从而提高经营效率，给公司带来更高的经营业绩和内在价值。</w:t>
      </w:r>
    </w:p>
    <w:p>
      <w:pPr>
        <w:widowControl/>
        <w:adjustRightInd w:val="0"/>
        <w:snapToGrid w:val="0"/>
        <w:spacing w:line="560" w:lineRule="exact"/>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上述成本摊销预测对公司经营成果影响的最终结果将以会计师事务所出具的年度审计报告为准。</w:t>
      </w:r>
    </w:p>
    <w:p>
      <w:pPr>
        <w:widowControl/>
        <w:adjustRightInd w:val="0"/>
        <w:snapToGrid w:val="0"/>
        <w:spacing w:line="560" w:lineRule="exact"/>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特此公告。 </w:t>
      </w:r>
    </w:p>
    <w:p>
      <w:pPr>
        <w:pStyle w:val="92"/>
        <w:snapToGrid w:val="0"/>
        <w:spacing w:line="56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w:t>
      </w:r>
    </w:p>
    <w:p>
      <w:pPr>
        <w:pStyle w:val="92"/>
        <w:snapToGrid w:val="0"/>
        <w:spacing w:line="560" w:lineRule="exact"/>
        <w:ind w:firstLine="600" w:firstLineChars="200"/>
        <w:jc w:val="right"/>
        <w:rPr>
          <w:rFonts w:ascii="仿宋_GB2312" w:hAnsi="仿宋" w:eastAsia="仿宋_GB2312"/>
          <w:color w:val="auto"/>
          <w:sz w:val="30"/>
          <w:szCs w:val="30"/>
          <w:highlight w:val="none"/>
        </w:rPr>
      </w:pPr>
    </w:p>
    <w:p>
      <w:pPr>
        <w:widowControl/>
        <w:adjustRightInd w:val="0"/>
        <w:snapToGrid w:val="0"/>
        <w:spacing w:line="560" w:lineRule="exact"/>
        <w:ind w:firstLine="600" w:firstLineChars="200"/>
        <w:jc w:val="right"/>
        <w:rPr>
          <w:rFonts w:ascii="宋体" w:hAnsi="宋体" w:eastAsia="宋体" w:cs="宋体"/>
          <w:bCs/>
          <w:sz w:val="24"/>
          <w:szCs w:val="24"/>
          <w:highlight w:val="none"/>
        </w:rPr>
      </w:pPr>
      <w:r>
        <w:rPr>
          <w:rFonts w:hint="eastAsia" w:ascii="仿宋_GB2312" w:hAnsi="仿宋" w:eastAsia="仿宋_GB2312"/>
          <w:sz w:val="30"/>
          <w:szCs w:val="30"/>
          <w:highlight w:val="none"/>
        </w:rPr>
        <w:t xml:space="preserve">                   </w:t>
      </w:r>
      <w:r>
        <w:rPr>
          <w:rFonts w:hint="eastAsia" w:ascii="宋体" w:hAnsi="宋体" w:eastAsia="宋体" w:cs="宋体"/>
          <w:bCs/>
          <w:sz w:val="24"/>
          <w:szCs w:val="24"/>
          <w:highlight w:val="none"/>
        </w:rPr>
        <w:t>重庆望变电气（集团）股份有限公司董事会</w:t>
      </w:r>
    </w:p>
    <w:p>
      <w:pPr>
        <w:widowControl/>
        <w:adjustRightInd w:val="0"/>
        <w:snapToGrid w:val="0"/>
        <w:spacing w:line="560" w:lineRule="exact"/>
        <w:ind w:firstLine="480" w:firstLineChars="200"/>
        <w:jc w:val="right"/>
        <w:rPr>
          <w:rFonts w:ascii="仿宋_GB2312" w:hAnsi="仿宋" w:eastAsia="仿宋_GB2312"/>
          <w:color w:val="000000"/>
          <w:sz w:val="30"/>
          <w:szCs w:val="30"/>
          <w:highlight w:val="none"/>
        </w:rPr>
      </w:pPr>
      <w:r>
        <w:rPr>
          <w:rFonts w:hint="eastAsia" w:ascii="宋体" w:hAnsi="宋体" w:eastAsia="宋体" w:cs="宋体"/>
          <w:bCs/>
          <w:sz w:val="24"/>
          <w:szCs w:val="24"/>
          <w:highlight w:val="none"/>
        </w:rPr>
        <w:t>2024年</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日</w:t>
      </w:r>
    </w:p>
    <w:p>
      <w:pPr>
        <w:snapToGrid w:val="0"/>
        <w:spacing w:line="560" w:lineRule="exact"/>
        <w:rPr>
          <w:rFonts w:ascii="仿宋_GB2312" w:hAnsi="宋体" w:eastAsia="仿宋_GB2312"/>
          <w:sz w:val="30"/>
          <w:szCs w:val="30"/>
        </w:rPr>
      </w:pPr>
    </w:p>
    <w:p>
      <w:pPr>
        <w:adjustRightInd w:val="0"/>
        <w:snapToGrid w:val="0"/>
        <w:spacing w:line="560" w:lineRule="exact"/>
        <w:ind w:firstLine="480" w:firstLineChars="200"/>
        <w:jc w:val="right"/>
        <w:rPr>
          <w:rFonts w:ascii="宋体" w:hAnsi="宋体" w:eastAsia="宋体"/>
          <w:color w:val="00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55"/>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80CC7"/>
    <w:multiLevelType w:val="singleLevel"/>
    <w:tmpl w:val="99F80CC7"/>
    <w:lvl w:ilvl="0" w:tentative="0">
      <w:start w:val="1"/>
      <w:numFmt w:val="chineseCounting"/>
      <w:suff w:val="nothing"/>
      <w:lvlText w:val="（%1）"/>
      <w:lvlJc w:val="left"/>
      <w:rPr>
        <w:rFonts w:hint="eastAsia"/>
      </w:rPr>
    </w:lvl>
  </w:abstractNum>
  <w:abstractNum w:abstractNumId="1">
    <w:nsid w:val="9BF949B9"/>
    <w:multiLevelType w:val="singleLevel"/>
    <w:tmpl w:val="9BF949B9"/>
    <w:lvl w:ilvl="0" w:tentative="0">
      <w:start w:val="2"/>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25F15770"/>
    <w:multiLevelType w:val="multilevel"/>
    <w:tmpl w:val="25F15770"/>
    <w:lvl w:ilvl="0" w:tentative="0">
      <w:start w:val="1"/>
      <w:numFmt w:val="koreanDigital2"/>
      <w:pStyle w:val="109"/>
      <w:suff w:val="space"/>
      <w:lvlText w:val="第%1条"/>
      <w:lvlJc w:val="left"/>
      <w:pPr>
        <w:ind w:left="0" w:firstLine="0"/>
      </w:pPr>
      <w:rPr>
        <w:rFonts w:hint="eastAsia" w:ascii="宋体" w:hAnsi="宋体"/>
        <w:b/>
        <w:i w:val="0"/>
        <w:caps/>
        <w:smallCaps w:val="0"/>
        <w:strike w:val="0"/>
        <w:dstrike w:val="0"/>
        <w:vanish w:val="0"/>
        <w:sz w:val="24"/>
        <w:szCs w:val="24"/>
        <w:u w:val="none"/>
        <w:vertAlign w:val="baseline"/>
      </w:rPr>
    </w:lvl>
    <w:lvl w:ilvl="1" w:tentative="0">
      <w:start w:val="1"/>
      <w:numFmt w:val="decimalZero"/>
      <w:pStyle w:val="108"/>
      <w:isLgl/>
      <w:lvlText w:val="%1.%2"/>
      <w:lvlJc w:val="left"/>
      <w:pPr>
        <w:tabs>
          <w:tab w:val="left" w:pos="720"/>
        </w:tabs>
        <w:ind w:left="0" w:firstLine="1440"/>
      </w:pPr>
      <w:rPr>
        <w:rFonts w:hint="default"/>
        <w:b w:val="0"/>
        <w:i w:val="0"/>
        <w:caps w:val="0"/>
        <w:strike w:val="0"/>
        <w:dstrike w:val="0"/>
        <w:vanish w:val="0"/>
        <w:u w:val="none"/>
        <w:vertAlign w:val="baseline"/>
      </w:rPr>
    </w:lvl>
    <w:lvl w:ilvl="2" w:tentative="0">
      <w:start w:val="1"/>
      <w:numFmt w:val="lowerLetter"/>
      <w:pStyle w:val="107"/>
      <w:lvlText w:val="(%3)"/>
      <w:lvlJc w:val="left"/>
      <w:pPr>
        <w:tabs>
          <w:tab w:val="left" w:pos="1440"/>
        </w:tabs>
        <w:ind w:left="0" w:firstLine="720"/>
      </w:pPr>
      <w:rPr>
        <w:rFonts w:hint="default"/>
        <w:b w:val="0"/>
        <w:i w:val="0"/>
        <w:caps w:val="0"/>
        <w:strike w:val="0"/>
        <w:dstrike w:val="0"/>
        <w:vanish w:val="0"/>
        <w:u w:val="none"/>
        <w:vertAlign w:val="baseline"/>
      </w:rPr>
    </w:lvl>
    <w:lvl w:ilvl="3" w:tentative="0">
      <w:start w:val="1"/>
      <w:numFmt w:val="lowerRoman"/>
      <w:lvlText w:val="(%4)"/>
      <w:lvlJc w:val="left"/>
      <w:pPr>
        <w:tabs>
          <w:tab w:val="left" w:pos="2160"/>
        </w:tabs>
        <w:ind w:left="720" w:firstLine="720"/>
      </w:pPr>
      <w:rPr>
        <w:rFonts w:hint="default"/>
        <w:b w:val="0"/>
        <w:i w:val="0"/>
        <w:caps w:val="0"/>
        <w:strike w:val="0"/>
        <w:dstrike w:val="0"/>
        <w:vanish w:val="0"/>
        <w:u w:val="none"/>
        <w:vertAlign w:val="baseline"/>
      </w:rPr>
    </w:lvl>
    <w:lvl w:ilvl="4" w:tentative="0">
      <w:start w:val="1"/>
      <w:numFmt w:val="ordinalText"/>
      <w:suff w:val="space"/>
      <w:lvlText w:val="%5:"/>
      <w:lvlJc w:val="left"/>
      <w:pPr>
        <w:ind w:left="720" w:firstLine="720"/>
      </w:pPr>
      <w:rPr>
        <w:rFonts w:hint="default"/>
        <w:b w:val="0"/>
        <w:i w:val="0"/>
        <w:caps w:val="0"/>
        <w:strike w:val="0"/>
        <w:dstrike w:val="0"/>
        <w:vanish w:val="0"/>
        <w:u w:val="none"/>
        <w:vertAlign w:val="baseline"/>
      </w:rPr>
    </w:lvl>
    <w:lvl w:ilvl="5"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6"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7"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8"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abstractNum>
  <w:abstractNum w:abstractNumId="13">
    <w:nsid w:val="45410161"/>
    <w:multiLevelType w:val="multilevel"/>
    <w:tmpl w:val="45410161"/>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600D48F0"/>
    <w:multiLevelType w:val="singleLevel"/>
    <w:tmpl w:val="600D48F0"/>
    <w:lvl w:ilvl="0" w:tentative="0">
      <w:start w:val="8"/>
      <w:numFmt w:val="chineseCounting"/>
      <w:suff w:val="nothing"/>
      <w:lvlText w:val="%1、"/>
      <w:lvlJc w:val="left"/>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3"/>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14CE9"/>
    <w:rsid w:val="0003670A"/>
    <w:rsid w:val="000378C7"/>
    <w:rsid w:val="00042D02"/>
    <w:rsid w:val="00064FE8"/>
    <w:rsid w:val="00076EFD"/>
    <w:rsid w:val="0008555B"/>
    <w:rsid w:val="000933D1"/>
    <w:rsid w:val="000A40E4"/>
    <w:rsid w:val="000B1A1F"/>
    <w:rsid w:val="000C53B9"/>
    <w:rsid w:val="000C72A9"/>
    <w:rsid w:val="000D3DA9"/>
    <w:rsid w:val="000D409C"/>
    <w:rsid w:val="00102455"/>
    <w:rsid w:val="00123266"/>
    <w:rsid w:val="001254C4"/>
    <w:rsid w:val="00140439"/>
    <w:rsid w:val="0014777F"/>
    <w:rsid w:val="001507FC"/>
    <w:rsid w:val="0016249D"/>
    <w:rsid w:val="001723E5"/>
    <w:rsid w:val="00190DA2"/>
    <w:rsid w:val="00192BD0"/>
    <w:rsid w:val="001A727A"/>
    <w:rsid w:val="001C1ED6"/>
    <w:rsid w:val="001D06CF"/>
    <w:rsid w:val="001D4E14"/>
    <w:rsid w:val="001D51B9"/>
    <w:rsid w:val="00201DED"/>
    <w:rsid w:val="0020797D"/>
    <w:rsid w:val="00207B64"/>
    <w:rsid w:val="00225FE6"/>
    <w:rsid w:val="00252550"/>
    <w:rsid w:val="00277255"/>
    <w:rsid w:val="002B229C"/>
    <w:rsid w:val="002F53E5"/>
    <w:rsid w:val="003112C9"/>
    <w:rsid w:val="003505CE"/>
    <w:rsid w:val="00351429"/>
    <w:rsid w:val="003541EB"/>
    <w:rsid w:val="003571E3"/>
    <w:rsid w:val="00391A1B"/>
    <w:rsid w:val="0039276C"/>
    <w:rsid w:val="003E38F1"/>
    <w:rsid w:val="003F1451"/>
    <w:rsid w:val="004466B8"/>
    <w:rsid w:val="00464AFC"/>
    <w:rsid w:val="00467390"/>
    <w:rsid w:val="004A21C8"/>
    <w:rsid w:val="004A5BBD"/>
    <w:rsid w:val="004A790E"/>
    <w:rsid w:val="004B5841"/>
    <w:rsid w:val="004B6BDD"/>
    <w:rsid w:val="004D041E"/>
    <w:rsid w:val="004D0E8E"/>
    <w:rsid w:val="004F172D"/>
    <w:rsid w:val="004F6ED8"/>
    <w:rsid w:val="00522BE2"/>
    <w:rsid w:val="0053579F"/>
    <w:rsid w:val="005429C2"/>
    <w:rsid w:val="0055216A"/>
    <w:rsid w:val="005750AA"/>
    <w:rsid w:val="00575F03"/>
    <w:rsid w:val="005A15BF"/>
    <w:rsid w:val="005A2954"/>
    <w:rsid w:val="005B7B64"/>
    <w:rsid w:val="005F57F9"/>
    <w:rsid w:val="006150E2"/>
    <w:rsid w:val="0063047D"/>
    <w:rsid w:val="00636BAE"/>
    <w:rsid w:val="00655840"/>
    <w:rsid w:val="006704CD"/>
    <w:rsid w:val="00672360"/>
    <w:rsid w:val="00684FFB"/>
    <w:rsid w:val="006906F2"/>
    <w:rsid w:val="006A3328"/>
    <w:rsid w:val="006A773E"/>
    <w:rsid w:val="006B1576"/>
    <w:rsid w:val="006E4DD1"/>
    <w:rsid w:val="006F3EE0"/>
    <w:rsid w:val="007142F2"/>
    <w:rsid w:val="00726F44"/>
    <w:rsid w:val="00732B9D"/>
    <w:rsid w:val="00737063"/>
    <w:rsid w:val="00743FC0"/>
    <w:rsid w:val="0078004A"/>
    <w:rsid w:val="007A61FA"/>
    <w:rsid w:val="007B073D"/>
    <w:rsid w:val="007B1916"/>
    <w:rsid w:val="007C3FFA"/>
    <w:rsid w:val="007E572E"/>
    <w:rsid w:val="007F703D"/>
    <w:rsid w:val="007F7EDC"/>
    <w:rsid w:val="008162CF"/>
    <w:rsid w:val="008320FC"/>
    <w:rsid w:val="0084121D"/>
    <w:rsid w:val="0084422E"/>
    <w:rsid w:val="00854FC4"/>
    <w:rsid w:val="00855683"/>
    <w:rsid w:val="00856E6D"/>
    <w:rsid w:val="008627C1"/>
    <w:rsid w:val="008634A7"/>
    <w:rsid w:val="008A5E36"/>
    <w:rsid w:val="008E4B6F"/>
    <w:rsid w:val="008F6EB2"/>
    <w:rsid w:val="0090186C"/>
    <w:rsid w:val="00902203"/>
    <w:rsid w:val="00915D39"/>
    <w:rsid w:val="00923C08"/>
    <w:rsid w:val="00947C32"/>
    <w:rsid w:val="009679A2"/>
    <w:rsid w:val="00992126"/>
    <w:rsid w:val="009B47DE"/>
    <w:rsid w:val="009D1A30"/>
    <w:rsid w:val="009D2542"/>
    <w:rsid w:val="009E3152"/>
    <w:rsid w:val="009E3407"/>
    <w:rsid w:val="00A01CB8"/>
    <w:rsid w:val="00A05D77"/>
    <w:rsid w:val="00A35853"/>
    <w:rsid w:val="00A40BAA"/>
    <w:rsid w:val="00A41695"/>
    <w:rsid w:val="00A51C23"/>
    <w:rsid w:val="00A53142"/>
    <w:rsid w:val="00A5357E"/>
    <w:rsid w:val="00A56C7F"/>
    <w:rsid w:val="00A57119"/>
    <w:rsid w:val="00A81E75"/>
    <w:rsid w:val="00A823F8"/>
    <w:rsid w:val="00AC3419"/>
    <w:rsid w:val="00AD0F45"/>
    <w:rsid w:val="00B016E7"/>
    <w:rsid w:val="00B13254"/>
    <w:rsid w:val="00B3614E"/>
    <w:rsid w:val="00B61EEE"/>
    <w:rsid w:val="00B9137C"/>
    <w:rsid w:val="00B971E4"/>
    <w:rsid w:val="00BA49C4"/>
    <w:rsid w:val="00BB03CC"/>
    <w:rsid w:val="00BB5947"/>
    <w:rsid w:val="00BB61B6"/>
    <w:rsid w:val="00BC233A"/>
    <w:rsid w:val="00BD3997"/>
    <w:rsid w:val="00BE7D13"/>
    <w:rsid w:val="00BF7BDB"/>
    <w:rsid w:val="00C009B6"/>
    <w:rsid w:val="00C013F5"/>
    <w:rsid w:val="00C47186"/>
    <w:rsid w:val="00C55BBD"/>
    <w:rsid w:val="00C56BA2"/>
    <w:rsid w:val="00C73B54"/>
    <w:rsid w:val="00C7508F"/>
    <w:rsid w:val="00CB35C7"/>
    <w:rsid w:val="00CC6AE1"/>
    <w:rsid w:val="00CD08C9"/>
    <w:rsid w:val="00CF4977"/>
    <w:rsid w:val="00D25F85"/>
    <w:rsid w:val="00D4059C"/>
    <w:rsid w:val="00D45861"/>
    <w:rsid w:val="00D46F41"/>
    <w:rsid w:val="00D65BA4"/>
    <w:rsid w:val="00D76D97"/>
    <w:rsid w:val="00D8189C"/>
    <w:rsid w:val="00DB13C5"/>
    <w:rsid w:val="00DB744D"/>
    <w:rsid w:val="00DC6C34"/>
    <w:rsid w:val="00DC78D5"/>
    <w:rsid w:val="00DD62E6"/>
    <w:rsid w:val="00DE6E82"/>
    <w:rsid w:val="00DF73E8"/>
    <w:rsid w:val="00E301F1"/>
    <w:rsid w:val="00E558AE"/>
    <w:rsid w:val="00E667EA"/>
    <w:rsid w:val="00E746B0"/>
    <w:rsid w:val="00E818E9"/>
    <w:rsid w:val="00E82A34"/>
    <w:rsid w:val="00E95F43"/>
    <w:rsid w:val="00E97956"/>
    <w:rsid w:val="00EC496E"/>
    <w:rsid w:val="00EE084C"/>
    <w:rsid w:val="00F0268C"/>
    <w:rsid w:val="00F3599D"/>
    <w:rsid w:val="00F36086"/>
    <w:rsid w:val="00F54E0B"/>
    <w:rsid w:val="00F670DD"/>
    <w:rsid w:val="00F70648"/>
    <w:rsid w:val="00F70E7D"/>
    <w:rsid w:val="00FC17CB"/>
    <w:rsid w:val="00FD0FAD"/>
    <w:rsid w:val="00FE6306"/>
    <w:rsid w:val="00FF7741"/>
    <w:rsid w:val="0272202F"/>
    <w:rsid w:val="03343D40"/>
    <w:rsid w:val="03BC2DDC"/>
    <w:rsid w:val="051D2BD1"/>
    <w:rsid w:val="08317AF9"/>
    <w:rsid w:val="094457B5"/>
    <w:rsid w:val="09D93D68"/>
    <w:rsid w:val="0AB96B89"/>
    <w:rsid w:val="0AF40FFC"/>
    <w:rsid w:val="0B5A614F"/>
    <w:rsid w:val="0BA87C9C"/>
    <w:rsid w:val="0CB64A29"/>
    <w:rsid w:val="0DF129EC"/>
    <w:rsid w:val="0F72351D"/>
    <w:rsid w:val="1346590F"/>
    <w:rsid w:val="13FB01CA"/>
    <w:rsid w:val="14172444"/>
    <w:rsid w:val="1A171801"/>
    <w:rsid w:val="1DAB6DD2"/>
    <w:rsid w:val="1DF06EC2"/>
    <w:rsid w:val="200A4F8B"/>
    <w:rsid w:val="224340DA"/>
    <w:rsid w:val="24A216A6"/>
    <w:rsid w:val="27BD77B9"/>
    <w:rsid w:val="28DF4F8C"/>
    <w:rsid w:val="2A6940E5"/>
    <w:rsid w:val="2BBE6134"/>
    <w:rsid w:val="2F9044D2"/>
    <w:rsid w:val="306C01D8"/>
    <w:rsid w:val="30E156D2"/>
    <w:rsid w:val="32D57EA5"/>
    <w:rsid w:val="33051DC0"/>
    <w:rsid w:val="3350577D"/>
    <w:rsid w:val="340E7867"/>
    <w:rsid w:val="35585845"/>
    <w:rsid w:val="35B55AA7"/>
    <w:rsid w:val="36157E17"/>
    <w:rsid w:val="361E1706"/>
    <w:rsid w:val="38BB39B1"/>
    <w:rsid w:val="39882687"/>
    <w:rsid w:val="3A5A39CC"/>
    <w:rsid w:val="3AA458EA"/>
    <w:rsid w:val="3BE61717"/>
    <w:rsid w:val="3F2943D2"/>
    <w:rsid w:val="42132C5D"/>
    <w:rsid w:val="42991A4C"/>
    <w:rsid w:val="42DC0663"/>
    <w:rsid w:val="44D22F34"/>
    <w:rsid w:val="44D46601"/>
    <w:rsid w:val="454B7184"/>
    <w:rsid w:val="46ED5E7D"/>
    <w:rsid w:val="47312A24"/>
    <w:rsid w:val="49FB7A73"/>
    <w:rsid w:val="4A36568F"/>
    <w:rsid w:val="4DD840D9"/>
    <w:rsid w:val="4E2F4A05"/>
    <w:rsid w:val="4E7F373F"/>
    <w:rsid w:val="4E8A006A"/>
    <w:rsid w:val="5150387B"/>
    <w:rsid w:val="521827E2"/>
    <w:rsid w:val="529D4CCA"/>
    <w:rsid w:val="542D006B"/>
    <w:rsid w:val="54CA7B2B"/>
    <w:rsid w:val="54E825DB"/>
    <w:rsid w:val="55CE6B97"/>
    <w:rsid w:val="57B0432B"/>
    <w:rsid w:val="57B1777A"/>
    <w:rsid w:val="59007E53"/>
    <w:rsid w:val="5C4B0760"/>
    <w:rsid w:val="5CE164BE"/>
    <w:rsid w:val="5D261C07"/>
    <w:rsid w:val="61FA1919"/>
    <w:rsid w:val="63C562D2"/>
    <w:rsid w:val="64254C22"/>
    <w:rsid w:val="64380EB6"/>
    <w:rsid w:val="6747227C"/>
    <w:rsid w:val="6843080A"/>
    <w:rsid w:val="69A55478"/>
    <w:rsid w:val="6A823CB0"/>
    <w:rsid w:val="6C89676B"/>
    <w:rsid w:val="6EC21834"/>
    <w:rsid w:val="6F8E647A"/>
    <w:rsid w:val="6FF8393F"/>
    <w:rsid w:val="71374B14"/>
    <w:rsid w:val="714E0CD7"/>
    <w:rsid w:val="71E91A60"/>
    <w:rsid w:val="74383A67"/>
    <w:rsid w:val="74843736"/>
    <w:rsid w:val="75E13877"/>
    <w:rsid w:val="76310FC3"/>
    <w:rsid w:val="7650160A"/>
    <w:rsid w:val="771357EC"/>
    <w:rsid w:val="77D11EA6"/>
    <w:rsid w:val="7C1E2F09"/>
    <w:rsid w:val="7C3E412A"/>
    <w:rsid w:val="7C8B316B"/>
    <w:rsid w:val="7EA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nhideWhenUsed="0" w:uiPriority="0" w:semiHidden="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iPriority="0" w:name="Signature"/>
    <w:lsdException w:qFormat="1" w:uiPriority="1" w:name="Default Paragraph Font"/>
    <w:lsdException w:qFormat="1" w:unhideWhenUsed="0" w:uiPriority="0" w:name="Body Text"/>
    <w:lsdException w:qFormat="1" w:uiPriority="0" w:name="Body Text Indent"/>
    <w:lsdException w:qFormat="1" w:uiPriority="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0" w:semiHidden="0" w:name="Subtitle"/>
    <w:lsdException w:qFormat="1" w:uiPriority="0" w:name="Salutation"/>
    <w:lsdException w:qFormat="1" w:uiPriority="0" w:name="Date"/>
    <w:lsdException w:qFormat="1" w:uiPriority="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qFormat="1" w:uiPriority="0" w:name="E-mail Signature"/>
    <w:lsdException w:qFormat="1" w:uiPriority="99"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5"/>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6"/>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1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8"/>
    <w:autoRedefine/>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9"/>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20"/>
    <w:autoRedefine/>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21"/>
    <w:autoRedefine/>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22"/>
    <w:autoRedefine/>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89">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7"/>
    <w:autoRedefine/>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0"/>
    <w:pPr>
      <w:ind w:left="100" w:leftChars="400" w:hanging="200" w:hangingChars="200"/>
      <w:contextualSpacing/>
    </w:pPr>
  </w:style>
  <w:style w:type="paragraph" w:styleId="13">
    <w:name w:val="toc 7"/>
    <w:basedOn w:val="1"/>
    <w:next w:val="1"/>
    <w:autoRedefine/>
    <w:semiHidden/>
    <w:unhideWhenUsed/>
    <w:qFormat/>
    <w:uiPriority w:val="0"/>
    <w:pPr>
      <w:ind w:left="2520" w:leftChars="1200"/>
    </w:pPr>
  </w:style>
  <w:style w:type="paragraph" w:styleId="14">
    <w:name w:val="List Number 2"/>
    <w:basedOn w:val="1"/>
    <w:autoRedefine/>
    <w:semiHidden/>
    <w:unhideWhenUsed/>
    <w:qFormat/>
    <w:uiPriority w:val="0"/>
    <w:pPr>
      <w:numPr>
        <w:ilvl w:val="0"/>
        <w:numId w:val="1"/>
      </w:numPr>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49"/>
    <w:autoRedefine/>
    <w:semiHidden/>
    <w:unhideWhenUsed/>
    <w:qFormat/>
    <w:uiPriority w:val="0"/>
    <w:pPr>
      <w:jc w:val="center"/>
    </w:pPr>
  </w:style>
  <w:style w:type="paragraph" w:styleId="17">
    <w:name w:val="List Bullet 4"/>
    <w:basedOn w:val="1"/>
    <w:autoRedefine/>
    <w:semiHidden/>
    <w:unhideWhenUsed/>
    <w:qFormat/>
    <w:uiPriority w:val="0"/>
    <w:pPr>
      <w:numPr>
        <w:ilvl w:val="0"/>
        <w:numId w:val="2"/>
      </w:numPr>
      <w:contextualSpacing/>
    </w:pPr>
  </w:style>
  <w:style w:type="paragraph" w:styleId="18">
    <w:name w:val="index 8"/>
    <w:basedOn w:val="1"/>
    <w:next w:val="1"/>
    <w:autoRedefine/>
    <w:semiHidden/>
    <w:unhideWhenUsed/>
    <w:qFormat/>
    <w:uiPriority w:val="0"/>
    <w:pPr>
      <w:ind w:left="1400" w:leftChars="1400"/>
    </w:pPr>
  </w:style>
  <w:style w:type="paragraph" w:styleId="19">
    <w:name w:val="E-mail Signature"/>
    <w:basedOn w:val="1"/>
    <w:link w:val="125"/>
    <w:autoRedefine/>
    <w:semiHidden/>
    <w:unhideWhenUsed/>
    <w:qFormat/>
    <w:uiPriority w:val="0"/>
  </w:style>
  <w:style w:type="paragraph" w:styleId="20">
    <w:name w:val="List Number"/>
    <w:basedOn w:val="1"/>
    <w:autoRedefine/>
    <w:semiHidden/>
    <w:unhideWhenUsed/>
    <w:qFormat/>
    <w:uiPriority w:val="0"/>
    <w:pPr>
      <w:numPr>
        <w:ilvl w:val="0"/>
        <w:numId w:val="3"/>
      </w:numPr>
      <w:contextualSpacing/>
    </w:pPr>
  </w:style>
  <w:style w:type="paragraph" w:styleId="21">
    <w:name w:val="Normal Indent"/>
    <w:basedOn w:val="1"/>
    <w:autoRedefine/>
    <w:semiHidden/>
    <w:unhideWhenUsed/>
    <w:qFormat/>
    <w:uiPriority w:val="0"/>
    <w:pPr>
      <w:ind w:firstLine="420" w:firstLineChars="200"/>
    </w:pPr>
  </w:style>
  <w:style w:type="paragraph" w:styleId="22">
    <w:name w:val="caption"/>
    <w:basedOn w:val="1"/>
    <w:next w:val="1"/>
    <w:autoRedefine/>
    <w:semiHidden/>
    <w:unhideWhenUsed/>
    <w:qFormat/>
    <w:uiPriority w:val="0"/>
    <w:rPr>
      <w:rFonts w:eastAsia="黑体" w:asciiTheme="majorHAnsi" w:hAnsiTheme="majorHAnsi" w:cstheme="majorBidi"/>
      <w:sz w:val="20"/>
      <w:szCs w:val="20"/>
    </w:rPr>
  </w:style>
  <w:style w:type="paragraph" w:styleId="23">
    <w:name w:val="index 5"/>
    <w:basedOn w:val="1"/>
    <w:next w:val="1"/>
    <w:autoRedefine/>
    <w:semiHidden/>
    <w:unhideWhenUsed/>
    <w:qFormat/>
    <w:uiPriority w:val="0"/>
    <w:pPr>
      <w:ind w:left="800" w:leftChars="800"/>
    </w:pPr>
  </w:style>
  <w:style w:type="paragraph" w:styleId="24">
    <w:name w:val="List Bullet"/>
    <w:basedOn w:val="1"/>
    <w:autoRedefine/>
    <w:qFormat/>
    <w:uiPriority w:val="0"/>
    <w:pPr>
      <w:numPr>
        <w:ilvl w:val="0"/>
        <w:numId w:val="4"/>
      </w:numPr>
      <w:contextualSpacing/>
    </w:pPr>
  </w:style>
  <w:style w:type="paragraph" w:styleId="25">
    <w:name w:val="envelope address"/>
    <w:basedOn w:val="1"/>
    <w:autoRedefine/>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6"/>
    <w:autoRedefine/>
    <w:semiHidden/>
    <w:unhideWhenUsed/>
    <w:qFormat/>
    <w:uiPriority w:val="0"/>
    <w:rPr>
      <w:rFonts w:ascii="Microsoft YaHei UI" w:eastAsia="Microsoft YaHei UI"/>
      <w:sz w:val="18"/>
      <w:szCs w:val="18"/>
    </w:rPr>
  </w:style>
  <w:style w:type="paragraph" w:styleId="27">
    <w:name w:val="toa heading"/>
    <w:basedOn w:val="1"/>
    <w:next w:val="1"/>
    <w:autoRedefine/>
    <w:semiHidden/>
    <w:unhideWhenUsed/>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97"/>
    <w:autoRedefine/>
    <w:qFormat/>
    <w:uiPriority w:val="0"/>
    <w:pPr>
      <w:jc w:val="left"/>
    </w:pPr>
  </w:style>
  <w:style w:type="paragraph" w:styleId="29">
    <w:name w:val="index 6"/>
    <w:basedOn w:val="1"/>
    <w:next w:val="1"/>
    <w:autoRedefine/>
    <w:semiHidden/>
    <w:unhideWhenUsed/>
    <w:qFormat/>
    <w:uiPriority w:val="0"/>
    <w:pPr>
      <w:ind w:left="1000" w:leftChars="1000"/>
    </w:pPr>
  </w:style>
  <w:style w:type="paragraph" w:styleId="30">
    <w:name w:val="Salutation"/>
    <w:basedOn w:val="1"/>
    <w:next w:val="1"/>
    <w:link w:val="123"/>
    <w:autoRedefine/>
    <w:semiHidden/>
    <w:unhideWhenUsed/>
    <w:qFormat/>
    <w:uiPriority w:val="0"/>
  </w:style>
  <w:style w:type="paragraph" w:styleId="31">
    <w:name w:val="Body Text 3"/>
    <w:basedOn w:val="1"/>
    <w:link w:val="142"/>
    <w:autoRedefine/>
    <w:semiHidden/>
    <w:unhideWhenUsed/>
    <w:qFormat/>
    <w:uiPriority w:val="0"/>
    <w:pPr>
      <w:spacing w:after="120"/>
    </w:pPr>
    <w:rPr>
      <w:sz w:val="16"/>
      <w:szCs w:val="16"/>
    </w:rPr>
  </w:style>
  <w:style w:type="paragraph" w:styleId="32">
    <w:name w:val="Closing"/>
    <w:basedOn w:val="1"/>
    <w:link w:val="129"/>
    <w:autoRedefine/>
    <w:semiHidden/>
    <w:unhideWhenUsed/>
    <w:qFormat/>
    <w:uiPriority w:val="0"/>
    <w:pPr>
      <w:ind w:left="100" w:leftChars="2100"/>
    </w:pPr>
  </w:style>
  <w:style w:type="paragraph" w:styleId="33">
    <w:name w:val="List Bullet 3"/>
    <w:basedOn w:val="1"/>
    <w:autoRedefine/>
    <w:semiHidden/>
    <w:unhideWhenUsed/>
    <w:qFormat/>
    <w:uiPriority w:val="0"/>
    <w:pPr>
      <w:numPr>
        <w:ilvl w:val="0"/>
        <w:numId w:val="5"/>
      </w:numPr>
      <w:contextualSpacing/>
    </w:pPr>
  </w:style>
  <w:style w:type="paragraph" w:styleId="34">
    <w:name w:val="Body Text"/>
    <w:basedOn w:val="1"/>
    <w:link w:val="143"/>
    <w:autoRedefine/>
    <w:semiHidden/>
    <w:qFormat/>
    <w:uiPriority w:val="0"/>
    <w:pPr>
      <w:spacing w:line="560" w:lineRule="exact"/>
      <w:ind w:firstLine="480" w:firstLineChars="200"/>
    </w:pPr>
    <w:rPr>
      <w:rFonts w:ascii="宋体" w:hAnsi="宋体" w:eastAsia="宋体" w:cs="宋体"/>
      <w:sz w:val="24"/>
      <w:szCs w:val="24"/>
      <w:lang w:eastAsia="en-US"/>
    </w:rPr>
  </w:style>
  <w:style w:type="paragraph" w:styleId="35">
    <w:name w:val="Body Text Indent"/>
    <w:basedOn w:val="1"/>
    <w:link w:val="145"/>
    <w:autoRedefine/>
    <w:semiHidden/>
    <w:unhideWhenUsed/>
    <w:qFormat/>
    <w:uiPriority w:val="0"/>
    <w:pPr>
      <w:spacing w:after="120"/>
      <w:ind w:left="420" w:leftChars="200"/>
    </w:pPr>
  </w:style>
  <w:style w:type="paragraph" w:styleId="36">
    <w:name w:val="List Number 3"/>
    <w:basedOn w:val="1"/>
    <w:autoRedefine/>
    <w:semiHidden/>
    <w:unhideWhenUsed/>
    <w:qFormat/>
    <w:uiPriority w:val="0"/>
    <w:pPr>
      <w:numPr>
        <w:ilvl w:val="0"/>
        <w:numId w:val="6"/>
      </w:numPr>
      <w:contextualSpacing/>
    </w:pPr>
  </w:style>
  <w:style w:type="paragraph" w:styleId="37">
    <w:name w:val="List 2"/>
    <w:basedOn w:val="1"/>
    <w:autoRedefine/>
    <w:semiHidden/>
    <w:unhideWhenUsed/>
    <w:qFormat/>
    <w:uiPriority w:val="0"/>
    <w:pPr>
      <w:ind w:left="100" w:leftChars="200" w:hanging="200" w:hangingChars="200"/>
      <w:contextualSpacing/>
    </w:pPr>
  </w:style>
  <w:style w:type="paragraph" w:styleId="38">
    <w:name w:val="List Continue"/>
    <w:basedOn w:val="1"/>
    <w:autoRedefine/>
    <w:semiHidden/>
    <w:unhideWhenUsed/>
    <w:qFormat/>
    <w:uiPriority w:val="0"/>
    <w:pPr>
      <w:spacing w:after="120"/>
      <w:ind w:left="420" w:leftChars="200"/>
      <w:contextualSpacing/>
    </w:pPr>
  </w:style>
  <w:style w:type="paragraph" w:styleId="39">
    <w:name w:val="Block Text"/>
    <w:basedOn w:val="1"/>
    <w:autoRedefine/>
    <w:semiHidden/>
    <w:unhideWhenUsed/>
    <w:qFormat/>
    <w:uiPriority w:val="0"/>
    <w:pPr>
      <w:spacing w:after="120"/>
      <w:ind w:left="1440" w:leftChars="700" w:right="1440" w:rightChars="700"/>
    </w:pPr>
  </w:style>
  <w:style w:type="paragraph" w:styleId="40">
    <w:name w:val="List Bullet 2"/>
    <w:basedOn w:val="1"/>
    <w:autoRedefine/>
    <w:semiHidden/>
    <w:unhideWhenUsed/>
    <w:qFormat/>
    <w:uiPriority w:val="0"/>
    <w:pPr>
      <w:numPr>
        <w:ilvl w:val="0"/>
        <w:numId w:val="7"/>
      </w:numPr>
      <w:contextualSpacing/>
    </w:pPr>
  </w:style>
  <w:style w:type="paragraph" w:styleId="41">
    <w:name w:val="HTML Address"/>
    <w:basedOn w:val="1"/>
    <w:link w:val="111"/>
    <w:autoRedefine/>
    <w:semiHidden/>
    <w:unhideWhenUsed/>
    <w:qFormat/>
    <w:uiPriority w:val="0"/>
    <w:rPr>
      <w:i/>
      <w:iCs/>
    </w:rPr>
  </w:style>
  <w:style w:type="paragraph" w:styleId="42">
    <w:name w:val="index 4"/>
    <w:basedOn w:val="1"/>
    <w:next w:val="1"/>
    <w:autoRedefine/>
    <w:semiHidden/>
    <w:unhideWhenUsed/>
    <w:qFormat/>
    <w:uiPriority w:val="0"/>
    <w:pPr>
      <w:ind w:left="600" w:leftChars="600"/>
    </w:pPr>
  </w:style>
  <w:style w:type="paragraph" w:styleId="43">
    <w:name w:val="toc 5"/>
    <w:basedOn w:val="1"/>
    <w:next w:val="1"/>
    <w:autoRedefine/>
    <w:semiHidden/>
    <w:unhideWhenUsed/>
    <w:qFormat/>
    <w:uiPriority w:val="0"/>
    <w:pPr>
      <w:ind w:left="1680" w:leftChars="800"/>
    </w:pPr>
  </w:style>
  <w:style w:type="paragraph" w:styleId="44">
    <w:name w:val="toc 3"/>
    <w:basedOn w:val="1"/>
    <w:next w:val="1"/>
    <w:autoRedefine/>
    <w:semiHidden/>
    <w:unhideWhenUsed/>
    <w:qFormat/>
    <w:uiPriority w:val="0"/>
    <w:pPr>
      <w:ind w:left="840" w:leftChars="400"/>
    </w:pPr>
  </w:style>
  <w:style w:type="paragraph" w:styleId="45">
    <w:name w:val="Plain Text"/>
    <w:basedOn w:val="1"/>
    <w:link w:val="124"/>
    <w:autoRedefine/>
    <w:semiHidden/>
    <w:unhideWhenUsed/>
    <w:qFormat/>
    <w:uiPriority w:val="0"/>
    <w:rPr>
      <w:rFonts w:hAnsi="Courier New" w:cs="Courier New" w:asciiTheme="minorEastAsia"/>
    </w:rPr>
  </w:style>
  <w:style w:type="paragraph" w:styleId="46">
    <w:name w:val="List Bullet 5"/>
    <w:basedOn w:val="1"/>
    <w:autoRedefine/>
    <w:semiHidden/>
    <w:unhideWhenUsed/>
    <w:qFormat/>
    <w:uiPriority w:val="0"/>
    <w:pPr>
      <w:numPr>
        <w:ilvl w:val="0"/>
        <w:numId w:val="8"/>
      </w:numPr>
      <w:contextualSpacing/>
    </w:pPr>
  </w:style>
  <w:style w:type="paragraph" w:styleId="47">
    <w:name w:val="List Number 4"/>
    <w:basedOn w:val="1"/>
    <w:autoRedefine/>
    <w:semiHidden/>
    <w:unhideWhenUsed/>
    <w:qFormat/>
    <w:uiPriority w:val="0"/>
    <w:pPr>
      <w:numPr>
        <w:ilvl w:val="0"/>
        <w:numId w:val="9"/>
      </w:numPr>
      <w:contextualSpacing/>
    </w:pPr>
  </w:style>
  <w:style w:type="paragraph" w:styleId="48">
    <w:name w:val="toc 8"/>
    <w:basedOn w:val="1"/>
    <w:next w:val="1"/>
    <w:autoRedefine/>
    <w:semiHidden/>
    <w:unhideWhenUsed/>
    <w:qFormat/>
    <w:uiPriority w:val="0"/>
    <w:pPr>
      <w:ind w:left="2940" w:leftChars="1400"/>
    </w:pPr>
  </w:style>
  <w:style w:type="paragraph" w:styleId="49">
    <w:name w:val="index 3"/>
    <w:basedOn w:val="1"/>
    <w:next w:val="1"/>
    <w:autoRedefine/>
    <w:semiHidden/>
    <w:unhideWhenUsed/>
    <w:qFormat/>
    <w:uiPriority w:val="0"/>
    <w:pPr>
      <w:ind w:left="400" w:leftChars="400"/>
    </w:pPr>
  </w:style>
  <w:style w:type="paragraph" w:styleId="50">
    <w:name w:val="Date"/>
    <w:basedOn w:val="1"/>
    <w:next w:val="1"/>
    <w:link w:val="133"/>
    <w:autoRedefine/>
    <w:semiHidden/>
    <w:unhideWhenUsed/>
    <w:qFormat/>
    <w:uiPriority w:val="0"/>
    <w:pPr>
      <w:ind w:left="100" w:leftChars="2500"/>
    </w:pPr>
  </w:style>
  <w:style w:type="paragraph" w:styleId="51">
    <w:name w:val="Body Text Indent 2"/>
    <w:basedOn w:val="1"/>
    <w:link w:val="147"/>
    <w:autoRedefine/>
    <w:semiHidden/>
    <w:unhideWhenUsed/>
    <w:qFormat/>
    <w:uiPriority w:val="0"/>
    <w:pPr>
      <w:spacing w:after="120" w:line="480" w:lineRule="auto"/>
      <w:ind w:left="420" w:leftChars="200"/>
    </w:pPr>
  </w:style>
  <w:style w:type="paragraph" w:styleId="52">
    <w:name w:val="endnote text"/>
    <w:basedOn w:val="1"/>
    <w:link w:val="135"/>
    <w:autoRedefine/>
    <w:semiHidden/>
    <w:unhideWhenUsed/>
    <w:qFormat/>
    <w:uiPriority w:val="0"/>
    <w:pPr>
      <w:snapToGrid w:val="0"/>
      <w:jc w:val="left"/>
    </w:pPr>
  </w:style>
  <w:style w:type="paragraph" w:styleId="53">
    <w:name w:val="List Continue 5"/>
    <w:basedOn w:val="1"/>
    <w:autoRedefine/>
    <w:qFormat/>
    <w:uiPriority w:val="0"/>
    <w:pPr>
      <w:spacing w:after="120"/>
      <w:ind w:left="2100" w:leftChars="1000"/>
      <w:contextualSpacing/>
    </w:pPr>
  </w:style>
  <w:style w:type="paragraph" w:styleId="54">
    <w:name w:val="Balloon Text"/>
    <w:basedOn w:val="1"/>
    <w:link w:val="96"/>
    <w:autoRedefine/>
    <w:qFormat/>
    <w:uiPriority w:val="0"/>
    <w:rPr>
      <w:sz w:val="18"/>
      <w:szCs w:val="18"/>
    </w:rPr>
  </w:style>
  <w:style w:type="paragraph" w:styleId="55">
    <w:name w:val="footer"/>
    <w:basedOn w:val="1"/>
    <w:link w:val="94"/>
    <w:autoRedefine/>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0"/>
    <w:pPr>
      <w:snapToGrid w:val="0"/>
    </w:pPr>
    <w:rPr>
      <w:rFonts w:asciiTheme="majorHAnsi" w:hAnsiTheme="majorHAnsi" w:eastAsiaTheme="majorEastAsia" w:cstheme="majorBidi"/>
    </w:rPr>
  </w:style>
  <w:style w:type="paragraph" w:styleId="57">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2"/>
    <w:autoRedefine/>
    <w:semiHidden/>
    <w:unhideWhenUsed/>
    <w:qFormat/>
    <w:uiPriority w:val="0"/>
    <w:pPr>
      <w:ind w:left="100" w:leftChars="2100"/>
    </w:pPr>
  </w:style>
  <w:style w:type="paragraph" w:styleId="59">
    <w:name w:val="toc 1"/>
    <w:basedOn w:val="1"/>
    <w:next w:val="1"/>
    <w:autoRedefine/>
    <w:semiHidden/>
    <w:unhideWhenUsed/>
    <w:qFormat/>
    <w:uiPriority w:val="0"/>
  </w:style>
  <w:style w:type="paragraph" w:styleId="60">
    <w:name w:val="List Continue 4"/>
    <w:basedOn w:val="1"/>
    <w:autoRedefine/>
    <w:qFormat/>
    <w:uiPriority w:val="0"/>
    <w:pPr>
      <w:spacing w:after="120"/>
      <w:ind w:left="1680" w:leftChars="800"/>
      <w:contextualSpacing/>
    </w:pPr>
  </w:style>
  <w:style w:type="paragraph" w:styleId="61">
    <w:name w:val="toc 4"/>
    <w:basedOn w:val="1"/>
    <w:next w:val="1"/>
    <w:autoRedefine/>
    <w:semiHidden/>
    <w:unhideWhenUsed/>
    <w:qFormat/>
    <w:uiPriority w:val="0"/>
    <w:pPr>
      <w:ind w:left="1260" w:leftChars="600"/>
    </w:pPr>
  </w:style>
  <w:style w:type="paragraph" w:styleId="62">
    <w:name w:val="index heading"/>
    <w:basedOn w:val="1"/>
    <w:next w:val="63"/>
    <w:autoRedefine/>
    <w:semiHidden/>
    <w:unhideWhenUsed/>
    <w:qFormat/>
    <w:uiPriority w:val="0"/>
    <w:rPr>
      <w:rFonts w:asciiTheme="majorHAnsi" w:hAnsiTheme="majorHAnsi" w:eastAsiaTheme="majorEastAsia" w:cstheme="majorBidi"/>
      <w:b/>
      <w:bCs/>
    </w:rPr>
  </w:style>
  <w:style w:type="paragraph" w:styleId="63">
    <w:name w:val="index 1"/>
    <w:basedOn w:val="1"/>
    <w:next w:val="1"/>
    <w:autoRedefine/>
    <w:semiHidden/>
    <w:unhideWhenUsed/>
    <w:qFormat/>
    <w:uiPriority w:val="0"/>
  </w:style>
  <w:style w:type="paragraph" w:styleId="64">
    <w:name w:val="Subtitle"/>
    <w:basedOn w:val="1"/>
    <w:next w:val="1"/>
    <w:link w:val="126"/>
    <w:autoRedefine/>
    <w:qFormat/>
    <w:uiPriority w:val="0"/>
    <w:pPr>
      <w:spacing w:before="240" w:after="60" w:line="312" w:lineRule="auto"/>
      <w:jc w:val="center"/>
      <w:outlineLvl w:val="1"/>
    </w:pPr>
    <w:rPr>
      <w:b/>
      <w:bCs/>
      <w:kern w:val="28"/>
      <w:sz w:val="32"/>
      <w:szCs w:val="32"/>
    </w:rPr>
  </w:style>
  <w:style w:type="paragraph" w:styleId="65">
    <w:name w:val="List Number 5"/>
    <w:basedOn w:val="1"/>
    <w:autoRedefine/>
    <w:semiHidden/>
    <w:unhideWhenUsed/>
    <w:qFormat/>
    <w:uiPriority w:val="0"/>
    <w:pPr>
      <w:numPr>
        <w:ilvl w:val="0"/>
        <w:numId w:val="10"/>
      </w:numPr>
      <w:contextualSpacing/>
    </w:pPr>
  </w:style>
  <w:style w:type="paragraph" w:styleId="66">
    <w:name w:val="List"/>
    <w:basedOn w:val="1"/>
    <w:autoRedefine/>
    <w:qFormat/>
    <w:uiPriority w:val="0"/>
    <w:pPr>
      <w:ind w:left="200" w:hanging="200" w:hangingChars="200"/>
      <w:contextualSpacing/>
    </w:pPr>
  </w:style>
  <w:style w:type="paragraph" w:styleId="67">
    <w:name w:val="footnote text"/>
    <w:basedOn w:val="1"/>
    <w:link w:val="128"/>
    <w:autoRedefine/>
    <w:semiHidden/>
    <w:unhideWhenUsed/>
    <w:qFormat/>
    <w:uiPriority w:val="0"/>
    <w:pPr>
      <w:snapToGrid w:val="0"/>
      <w:jc w:val="left"/>
    </w:pPr>
    <w:rPr>
      <w:sz w:val="18"/>
      <w:szCs w:val="18"/>
    </w:rPr>
  </w:style>
  <w:style w:type="paragraph" w:styleId="68">
    <w:name w:val="toc 6"/>
    <w:basedOn w:val="1"/>
    <w:next w:val="1"/>
    <w:autoRedefine/>
    <w:semiHidden/>
    <w:unhideWhenUsed/>
    <w:qFormat/>
    <w:uiPriority w:val="0"/>
    <w:pPr>
      <w:ind w:left="2100" w:leftChars="1000"/>
    </w:pPr>
  </w:style>
  <w:style w:type="paragraph" w:styleId="69">
    <w:name w:val="List 5"/>
    <w:basedOn w:val="1"/>
    <w:autoRedefine/>
    <w:semiHidden/>
    <w:unhideWhenUsed/>
    <w:qFormat/>
    <w:uiPriority w:val="0"/>
    <w:pPr>
      <w:ind w:left="100" w:leftChars="800" w:hanging="200" w:hangingChars="200"/>
      <w:contextualSpacing/>
    </w:pPr>
  </w:style>
  <w:style w:type="paragraph" w:styleId="70">
    <w:name w:val="Body Text Indent 3"/>
    <w:basedOn w:val="1"/>
    <w:link w:val="148"/>
    <w:autoRedefine/>
    <w:semiHidden/>
    <w:unhideWhenUsed/>
    <w:qFormat/>
    <w:uiPriority w:val="0"/>
    <w:pPr>
      <w:spacing w:after="120"/>
      <w:ind w:left="420" w:leftChars="200"/>
    </w:pPr>
    <w:rPr>
      <w:sz w:val="16"/>
      <w:szCs w:val="16"/>
    </w:rPr>
  </w:style>
  <w:style w:type="paragraph" w:styleId="71">
    <w:name w:val="index 7"/>
    <w:basedOn w:val="1"/>
    <w:next w:val="1"/>
    <w:autoRedefine/>
    <w:semiHidden/>
    <w:unhideWhenUsed/>
    <w:qFormat/>
    <w:uiPriority w:val="0"/>
    <w:pPr>
      <w:ind w:left="1200" w:leftChars="1200"/>
    </w:pPr>
  </w:style>
  <w:style w:type="paragraph" w:styleId="72">
    <w:name w:val="index 9"/>
    <w:basedOn w:val="1"/>
    <w:next w:val="1"/>
    <w:autoRedefine/>
    <w:semiHidden/>
    <w:unhideWhenUsed/>
    <w:qFormat/>
    <w:uiPriority w:val="0"/>
    <w:pPr>
      <w:ind w:left="1600" w:leftChars="1600"/>
    </w:pPr>
  </w:style>
  <w:style w:type="paragraph" w:styleId="73">
    <w:name w:val="table of figures"/>
    <w:basedOn w:val="1"/>
    <w:next w:val="1"/>
    <w:autoRedefine/>
    <w:semiHidden/>
    <w:unhideWhenUsed/>
    <w:qFormat/>
    <w:uiPriority w:val="0"/>
    <w:pPr>
      <w:ind w:left="200" w:leftChars="200" w:hanging="200" w:hangingChars="200"/>
    </w:pPr>
  </w:style>
  <w:style w:type="paragraph" w:styleId="74">
    <w:name w:val="toc 2"/>
    <w:basedOn w:val="1"/>
    <w:next w:val="1"/>
    <w:autoRedefine/>
    <w:semiHidden/>
    <w:unhideWhenUsed/>
    <w:qFormat/>
    <w:uiPriority w:val="0"/>
    <w:pPr>
      <w:ind w:left="420" w:leftChars="200"/>
    </w:pPr>
  </w:style>
  <w:style w:type="paragraph" w:styleId="75">
    <w:name w:val="toc 9"/>
    <w:basedOn w:val="1"/>
    <w:next w:val="1"/>
    <w:autoRedefine/>
    <w:semiHidden/>
    <w:unhideWhenUsed/>
    <w:qFormat/>
    <w:uiPriority w:val="0"/>
    <w:pPr>
      <w:ind w:left="3360" w:leftChars="1600"/>
    </w:pPr>
  </w:style>
  <w:style w:type="paragraph" w:styleId="76">
    <w:name w:val="Body Text 2"/>
    <w:basedOn w:val="1"/>
    <w:link w:val="141"/>
    <w:autoRedefine/>
    <w:semiHidden/>
    <w:unhideWhenUsed/>
    <w:qFormat/>
    <w:uiPriority w:val="0"/>
    <w:pPr>
      <w:spacing w:after="120" w:line="480" w:lineRule="auto"/>
    </w:pPr>
  </w:style>
  <w:style w:type="paragraph" w:styleId="77">
    <w:name w:val="List 4"/>
    <w:basedOn w:val="1"/>
    <w:autoRedefine/>
    <w:semiHidden/>
    <w:unhideWhenUsed/>
    <w:qFormat/>
    <w:uiPriority w:val="0"/>
    <w:pPr>
      <w:ind w:left="100" w:leftChars="600" w:hanging="200" w:hangingChars="200"/>
      <w:contextualSpacing/>
    </w:pPr>
  </w:style>
  <w:style w:type="paragraph" w:styleId="78">
    <w:name w:val="List Continue 2"/>
    <w:basedOn w:val="1"/>
    <w:autoRedefine/>
    <w:qFormat/>
    <w:uiPriority w:val="0"/>
    <w:pPr>
      <w:spacing w:after="120"/>
      <w:ind w:left="840" w:leftChars="400"/>
      <w:contextualSpacing/>
    </w:pPr>
  </w:style>
  <w:style w:type="paragraph" w:styleId="79">
    <w:name w:val="Message Header"/>
    <w:basedOn w:val="1"/>
    <w:link w:val="138"/>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12"/>
    <w:autoRedefine/>
    <w:semiHidden/>
    <w:unhideWhenUsed/>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rFonts w:cs="Times New Roman"/>
      <w:kern w:val="0"/>
      <w:sz w:val="24"/>
    </w:rPr>
  </w:style>
  <w:style w:type="paragraph" w:styleId="82">
    <w:name w:val="List Continue 3"/>
    <w:basedOn w:val="1"/>
    <w:autoRedefine/>
    <w:qFormat/>
    <w:uiPriority w:val="0"/>
    <w:pPr>
      <w:spacing w:after="120"/>
      <w:ind w:left="1260" w:leftChars="600"/>
      <w:contextualSpacing/>
    </w:pPr>
  </w:style>
  <w:style w:type="paragraph" w:styleId="83">
    <w:name w:val="index 2"/>
    <w:basedOn w:val="1"/>
    <w:next w:val="1"/>
    <w:autoRedefine/>
    <w:semiHidden/>
    <w:unhideWhenUsed/>
    <w:qFormat/>
    <w:uiPriority w:val="0"/>
    <w:pPr>
      <w:ind w:left="200" w:leftChars="200"/>
    </w:pPr>
  </w:style>
  <w:style w:type="paragraph" w:styleId="84">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5">
    <w:name w:val="annotation subject"/>
    <w:basedOn w:val="28"/>
    <w:next w:val="28"/>
    <w:link w:val="98"/>
    <w:autoRedefine/>
    <w:qFormat/>
    <w:uiPriority w:val="0"/>
    <w:rPr>
      <w:b/>
      <w:bCs/>
    </w:rPr>
  </w:style>
  <w:style w:type="paragraph" w:styleId="86">
    <w:name w:val="Body Text First Indent"/>
    <w:basedOn w:val="34"/>
    <w:link w:val="144"/>
    <w:autoRedefine/>
    <w:semiHidden/>
    <w:unhideWhenUsed/>
    <w:qFormat/>
    <w:uiPriority w:val="0"/>
    <w:pPr>
      <w:spacing w:after="120" w:line="240" w:lineRule="auto"/>
      <w:ind w:firstLine="420" w:firstLineChars="100"/>
    </w:pPr>
    <w:rPr>
      <w:rFonts w:asciiTheme="minorHAnsi" w:hAnsiTheme="minorHAnsi" w:eastAsiaTheme="minorEastAsia" w:cstheme="minorBidi"/>
      <w:sz w:val="21"/>
      <w:szCs w:val="22"/>
      <w:lang w:eastAsia="zh-CN"/>
    </w:rPr>
  </w:style>
  <w:style w:type="paragraph" w:styleId="87">
    <w:name w:val="Body Text First Indent 2"/>
    <w:basedOn w:val="35"/>
    <w:link w:val="146"/>
    <w:autoRedefine/>
    <w:semiHidden/>
    <w:unhideWhenUsed/>
    <w:qFormat/>
    <w:uiPriority w:val="0"/>
    <w:pPr>
      <w:ind w:firstLine="420" w:firstLineChars="200"/>
    </w:pPr>
  </w:style>
  <w:style w:type="character" w:styleId="90">
    <w:name w:val="Hyperlink"/>
    <w:basedOn w:val="89"/>
    <w:autoRedefine/>
    <w:unhideWhenUsed/>
    <w:qFormat/>
    <w:uiPriority w:val="0"/>
    <w:rPr>
      <w:color w:val="0563C1" w:themeColor="hyperlink"/>
      <w:u w:val="single"/>
      <w14:textFill>
        <w14:solidFill>
          <w14:schemeClr w14:val="hlink"/>
        </w14:solidFill>
      </w14:textFill>
    </w:rPr>
  </w:style>
  <w:style w:type="character" w:styleId="91">
    <w:name w:val="annotation reference"/>
    <w:basedOn w:val="89"/>
    <w:autoRedefine/>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眉 字符"/>
    <w:basedOn w:val="89"/>
    <w:link w:val="57"/>
    <w:autoRedefine/>
    <w:qFormat/>
    <w:uiPriority w:val="0"/>
    <w:rPr>
      <w:kern w:val="2"/>
      <w:sz w:val="18"/>
      <w:szCs w:val="18"/>
    </w:rPr>
  </w:style>
  <w:style w:type="character" w:customStyle="1" w:styleId="94">
    <w:name w:val="页脚 字符"/>
    <w:basedOn w:val="89"/>
    <w:link w:val="55"/>
    <w:autoRedefine/>
    <w:qFormat/>
    <w:uiPriority w:val="99"/>
    <w:rPr>
      <w:kern w:val="2"/>
      <w:sz w:val="18"/>
      <w:szCs w:val="18"/>
    </w:rPr>
  </w:style>
  <w:style w:type="paragraph" w:styleId="95">
    <w:name w:val="List Paragraph"/>
    <w:basedOn w:val="1"/>
    <w:autoRedefine/>
    <w:qFormat/>
    <w:uiPriority w:val="34"/>
    <w:pPr>
      <w:ind w:firstLine="420" w:firstLineChars="200"/>
    </w:pPr>
    <w:rPr>
      <w:rFonts w:ascii="Calibri" w:hAnsi="Calibri" w:eastAsia="宋体" w:cs="Times New Roman"/>
    </w:rPr>
  </w:style>
  <w:style w:type="character" w:customStyle="1" w:styleId="96">
    <w:name w:val="批注框文本 字符"/>
    <w:basedOn w:val="89"/>
    <w:link w:val="54"/>
    <w:autoRedefine/>
    <w:qFormat/>
    <w:uiPriority w:val="0"/>
    <w:rPr>
      <w:kern w:val="2"/>
      <w:sz w:val="18"/>
      <w:szCs w:val="18"/>
    </w:rPr>
  </w:style>
  <w:style w:type="character" w:customStyle="1" w:styleId="97">
    <w:name w:val="批注文字 字符"/>
    <w:basedOn w:val="89"/>
    <w:link w:val="28"/>
    <w:autoRedefine/>
    <w:qFormat/>
    <w:uiPriority w:val="0"/>
    <w:rPr>
      <w:rFonts w:asciiTheme="minorHAnsi" w:hAnsiTheme="minorHAnsi" w:eastAsiaTheme="minorEastAsia" w:cstheme="minorBidi"/>
      <w:kern w:val="2"/>
      <w:sz w:val="21"/>
      <w:szCs w:val="22"/>
    </w:rPr>
  </w:style>
  <w:style w:type="character" w:customStyle="1" w:styleId="98">
    <w:name w:val="批注主题 字符"/>
    <w:basedOn w:val="97"/>
    <w:link w:val="85"/>
    <w:autoRedefine/>
    <w:qFormat/>
    <w:uiPriority w:val="0"/>
    <w:rPr>
      <w:rFonts w:asciiTheme="minorHAnsi" w:hAnsiTheme="minorHAnsi" w:eastAsiaTheme="minorEastAsia" w:cstheme="minorBidi"/>
      <w:b/>
      <w:bCs/>
      <w:kern w:val="2"/>
      <w:sz w:val="21"/>
      <w:szCs w:val="22"/>
    </w:rPr>
  </w:style>
  <w:style w:type="paragraph" w:customStyle="1" w:styleId="9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2">
    <w:name w:val="Table Text"/>
    <w:basedOn w:val="1"/>
    <w:autoRedefine/>
    <w:semiHidden/>
    <w:qFormat/>
    <w:uiPriority w:val="0"/>
    <w:rPr>
      <w:rFonts w:ascii="宋体" w:hAnsi="宋体" w:eastAsia="宋体" w:cs="宋体"/>
      <w:sz w:val="24"/>
      <w:szCs w:val="24"/>
      <w:lang w:eastAsia="en-US"/>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S标题2"/>
    <w:basedOn w:val="105"/>
    <w:autoRedefine/>
    <w:qFormat/>
    <w:uiPriority w:val="0"/>
    <w:pPr>
      <w:widowControl/>
      <w:spacing w:before="120" w:after="120" w:line="360" w:lineRule="auto"/>
    </w:pPr>
    <w:rPr>
      <w:rFonts w:ascii="Times New Roman" w:hAnsi="Times New Roman"/>
      <w:sz w:val="24"/>
      <w:szCs w:val="32"/>
      <w:lang w:val="zh-CN"/>
    </w:rPr>
  </w:style>
  <w:style w:type="paragraph" w:customStyle="1" w:styleId="105">
    <w:name w:val="002二级标题"/>
    <w:basedOn w:val="106"/>
    <w:autoRedefine/>
    <w:qFormat/>
    <w:uiPriority w:val="0"/>
    <w:pPr>
      <w:pageBreakBefore w:val="0"/>
      <w:spacing w:beforeLines="50" w:afterLines="50"/>
      <w:jc w:val="both"/>
      <w:outlineLvl w:val="1"/>
    </w:pPr>
    <w:rPr>
      <w:sz w:val="30"/>
    </w:rPr>
  </w:style>
  <w:style w:type="paragraph" w:customStyle="1" w:styleId="106">
    <w:name w:val="001一级标题"/>
    <w:basedOn w:val="1"/>
    <w:autoRedefine/>
    <w:qFormat/>
    <w:uiPriority w:val="0"/>
    <w:pPr>
      <w:keepNext/>
      <w:keepLines/>
      <w:pageBreakBefore/>
      <w:spacing w:beforeLines="100" w:afterLines="100"/>
      <w:jc w:val="center"/>
      <w:outlineLvl w:val="0"/>
    </w:pPr>
    <w:rPr>
      <w:rFonts w:ascii="Calibri" w:hAnsi="Calibri"/>
      <w:b/>
      <w:bCs/>
      <w:sz w:val="36"/>
      <w:szCs w:val="28"/>
    </w:rPr>
  </w:style>
  <w:style w:type="paragraph" w:customStyle="1" w:styleId="107">
    <w:name w:val="NYIndenture_L3"/>
    <w:basedOn w:val="108"/>
    <w:next w:val="34"/>
    <w:autoRedefine/>
    <w:qFormat/>
    <w:uiPriority w:val="0"/>
    <w:pPr>
      <w:numPr>
        <w:ilvl w:val="2"/>
      </w:numPr>
      <w:outlineLvl w:val="2"/>
    </w:pPr>
  </w:style>
  <w:style w:type="paragraph" w:customStyle="1" w:styleId="108">
    <w:name w:val="NYIndenture_L2"/>
    <w:basedOn w:val="109"/>
    <w:next w:val="34"/>
    <w:autoRedefine/>
    <w:qFormat/>
    <w:uiPriority w:val="0"/>
    <w:pPr>
      <w:numPr>
        <w:ilvl w:val="1"/>
      </w:numPr>
      <w:jc w:val="left"/>
      <w:outlineLvl w:val="1"/>
    </w:pPr>
  </w:style>
  <w:style w:type="paragraph" w:customStyle="1" w:styleId="109">
    <w:name w:val="NYIndenture_L1"/>
    <w:basedOn w:val="1"/>
    <w:next w:val="34"/>
    <w:autoRedefine/>
    <w:qFormat/>
    <w:uiPriority w:val="0"/>
    <w:pPr>
      <w:widowControl/>
      <w:numPr>
        <w:ilvl w:val="0"/>
        <w:numId w:val="11"/>
      </w:numPr>
      <w:spacing w:after="240"/>
      <w:jc w:val="center"/>
      <w:outlineLvl w:val="0"/>
    </w:pPr>
    <w:rPr>
      <w:kern w:val="0"/>
      <w:sz w:val="24"/>
      <w:szCs w:val="20"/>
      <w:lang w:eastAsia="en-US"/>
    </w:rPr>
  </w:style>
  <w:style w:type="paragraph" w:customStyle="1" w:styleId="110">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1">
    <w:name w:val="HTML 地址 字符"/>
    <w:basedOn w:val="89"/>
    <w:link w:val="41"/>
    <w:autoRedefine/>
    <w:semiHidden/>
    <w:qFormat/>
    <w:uiPriority w:val="0"/>
    <w:rPr>
      <w:rFonts w:asciiTheme="minorHAnsi" w:hAnsiTheme="minorHAnsi" w:eastAsiaTheme="minorEastAsia" w:cstheme="minorBidi"/>
      <w:i/>
      <w:iCs/>
      <w:kern w:val="2"/>
      <w:sz w:val="21"/>
      <w:szCs w:val="22"/>
    </w:rPr>
  </w:style>
  <w:style w:type="character" w:customStyle="1" w:styleId="112">
    <w:name w:val="HTML 预设格式 字符"/>
    <w:basedOn w:val="89"/>
    <w:link w:val="80"/>
    <w:autoRedefine/>
    <w:semiHidden/>
    <w:qFormat/>
    <w:uiPriority w:val="0"/>
    <w:rPr>
      <w:rFonts w:ascii="Courier New" w:hAnsi="Courier New" w:cs="Courier New" w:eastAsiaTheme="minorEastAsia"/>
      <w:kern w:val="2"/>
    </w:rPr>
  </w:style>
  <w:style w:type="character" w:customStyle="1" w:styleId="113">
    <w:name w:val="标题 1 字符"/>
    <w:basedOn w:val="89"/>
    <w:link w:val="3"/>
    <w:autoRedefine/>
    <w:qFormat/>
    <w:uiPriority w:val="0"/>
    <w:rPr>
      <w:rFonts w:asciiTheme="minorHAnsi" w:hAnsiTheme="minorHAnsi" w:eastAsiaTheme="minorEastAsia" w:cstheme="minorBidi"/>
      <w:b/>
      <w:bCs/>
      <w:kern w:val="44"/>
      <w:sz w:val="44"/>
      <w:szCs w:val="44"/>
    </w:rPr>
  </w:style>
  <w:style w:type="paragraph" w:customStyle="1" w:styleId="114">
    <w:name w:val="TOC 标题1"/>
    <w:basedOn w:val="3"/>
    <w:next w:val="1"/>
    <w:autoRedefine/>
    <w:semiHidden/>
    <w:unhideWhenUsed/>
    <w:qFormat/>
    <w:uiPriority w:val="39"/>
    <w:pPr>
      <w:outlineLvl w:val="9"/>
    </w:pPr>
  </w:style>
  <w:style w:type="character" w:customStyle="1" w:styleId="115">
    <w:name w:val="标题 2 字符"/>
    <w:basedOn w:val="89"/>
    <w:link w:val="4"/>
    <w:autoRedefine/>
    <w:semiHidden/>
    <w:qFormat/>
    <w:uiPriority w:val="0"/>
    <w:rPr>
      <w:rFonts w:asciiTheme="majorHAnsi" w:hAnsiTheme="majorHAnsi" w:eastAsiaTheme="majorEastAsia" w:cstheme="majorBidi"/>
      <w:b/>
      <w:bCs/>
      <w:kern w:val="2"/>
      <w:sz w:val="32"/>
      <w:szCs w:val="32"/>
    </w:rPr>
  </w:style>
  <w:style w:type="character" w:customStyle="1" w:styleId="116">
    <w:name w:val="标题 3 字符"/>
    <w:basedOn w:val="89"/>
    <w:link w:val="5"/>
    <w:autoRedefine/>
    <w:semiHidden/>
    <w:qFormat/>
    <w:uiPriority w:val="0"/>
    <w:rPr>
      <w:rFonts w:asciiTheme="minorHAnsi" w:hAnsiTheme="minorHAnsi" w:eastAsiaTheme="minorEastAsia" w:cstheme="minorBidi"/>
      <w:b/>
      <w:bCs/>
      <w:kern w:val="2"/>
      <w:sz w:val="32"/>
      <w:szCs w:val="32"/>
    </w:rPr>
  </w:style>
  <w:style w:type="character" w:customStyle="1" w:styleId="117">
    <w:name w:val="标题 4 字符"/>
    <w:basedOn w:val="89"/>
    <w:link w:val="6"/>
    <w:autoRedefine/>
    <w:semiHidden/>
    <w:qFormat/>
    <w:uiPriority w:val="0"/>
    <w:rPr>
      <w:rFonts w:asciiTheme="majorHAnsi" w:hAnsiTheme="majorHAnsi" w:eastAsiaTheme="majorEastAsia" w:cstheme="majorBidi"/>
      <w:b/>
      <w:bCs/>
      <w:kern w:val="2"/>
      <w:sz w:val="28"/>
      <w:szCs w:val="28"/>
    </w:rPr>
  </w:style>
  <w:style w:type="character" w:customStyle="1" w:styleId="118">
    <w:name w:val="标题 5 字符"/>
    <w:basedOn w:val="89"/>
    <w:link w:val="7"/>
    <w:autoRedefine/>
    <w:semiHidden/>
    <w:qFormat/>
    <w:uiPriority w:val="0"/>
    <w:rPr>
      <w:rFonts w:asciiTheme="minorHAnsi" w:hAnsiTheme="minorHAnsi" w:eastAsiaTheme="minorEastAsia" w:cstheme="minorBidi"/>
      <w:b/>
      <w:bCs/>
      <w:kern w:val="2"/>
      <w:sz w:val="28"/>
      <w:szCs w:val="28"/>
    </w:rPr>
  </w:style>
  <w:style w:type="character" w:customStyle="1" w:styleId="119">
    <w:name w:val="标题 6 字符"/>
    <w:basedOn w:val="89"/>
    <w:link w:val="8"/>
    <w:autoRedefine/>
    <w:semiHidden/>
    <w:qFormat/>
    <w:uiPriority w:val="0"/>
    <w:rPr>
      <w:rFonts w:asciiTheme="majorHAnsi" w:hAnsiTheme="majorHAnsi" w:eastAsiaTheme="majorEastAsia" w:cstheme="majorBidi"/>
      <w:b/>
      <w:bCs/>
      <w:kern w:val="2"/>
      <w:sz w:val="24"/>
      <w:szCs w:val="24"/>
    </w:rPr>
  </w:style>
  <w:style w:type="character" w:customStyle="1" w:styleId="120">
    <w:name w:val="标题 7 字符"/>
    <w:basedOn w:val="89"/>
    <w:link w:val="9"/>
    <w:autoRedefine/>
    <w:semiHidden/>
    <w:qFormat/>
    <w:uiPriority w:val="0"/>
    <w:rPr>
      <w:rFonts w:asciiTheme="minorHAnsi" w:hAnsiTheme="minorHAnsi" w:eastAsiaTheme="minorEastAsia" w:cstheme="minorBidi"/>
      <w:b/>
      <w:bCs/>
      <w:kern w:val="2"/>
      <w:sz w:val="24"/>
      <w:szCs w:val="24"/>
    </w:rPr>
  </w:style>
  <w:style w:type="character" w:customStyle="1" w:styleId="121">
    <w:name w:val="标题 8 字符"/>
    <w:basedOn w:val="89"/>
    <w:link w:val="10"/>
    <w:autoRedefine/>
    <w:semiHidden/>
    <w:qFormat/>
    <w:uiPriority w:val="0"/>
    <w:rPr>
      <w:rFonts w:asciiTheme="majorHAnsi" w:hAnsiTheme="majorHAnsi" w:eastAsiaTheme="majorEastAsia" w:cstheme="majorBidi"/>
      <w:kern w:val="2"/>
      <w:sz w:val="24"/>
      <w:szCs w:val="24"/>
    </w:rPr>
  </w:style>
  <w:style w:type="character" w:customStyle="1" w:styleId="122">
    <w:name w:val="标题 9 字符"/>
    <w:basedOn w:val="89"/>
    <w:link w:val="11"/>
    <w:autoRedefine/>
    <w:semiHidden/>
    <w:qFormat/>
    <w:uiPriority w:val="0"/>
    <w:rPr>
      <w:rFonts w:asciiTheme="majorHAnsi" w:hAnsiTheme="majorHAnsi" w:eastAsiaTheme="majorEastAsia" w:cstheme="majorBidi"/>
      <w:kern w:val="2"/>
      <w:sz w:val="21"/>
      <w:szCs w:val="21"/>
    </w:rPr>
  </w:style>
  <w:style w:type="character" w:customStyle="1" w:styleId="123">
    <w:name w:val="称呼 字符"/>
    <w:basedOn w:val="89"/>
    <w:link w:val="30"/>
    <w:autoRedefine/>
    <w:semiHidden/>
    <w:qFormat/>
    <w:uiPriority w:val="0"/>
    <w:rPr>
      <w:rFonts w:asciiTheme="minorHAnsi" w:hAnsiTheme="minorHAnsi" w:eastAsiaTheme="minorEastAsia" w:cstheme="minorBidi"/>
      <w:kern w:val="2"/>
      <w:sz w:val="21"/>
      <w:szCs w:val="22"/>
    </w:rPr>
  </w:style>
  <w:style w:type="character" w:customStyle="1" w:styleId="124">
    <w:name w:val="纯文本 字符"/>
    <w:basedOn w:val="89"/>
    <w:link w:val="45"/>
    <w:autoRedefine/>
    <w:semiHidden/>
    <w:qFormat/>
    <w:uiPriority w:val="0"/>
    <w:rPr>
      <w:rFonts w:hAnsi="Courier New" w:cs="Courier New" w:asciiTheme="minorEastAsia" w:eastAsiaTheme="minorEastAsia"/>
      <w:kern w:val="2"/>
      <w:sz w:val="21"/>
      <w:szCs w:val="22"/>
    </w:rPr>
  </w:style>
  <w:style w:type="character" w:customStyle="1" w:styleId="125">
    <w:name w:val="电子邮件签名 字符"/>
    <w:basedOn w:val="89"/>
    <w:link w:val="19"/>
    <w:autoRedefine/>
    <w:semiHidden/>
    <w:qFormat/>
    <w:uiPriority w:val="0"/>
    <w:rPr>
      <w:rFonts w:asciiTheme="minorHAnsi" w:hAnsiTheme="minorHAnsi" w:eastAsiaTheme="minorEastAsia" w:cstheme="minorBidi"/>
      <w:kern w:val="2"/>
      <w:sz w:val="21"/>
      <w:szCs w:val="22"/>
    </w:rPr>
  </w:style>
  <w:style w:type="character" w:customStyle="1" w:styleId="126">
    <w:name w:val="副标题 字符"/>
    <w:basedOn w:val="89"/>
    <w:link w:val="64"/>
    <w:autoRedefine/>
    <w:qFormat/>
    <w:uiPriority w:val="0"/>
    <w:rPr>
      <w:rFonts w:asciiTheme="minorHAnsi" w:hAnsiTheme="minorHAnsi" w:eastAsiaTheme="minorEastAsia" w:cstheme="minorBidi"/>
      <w:b/>
      <w:bCs/>
      <w:kern w:val="28"/>
      <w:sz w:val="32"/>
      <w:szCs w:val="32"/>
    </w:rPr>
  </w:style>
  <w:style w:type="character" w:customStyle="1" w:styleId="127">
    <w:name w:val="宏文本 字符"/>
    <w:basedOn w:val="89"/>
    <w:link w:val="2"/>
    <w:autoRedefine/>
    <w:semiHidden/>
    <w:qFormat/>
    <w:uiPriority w:val="0"/>
    <w:rPr>
      <w:rFonts w:ascii="Courier New" w:hAnsi="Courier New" w:cs="Courier New"/>
      <w:kern w:val="2"/>
      <w:sz w:val="24"/>
      <w:szCs w:val="24"/>
    </w:rPr>
  </w:style>
  <w:style w:type="character" w:customStyle="1" w:styleId="128">
    <w:name w:val="脚注文本 字符"/>
    <w:basedOn w:val="89"/>
    <w:link w:val="67"/>
    <w:autoRedefine/>
    <w:semiHidden/>
    <w:qFormat/>
    <w:uiPriority w:val="0"/>
    <w:rPr>
      <w:rFonts w:asciiTheme="minorHAnsi" w:hAnsiTheme="minorHAnsi" w:eastAsiaTheme="minorEastAsia" w:cstheme="minorBidi"/>
      <w:kern w:val="2"/>
      <w:sz w:val="18"/>
      <w:szCs w:val="18"/>
    </w:rPr>
  </w:style>
  <w:style w:type="character" w:customStyle="1" w:styleId="129">
    <w:name w:val="结束语 字符"/>
    <w:basedOn w:val="89"/>
    <w:link w:val="32"/>
    <w:autoRedefine/>
    <w:semiHidden/>
    <w:qFormat/>
    <w:uiPriority w:val="0"/>
    <w:rPr>
      <w:rFonts w:asciiTheme="minorHAnsi" w:hAnsiTheme="minorHAnsi" w:eastAsiaTheme="minorEastAsia" w:cstheme="minorBidi"/>
      <w:kern w:val="2"/>
      <w:sz w:val="21"/>
      <w:szCs w:val="22"/>
    </w:rPr>
  </w:style>
  <w:style w:type="paragraph" w:styleId="130">
    <w:name w:val="Intense Quote"/>
    <w:basedOn w:val="1"/>
    <w:next w:val="1"/>
    <w:link w:val="131"/>
    <w:autoRedefine/>
    <w:semiHidden/>
    <w:unhideWhenUsed/>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31">
    <w:name w:val="明显引用 字符"/>
    <w:basedOn w:val="89"/>
    <w:link w:val="130"/>
    <w:autoRedefine/>
    <w:semiHidden/>
    <w:qFormat/>
    <w:uiPriority w:val="99"/>
    <w:rPr>
      <w:rFonts w:asciiTheme="minorHAnsi" w:hAnsiTheme="minorHAnsi" w:eastAsiaTheme="minorEastAsia" w:cstheme="minorBidi"/>
      <w:i/>
      <w:iCs/>
      <w:color w:val="5B9BD5" w:themeColor="accent1"/>
      <w:kern w:val="2"/>
      <w:sz w:val="21"/>
      <w:szCs w:val="22"/>
      <w14:textFill>
        <w14:solidFill>
          <w14:schemeClr w14:val="accent1"/>
        </w14:solidFill>
      </w14:textFill>
    </w:rPr>
  </w:style>
  <w:style w:type="character" w:customStyle="1" w:styleId="132">
    <w:name w:val="签名 字符"/>
    <w:basedOn w:val="89"/>
    <w:link w:val="58"/>
    <w:autoRedefine/>
    <w:semiHidden/>
    <w:qFormat/>
    <w:uiPriority w:val="0"/>
    <w:rPr>
      <w:rFonts w:asciiTheme="minorHAnsi" w:hAnsiTheme="minorHAnsi" w:eastAsiaTheme="minorEastAsia" w:cstheme="minorBidi"/>
      <w:kern w:val="2"/>
      <w:sz w:val="21"/>
      <w:szCs w:val="22"/>
    </w:rPr>
  </w:style>
  <w:style w:type="character" w:customStyle="1" w:styleId="133">
    <w:name w:val="日期 字符"/>
    <w:basedOn w:val="89"/>
    <w:link w:val="50"/>
    <w:autoRedefine/>
    <w:semiHidden/>
    <w:qFormat/>
    <w:uiPriority w:val="0"/>
    <w:rPr>
      <w:rFonts w:asciiTheme="minorHAnsi" w:hAnsiTheme="minorHAnsi" w:eastAsiaTheme="minorEastAsia" w:cstheme="minorBidi"/>
      <w:kern w:val="2"/>
      <w:sz w:val="21"/>
      <w:szCs w:val="22"/>
    </w:rPr>
  </w:style>
  <w:style w:type="paragraph" w:customStyle="1" w:styleId="134">
    <w:name w:val="书目1"/>
    <w:basedOn w:val="1"/>
    <w:next w:val="1"/>
    <w:autoRedefine/>
    <w:semiHidden/>
    <w:unhideWhenUsed/>
    <w:qFormat/>
    <w:uiPriority w:val="37"/>
  </w:style>
  <w:style w:type="character" w:customStyle="1" w:styleId="135">
    <w:name w:val="尾注文本 字符"/>
    <w:basedOn w:val="89"/>
    <w:link w:val="52"/>
    <w:autoRedefine/>
    <w:semiHidden/>
    <w:qFormat/>
    <w:uiPriority w:val="0"/>
    <w:rPr>
      <w:rFonts w:asciiTheme="minorHAnsi" w:hAnsiTheme="minorHAnsi" w:eastAsiaTheme="minorEastAsia" w:cstheme="minorBidi"/>
      <w:kern w:val="2"/>
      <w:sz w:val="21"/>
      <w:szCs w:val="22"/>
    </w:rPr>
  </w:style>
  <w:style w:type="character" w:customStyle="1" w:styleId="136">
    <w:name w:val="文档结构图 字符"/>
    <w:basedOn w:val="89"/>
    <w:link w:val="26"/>
    <w:autoRedefine/>
    <w:semiHidden/>
    <w:qFormat/>
    <w:uiPriority w:val="0"/>
    <w:rPr>
      <w:rFonts w:ascii="Microsoft YaHei UI" w:eastAsia="Microsoft YaHei UI" w:hAnsiTheme="minorHAnsi" w:cstheme="minorBidi"/>
      <w:kern w:val="2"/>
      <w:sz w:val="18"/>
      <w:szCs w:val="18"/>
    </w:rPr>
  </w:style>
  <w:style w:type="paragraph" w:styleId="137">
    <w:name w:val="No Spacing"/>
    <w:autoRedefine/>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8">
    <w:name w:val="信息标题 字符"/>
    <w:basedOn w:val="89"/>
    <w:link w:val="79"/>
    <w:autoRedefine/>
    <w:semiHidden/>
    <w:qFormat/>
    <w:uiPriority w:val="0"/>
    <w:rPr>
      <w:rFonts w:asciiTheme="majorHAnsi" w:hAnsiTheme="majorHAnsi" w:eastAsiaTheme="majorEastAsia" w:cstheme="majorBidi"/>
      <w:kern w:val="2"/>
      <w:sz w:val="24"/>
      <w:szCs w:val="24"/>
      <w:shd w:val="pct20" w:color="auto" w:fill="auto"/>
    </w:rPr>
  </w:style>
  <w:style w:type="paragraph" w:styleId="139">
    <w:name w:val="Quote"/>
    <w:basedOn w:val="1"/>
    <w:next w:val="1"/>
    <w:link w:val="140"/>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40">
    <w:name w:val="引用 字符"/>
    <w:basedOn w:val="89"/>
    <w:link w:val="139"/>
    <w:autoRedefine/>
    <w:semiHidden/>
    <w:qFormat/>
    <w:uiPriority w:val="9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41">
    <w:name w:val="正文文本 2 字符"/>
    <w:basedOn w:val="89"/>
    <w:link w:val="76"/>
    <w:autoRedefine/>
    <w:semiHidden/>
    <w:qFormat/>
    <w:uiPriority w:val="0"/>
    <w:rPr>
      <w:rFonts w:asciiTheme="minorHAnsi" w:hAnsiTheme="minorHAnsi" w:eastAsiaTheme="minorEastAsia" w:cstheme="minorBidi"/>
      <w:kern w:val="2"/>
      <w:sz w:val="21"/>
      <w:szCs w:val="22"/>
    </w:rPr>
  </w:style>
  <w:style w:type="character" w:customStyle="1" w:styleId="142">
    <w:name w:val="正文文本 3 字符"/>
    <w:basedOn w:val="89"/>
    <w:link w:val="31"/>
    <w:autoRedefine/>
    <w:semiHidden/>
    <w:qFormat/>
    <w:uiPriority w:val="0"/>
    <w:rPr>
      <w:rFonts w:asciiTheme="minorHAnsi" w:hAnsiTheme="minorHAnsi" w:eastAsiaTheme="minorEastAsia" w:cstheme="minorBidi"/>
      <w:kern w:val="2"/>
      <w:sz w:val="16"/>
      <w:szCs w:val="16"/>
    </w:rPr>
  </w:style>
  <w:style w:type="character" w:customStyle="1" w:styleId="143">
    <w:name w:val="正文文本 字符"/>
    <w:basedOn w:val="89"/>
    <w:link w:val="34"/>
    <w:autoRedefine/>
    <w:semiHidden/>
    <w:qFormat/>
    <w:uiPriority w:val="0"/>
    <w:rPr>
      <w:rFonts w:ascii="宋体" w:hAnsi="宋体" w:cs="宋体"/>
      <w:kern w:val="2"/>
      <w:sz w:val="24"/>
      <w:szCs w:val="24"/>
      <w:lang w:eastAsia="en-US"/>
    </w:rPr>
  </w:style>
  <w:style w:type="character" w:customStyle="1" w:styleId="144">
    <w:name w:val="正文文本首行缩进 字符"/>
    <w:basedOn w:val="143"/>
    <w:link w:val="86"/>
    <w:autoRedefine/>
    <w:semiHidden/>
    <w:qFormat/>
    <w:uiPriority w:val="0"/>
    <w:rPr>
      <w:rFonts w:asciiTheme="minorHAnsi" w:hAnsiTheme="minorHAnsi" w:eastAsiaTheme="minorEastAsia" w:cstheme="minorBidi"/>
      <w:kern w:val="2"/>
      <w:sz w:val="21"/>
      <w:szCs w:val="22"/>
      <w:lang w:eastAsia="en-US"/>
    </w:rPr>
  </w:style>
  <w:style w:type="character" w:customStyle="1" w:styleId="145">
    <w:name w:val="正文文本缩进 字符"/>
    <w:basedOn w:val="89"/>
    <w:link w:val="35"/>
    <w:autoRedefine/>
    <w:semiHidden/>
    <w:qFormat/>
    <w:uiPriority w:val="0"/>
    <w:rPr>
      <w:rFonts w:asciiTheme="minorHAnsi" w:hAnsiTheme="minorHAnsi" w:eastAsiaTheme="minorEastAsia" w:cstheme="minorBidi"/>
      <w:kern w:val="2"/>
      <w:sz w:val="21"/>
      <w:szCs w:val="22"/>
    </w:rPr>
  </w:style>
  <w:style w:type="character" w:customStyle="1" w:styleId="146">
    <w:name w:val="正文文本首行缩进 2 字符"/>
    <w:basedOn w:val="145"/>
    <w:link w:val="87"/>
    <w:autoRedefine/>
    <w:semiHidden/>
    <w:qFormat/>
    <w:uiPriority w:val="0"/>
    <w:rPr>
      <w:rFonts w:asciiTheme="minorHAnsi" w:hAnsiTheme="minorHAnsi" w:eastAsiaTheme="minorEastAsia" w:cstheme="minorBidi"/>
      <w:kern w:val="2"/>
      <w:sz w:val="21"/>
      <w:szCs w:val="22"/>
    </w:rPr>
  </w:style>
  <w:style w:type="character" w:customStyle="1" w:styleId="147">
    <w:name w:val="正文文本缩进 2 字符"/>
    <w:basedOn w:val="89"/>
    <w:link w:val="51"/>
    <w:autoRedefine/>
    <w:semiHidden/>
    <w:qFormat/>
    <w:uiPriority w:val="0"/>
    <w:rPr>
      <w:rFonts w:asciiTheme="minorHAnsi" w:hAnsiTheme="minorHAnsi" w:eastAsiaTheme="minorEastAsia" w:cstheme="minorBidi"/>
      <w:kern w:val="2"/>
      <w:sz w:val="21"/>
      <w:szCs w:val="22"/>
    </w:rPr>
  </w:style>
  <w:style w:type="character" w:customStyle="1" w:styleId="148">
    <w:name w:val="正文文本缩进 3 字符"/>
    <w:basedOn w:val="89"/>
    <w:link w:val="70"/>
    <w:autoRedefine/>
    <w:semiHidden/>
    <w:qFormat/>
    <w:uiPriority w:val="0"/>
    <w:rPr>
      <w:rFonts w:asciiTheme="minorHAnsi" w:hAnsiTheme="minorHAnsi" w:eastAsiaTheme="minorEastAsia" w:cstheme="minorBidi"/>
      <w:kern w:val="2"/>
      <w:sz w:val="16"/>
      <w:szCs w:val="16"/>
    </w:rPr>
  </w:style>
  <w:style w:type="character" w:customStyle="1" w:styleId="149">
    <w:name w:val="注释标题 字符"/>
    <w:basedOn w:val="89"/>
    <w:link w:val="16"/>
    <w:autoRedefine/>
    <w:semiHidden/>
    <w:qFormat/>
    <w:uiPriority w:val="0"/>
    <w:rPr>
      <w:rFonts w:asciiTheme="minorHAnsi" w:hAnsiTheme="minorHAnsi" w:eastAsiaTheme="minorEastAsia" w:cstheme="minorBidi"/>
      <w:kern w:val="2"/>
      <w:sz w:val="21"/>
      <w:szCs w:val="22"/>
    </w:rPr>
  </w:style>
  <w:style w:type="paragraph" w:customStyle="1" w:styleId="150">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489</Words>
  <Characters>2790</Characters>
  <Lines>23</Lines>
  <Paragraphs>6</Paragraphs>
  <TotalTime>10</TotalTime>
  <ScaleCrop>false</ScaleCrop>
  <LinksUpToDate>false</LinksUpToDate>
  <CharactersWithSpaces>3273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2024-03-21T08:06:00Z</dcterms:created>
  <dc:creator>BJB-ZB-03</dc:creator>
  <cp:lastModifiedBy>Y.    Miss</cp:lastModifiedBy>
  <dcterms:modified xsi:type="dcterms:W3CDTF">2024-04-08T07:58:00Z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5589FA5608AF4D6CA127035A08A13D5D_13</vt:lpwstr>
  </property>
</Properties>
</file>