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仿宋" w:hAnsi="仿宋" w:eastAsia="宋体"/>
          <w:sz w:val="30"/>
          <w:szCs w:val="30"/>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lang w:val="en-US" w:eastAsia="zh-CN"/>
        </w:rPr>
        <w:t>19</w:t>
      </w: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关于通过北京产权交易所竞购上海长威与南方资产</w:t>
      </w:r>
    </w:p>
    <w:p>
      <w:pPr>
        <w:adjustRightInd w:val="0"/>
        <w:snapToGrid w:val="0"/>
        <w:spacing w:before="156" w:beforeLines="50" w:line="560" w:lineRule="exact"/>
        <w:jc w:val="center"/>
        <w:rPr>
          <w:rFonts w:hint="eastAsia" w:ascii="仿宋_GB2312" w:hAnsi="仿宋_GB2312" w:eastAsia="宋体" w:cs="仿宋_GB2312"/>
          <w:b/>
          <w:bCs/>
          <w:color w:val="FF0000"/>
          <w:sz w:val="30"/>
          <w:szCs w:val="30"/>
          <w:lang w:val="en-US" w:eastAsia="zh-CN"/>
        </w:rPr>
      </w:pPr>
      <w:r>
        <w:rPr>
          <w:rFonts w:hint="eastAsia" w:ascii="宋体" w:hAnsi="宋体" w:eastAsia="宋体" w:cs="仿宋_GB2312"/>
          <w:b/>
          <w:bCs/>
          <w:color w:val="FF0000"/>
          <w:sz w:val="36"/>
          <w:szCs w:val="36"/>
        </w:rPr>
        <w:t>合计持有云变电气79.97%股份的</w:t>
      </w:r>
      <w:r>
        <w:rPr>
          <w:rFonts w:hint="eastAsia" w:ascii="宋体" w:hAnsi="宋体" w:eastAsia="宋体" w:cs="仿宋_GB2312"/>
          <w:b/>
          <w:bCs/>
          <w:color w:val="FF0000"/>
          <w:sz w:val="36"/>
          <w:szCs w:val="36"/>
          <w:lang w:val="en-US" w:eastAsia="zh-CN"/>
        </w:rPr>
        <w:t>公告</w:t>
      </w: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adjustRightInd w:val="0"/>
        <w:snapToGrid w:val="0"/>
        <w:spacing w:line="560" w:lineRule="exact"/>
        <w:ind w:firstLine="420"/>
        <w:rPr>
          <w:rFonts w:hint="eastAsia" w:ascii="宋体" w:hAnsi="宋体" w:eastAsia="宋体" w:cs="宋体"/>
          <w:b/>
          <w:bCs/>
          <w:sz w:val="24"/>
          <w:szCs w:val="24"/>
        </w:rPr>
      </w:pPr>
      <w:r>
        <w:rPr>
          <w:rFonts w:hint="eastAsia" w:ascii="宋体" w:hAnsi="宋体" w:eastAsia="宋体" w:cs="宋体"/>
          <w:b/>
          <w:bCs/>
          <w:sz w:val="24"/>
          <w:szCs w:val="24"/>
        </w:rPr>
        <w:t>重要内容提示：</w:t>
      </w:r>
    </w:p>
    <w:p>
      <w:pPr>
        <w:numPr>
          <w:ilvl w:val="0"/>
          <w:numId w:val="1"/>
        </w:num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公司拟通过北京产权交易所竞购上海长威股权投资合伙企业（有限合伙）</w:t>
      </w:r>
    </w:p>
    <w:p>
      <w:pPr>
        <w:numPr>
          <w:ilvl w:val="0"/>
          <w:numId w:val="0"/>
        </w:numPr>
        <w:adjustRightInd w:val="0"/>
        <w:snapToGrid w:val="0"/>
        <w:spacing w:line="560" w:lineRule="exact"/>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（以下简称“上海长威”）和南方工业资产管理有限责任公司（以下简称“南方资产”）合计持有云南变压器电气股份有限公司（以下简称“云变电气”或“标的公司”）79.97%股份</w:t>
      </w:r>
    </w:p>
    <w:p>
      <w:pPr>
        <w:numPr>
          <w:ilvl w:val="0"/>
          <w:numId w:val="1"/>
        </w:num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竞购</w:t>
      </w:r>
      <w:r>
        <w:rPr>
          <w:rFonts w:hint="eastAsia" w:ascii="宋体" w:hAnsi="宋体" w:eastAsia="宋体" w:cs="宋体"/>
          <w:sz w:val="24"/>
          <w:szCs w:val="24"/>
        </w:rPr>
        <w:t>不构成关联交易</w:t>
      </w:r>
    </w:p>
    <w:p>
      <w:pPr>
        <w:numPr>
          <w:ilvl w:val="0"/>
          <w:numId w:val="1"/>
        </w:num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竞购</w:t>
      </w:r>
      <w:r>
        <w:rPr>
          <w:rFonts w:hint="eastAsia" w:ascii="宋体" w:hAnsi="宋体" w:eastAsia="宋体" w:cs="宋体"/>
          <w:sz w:val="24"/>
          <w:szCs w:val="24"/>
        </w:rPr>
        <w:t>不构成重大资产重组</w:t>
      </w:r>
      <w:bookmarkStart w:id="0" w:name="_GoBack"/>
      <w:bookmarkEnd w:id="0"/>
    </w:p>
    <w:p>
      <w:pPr>
        <w:numPr>
          <w:ilvl w:val="0"/>
          <w:numId w:val="1"/>
        </w:numPr>
        <w:adjustRightInd w:val="0"/>
        <w:snapToGrid w:val="0"/>
        <w:spacing w:line="560" w:lineRule="exact"/>
        <w:rPr>
          <w:rFonts w:hint="eastAsia" w:ascii="宋体" w:hAnsi="宋体" w:eastAsia="宋体" w:cs="宋体"/>
          <w:sz w:val="24"/>
          <w:szCs w:val="24"/>
          <w:lang w:eastAsia="zh-Hans"/>
        </w:rPr>
      </w:pPr>
      <w:r>
        <w:rPr>
          <w:rFonts w:hint="eastAsia" w:ascii="宋体" w:hAnsi="宋体" w:eastAsia="宋体" w:cs="宋体"/>
          <w:sz w:val="24"/>
          <w:szCs w:val="24"/>
          <w:lang w:val="en-US" w:eastAsia="zh-CN"/>
        </w:rPr>
        <w:t>本次竞购已通过公司第四届董事会第三次会议审议，无需提交股东大会</w:t>
      </w:r>
    </w:p>
    <w:p>
      <w:pPr>
        <w:numPr>
          <w:ilvl w:val="0"/>
          <w:numId w:val="0"/>
        </w:numPr>
        <w:adjustRightInd w:val="0"/>
        <w:snapToGrid w:val="0"/>
        <w:spacing w:line="560" w:lineRule="exact"/>
        <w:rPr>
          <w:rFonts w:hint="eastAsia" w:ascii="宋体" w:hAnsi="宋体" w:eastAsia="宋体" w:cs="宋体"/>
          <w:sz w:val="24"/>
          <w:szCs w:val="24"/>
          <w:lang w:eastAsia="zh-Hans"/>
        </w:rPr>
      </w:pPr>
      <w:r>
        <w:rPr>
          <w:rFonts w:hint="eastAsia" w:ascii="宋体" w:hAnsi="宋体" w:eastAsia="宋体" w:cs="宋体"/>
          <w:sz w:val="24"/>
          <w:szCs w:val="24"/>
          <w:lang w:val="en-US" w:eastAsia="zh-CN"/>
        </w:rPr>
        <w:t>审议。</w:t>
      </w:r>
    </w:p>
    <w:p>
      <w:pPr>
        <w:numPr>
          <w:ilvl w:val="0"/>
          <w:numId w:val="1"/>
        </w:numPr>
        <w:adjustRightInd w:val="0"/>
        <w:snapToGrid w:val="0"/>
        <w:spacing w:line="560" w:lineRule="exact"/>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公司</w:t>
      </w:r>
      <w:r>
        <w:rPr>
          <w:rFonts w:hint="eastAsia" w:ascii="宋体" w:hAnsi="宋体" w:eastAsia="宋体" w:cs="宋体"/>
          <w:sz w:val="24"/>
          <w:szCs w:val="24"/>
          <w:lang w:eastAsia="zh-Hans"/>
        </w:rPr>
        <w:t>拟在董事会授权范围</w:t>
      </w:r>
      <w:r>
        <w:rPr>
          <w:rFonts w:hint="eastAsia" w:ascii="宋体" w:hAnsi="宋体" w:eastAsia="宋体" w:cs="宋体"/>
          <w:sz w:val="24"/>
          <w:szCs w:val="24"/>
          <w:lang w:val="en-US" w:eastAsia="zh-CN"/>
        </w:rPr>
        <w:t>内</w:t>
      </w:r>
      <w:r>
        <w:rPr>
          <w:rFonts w:hint="eastAsia" w:ascii="宋体" w:hAnsi="宋体" w:eastAsia="宋体" w:cs="宋体"/>
          <w:sz w:val="24"/>
          <w:szCs w:val="24"/>
          <w:lang w:eastAsia="zh-Hans"/>
        </w:rPr>
        <w:t>通过北京产权交易所竞购上海长威与南方</w:t>
      </w:r>
    </w:p>
    <w:p>
      <w:pPr>
        <w:numPr>
          <w:ilvl w:val="0"/>
          <w:numId w:val="0"/>
        </w:numPr>
        <w:adjustRightInd w:val="0"/>
        <w:snapToGrid w:val="0"/>
        <w:spacing w:line="560" w:lineRule="exact"/>
        <w:rPr>
          <w:rFonts w:hint="eastAsia" w:ascii="宋体" w:hAnsi="宋体" w:eastAsia="宋体" w:cs="宋体"/>
          <w:color w:val="000000"/>
          <w:sz w:val="24"/>
          <w:szCs w:val="24"/>
          <w:lang w:val="en-US" w:eastAsia="zh-CN"/>
        </w:rPr>
      </w:pPr>
      <w:r>
        <w:rPr>
          <w:rFonts w:hint="eastAsia" w:ascii="宋体" w:hAnsi="宋体" w:eastAsia="宋体" w:cs="宋体"/>
          <w:sz w:val="24"/>
          <w:szCs w:val="24"/>
          <w:lang w:eastAsia="zh-Hans"/>
        </w:rPr>
        <w:t>资产合计持有云变电气79.97%股份，成交价格及成交与否都存在不确定性，请广大投资者注意投资风险。</w:t>
      </w:r>
    </w:p>
    <w:p>
      <w:pPr>
        <w:keepNext w:val="0"/>
        <w:keepLines w:val="0"/>
        <w:pageBreakBefore w:val="0"/>
        <w:widowControl w:val="0"/>
        <w:wordWrap/>
        <w:overflowPunct/>
        <w:topLinePunct w:val="0"/>
        <w:bidi w:val="0"/>
        <w:adjustRightInd w:val="0"/>
        <w:snapToGrid w:val="0"/>
        <w:spacing w:line="560" w:lineRule="exact"/>
        <w:ind w:firstLine="482" w:firstLineChars="200"/>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一、交易概述</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125" w:right="119" w:firstLine="369"/>
        <w:jc w:val="both"/>
        <w:textAlignment w:val="baseline"/>
        <w:rPr>
          <w:rFonts w:hint="eastAsia" w:ascii="宋体" w:hAnsi="宋体" w:eastAsia="宋体" w:cs="宋体"/>
          <w:b/>
          <w:bCs/>
          <w:sz w:val="24"/>
          <w:szCs w:val="24"/>
        </w:rPr>
      </w:pPr>
      <w:r>
        <w:rPr>
          <w:rFonts w:hint="eastAsia" w:ascii="宋体" w:hAnsi="宋体" w:eastAsia="宋体" w:cs="宋体"/>
          <w:sz w:val="24"/>
          <w:szCs w:val="24"/>
        </w:rPr>
        <w:t>本次交易对方为上海长威股权投资合伙企业（有限合伙）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以下简称“上海长威”</w:t>
      </w:r>
      <w:r>
        <w:rPr>
          <w:rFonts w:hint="eastAsia" w:ascii="宋体" w:hAnsi="宋体" w:eastAsia="宋体" w:cs="宋体"/>
          <w:sz w:val="24"/>
          <w:szCs w:val="24"/>
          <w:lang w:eastAsia="zh-CN"/>
        </w:rPr>
        <w:t>）</w:t>
      </w:r>
      <w:r>
        <w:rPr>
          <w:rFonts w:hint="eastAsia" w:ascii="宋体" w:hAnsi="宋体" w:eastAsia="宋体" w:cs="宋体"/>
          <w:sz w:val="24"/>
          <w:szCs w:val="24"/>
        </w:rPr>
        <w:t>与南方工业资产管理有限责任公司（以下简称“</w:t>
      </w:r>
      <w:r>
        <w:rPr>
          <w:rFonts w:hint="eastAsia" w:ascii="宋体" w:hAnsi="宋体" w:eastAsia="宋体" w:cs="宋体"/>
          <w:sz w:val="24"/>
          <w:szCs w:val="24"/>
          <w:lang w:val="en-US" w:eastAsia="zh-CN"/>
        </w:rPr>
        <w:t>南方资产</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pacing w:val="-5"/>
          <w:sz w:val="24"/>
          <w:szCs w:val="24"/>
        </w:rPr>
        <w:t>交易标的为云变电气</w:t>
      </w:r>
      <w:r>
        <w:rPr>
          <w:rFonts w:hint="eastAsia" w:ascii="宋体" w:hAnsi="宋体" w:eastAsia="宋体" w:cs="宋体"/>
          <w:spacing w:val="-9"/>
          <w:sz w:val="24"/>
          <w:szCs w:val="24"/>
          <w:lang w:val="en-US" w:eastAsia="zh-CN"/>
        </w:rPr>
        <w:t>79.97</w:t>
      </w:r>
      <w:r>
        <w:rPr>
          <w:rFonts w:hint="eastAsia" w:ascii="宋体" w:hAnsi="宋体" w:eastAsia="宋体" w:cs="宋体"/>
          <w:spacing w:val="-9"/>
          <w:sz w:val="24"/>
          <w:szCs w:val="24"/>
        </w:rPr>
        <w:t>%股</w:t>
      </w:r>
      <w:r>
        <w:rPr>
          <w:rFonts w:hint="eastAsia" w:ascii="宋体" w:hAnsi="宋体" w:eastAsia="宋体" w:cs="宋体"/>
          <w:spacing w:val="-9"/>
          <w:sz w:val="24"/>
          <w:szCs w:val="24"/>
          <w:lang w:val="en-US" w:eastAsia="zh-CN"/>
        </w:rPr>
        <w:t>份（以下简称“标的股份”）</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202</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2</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rPr>
        <w:t>日，</w:t>
      </w:r>
      <w:r>
        <w:rPr>
          <w:rFonts w:hint="eastAsia" w:ascii="宋体" w:hAnsi="宋体" w:eastAsia="宋体" w:cs="宋体"/>
          <w:spacing w:val="-9"/>
          <w:sz w:val="24"/>
          <w:szCs w:val="24"/>
          <w:lang w:val="en-US" w:eastAsia="zh-CN"/>
        </w:rPr>
        <w:t>上海长威与南方资产</w:t>
      </w:r>
      <w:r>
        <w:rPr>
          <w:rFonts w:hint="eastAsia" w:ascii="宋体" w:hAnsi="宋体" w:eastAsia="宋体" w:cs="宋体"/>
          <w:spacing w:val="-9"/>
          <w:sz w:val="24"/>
          <w:szCs w:val="24"/>
        </w:rPr>
        <w:t>将其</w:t>
      </w:r>
      <w:r>
        <w:rPr>
          <w:rFonts w:hint="eastAsia" w:ascii="宋体" w:hAnsi="宋体" w:eastAsia="宋体" w:cs="宋体"/>
          <w:spacing w:val="-9"/>
          <w:sz w:val="24"/>
          <w:szCs w:val="24"/>
          <w:lang w:val="en-US" w:eastAsia="zh-CN"/>
        </w:rPr>
        <w:t>分别</w:t>
      </w:r>
      <w:r>
        <w:rPr>
          <w:rFonts w:hint="eastAsia" w:ascii="宋体" w:hAnsi="宋体" w:eastAsia="宋体" w:cs="宋体"/>
          <w:spacing w:val="-9"/>
          <w:sz w:val="24"/>
          <w:szCs w:val="24"/>
        </w:rPr>
        <w:t>持有</w:t>
      </w:r>
      <w:r>
        <w:rPr>
          <w:rFonts w:hint="eastAsia" w:ascii="宋体" w:hAnsi="宋体" w:eastAsia="宋体" w:cs="宋体"/>
          <w:spacing w:val="-9"/>
          <w:sz w:val="24"/>
          <w:szCs w:val="24"/>
          <w:lang w:val="en-US" w:eastAsia="zh-CN"/>
        </w:rPr>
        <w:t>云变电气54.97%与25%</w:t>
      </w:r>
      <w:r>
        <w:rPr>
          <w:rFonts w:hint="eastAsia" w:ascii="宋体" w:hAnsi="宋体" w:eastAsia="宋体" w:cs="宋体"/>
          <w:spacing w:val="-6"/>
          <w:sz w:val="24"/>
          <w:szCs w:val="24"/>
        </w:rPr>
        <w:t>的股</w:t>
      </w:r>
      <w:r>
        <w:rPr>
          <w:rFonts w:hint="eastAsia" w:ascii="宋体" w:hAnsi="宋体" w:eastAsia="宋体" w:cs="宋体"/>
          <w:spacing w:val="-6"/>
          <w:sz w:val="24"/>
          <w:szCs w:val="24"/>
          <w:lang w:val="en-US" w:eastAsia="zh-CN"/>
        </w:rPr>
        <w:t>份</w:t>
      </w:r>
      <w:r>
        <w:rPr>
          <w:rFonts w:hint="eastAsia" w:ascii="宋体" w:hAnsi="宋体" w:eastAsia="宋体" w:cs="宋体"/>
          <w:spacing w:val="-6"/>
          <w:sz w:val="24"/>
          <w:szCs w:val="24"/>
        </w:rPr>
        <w:t>在</w:t>
      </w:r>
      <w:r>
        <w:rPr>
          <w:rFonts w:hint="eastAsia" w:ascii="宋体" w:hAnsi="宋体" w:eastAsia="宋体" w:cs="宋体"/>
          <w:spacing w:val="-6"/>
          <w:sz w:val="24"/>
          <w:szCs w:val="24"/>
          <w:lang w:val="en-US" w:eastAsia="zh-CN"/>
        </w:rPr>
        <w:t>北京</w:t>
      </w:r>
      <w:r>
        <w:rPr>
          <w:rFonts w:hint="eastAsia" w:ascii="宋体" w:hAnsi="宋体" w:eastAsia="宋体" w:cs="宋体"/>
          <w:spacing w:val="-6"/>
          <w:sz w:val="24"/>
          <w:szCs w:val="24"/>
        </w:rPr>
        <w:t>产权交易所挂牌交易（该项目编号</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G32024BJ1000056）</w:t>
      </w:r>
      <w:r>
        <w:rPr>
          <w:rFonts w:hint="eastAsia" w:ascii="宋体" w:hAnsi="宋体" w:eastAsia="宋体" w:cs="宋体"/>
          <w:spacing w:val="-64"/>
          <w:sz w:val="24"/>
          <w:szCs w:val="24"/>
        </w:rPr>
        <w:t>，</w:t>
      </w:r>
      <w:r>
        <w:rPr>
          <w:rFonts w:hint="eastAsia" w:ascii="宋体" w:hAnsi="宋体" w:eastAsia="宋体" w:cs="宋体"/>
          <w:spacing w:val="-6"/>
          <w:sz w:val="24"/>
          <w:szCs w:val="24"/>
        </w:rPr>
        <w:t>公司</w:t>
      </w:r>
      <w:r>
        <w:rPr>
          <w:rFonts w:hint="eastAsia" w:ascii="宋体" w:hAnsi="宋体" w:eastAsia="宋体" w:cs="宋体"/>
          <w:spacing w:val="-2"/>
          <w:sz w:val="24"/>
          <w:szCs w:val="24"/>
        </w:rPr>
        <w:t>拟</w:t>
      </w:r>
      <w:r>
        <w:rPr>
          <w:rFonts w:hint="eastAsia" w:ascii="宋体" w:hAnsi="宋体" w:eastAsia="宋体" w:cs="宋体"/>
          <w:spacing w:val="-2"/>
          <w:sz w:val="24"/>
          <w:szCs w:val="24"/>
          <w:lang w:val="en-US" w:eastAsia="zh-CN"/>
        </w:rPr>
        <w:t>通过北京产权交易所</w:t>
      </w:r>
      <w:r>
        <w:rPr>
          <w:rFonts w:hint="eastAsia" w:ascii="宋体" w:hAnsi="宋体" w:eastAsia="宋体" w:cs="宋体"/>
          <w:spacing w:val="-2"/>
          <w:sz w:val="24"/>
          <w:szCs w:val="24"/>
        </w:rPr>
        <w:t>竞购</w:t>
      </w:r>
      <w:r>
        <w:rPr>
          <w:rFonts w:hint="eastAsia" w:ascii="宋体" w:hAnsi="宋体" w:eastAsia="宋体" w:cs="宋体"/>
          <w:spacing w:val="-2"/>
          <w:sz w:val="24"/>
          <w:szCs w:val="24"/>
          <w:lang w:val="en-US" w:eastAsia="zh-CN"/>
        </w:rPr>
        <w:t>上述上海长威、南方资产合计</w:t>
      </w:r>
      <w:r>
        <w:rPr>
          <w:rFonts w:hint="eastAsia" w:ascii="宋体" w:hAnsi="宋体" w:eastAsia="宋体" w:cs="宋体"/>
          <w:spacing w:val="-2"/>
          <w:sz w:val="24"/>
          <w:szCs w:val="24"/>
        </w:rPr>
        <w:t>持有</w:t>
      </w:r>
      <w:r>
        <w:rPr>
          <w:rFonts w:hint="eastAsia" w:ascii="宋体" w:hAnsi="宋体" w:eastAsia="宋体" w:cs="宋体"/>
          <w:spacing w:val="-2"/>
          <w:sz w:val="24"/>
          <w:szCs w:val="24"/>
          <w:lang w:val="en-US" w:eastAsia="zh-CN"/>
        </w:rPr>
        <w:t>云变电气79.97</w:t>
      </w:r>
      <w:r>
        <w:rPr>
          <w:rFonts w:hint="eastAsia" w:ascii="宋体" w:hAnsi="宋体" w:eastAsia="宋体" w:cs="宋体"/>
          <w:spacing w:val="-2"/>
          <w:sz w:val="24"/>
          <w:szCs w:val="24"/>
        </w:rPr>
        <w:t>%的</w:t>
      </w:r>
      <w:r>
        <w:rPr>
          <w:rFonts w:hint="eastAsia" w:ascii="宋体" w:hAnsi="宋体" w:eastAsia="宋体" w:cs="宋体"/>
          <w:spacing w:val="-2"/>
          <w:sz w:val="24"/>
          <w:szCs w:val="24"/>
          <w:highlight w:val="none"/>
        </w:rPr>
        <w:t>股</w:t>
      </w:r>
      <w:r>
        <w:rPr>
          <w:rFonts w:hint="eastAsia" w:ascii="宋体" w:hAnsi="宋体" w:eastAsia="宋体" w:cs="宋体"/>
          <w:spacing w:val="-2"/>
          <w:sz w:val="24"/>
          <w:szCs w:val="24"/>
          <w:highlight w:val="none"/>
          <w:lang w:val="en-US" w:eastAsia="zh-CN"/>
        </w:rPr>
        <w:t>份（以下简称“本次交易”）</w:t>
      </w:r>
      <w:r>
        <w:rPr>
          <w:rFonts w:hint="eastAsia" w:ascii="宋体" w:hAnsi="宋体" w:eastAsia="宋体" w:cs="宋体"/>
          <w:spacing w:val="-2"/>
          <w:sz w:val="24"/>
          <w:szCs w:val="24"/>
          <w:highlight w:val="none"/>
          <w:lang w:eastAsia="zh-CN"/>
        </w:rPr>
        <w:t>。</w:t>
      </w:r>
    </w:p>
    <w:p>
      <w:pPr>
        <w:pStyle w:val="3"/>
        <w:spacing w:before="183" w:line="465" w:lineRule="exact"/>
        <w:ind w:firstLine="470" w:firstLineChars="200"/>
        <w:rPr>
          <w:rFonts w:hint="eastAsia" w:ascii="宋体" w:hAnsi="宋体" w:eastAsia="宋体" w:cs="宋体"/>
          <w:b/>
          <w:bCs/>
          <w:spacing w:val="-3"/>
          <w:position w:val="17"/>
          <w:sz w:val="24"/>
          <w:szCs w:val="24"/>
          <w:lang w:val="en-US" w:eastAsia="zh-CN"/>
        </w:rPr>
      </w:pPr>
      <w:r>
        <w:rPr>
          <w:rFonts w:hint="eastAsia" w:ascii="宋体" w:hAnsi="宋体" w:eastAsia="宋体" w:cs="宋体"/>
          <w:b/>
          <w:bCs/>
          <w:spacing w:val="-3"/>
          <w:position w:val="17"/>
          <w:sz w:val="24"/>
          <w:szCs w:val="24"/>
          <w:lang w:val="en-US" w:eastAsia="zh-CN"/>
        </w:rPr>
        <w:t>二、交易对方情况介绍</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本次交易对方为上海长威和南方资产，交易对方的基本信息如下：</w:t>
      </w:r>
    </w:p>
    <w:p>
      <w:pPr>
        <w:pStyle w:val="3"/>
        <w:keepNext w:val="0"/>
        <w:keepLines w:val="0"/>
        <w:pageBreakBefore w:val="0"/>
        <w:widowControl/>
        <w:kinsoku w:val="0"/>
        <w:wordWrap/>
        <w:overflowPunct/>
        <w:topLinePunct w:val="0"/>
        <w:autoSpaceDE w:val="0"/>
        <w:autoSpaceDN w:val="0"/>
        <w:bidi w:val="0"/>
        <w:adjustRightInd w:val="0"/>
        <w:snapToGrid/>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1、上海长威股权投资合伙企业（有限合伙）</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eastAsia="zh-CN"/>
        </w:rPr>
      </w:pPr>
      <w:r>
        <w:rPr>
          <w:rFonts w:hint="eastAsia" w:ascii="宋体" w:hAnsi="宋体" w:eastAsia="宋体" w:cs="宋体"/>
          <w:spacing w:val="-3"/>
          <w:position w:val="17"/>
          <w:sz w:val="24"/>
          <w:szCs w:val="24"/>
          <w:lang w:eastAsia="zh-CN"/>
        </w:rPr>
        <w:t>统一社会信用代码：91310000561914603E</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eastAsia="zh-CN"/>
        </w:rPr>
      </w:pPr>
      <w:r>
        <w:rPr>
          <w:rFonts w:hint="eastAsia" w:ascii="宋体" w:hAnsi="宋体" w:eastAsia="宋体" w:cs="宋体"/>
          <w:spacing w:val="-3"/>
          <w:position w:val="17"/>
          <w:sz w:val="24"/>
          <w:szCs w:val="24"/>
          <w:lang w:eastAsia="zh-CN"/>
        </w:rPr>
        <w:t>成立时间：2010-09-17</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eastAsia="zh-CN"/>
        </w:rPr>
      </w:pPr>
      <w:r>
        <w:rPr>
          <w:rFonts w:hint="eastAsia" w:ascii="宋体" w:hAnsi="宋体" w:eastAsia="宋体" w:cs="宋体"/>
          <w:spacing w:val="-3"/>
          <w:position w:val="17"/>
          <w:sz w:val="24"/>
          <w:szCs w:val="24"/>
          <w:lang w:eastAsia="zh-CN"/>
        </w:rPr>
        <w:t>注册地（</w:t>
      </w:r>
      <w:r>
        <w:rPr>
          <w:rFonts w:hint="eastAsia" w:ascii="宋体" w:hAnsi="宋体" w:eastAsia="宋体" w:cs="宋体"/>
          <w:spacing w:val="-3"/>
          <w:position w:val="17"/>
          <w:sz w:val="24"/>
          <w:szCs w:val="24"/>
          <w:lang w:val="en-US" w:eastAsia="zh-CN"/>
        </w:rPr>
        <w:t>住所</w:t>
      </w:r>
      <w:r>
        <w:rPr>
          <w:rFonts w:hint="eastAsia" w:ascii="宋体" w:hAnsi="宋体" w:eastAsia="宋体" w:cs="宋体"/>
          <w:spacing w:val="-3"/>
          <w:position w:val="17"/>
          <w:sz w:val="24"/>
          <w:szCs w:val="24"/>
          <w:lang w:eastAsia="zh-CN"/>
        </w:rPr>
        <w:t>）：上海市浦东新区莲振路298号4号楼B210室</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执行事务合伙人：南方德茂资本管理有限公司</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注册资本：140,067.6805万元人民币</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主营业务：股权投资。</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主要股东：东莞资产管理有限公司持股89.2426%、南方工业资产管理有限责任公司持股9.3367%、南方德茂资本管理有限公司持股1.4208%。</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68" w:firstLineChars="200"/>
        <w:jc w:val="left"/>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2、南方工业资产管理有限责任公司</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80" w:firstLineChars="200"/>
        <w:jc w:val="left"/>
        <w:textAlignment w:val="baseline"/>
        <w:rPr>
          <w:rFonts w:hint="eastAsia" w:ascii="宋体" w:hAnsi="宋体" w:eastAsia="宋体" w:cs="宋体"/>
          <w:i w:val="0"/>
          <w:iCs w:val="0"/>
          <w:caps w:val="0"/>
          <w:snapToGrid/>
          <w:spacing w:val="0"/>
          <w:kern w:val="2"/>
          <w:sz w:val="24"/>
          <w:szCs w:val="24"/>
          <w:lang w:val="en-US" w:eastAsia="zh-CN" w:bidi="ar"/>
        </w:rPr>
      </w:pPr>
      <w:r>
        <w:rPr>
          <w:rFonts w:hint="eastAsia" w:ascii="宋体" w:hAnsi="宋体" w:eastAsia="宋体" w:cs="宋体"/>
          <w:b w:val="0"/>
          <w:bCs w:val="0"/>
          <w:sz w:val="24"/>
          <w:szCs w:val="24"/>
          <w:lang w:val="en-US" w:eastAsia="zh-CN"/>
        </w:rPr>
        <w:t>统一社会信用代</w:t>
      </w:r>
      <w:r>
        <w:rPr>
          <w:rFonts w:hint="eastAsia" w:ascii="宋体" w:hAnsi="宋体" w:eastAsia="宋体" w:cs="宋体"/>
          <w:b w:val="0"/>
          <w:bCs w:val="0"/>
          <w:sz w:val="24"/>
          <w:szCs w:val="24"/>
          <w:lang w:val="en-US" w:eastAsia="zh-CN" w:bidi="ar"/>
        </w:rPr>
        <w:t>码：</w:t>
      </w:r>
      <w:r>
        <w:rPr>
          <w:rFonts w:hint="eastAsia" w:ascii="宋体" w:hAnsi="宋体" w:eastAsia="宋体" w:cs="宋体"/>
          <w:i w:val="0"/>
          <w:iCs w:val="0"/>
          <w:caps w:val="0"/>
          <w:snapToGrid/>
          <w:color w:val="auto"/>
          <w:spacing w:val="0"/>
          <w:kern w:val="2"/>
          <w:sz w:val="24"/>
          <w:szCs w:val="24"/>
          <w:lang w:val="en-US" w:eastAsia="zh-CN" w:bidi="ar"/>
        </w:rPr>
        <w:t>911100007109287788</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成立时间：</w:t>
      </w:r>
      <w:r>
        <w:rPr>
          <w:rFonts w:hint="eastAsia" w:ascii="宋体" w:hAnsi="宋体" w:eastAsia="宋体" w:cs="宋体"/>
          <w:sz w:val="24"/>
          <w:szCs w:val="24"/>
          <w:lang w:eastAsia="zh-CN"/>
        </w:rPr>
        <w:t>2001-08-28</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注册地（住所）：</w:t>
      </w:r>
      <w:r>
        <w:rPr>
          <w:rFonts w:hint="eastAsia" w:ascii="宋体" w:hAnsi="宋体" w:eastAsia="宋体" w:cs="宋体"/>
          <w:i w:val="0"/>
          <w:iCs w:val="0"/>
          <w:caps w:val="0"/>
          <w:snapToGrid/>
          <w:color w:val="auto"/>
          <w:spacing w:val="0"/>
          <w:kern w:val="2"/>
          <w:sz w:val="24"/>
          <w:szCs w:val="24"/>
          <w:lang w:val="en-US" w:eastAsia="zh-CN" w:bidi="ar"/>
        </w:rPr>
        <w:t>北京市海淀区车道沟10号院3号科研办公楼6层</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80" w:firstLineChars="200"/>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法定代表人：肖勇</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0" w:firstLineChars="0"/>
        <w:jc w:val="left"/>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 xml:space="preserve">    主营业务：实业投资；信息咨询。</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主要股东：中国兵器装备集团有限公司持股100%。</w:t>
      </w:r>
    </w:p>
    <w:p>
      <w:pPr>
        <w:pStyle w:val="3"/>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本</w:t>
      </w:r>
      <w:r>
        <w:rPr>
          <w:rFonts w:hint="eastAsia" w:ascii="宋体" w:hAnsi="宋体" w:eastAsia="宋体" w:cs="宋体"/>
          <w:spacing w:val="-3"/>
          <w:position w:val="17"/>
          <w:sz w:val="24"/>
          <w:szCs w:val="24"/>
        </w:rPr>
        <w:t>次交易是通过</w:t>
      </w:r>
      <w:r>
        <w:rPr>
          <w:rFonts w:hint="eastAsia" w:ascii="宋体" w:hAnsi="宋体" w:eastAsia="宋体" w:cs="宋体"/>
          <w:spacing w:val="-3"/>
          <w:position w:val="17"/>
          <w:sz w:val="24"/>
          <w:szCs w:val="24"/>
          <w:lang w:val="en-US" w:eastAsia="zh-CN"/>
        </w:rPr>
        <w:t>北京</w:t>
      </w:r>
      <w:r>
        <w:rPr>
          <w:rFonts w:hint="eastAsia" w:ascii="宋体" w:hAnsi="宋体" w:eastAsia="宋体" w:cs="宋体"/>
          <w:spacing w:val="-3"/>
          <w:position w:val="17"/>
          <w:sz w:val="24"/>
          <w:szCs w:val="24"/>
        </w:rPr>
        <w:t>产权交易所进行</w:t>
      </w:r>
      <w:r>
        <w:rPr>
          <w:rFonts w:hint="eastAsia" w:ascii="宋体" w:hAnsi="宋体" w:eastAsia="宋体" w:cs="宋体"/>
          <w:spacing w:val="-3"/>
          <w:position w:val="17"/>
          <w:sz w:val="24"/>
          <w:szCs w:val="24"/>
          <w:lang w:val="en-US" w:eastAsia="zh-CN"/>
        </w:rPr>
        <w:t>公开</w:t>
      </w:r>
      <w:r>
        <w:rPr>
          <w:rFonts w:hint="eastAsia" w:ascii="宋体" w:hAnsi="宋体" w:eastAsia="宋体" w:cs="宋体"/>
          <w:spacing w:val="-3"/>
          <w:position w:val="17"/>
          <w:sz w:val="24"/>
          <w:szCs w:val="24"/>
        </w:rPr>
        <w:t>交易</w:t>
      </w:r>
      <w:r>
        <w:rPr>
          <w:rFonts w:hint="eastAsia" w:ascii="宋体" w:hAnsi="宋体" w:eastAsia="宋体" w:cs="宋体"/>
          <w:spacing w:val="-3"/>
          <w:position w:val="17"/>
          <w:sz w:val="24"/>
          <w:szCs w:val="24"/>
          <w:lang w:eastAsia="zh-CN"/>
        </w:rPr>
        <w:t>，</w:t>
      </w:r>
      <w:r>
        <w:rPr>
          <w:rFonts w:hint="eastAsia" w:ascii="宋体" w:hAnsi="宋体" w:eastAsia="宋体" w:cs="宋体"/>
          <w:spacing w:val="-3"/>
          <w:position w:val="17"/>
          <w:sz w:val="24"/>
          <w:szCs w:val="24"/>
          <w:lang w:val="en-US" w:eastAsia="zh-CN"/>
        </w:rPr>
        <w:t>交易对方与公司在产权、业务、资产、债权债务、人员等方面不存在关联关系，亦不存在其他可能或已经造成公司对其利益倾斜的其他关系。</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68" w:firstLineChars="200"/>
        <w:jc w:val="both"/>
        <w:textAlignment w:val="baseline"/>
        <w:rPr>
          <w:rFonts w:hint="eastAsia" w:ascii="宋体" w:hAnsi="宋体" w:eastAsia="宋体" w:cs="宋体"/>
          <w:spacing w:val="-3"/>
          <w:position w:val="17"/>
          <w:sz w:val="24"/>
          <w:szCs w:val="24"/>
          <w:lang w:val="en-US" w:eastAsia="zh-CN"/>
        </w:rPr>
      </w:pPr>
      <w:r>
        <w:rPr>
          <w:rFonts w:hint="eastAsia" w:ascii="宋体" w:hAnsi="宋体" w:eastAsia="宋体" w:cs="宋体"/>
          <w:spacing w:val="-3"/>
          <w:position w:val="17"/>
          <w:sz w:val="24"/>
          <w:szCs w:val="24"/>
          <w:lang w:val="en-US" w:eastAsia="zh-CN"/>
        </w:rPr>
        <w:t>交易对方不存在被列为失信被执行人的情况。</w:t>
      </w:r>
    </w:p>
    <w:p>
      <w:pPr>
        <w:pStyle w:val="3"/>
        <w:keepNext w:val="0"/>
        <w:keepLines w:val="0"/>
        <w:pageBreakBefore w:val="0"/>
        <w:widowControl/>
        <w:kinsoku w:val="0"/>
        <w:wordWrap/>
        <w:overflowPunct/>
        <w:topLinePunct w:val="0"/>
        <w:autoSpaceDE w:val="0"/>
        <w:autoSpaceDN w:val="0"/>
        <w:bidi w:val="0"/>
        <w:adjustRightInd w:val="0"/>
        <w:snapToGrid w:val="0"/>
        <w:spacing w:before="33" w:line="360" w:lineRule="auto"/>
        <w:ind w:left="602"/>
        <w:jc w:val="both"/>
        <w:textAlignment w:val="baseline"/>
        <w:rPr>
          <w:rFonts w:hint="eastAsia" w:ascii="宋体" w:hAnsi="宋体" w:eastAsia="宋体" w:cs="宋体"/>
          <w:b/>
          <w:bCs/>
          <w:sz w:val="24"/>
          <w:szCs w:val="24"/>
        </w:rPr>
      </w:pPr>
      <w:r>
        <w:rPr>
          <w:rFonts w:hint="eastAsia" w:ascii="宋体" w:hAnsi="宋体" w:eastAsia="宋体" w:cs="宋体"/>
          <w:b/>
          <w:bCs/>
          <w:spacing w:val="-1"/>
          <w:sz w:val="24"/>
          <w:szCs w:val="24"/>
        </w:rPr>
        <w:t>三、交易标的基本情况</w:t>
      </w:r>
    </w:p>
    <w:p>
      <w:pPr>
        <w:pStyle w:val="3"/>
        <w:keepNext w:val="0"/>
        <w:keepLines w:val="0"/>
        <w:pageBreakBefore w:val="0"/>
        <w:widowControl/>
        <w:kinsoku w:val="0"/>
        <w:wordWrap/>
        <w:overflowPunct/>
        <w:topLinePunct w:val="0"/>
        <w:autoSpaceDE w:val="0"/>
        <w:autoSpaceDN w:val="0"/>
        <w:bidi w:val="0"/>
        <w:adjustRightInd w:val="0"/>
        <w:snapToGrid w:val="0"/>
        <w:spacing w:before="180" w:line="360" w:lineRule="auto"/>
        <w:ind w:left="602"/>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根据北京</w:t>
      </w:r>
      <w:r>
        <w:rPr>
          <w:rFonts w:hint="eastAsia" w:ascii="宋体" w:hAnsi="宋体" w:eastAsia="宋体" w:cs="宋体"/>
          <w:spacing w:val="-2"/>
          <w:sz w:val="24"/>
          <w:szCs w:val="24"/>
        </w:rPr>
        <w:t>产权交易所公开信息，本次交易标的企业的基本情况如下：</w:t>
      </w:r>
    </w:p>
    <w:p>
      <w:pPr>
        <w:pStyle w:val="3"/>
        <w:keepNext w:val="0"/>
        <w:keepLines w:val="0"/>
        <w:pageBreakBefore w:val="0"/>
        <w:widowControl/>
        <w:kinsoku w:val="0"/>
        <w:wordWrap/>
        <w:overflowPunct/>
        <w:topLinePunct w:val="0"/>
        <w:autoSpaceDE w:val="0"/>
        <w:autoSpaceDN w:val="0"/>
        <w:bidi w:val="0"/>
        <w:adjustRightInd w:val="0"/>
        <w:snapToGrid w:val="0"/>
        <w:spacing w:before="183" w:line="360" w:lineRule="auto"/>
        <w:ind w:left="619"/>
        <w:jc w:val="both"/>
        <w:textAlignment w:val="baseline"/>
        <w:rPr>
          <w:rFonts w:hint="eastAsia" w:ascii="宋体" w:hAnsi="宋体" w:eastAsia="宋体" w:cs="宋体"/>
          <w:b/>
          <w:bCs/>
          <w:sz w:val="24"/>
          <w:szCs w:val="24"/>
          <w:lang w:eastAsia="zh-CN"/>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一</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基本</w:t>
      </w:r>
      <w:r>
        <w:rPr>
          <w:rFonts w:hint="eastAsia" w:ascii="宋体" w:hAnsi="宋体" w:eastAsia="宋体" w:cs="宋体"/>
          <w:b/>
          <w:bCs/>
          <w:spacing w:val="-4"/>
          <w:sz w:val="24"/>
          <w:szCs w:val="24"/>
          <w:lang w:val="en-US" w:eastAsia="zh-CN"/>
        </w:rPr>
        <w:t>信息</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企业名称：云南变压器电气股份有限公司</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公司类型：</w:t>
      </w:r>
      <w:r>
        <w:rPr>
          <w:rFonts w:hint="eastAsia" w:ascii="宋体" w:hAnsi="宋体" w:eastAsia="宋体" w:cs="宋体"/>
          <w:spacing w:val="1"/>
          <w:sz w:val="24"/>
          <w:szCs w:val="24"/>
          <w:lang w:val="en-US" w:eastAsia="zh-CN"/>
        </w:rPr>
        <w:t>股份有限公司</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注册地</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中国（云南）自由贸易试验区昆明片区经开区洛羊街道办事处拓翔路212号</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法定代表人</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肖斌</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经济</w:t>
      </w:r>
      <w:r>
        <w:rPr>
          <w:rFonts w:hint="eastAsia" w:ascii="宋体" w:hAnsi="宋体" w:eastAsia="宋体" w:cs="宋体"/>
          <w:spacing w:val="-3"/>
          <w:sz w:val="24"/>
          <w:szCs w:val="24"/>
        </w:rPr>
        <w:t>类型</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国有参股公司</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58"/>
          <w:sz w:val="24"/>
          <w:szCs w:val="24"/>
          <w:lang w:eastAsia="zh-CN"/>
        </w:rPr>
      </w:pPr>
      <w:r>
        <w:rPr>
          <w:rFonts w:hint="eastAsia" w:ascii="宋体" w:hAnsi="宋体" w:eastAsia="宋体" w:cs="宋体"/>
          <w:spacing w:val="-3"/>
          <w:sz w:val="24"/>
          <w:szCs w:val="24"/>
        </w:rPr>
        <w:t>成立</w:t>
      </w:r>
      <w:r>
        <w:rPr>
          <w:rFonts w:hint="eastAsia" w:ascii="宋体" w:hAnsi="宋体" w:eastAsia="宋体" w:cs="宋体"/>
          <w:spacing w:val="-4"/>
          <w:sz w:val="24"/>
          <w:szCs w:val="24"/>
        </w:rPr>
        <w:t>时间</w:t>
      </w:r>
      <w:r>
        <w:rPr>
          <w:rFonts w:hint="eastAsia" w:ascii="宋体" w:hAnsi="宋体" w:eastAsia="宋体" w:cs="宋体"/>
          <w:spacing w:val="-4"/>
          <w:sz w:val="24"/>
          <w:szCs w:val="24"/>
          <w:lang w:eastAsia="zh-CN"/>
        </w:rPr>
        <w:t>：</w:t>
      </w:r>
      <w:r>
        <w:rPr>
          <w:rFonts w:hint="eastAsia" w:ascii="宋体" w:hAnsi="宋体" w:eastAsia="宋体" w:cs="宋体"/>
          <w:spacing w:val="5"/>
          <w:sz w:val="24"/>
          <w:szCs w:val="24"/>
          <w:lang w:val="en-US" w:eastAsia="zh-CN"/>
        </w:rPr>
        <w:t>1999</w:t>
      </w:r>
      <w:r>
        <w:rPr>
          <w:rFonts w:hint="eastAsia" w:ascii="宋体" w:hAnsi="宋体" w:eastAsia="宋体" w:cs="宋体"/>
          <w:spacing w:val="5"/>
          <w:sz w:val="24"/>
          <w:szCs w:val="24"/>
        </w:rPr>
        <w:t>年</w:t>
      </w:r>
      <w:r>
        <w:rPr>
          <w:rFonts w:hint="eastAsia" w:ascii="宋体" w:hAnsi="宋体" w:eastAsia="宋体" w:cs="宋体"/>
          <w:spacing w:val="47"/>
          <w:sz w:val="24"/>
          <w:szCs w:val="24"/>
          <w:lang w:val="en-US" w:eastAsia="zh-CN"/>
        </w:rPr>
        <w:t>1</w:t>
      </w:r>
      <w:r>
        <w:rPr>
          <w:rFonts w:hint="eastAsia" w:ascii="宋体" w:hAnsi="宋体" w:eastAsia="宋体" w:cs="宋体"/>
          <w:spacing w:val="5"/>
          <w:sz w:val="24"/>
          <w:szCs w:val="24"/>
        </w:rPr>
        <w:t>月</w:t>
      </w:r>
      <w:r>
        <w:rPr>
          <w:rFonts w:hint="eastAsia" w:ascii="宋体" w:hAnsi="宋体" w:eastAsia="宋体" w:cs="宋体"/>
          <w:spacing w:val="47"/>
          <w:sz w:val="24"/>
          <w:szCs w:val="24"/>
          <w:lang w:val="en-US" w:eastAsia="zh-CN"/>
        </w:rPr>
        <w:t>23</w:t>
      </w:r>
      <w:r>
        <w:rPr>
          <w:rFonts w:hint="eastAsia" w:ascii="宋体" w:hAnsi="宋体" w:eastAsia="宋体" w:cs="宋体"/>
          <w:spacing w:val="5"/>
          <w:sz w:val="24"/>
          <w:szCs w:val="24"/>
        </w:rPr>
        <w:t>日</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55"/>
          <w:sz w:val="24"/>
          <w:szCs w:val="24"/>
          <w:lang w:eastAsia="zh-CN"/>
        </w:rPr>
      </w:pPr>
      <w:r>
        <w:rPr>
          <w:rFonts w:hint="eastAsia" w:ascii="宋体" w:hAnsi="宋体" w:eastAsia="宋体" w:cs="宋体"/>
          <w:spacing w:val="5"/>
          <w:sz w:val="24"/>
          <w:szCs w:val="24"/>
        </w:rPr>
        <w:t>注册资本</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10</w:t>
      </w:r>
      <w:r>
        <w:rPr>
          <w:rFonts w:hint="eastAsia" w:ascii="宋体" w:hAnsi="宋体" w:eastAsia="宋体" w:cs="宋体"/>
          <w:spacing w:val="5"/>
          <w:sz w:val="24"/>
          <w:szCs w:val="24"/>
          <w:lang w:val="en-US" w:eastAsia="zh-CN"/>
        </w:rPr>
        <w:t>,</w:t>
      </w:r>
      <w:r>
        <w:rPr>
          <w:rFonts w:hint="eastAsia" w:ascii="宋体" w:hAnsi="宋体" w:eastAsia="宋体" w:cs="宋体"/>
          <w:spacing w:val="5"/>
          <w:sz w:val="24"/>
          <w:szCs w:val="24"/>
        </w:rPr>
        <w:t>041.3641万元人民币</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2"/>
          <w:sz w:val="24"/>
          <w:szCs w:val="24"/>
        </w:rPr>
      </w:pPr>
      <w:r>
        <w:rPr>
          <w:rFonts w:hint="eastAsia" w:ascii="宋体" w:hAnsi="宋体" w:eastAsia="宋体" w:cs="宋体"/>
          <w:spacing w:val="5"/>
          <w:sz w:val="24"/>
          <w:szCs w:val="24"/>
        </w:rPr>
        <w:t>统一社会信用代码</w:t>
      </w:r>
      <w:r>
        <w:rPr>
          <w:rFonts w:hint="eastAsia" w:ascii="宋体" w:hAnsi="宋体" w:eastAsia="宋体" w:cs="宋体"/>
          <w:spacing w:val="5"/>
          <w:sz w:val="24"/>
          <w:szCs w:val="24"/>
          <w:lang w:eastAsia="zh-CN"/>
        </w:rPr>
        <w:t>：</w:t>
      </w:r>
      <w:r>
        <w:rPr>
          <w:rFonts w:hint="eastAsia" w:ascii="宋体" w:hAnsi="宋体" w:eastAsia="宋体" w:cs="宋体"/>
          <w:spacing w:val="-2"/>
          <w:sz w:val="24"/>
          <w:szCs w:val="24"/>
        </w:rPr>
        <w:t>91530000713402501X</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经营范围</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各种变压器的生产制造、销售；变压器产品生产所需的原辅助材料、电磁线、硅钢片、机械设备、仪器仪表、备品、备件、零配件、高低压开关柜、箱式变电站、电线电缆及相关技术，变压器修理，电子电器产品；货物进出口、技术进出口业务；电力工程施工总承包；电力设施承装（修、试）业务。</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主营业务：生产及销售220kV级及以下电力变压器、牵引变压器等类型变压器</w:t>
      </w:r>
    </w:p>
    <w:p>
      <w:pPr>
        <w:pStyle w:val="3"/>
        <w:keepNext w:val="0"/>
        <w:keepLines w:val="0"/>
        <w:pageBreakBefore w:val="0"/>
        <w:widowControl/>
        <w:kinsoku w:val="0"/>
        <w:wordWrap/>
        <w:overflowPunct/>
        <w:topLinePunct w:val="0"/>
        <w:autoSpaceDE w:val="0"/>
        <w:autoSpaceDN w:val="0"/>
        <w:bidi w:val="0"/>
        <w:adjustRightInd w:val="0"/>
        <w:snapToGrid w:val="0"/>
        <w:spacing w:before="184" w:line="360" w:lineRule="auto"/>
        <w:ind w:left="123" w:right="110" w:firstLine="479"/>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标的企业</w:t>
      </w:r>
      <w:r>
        <w:rPr>
          <w:rFonts w:hint="eastAsia" w:ascii="宋体" w:hAnsi="宋体" w:eastAsia="宋体" w:cs="宋体"/>
          <w:spacing w:val="-2"/>
          <w:sz w:val="24"/>
          <w:szCs w:val="24"/>
        </w:rPr>
        <w:t>不存在被列为失信被执行人的情况。</w:t>
      </w:r>
      <w:r>
        <w:rPr>
          <w:rFonts w:hint="eastAsia" w:ascii="宋体" w:hAnsi="宋体" w:eastAsia="宋体" w:cs="宋体"/>
          <w:sz w:val="24"/>
          <w:szCs w:val="24"/>
          <w:lang w:val="en-US" w:eastAsia="zh-CN"/>
        </w:rPr>
        <w:t>交易对方持有的标的股份权属清晰，不存在质押或限制转让情形，亦不涉及诉讼、仲裁或查封、冻结等司法措施等妨碍权属转移的情况。</w:t>
      </w:r>
    </w:p>
    <w:p>
      <w:pPr>
        <w:pStyle w:val="3"/>
        <w:keepNext w:val="0"/>
        <w:keepLines w:val="0"/>
        <w:pageBreakBefore w:val="0"/>
        <w:widowControl/>
        <w:kinsoku w:val="0"/>
        <w:wordWrap/>
        <w:overflowPunct/>
        <w:topLinePunct w:val="0"/>
        <w:autoSpaceDE w:val="0"/>
        <w:autoSpaceDN w:val="0"/>
        <w:bidi w:val="0"/>
        <w:adjustRightInd w:val="0"/>
        <w:snapToGrid w:val="0"/>
        <w:spacing w:before="179" w:line="360" w:lineRule="auto"/>
        <w:ind w:left="604"/>
        <w:jc w:val="both"/>
        <w:textAlignment w:val="baseline"/>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二</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股东情况</w:t>
      </w:r>
    </w:p>
    <w:p>
      <w:pPr>
        <w:pStyle w:val="3"/>
        <w:keepNext w:val="0"/>
        <w:keepLines w:val="0"/>
        <w:pageBreakBefore w:val="0"/>
        <w:widowControl/>
        <w:kinsoku w:val="0"/>
        <w:wordWrap/>
        <w:overflowPunct/>
        <w:topLinePunct w:val="0"/>
        <w:autoSpaceDE w:val="0"/>
        <w:autoSpaceDN w:val="0"/>
        <w:bidi w:val="0"/>
        <w:adjustRightInd w:val="0"/>
        <w:snapToGrid w:val="0"/>
        <w:spacing w:before="179" w:line="360" w:lineRule="auto"/>
        <w:ind w:left="604"/>
        <w:jc w:val="both"/>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截至目前，</w:t>
      </w:r>
      <w:r>
        <w:rPr>
          <w:rFonts w:hint="eastAsia" w:ascii="宋体" w:hAnsi="宋体" w:eastAsia="宋体" w:cs="宋体"/>
          <w:spacing w:val="-5"/>
          <w:sz w:val="24"/>
          <w:szCs w:val="24"/>
        </w:rPr>
        <w:t>标的企业股东如下：</w:t>
      </w:r>
    </w:p>
    <w:p>
      <w:pPr>
        <w:spacing w:line="148" w:lineRule="exact"/>
      </w:pPr>
    </w:p>
    <w:tbl>
      <w:tblPr>
        <w:tblStyle w:val="25"/>
        <w:tblW w:w="86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3158"/>
        <w:gridCol w:w="1818"/>
        <w:gridCol w:w="2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3" w:hRule="atLeast"/>
        </w:trPr>
        <w:tc>
          <w:tcPr>
            <w:tcW w:w="926" w:type="dxa"/>
            <w:vAlign w:val="center"/>
          </w:tcPr>
          <w:p>
            <w:pPr>
              <w:pStyle w:val="24"/>
              <w:spacing w:before="38" w:line="221" w:lineRule="auto"/>
              <w:ind w:left="116"/>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pacing w:val="-3"/>
                <w:sz w:val="18"/>
                <w:szCs w:val="18"/>
              </w:rPr>
              <w:t>序号</w:t>
            </w:r>
          </w:p>
        </w:tc>
        <w:tc>
          <w:tcPr>
            <w:tcW w:w="3158" w:type="dxa"/>
            <w:vAlign w:val="center"/>
          </w:tcPr>
          <w:p>
            <w:pPr>
              <w:pStyle w:val="24"/>
              <w:spacing w:before="37" w:line="220" w:lineRule="auto"/>
              <w:ind w:left="113"/>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pacing w:val="-2"/>
                <w:sz w:val="18"/>
                <w:szCs w:val="18"/>
              </w:rPr>
              <w:t>股东名称</w:t>
            </w:r>
          </w:p>
        </w:tc>
        <w:tc>
          <w:tcPr>
            <w:tcW w:w="1818" w:type="dxa"/>
            <w:vAlign w:val="center"/>
          </w:tcPr>
          <w:p>
            <w:pPr>
              <w:pStyle w:val="24"/>
              <w:spacing w:before="37" w:line="220" w:lineRule="auto"/>
              <w:ind w:left="118"/>
              <w:jc w:val="center"/>
              <w:rPr>
                <w:rFonts w:hint="default" w:asciiTheme="majorEastAsia" w:hAnsiTheme="majorEastAsia" w:eastAsiaTheme="majorEastAsia" w:cstheme="majorEastAsia"/>
                <w:b/>
                <w:bCs/>
                <w:spacing w:val="-2"/>
                <w:sz w:val="18"/>
                <w:szCs w:val="18"/>
                <w:lang w:val="en-US" w:eastAsia="zh-CN"/>
              </w:rPr>
            </w:pPr>
            <w:r>
              <w:rPr>
                <w:rFonts w:hint="eastAsia" w:asciiTheme="majorEastAsia" w:hAnsiTheme="majorEastAsia" w:eastAsiaTheme="majorEastAsia" w:cstheme="majorEastAsia"/>
                <w:b/>
                <w:bCs/>
                <w:spacing w:val="-2"/>
                <w:sz w:val="18"/>
                <w:szCs w:val="18"/>
                <w:lang w:val="en-US" w:eastAsia="zh-CN"/>
              </w:rPr>
              <w:t>持有股份数（股）</w:t>
            </w:r>
          </w:p>
        </w:tc>
        <w:tc>
          <w:tcPr>
            <w:tcW w:w="2709" w:type="dxa"/>
            <w:vAlign w:val="center"/>
          </w:tcPr>
          <w:p>
            <w:pPr>
              <w:pStyle w:val="24"/>
              <w:spacing w:before="37" w:line="220" w:lineRule="auto"/>
              <w:ind w:left="118"/>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pacing w:val="-2"/>
                <w:sz w:val="18"/>
                <w:szCs w:val="18"/>
              </w:rPr>
              <w:t>持股比例（%）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1</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上海长威股权投资合伙企业（有限合伙）</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55,201,233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54.97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2</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南方工业资产管理有限责任公司</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25,103,410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3</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陈鹰</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6,575,625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4</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蒋波</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3,340,000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5</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胡展宏</w:t>
            </w:r>
          </w:p>
        </w:tc>
        <w:tc>
          <w:tcPr>
            <w:tcW w:w="1818"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3,052,969</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6</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张国荣</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2,289,727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2.28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7</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其他股东</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1,761,327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8</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浙江思翔贸易有限公司</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1,670,000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1.66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9</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钟剑</w:t>
            </w:r>
          </w:p>
        </w:tc>
        <w:tc>
          <w:tcPr>
            <w:tcW w:w="1818" w:type="dxa"/>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810,211</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0.81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26"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10</w:t>
            </w:r>
          </w:p>
        </w:tc>
        <w:tc>
          <w:tcPr>
            <w:tcW w:w="315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1"/>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昆明电缆集团股份有限公司</w:t>
            </w:r>
          </w:p>
        </w:tc>
        <w:tc>
          <w:tcPr>
            <w:tcW w:w="1818"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 xml:space="preserve">609,139 </w:t>
            </w:r>
          </w:p>
        </w:tc>
        <w:tc>
          <w:tcPr>
            <w:tcW w:w="270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spacing w:val="-5"/>
                <w:sz w:val="18"/>
                <w:szCs w:val="18"/>
              </w:rPr>
            </w:pPr>
            <w:r>
              <w:rPr>
                <w:rFonts w:hint="eastAsia" w:asciiTheme="majorEastAsia" w:hAnsiTheme="majorEastAsia" w:eastAsiaTheme="majorEastAsia" w:cstheme="majorEastAsia"/>
                <w:i w:val="0"/>
                <w:iCs w:val="0"/>
                <w:caps w:val="0"/>
                <w:snapToGrid w:val="0"/>
                <w:color w:val="000000"/>
                <w:spacing w:val="0"/>
                <w:kern w:val="0"/>
                <w:sz w:val="18"/>
                <w:szCs w:val="18"/>
                <w:lang w:val="en-US" w:eastAsia="zh-CN" w:bidi="ar"/>
              </w:rPr>
              <w:t>0.61</w:t>
            </w:r>
          </w:p>
        </w:tc>
      </w:tr>
    </w:tbl>
    <w:p>
      <w:pPr>
        <w:pStyle w:val="3"/>
        <w:widowControl/>
        <w:kinsoku w:val="0"/>
        <w:autoSpaceDE w:val="0"/>
        <w:autoSpaceDN w:val="0"/>
        <w:adjustRightInd w:val="0"/>
        <w:snapToGrid w:val="0"/>
        <w:spacing w:before="179" w:line="360" w:lineRule="auto"/>
        <w:ind w:left="0" w:firstLine="460" w:firstLineChars="200"/>
        <w:textAlignment w:val="baseline"/>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标的公司为股份公司，本次交易不涉及标的公司</w:t>
      </w:r>
      <w:r>
        <w:rPr>
          <w:rFonts w:hint="eastAsia" w:ascii="宋体" w:hAnsi="宋体" w:eastAsia="宋体" w:cs="宋体"/>
          <w:spacing w:val="-5"/>
          <w:kern w:val="2"/>
          <w:sz w:val="24"/>
          <w:szCs w:val="24"/>
          <w:lang w:val="en-US" w:eastAsia="zh-CN" w:bidi="ar"/>
        </w:rPr>
        <w:t>其他股东享有或放弃优先认购权。</w:t>
      </w:r>
    </w:p>
    <w:p>
      <w:pPr>
        <w:pStyle w:val="3"/>
        <w:widowControl/>
        <w:kinsoku w:val="0"/>
        <w:autoSpaceDE w:val="0"/>
        <w:autoSpaceDN w:val="0"/>
        <w:adjustRightInd w:val="0"/>
        <w:snapToGrid w:val="0"/>
        <w:spacing w:before="179" w:line="360" w:lineRule="auto"/>
        <w:ind w:left="604"/>
        <w:textAlignment w:val="baseline"/>
        <w:rPr>
          <w:rFonts w:hint="eastAsia" w:ascii="宋体" w:hAnsi="宋体" w:eastAsia="宋体" w:cs="宋体"/>
          <w:spacing w:val="-5"/>
          <w:sz w:val="24"/>
          <w:szCs w:val="24"/>
        </w:rPr>
      </w:pP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三</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主要财务信息</w:t>
      </w:r>
    </w:p>
    <w:p>
      <w:pPr>
        <w:pStyle w:val="3"/>
        <w:widowControl/>
        <w:kinsoku w:val="0"/>
        <w:autoSpaceDE w:val="0"/>
        <w:autoSpaceDN w:val="0"/>
        <w:adjustRightInd w:val="0"/>
        <w:snapToGrid w:val="0"/>
        <w:spacing w:before="179" w:line="360" w:lineRule="auto"/>
        <w:ind w:left="604"/>
        <w:textAlignment w:val="baseline"/>
        <w:rPr>
          <w:rFonts w:hint="eastAsia" w:ascii="宋体" w:hAnsi="宋体" w:eastAsia="宋体" w:cs="宋体"/>
          <w:spacing w:val="-5"/>
          <w:sz w:val="24"/>
          <w:szCs w:val="24"/>
        </w:rPr>
      </w:pPr>
      <w:r>
        <w:rPr>
          <w:rFonts w:hint="eastAsia" w:ascii="宋体" w:hAnsi="宋体" w:eastAsia="宋体" w:cs="宋体"/>
          <w:spacing w:val="-5"/>
          <w:sz w:val="24"/>
          <w:szCs w:val="24"/>
        </w:rPr>
        <w:t>标的企业的主要财务指标如下：</w:t>
      </w:r>
    </w:p>
    <w:p>
      <w:pPr>
        <w:pStyle w:val="3"/>
        <w:spacing w:before="183" w:line="220" w:lineRule="auto"/>
        <w:jc w:val="right"/>
        <w:rPr>
          <w:rFonts w:ascii="Arial"/>
          <w:sz w:val="21"/>
        </w:rPr>
      </w:pPr>
      <w:r>
        <w:rPr>
          <w:spacing w:val="-1"/>
        </w:rPr>
        <w:t>单位：万元</w:t>
      </w:r>
    </w:p>
    <w:tbl>
      <w:tblPr>
        <w:tblStyle w:val="10"/>
        <w:tblW w:w="8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262"/>
        <w:gridCol w:w="1767"/>
        <w:gridCol w:w="1817"/>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8291" w:type="dxa"/>
            <w:gridSpan w:val="4"/>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eastAsia="宋体" w:cs="宋体"/>
                <w:b/>
                <w:bCs/>
                <w:i w:val="0"/>
                <w:iCs w:val="0"/>
                <w:caps w:val="0"/>
                <w:snapToGrid w:val="0"/>
                <w:color w:val="000000"/>
                <w:spacing w:val="0"/>
                <w:kern w:val="0"/>
                <w:sz w:val="18"/>
                <w:szCs w:val="18"/>
                <w:lang w:val="en-US" w:eastAsia="zh-CN" w:bidi="ar"/>
              </w:rPr>
              <w:t>2022年度审计报告数据</w:t>
            </w:r>
            <w:r>
              <w:rPr>
                <w:rFonts w:hint="eastAsia" w:ascii="宋体" w:hAnsi="宋体" w:cs="宋体"/>
                <w:b/>
                <w:bCs/>
                <w:i w:val="0"/>
                <w:iCs w:val="0"/>
                <w:caps w:val="0"/>
                <w:snapToGrid w:val="0"/>
                <w:color w:val="000000"/>
                <w:spacing w:val="0"/>
                <w:kern w:val="0"/>
                <w:sz w:val="18"/>
                <w:szCs w:val="18"/>
                <w:lang w:val="en-US" w:eastAsia="zh-CN" w:bidi="ar"/>
              </w:rPr>
              <w:t>（经审计）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08"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营业收入</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营业利润</w:t>
            </w:r>
          </w:p>
        </w:tc>
        <w:tc>
          <w:tcPr>
            <w:tcW w:w="181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净利润</w:t>
            </w:r>
          </w:p>
        </w:tc>
        <w:tc>
          <w:tcPr>
            <w:tcW w:w="2445"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cs="宋体"/>
                <w:b/>
                <w:bCs/>
                <w:snapToGrid w:val="0"/>
                <w:color w:val="000000"/>
                <w:kern w:val="0"/>
                <w:sz w:val="18"/>
                <w:szCs w:val="18"/>
                <w:lang w:val="en-US" w:eastAsia="zh-CN" w:bidi="ar"/>
              </w:rPr>
              <w:t>扣除非经常性损益后的净利润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72,185.69</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5,806.87</w:t>
            </w:r>
          </w:p>
        </w:tc>
        <w:tc>
          <w:tcPr>
            <w:tcW w:w="181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5,063.94</w:t>
            </w:r>
          </w:p>
        </w:tc>
        <w:tc>
          <w:tcPr>
            <w:tcW w:w="2445"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snapToGrid w:val="0"/>
                <w:color w:val="000000"/>
                <w:spacing w:val="0"/>
                <w:kern w:val="0"/>
                <w:sz w:val="18"/>
                <w:szCs w:val="18"/>
                <w:lang w:val="en-US" w:eastAsia="zh-CN" w:bidi="ar"/>
              </w:rPr>
            </w:pPr>
            <w:r>
              <w:rPr>
                <w:rFonts w:hint="eastAsia" w:ascii="宋体" w:hAnsi="宋体" w:cs="宋体"/>
                <w:i w:val="0"/>
                <w:iCs w:val="0"/>
                <w:caps w:val="0"/>
                <w:snapToGrid w:val="0"/>
                <w:color w:val="000000"/>
                <w:spacing w:val="0"/>
                <w:kern w:val="0"/>
                <w:sz w:val="18"/>
                <w:szCs w:val="18"/>
                <w:lang w:val="en-US" w:eastAsia="zh-CN" w:bidi="ar"/>
              </w:rPr>
              <w:t>-4,030.45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资产总计</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负债总计</w:t>
            </w:r>
          </w:p>
        </w:tc>
        <w:tc>
          <w:tcPr>
            <w:tcW w:w="4262" w:type="dxa"/>
            <w:gridSpan w:val="2"/>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eastAsia="宋体" w:cs="宋体"/>
                <w:b/>
                <w:bCs/>
                <w:i w:val="0"/>
                <w:iCs w:val="0"/>
                <w:caps w:val="0"/>
                <w:snapToGrid w:val="0"/>
                <w:color w:val="000000"/>
                <w:spacing w:val="0"/>
                <w:kern w:val="0"/>
                <w:sz w:val="18"/>
                <w:szCs w:val="18"/>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136,320.6</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75,130.45</w:t>
            </w:r>
          </w:p>
        </w:tc>
        <w:tc>
          <w:tcPr>
            <w:tcW w:w="4262" w:type="dxa"/>
            <w:gridSpan w:val="2"/>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snapToGrid w:val="0"/>
                <w:color w:val="000000"/>
                <w:spacing w:val="0"/>
                <w:kern w:val="0"/>
                <w:sz w:val="18"/>
                <w:szCs w:val="18"/>
                <w:lang w:val="en-US" w:eastAsia="zh-CN" w:bidi="ar"/>
              </w:rPr>
            </w:pPr>
            <w:r>
              <w:rPr>
                <w:rFonts w:hint="eastAsia" w:ascii="宋体" w:hAnsi="宋体" w:eastAsia="宋体" w:cs="宋体"/>
                <w:i w:val="0"/>
                <w:iCs w:val="0"/>
                <w:caps w:val="0"/>
                <w:snapToGrid w:val="0"/>
                <w:color w:val="000000"/>
                <w:spacing w:val="0"/>
                <w:kern w:val="0"/>
                <w:sz w:val="18"/>
                <w:szCs w:val="18"/>
                <w:lang w:val="en-US" w:eastAsia="zh-CN" w:bidi="ar"/>
              </w:rPr>
              <w:t>61,190.15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审计机构</w:t>
            </w:r>
          </w:p>
        </w:tc>
        <w:tc>
          <w:tcPr>
            <w:tcW w:w="6029" w:type="dxa"/>
            <w:gridSpan w:val="3"/>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snapToGrid w:val="0"/>
                <w:color w:val="000000"/>
                <w:spacing w:val="0"/>
                <w:kern w:val="0"/>
                <w:sz w:val="18"/>
                <w:szCs w:val="18"/>
                <w:lang w:val="en-US" w:eastAsia="zh-CN" w:bidi="ar"/>
              </w:rPr>
            </w:pPr>
            <w:r>
              <w:rPr>
                <w:rFonts w:hint="eastAsia" w:ascii="宋体" w:hAnsi="宋体" w:eastAsia="宋体" w:cs="宋体"/>
                <w:i w:val="0"/>
                <w:iCs w:val="0"/>
                <w:caps w:val="0"/>
                <w:snapToGrid w:val="0"/>
                <w:color w:val="000000"/>
                <w:spacing w:val="0"/>
                <w:kern w:val="0"/>
                <w:sz w:val="18"/>
                <w:szCs w:val="18"/>
                <w:lang w:val="en-US" w:eastAsia="zh-CN" w:bidi="ar"/>
              </w:rPr>
              <w:t>立信会计师事务所（特殊普通合伙）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8291" w:type="dxa"/>
            <w:gridSpan w:val="4"/>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eastAsia="宋体" w:cs="宋体"/>
                <w:b/>
                <w:bCs/>
                <w:i w:val="0"/>
                <w:iCs w:val="0"/>
                <w:caps w:val="0"/>
                <w:snapToGrid w:val="0"/>
                <w:color w:val="000000"/>
                <w:spacing w:val="0"/>
                <w:kern w:val="0"/>
                <w:sz w:val="18"/>
                <w:szCs w:val="18"/>
                <w:lang w:val="en-US" w:eastAsia="zh-CN" w:bidi="ar"/>
              </w:rPr>
              <w:t>2023年09月30日财务报表</w:t>
            </w:r>
            <w:r>
              <w:rPr>
                <w:rFonts w:hint="eastAsia" w:ascii="宋体" w:hAnsi="宋体" w:cs="宋体"/>
                <w:b/>
                <w:bCs/>
                <w:i w:val="0"/>
                <w:iCs w:val="0"/>
                <w:caps w:val="0"/>
                <w:snapToGrid w:val="0"/>
                <w:color w:val="000000"/>
                <w:spacing w:val="0"/>
                <w:kern w:val="0"/>
                <w:sz w:val="18"/>
                <w:szCs w:val="18"/>
                <w:lang w:val="en-US" w:eastAsia="zh-CN" w:bidi="ar"/>
              </w:rPr>
              <w:t>（经审计）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608"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营业收入</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营业利润</w:t>
            </w:r>
          </w:p>
        </w:tc>
        <w:tc>
          <w:tcPr>
            <w:tcW w:w="181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aps w:val="0"/>
                <w:snapToGrid w:val="0"/>
                <w:color w:val="000000"/>
                <w:spacing w:val="0"/>
                <w:kern w:val="0"/>
                <w:sz w:val="18"/>
                <w:szCs w:val="18"/>
                <w:lang w:bidi="ar"/>
              </w:rPr>
            </w:pPr>
            <w:r>
              <w:rPr>
                <w:rFonts w:hint="eastAsia" w:ascii="宋体" w:hAnsi="宋体" w:eastAsia="宋体" w:cs="宋体"/>
                <w:b/>
                <w:bCs/>
                <w:i w:val="0"/>
                <w:iCs w:val="0"/>
                <w:caps w:val="0"/>
                <w:snapToGrid w:val="0"/>
                <w:color w:val="000000"/>
                <w:spacing w:val="0"/>
                <w:kern w:val="0"/>
                <w:sz w:val="18"/>
                <w:szCs w:val="18"/>
                <w:lang w:val="en-US" w:eastAsia="zh-CN" w:bidi="ar"/>
              </w:rPr>
              <w:t>净利润</w:t>
            </w:r>
          </w:p>
        </w:tc>
        <w:tc>
          <w:tcPr>
            <w:tcW w:w="2445"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cs="宋体"/>
                <w:b/>
                <w:bCs/>
                <w:snapToGrid w:val="0"/>
                <w:color w:val="000000"/>
                <w:kern w:val="0"/>
                <w:sz w:val="18"/>
                <w:szCs w:val="18"/>
                <w:lang w:val="en-US" w:eastAsia="zh-CN" w:bidi="ar"/>
              </w:rPr>
              <w:t>扣除非经常性损益后的净利润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38,985.1</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-2,830.24</w:t>
            </w:r>
          </w:p>
        </w:tc>
        <w:tc>
          <w:tcPr>
            <w:tcW w:w="181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721.81</w:t>
            </w:r>
          </w:p>
        </w:tc>
        <w:tc>
          <w:tcPr>
            <w:tcW w:w="2445"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aps w:val="0"/>
                <w:snapToGrid w:val="0"/>
                <w:color w:val="000000"/>
                <w:spacing w:val="0"/>
                <w:kern w:val="0"/>
                <w:sz w:val="18"/>
                <w:szCs w:val="18"/>
                <w:lang w:val="en-US" w:eastAsia="zh-CN" w:bidi="ar"/>
              </w:rPr>
            </w:pPr>
            <w:r>
              <w:rPr>
                <w:rFonts w:hint="eastAsia" w:ascii="宋体" w:hAnsi="宋体" w:cs="宋体"/>
                <w:i w:val="0"/>
                <w:iCs w:val="0"/>
                <w:caps w:val="0"/>
                <w:snapToGrid w:val="0"/>
                <w:color w:val="000000"/>
                <w:spacing w:val="0"/>
                <w:kern w:val="0"/>
                <w:sz w:val="18"/>
                <w:szCs w:val="18"/>
                <w:lang w:val="en-US" w:eastAsia="zh-CN" w:bidi="ar"/>
              </w:rPr>
              <w:t>-8,116.47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4"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资产总计</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snapToGrid w:val="0"/>
                <w:color w:val="000000"/>
                <w:spacing w:val="0"/>
                <w:kern w:val="0"/>
                <w:sz w:val="18"/>
                <w:szCs w:val="18"/>
                <w:lang w:val="en-US" w:eastAsia="zh-CN" w:bidi="ar"/>
              </w:rPr>
              <w:t>负债总计</w:t>
            </w:r>
          </w:p>
        </w:tc>
        <w:tc>
          <w:tcPr>
            <w:tcW w:w="4262" w:type="dxa"/>
            <w:gridSpan w:val="2"/>
            <w:tcBorders>
              <w:top w:val="single" w:color="B3B3B3" w:sz="4" w:space="0"/>
              <w:left w:val="single" w:color="B3B3B3" w:sz="4" w:space="0"/>
              <w:bottom w:val="single" w:color="B3B3B3" w:sz="4" w:space="0"/>
              <w:right w:val="single" w:color="B3B3B3"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aps w:val="0"/>
                <w:snapToGrid w:val="0"/>
                <w:color w:val="000000"/>
                <w:spacing w:val="0"/>
                <w:kern w:val="0"/>
                <w:sz w:val="18"/>
                <w:szCs w:val="18"/>
                <w:lang w:val="en-US" w:eastAsia="zh-CN" w:bidi="ar"/>
              </w:rPr>
            </w:pPr>
            <w:r>
              <w:rPr>
                <w:rFonts w:hint="eastAsia" w:ascii="宋体" w:hAnsi="宋体" w:eastAsia="宋体" w:cs="宋体"/>
                <w:b/>
                <w:bCs/>
                <w:i w:val="0"/>
                <w:iCs w:val="0"/>
                <w:caps w:val="0"/>
                <w:snapToGrid w:val="0"/>
                <w:color w:val="000000"/>
                <w:spacing w:val="0"/>
                <w:kern w:val="0"/>
                <w:sz w:val="18"/>
                <w:szCs w:val="18"/>
                <w:lang w:val="en-US" w:eastAsia="zh-CN" w:bidi="ar"/>
              </w:rPr>
              <w:t>所有者权益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03"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156,868.12</w:t>
            </w:r>
          </w:p>
        </w:tc>
        <w:tc>
          <w:tcPr>
            <w:tcW w:w="1767"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97,791.68</w:t>
            </w:r>
          </w:p>
        </w:tc>
        <w:tc>
          <w:tcPr>
            <w:tcW w:w="4262" w:type="dxa"/>
            <w:gridSpan w:val="2"/>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snapToGrid w:val="0"/>
                <w:color w:val="000000"/>
                <w:spacing w:val="0"/>
                <w:kern w:val="0"/>
                <w:sz w:val="18"/>
                <w:szCs w:val="18"/>
                <w:lang w:val="en-US" w:eastAsia="zh-CN" w:bidi="ar"/>
              </w:rPr>
            </w:pPr>
            <w:r>
              <w:rPr>
                <w:rFonts w:hint="eastAsia" w:ascii="宋体" w:hAnsi="宋体" w:eastAsia="宋体" w:cs="宋体"/>
                <w:i w:val="0"/>
                <w:iCs w:val="0"/>
                <w:caps w:val="0"/>
                <w:snapToGrid w:val="0"/>
                <w:color w:val="000000"/>
                <w:spacing w:val="0"/>
                <w:kern w:val="0"/>
                <w:sz w:val="18"/>
                <w:szCs w:val="18"/>
                <w:lang w:val="en-US" w:eastAsia="zh-CN" w:bidi="ar"/>
              </w:rPr>
              <w:t>59,076.44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13" w:hRule="atLeast"/>
        </w:trPr>
        <w:tc>
          <w:tcPr>
            <w:tcW w:w="2262" w:type="dxa"/>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aps w:val="0"/>
                <w:snapToGrid w:val="0"/>
                <w:color w:val="000000"/>
                <w:spacing w:val="0"/>
                <w:kern w:val="0"/>
                <w:sz w:val="18"/>
                <w:szCs w:val="18"/>
                <w:lang w:val="en-US" w:eastAsia="zh-CN" w:bidi="ar"/>
              </w:rPr>
            </w:pPr>
            <w:r>
              <w:rPr>
                <w:rFonts w:hint="eastAsia" w:ascii="宋体" w:hAnsi="宋体" w:eastAsia="宋体" w:cs="宋体"/>
                <w:b/>
                <w:bCs/>
                <w:i w:val="0"/>
                <w:iCs w:val="0"/>
                <w:caps w:val="0"/>
                <w:snapToGrid w:val="0"/>
                <w:color w:val="000000"/>
                <w:spacing w:val="0"/>
                <w:kern w:val="0"/>
                <w:sz w:val="18"/>
                <w:szCs w:val="18"/>
                <w:lang w:val="en-US" w:eastAsia="zh-CN" w:bidi="ar"/>
              </w:rPr>
              <w:t>审计机构</w:t>
            </w:r>
          </w:p>
        </w:tc>
        <w:tc>
          <w:tcPr>
            <w:tcW w:w="6029" w:type="dxa"/>
            <w:gridSpan w:val="3"/>
            <w:tcBorders>
              <w:top w:val="single" w:color="B3B3B3" w:sz="4" w:space="0"/>
              <w:left w:val="single" w:color="B3B3B3" w:sz="4" w:space="0"/>
              <w:bottom w:val="single" w:color="B3B3B3" w:sz="4" w:space="0"/>
              <w:right w:val="single" w:color="B3B3B3" w:sz="4" w:space="0"/>
            </w:tcBorders>
            <w:shd w:val="clear" w:color="auto" w:fill="FFFFFF" w:themeFill="background1"/>
            <w:tcMar>
              <w:left w:w="180"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aps w:val="0"/>
                <w:snapToGrid w:val="0"/>
                <w:color w:val="000000"/>
                <w:spacing w:val="0"/>
                <w:kern w:val="0"/>
                <w:sz w:val="18"/>
                <w:szCs w:val="18"/>
                <w:lang w:val="en-US" w:eastAsia="zh-CN" w:bidi="ar"/>
              </w:rPr>
            </w:pPr>
            <w:r>
              <w:rPr>
                <w:rFonts w:hint="eastAsia" w:ascii="宋体" w:hAnsi="宋体" w:eastAsia="宋体" w:cs="宋体"/>
                <w:i w:val="0"/>
                <w:iCs w:val="0"/>
                <w:caps w:val="0"/>
                <w:snapToGrid w:val="0"/>
                <w:color w:val="000000"/>
                <w:spacing w:val="0"/>
                <w:kern w:val="0"/>
                <w:sz w:val="18"/>
                <w:szCs w:val="18"/>
                <w:lang w:val="en-US" w:eastAsia="zh-CN" w:bidi="ar"/>
              </w:rPr>
              <w:t>立信会计师事务所（特殊普通合伙）</w:t>
            </w:r>
          </w:p>
        </w:tc>
      </w:tr>
    </w:tbl>
    <w:p>
      <w:pPr>
        <w:pStyle w:val="3"/>
        <w:keepNext w:val="0"/>
        <w:keepLines w:val="0"/>
        <w:pageBreakBefore w:val="0"/>
        <w:widowControl/>
        <w:kinsoku w:val="0"/>
        <w:wordWrap/>
        <w:overflowPunct/>
        <w:topLinePunct w:val="0"/>
        <w:autoSpaceDE w:val="0"/>
        <w:autoSpaceDN w:val="0"/>
        <w:bidi w:val="0"/>
        <w:adjustRightInd w:val="0"/>
        <w:snapToGrid w:val="0"/>
        <w:spacing w:before="186" w:line="360" w:lineRule="auto"/>
        <w:ind w:left="624"/>
        <w:jc w:val="both"/>
        <w:textAlignment w:val="baseline"/>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rPr>
        <w:t>四、</w:t>
      </w:r>
      <w:r>
        <w:rPr>
          <w:rFonts w:hint="eastAsia" w:ascii="宋体" w:hAnsi="宋体" w:eastAsia="宋体" w:cs="宋体"/>
          <w:b/>
          <w:bCs/>
          <w:spacing w:val="-2"/>
          <w:sz w:val="24"/>
          <w:szCs w:val="24"/>
          <w:lang w:val="en-US" w:eastAsia="zh-CN"/>
        </w:rPr>
        <w:t>本次交易的具体情况</w:t>
      </w:r>
    </w:p>
    <w:p>
      <w:pPr>
        <w:pStyle w:val="7"/>
        <w:keepNext w:val="0"/>
        <w:keepLines w:val="0"/>
        <w:widowControl/>
        <w:suppressLineNumbers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挂牌项目基本情况</w:t>
      </w:r>
    </w:p>
    <w:p>
      <w:pPr>
        <w:pStyle w:val="7"/>
        <w:keepNext w:val="0"/>
        <w:keepLines w:val="0"/>
        <w:widowControl/>
        <w:suppressLineNumbers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根据转让方在北京产权交易所公开披露的信息，挂牌项目基本情况如下：</w:t>
      </w:r>
    </w:p>
    <w:p>
      <w:pPr>
        <w:pStyle w:val="7"/>
        <w:keepNext w:val="0"/>
        <w:keepLines w:val="0"/>
        <w:widowControl/>
        <w:suppressLineNumbers w:val="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挂牌转让标的：</w:t>
      </w:r>
      <w:r>
        <w:rPr>
          <w:rFonts w:hint="eastAsia" w:ascii="宋体" w:hAnsi="宋体" w:eastAsia="宋体" w:cs="宋体"/>
          <w:sz w:val="24"/>
          <w:szCs w:val="24"/>
          <w:lang w:val="en-US" w:eastAsia="zh-CN"/>
        </w:rPr>
        <w:t>上海长威、南方资产</w:t>
      </w:r>
      <w:r>
        <w:rPr>
          <w:rFonts w:hint="eastAsia" w:ascii="宋体" w:hAnsi="宋体" w:eastAsia="宋体" w:cs="宋体"/>
          <w:sz w:val="24"/>
          <w:szCs w:val="24"/>
        </w:rPr>
        <w:t>分别持有的</w:t>
      </w:r>
      <w:r>
        <w:rPr>
          <w:rFonts w:hint="eastAsia" w:ascii="宋体" w:hAnsi="宋体" w:eastAsia="宋体" w:cs="宋体"/>
          <w:sz w:val="24"/>
          <w:szCs w:val="24"/>
          <w:lang w:val="en-US" w:eastAsia="zh-CN"/>
        </w:rPr>
        <w:t>云变电气</w:t>
      </w:r>
      <w:r>
        <w:rPr>
          <w:rFonts w:hint="eastAsia" w:ascii="宋体" w:hAnsi="宋体" w:eastAsia="宋体" w:cs="宋体"/>
          <w:sz w:val="24"/>
          <w:szCs w:val="24"/>
        </w:rPr>
        <w:t xml:space="preserve"> 54.97%股份及25%股份</w:t>
      </w:r>
    </w:p>
    <w:p>
      <w:pPr>
        <w:pStyle w:val="7"/>
        <w:keepNext w:val="0"/>
        <w:keepLines w:val="0"/>
        <w:widowControl/>
        <w:suppressLineNumbers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2、项目编号：</w:t>
      </w:r>
      <w:r>
        <w:rPr>
          <w:rFonts w:hint="eastAsia" w:ascii="宋体" w:hAnsi="宋体" w:eastAsia="宋体" w:cs="宋体"/>
          <w:sz w:val="24"/>
          <w:szCs w:val="24"/>
        </w:rPr>
        <w:t>G32024BJ1000056</w:t>
      </w:r>
    </w:p>
    <w:p>
      <w:pPr>
        <w:pStyle w:val="7"/>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挂牌地点：</w:t>
      </w:r>
      <w:r>
        <w:rPr>
          <w:rFonts w:hint="eastAsia" w:ascii="宋体" w:hAnsi="宋体" w:eastAsia="宋体" w:cs="宋体"/>
          <w:sz w:val="24"/>
          <w:szCs w:val="24"/>
          <w:lang w:val="en-US" w:eastAsia="zh-CN"/>
        </w:rPr>
        <w:t>北京产权</w:t>
      </w:r>
      <w:r>
        <w:rPr>
          <w:rFonts w:hint="eastAsia" w:ascii="宋体" w:hAnsi="宋体" w:eastAsia="宋体" w:cs="宋体"/>
          <w:sz w:val="24"/>
          <w:szCs w:val="24"/>
        </w:rPr>
        <w:t>交易所</w:t>
      </w:r>
    </w:p>
    <w:p>
      <w:pPr>
        <w:pStyle w:val="7"/>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转让底价：55</w:t>
      </w:r>
      <w:r>
        <w:rPr>
          <w:rFonts w:hint="eastAsia" w:ascii="宋体" w:hAnsi="宋体" w:eastAsia="宋体" w:cs="宋体"/>
          <w:sz w:val="24"/>
          <w:szCs w:val="24"/>
          <w:lang w:val="en-US" w:eastAsia="zh-CN"/>
        </w:rPr>
        <w:t>,</w:t>
      </w:r>
      <w:r>
        <w:rPr>
          <w:rFonts w:hint="eastAsia" w:ascii="宋体" w:hAnsi="宋体" w:eastAsia="宋体" w:cs="宋体"/>
          <w:sz w:val="24"/>
          <w:szCs w:val="24"/>
        </w:rPr>
        <w:t>981.6869万元</w:t>
      </w:r>
      <w:r>
        <w:rPr>
          <w:rFonts w:hint="eastAsia" w:ascii="宋体" w:hAnsi="宋体" w:eastAsia="宋体" w:cs="宋体"/>
          <w:sz w:val="24"/>
          <w:szCs w:val="24"/>
          <w:lang w:eastAsia="zh-CN"/>
        </w:rPr>
        <w:t>。</w:t>
      </w:r>
      <w:r>
        <w:rPr>
          <w:rFonts w:hint="eastAsia" w:ascii="宋体" w:hAnsi="宋体" w:eastAsia="宋体" w:cs="宋体"/>
          <w:sz w:val="24"/>
          <w:szCs w:val="24"/>
        </w:rPr>
        <w:t>信息披露期满，如征集到两个及以上符合条件的意向受让方，则选择网络竞价（多次报价）确定最终受让方。</w:t>
      </w:r>
    </w:p>
    <w:p>
      <w:pPr>
        <w:pStyle w:val="7"/>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保证金</w:t>
      </w:r>
      <w:r>
        <w:rPr>
          <w:rFonts w:hint="eastAsia" w:ascii="宋体" w:hAnsi="宋体" w:eastAsia="宋体" w:cs="宋体"/>
          <w:sz w:val="24"/>
          <w:szCs w:val="24"/>
          <w:lang w:eastAsia="zh-CN"/>
        </w:rPr>
        <w:t>：</w:t>
      </w: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794万元</w:t>
      </w:r>
    </w:p>
    <w:p>
      <w:pPr>
        <w:pStyle w:val="7"/>
        <w:keepNext w:val="0"/>
        <w:keepLines w:val="0"/>
        <w:widowControl/>
        <w:suppressLineNumbers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付款方式：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若采取一次性付款方式，</w:t>
      </w:r>
      <w:r>
        <w:rPr>
          <w:rFonts w:hint="eastAsia" w:ascii="宋体" w:hAnsi="宋体" w:eastAsia="宋体" w:cs="宋体"/>
          <w:sz w:val="24"/>
          <w:szCs w:val="24"/>
          <w:lang w:val="en-US" w:eastAsia="zh-CN"/>
        </w:rPr>
        <w:t>需</w:t>
      </w:r>
      <w:r>
        <w:rPr>
          <w:rFonts w:hint="eastAsia" w:ascii="宋体" w:hAnsi="宋体" w:eastAsia="宋体" w:cs="宋体"/>
          <w:sz w:val="24"/>
          <w:szCs w:val="24"/>
        </w:rPr>
        <w:t>将除保证金外剩余价款于《产权交易合同》生效之日起5个工作日内汇至北交所指定账户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w:t>
      </w:r>
      <w:r>
        <w:rPr>
          <w:rFonts w:hint="eastAsia" w:ascii="宋体" w:hAnsi="宋体" w:eastAsia="宋体" w:cs="宋体"/>
          <w:sz w:val="24"/>
          <w:szCs w:val="24"/>
        </w:rPr>
        <w:t>采取分期付款方式，首期交易价款</w:t>
      </w:r>
      <w:r>
        <w:rPr>
          <w:rFonts w:hint="eastAsia" w:ascii="宋体" w:hAnsi="宋体" w:eastAsia="宋体" w:cs="宋体"/>
          <w:sz w:val="24"/>
          <w:szCs w:val="24"/>
          <w:lang w:eastAsia="zh-CN"/>
        </w:rPr>
        <w:t>（</w:t>
      </w:r>
      <w:r>
        <w:rPr>
          <w:rFonts w:hint="eastAsia" w:ascii="宋体" w:hAnsi="宋体" w:eastAsia="宋体" w:cs="宋体"/>
          <w:sz w:val="24"/>
          <w:szCs w:val="24"/>
        </w:rPr>
        <w:t>含保证金</w:t>
      </w:r>
      <w:r>
        <w:rPr>
          <w:rFonts w:hint="eastAsia" w:ascii="宋体" w:hAnsi="宋体" w:eastAsia="宋体" w:cs="宋体"/>
          <w:sz w:val="24"/>
          <w:szCs w:val="24"/>
          <w:lang w:eastAsia="zh-CN"/>
        </w:rPr>
        <w:t>）</w:t>
      </w:r>
      <w:r>
        <w:rPr>
          <w:rFonts w:hint="eastAsia" w:ascii="宋体" w:hAnsi="宋体" w:eastAsia="宋体" w:cs="宋体"/>
          <w:sz w:val="24"/>
          <w:szCs w:val="24"/>
        </w:rPr>
        <w:t>不低于总价款的30%，首期交易价款在《产权交易合同》生效之日起5个工作日内支付；除首付款外剩余价款，自《产权交易合同》生效之日起5个工作日后应按同期全国银行间同业拆借中心公布的贷款市场报价利率计算延期付款期间的利息，剩余价款及相应利息应于《产权交易合同》生效之日起三个月内支付完毕。受让方应就剩余价款提供转让方认可的合法有效担保。意向受让方可于上述约定期限内提前进行支付，根据意向受让方实际支付金额及时点，自《产权交易合同》生效之日起5个工作日后按同期全国银行间同业拆借中心公布的贷款市场报价利率计算延期付款（如有）期间的利息。</w:t>
      </w:r>
    </w:p>
    <w:p>
      <w:pPr>
        <w:pStyle w:val="26"/>
        <w:ind w:firstLine="474" w:firstLineChars="200"/>
        <w:rPr>
          <w:rFonts w:hint="eastAsia" w:ascii="宋体" w:hAnsi="宋体" w:eastAsia="宋体" w:cs="宋体"/>
          <w:spacing w:val="-5"/>
          <w:sz w:val="24"/>
          <w:szCs w:val="24"/>
          <w:lang w:val="en-US"/>
        </w:rPr>
      </w:pPr>
      <w:r>
        <w:rPr>
          <w:rFonts w:hint="eastAsia" w:ascii="宋体" w:hAnsi="宋体" w:eastAsia="宋体" w:cs="宋体"/>
          <w:b/>
          <w:bCs/>
          <w:spacing w:val="-2"/>
          <w:sz w:val="24"/>
          <w:szCs w:val="24"/>
          <w:lang w:val="en-US" w:eastAsia="zh-CN"/>
        </w:rPr>
        <w:t>（二）</w:t>
      </w:r>
      <w:r>
        <w:rPr>
          <w:rFonts w:hint="eastAsia" w:ascii="宋体" w:hAnsi="宋体" w:eastAsia="宋体" w:cs="宋体"/>
          <w:spacing w:val="-5"/>
          <w:sz w:val="24"/>
          <w:szCs w:val="24"/>
          <w:lang w:val="en-US"/>
        </w:rPr>
        <w:t>定价依据及作价总金额</w:t>
      </w:r>
    </w:p>
    <w:p>
      <w:pPr>
        <w:snapToGrid w:val="0"/>
        <w:spacing w:before="120" w:beforeLines="50" w:line="360" w:lineRule="auto"/>
        <w:ind w:firstLine="480" w:firstLineChars="200"/>
        <w:rPr>
          <w:color w:val="000000"/>
          <w:sz w:val="24"/>
        </w:rPr>
      </w:pPr>
      <w:r>
        <w:rPr>
          <w:rFonts w:hint="eastAsia"/>
          <w:color w:val="000000"/>
          <w:sz w:val="24"/>
        </w:rPr>
        <w:t>根据四川天健华衡资产评估有限公司出具的《南方工业资产管理有限公司、上海长威股权投资合伙企业（有限合伙）拟公开挂牌转让持有的云南变压器电气股份有限公司79.97%股权涉及的云南变压器电气股份有限公司股东全部权益价值项目资产评估报告》（川华衡评报〔2024〕13号），云变电气的股东全部权益价值采纳资产基础法测算的结果为6</w:t>
      </w:r>
      <w:r>
        <w:rPr>
          <w:color w:val="000000"/>
          <w:sz w:val="24"/>
        </w:rPr>
        <w:t>9</w:t>
      </w:r>
      <w:r>
        <w:rPr>
          <w:rFonts w:hint="eastAsia"/>
          <w:color w:val="000000"/>
          <w:sz w:val="24"/>
        </w:rPr>
        <w:t>,9</w:t>
      </w:r>
      <w:r>
        <w:rPr>
          <w:color w:val="000000"/>
          <w:sz w:val="24"/>
        </w:rPr>
        <w:t>97.72</w:t>
      </w:r>
      <w:r>
        <w:rPr>
          <w:rFonts w:hint="eastAsia"/>
          <w:color w:val="000000"/>
          <w:sz w:val="24"/>
        </w:rPr>
        <w:t>万元。根据前述评估报告，南方资产本次股权转让行为已取得中国兵器装备集团公司《关于南方工业资产管理有限责任公司转让云南变压器电气股份有限公司25%股权的批复》（兵装资[</w:t>
      </w:r>
      <w:r>
        <w:rPr>
          <w:color w:val="000000"/>
          <w:sz w:val="24"/>
        </w:rPr>
        <w:t>2020]444</w:t>
      </w:r>
      <w:r>
        <w:rPr>
          <w:rFonts w:hint="eastAsia"/>
          <w:color w:val="000000"/>
          <w:sz w:val="24"/>
        </w:rPr>
        <w:t>号），上海长威本次股权转让行为于2</w:t>
      </w:r>
      <w:r>
        <w:rPr>
          <w:color w:val="000000"/>
          <w:sz w:val="24"/>
        </w:rPr>
        <w:t>020</w:t>
      </w:r>
      <w:r>
        <w:rPr>
          <w:rFonts w:hint="eastAsia"/>
          <w:color w:val="000000"/>
          <w:sz w:val="24"/>
        </w:rPr>
        <w:t>年1</w:t>
      </w:r>
      <w:r>
        <w:rPr>
          <w:color w:val="000000"/>
          <w:sz w:val="24"/>
        </w:rPr>
        <w:t>2</w:t>
      </w:r>
      <w:r>
        <w:rPr>
          <w:rFonts w:hint="eastAsia"/>
          <w:color w:val="000000"/>
          <w:sz w:val="24"/>
        </w:rPr>
        <w:t>月2日《投资决策委员会决议》决策通过，同时前述评估报告已经中国兵器装备集团公司备案。</w:t>
      </w:r>
    </w:p>
    <w:p>
      <w:pPr>
        <w:snapToGrid w:val="0"/>
        <w:spacing w:before="120" w:beforeLines="50" w:line="360" w:lineRule="auto"/>
        <w:ind w:firstLine="480" w:firstLineChars="200"/>
        <w:rPr>
          <w:bCs/>
          <w:color w:val="000000"/>
          <w:sz w:val="24"/>
          <w:szCs w:val="28"/>
        </w:rPr>
      </w:pPr>
      <w:r>
        <w:rPr>
          <w:rFonts w:hint="eastAsia"/>
          <w:bCs/>
          <w:color w:val="000000"/>
          <w:sz w:val="24"/>
          <w:szCs w:val="28"/>
        </w:rPr>
        <w:t>基于上述资产评估结果，依据国有股权转让相关规定，上海长威及南方资产合计持有的云变电气7</w:t>
      </w:r>
      <w:r>
        <w:rPr>
          <w:bCs/>
          <w:color w:val="000000"/>
          <w:sz w:val="24"/>
          <w:szCs w:val="28"/>
        </w:rPr>
        <w:t>9.97%</w:t>
      </w:r>
      <w:r>
        <w:rPr>
          <w:rFonts w:hint="eastAsia"/>
          <w:bCs/>
          <w:color w:val="000000"/>
          <w:sz w:val="24"/>
          <w:szCs w:val="28"/>
        </w:rPr>
        <w:t>股份本次转让挂牌底价为55</w:t>
      </w:r>
      <w:r>
        <w:rPr>
          <w:bCs/>
          <w:color w:val="000000"/>
          <w:sz w:val="24"/>
          <w:szCs w:val="28"/>
        </w:rPr>
        <w:t>,</w:t>
      </w:r>
      <w:r>
        <w:rPr>
          <w:rFonts w:hint="eastAsia"/>
          <w:bCs/>
          <w:color w:val="000000"/>
          <w:sz w:val="24"/>
          <w:szCs w:val="28"/>
        </w:rPr>
        <w:t>981.6869万元，如转让过程中形成竞价，则实际成交价格将高于该值。</w:t>
      </w:r>
    </w:p>
    <w:p>
      <w:pPr>
        <w:snapToGrid w:val="0"/>
        <w:spacing w:before="120" w:beforeLines="50" w:line="360" w:lineRule="auto"/>
        <w:ind w:firstLine="480" w:firstLineChars="200"/>
        <w:rPr>
          <w:rFonts w:hint="default" w:ascii="宋体" w:hAnsi="宋体" w:eastAsia="宋体" w:cs="宋体"/>
          <w:spacing w:val="-1"/>
          <w:sz w:val="24"/>
          <w:szCs w:val="24"/>
          <w:lang w:val="en-US"/>
        </w:rPr>
      </w:pPr>
      <w:r>
        <w:rPr>
          <w:rFonts w:hint="eastAsia" w:ascii="宋体" w:hAnsi="宋体" w:eastAsia="宋体" w:cs="宋体"/>
          <w:bCs/>
          <w:sz w:val="24"/>
          <w:szCs w:val="24"/>
          <w:lang w:val="en-US" w:eastAsia="zh-CN"/>
        </w:rPr>
        <w:t>综上，董事会同意本次交易，若本次交易存在多方报价竞购，公司管理层将在</w:t>
      </w:r>
      <w:r>
        <w:rPr>
          <w:rFonts w:hint="eastAsia" w:ascii="宋体" w:hAnsi="宋体" w:eastAsia="宋体" w:cs="宋体"/>
          <w:bCs/>
          <w:sz w:val="24"/>
          <w:szCs w:val="24"/>
        </w:rPr>
        <w:t>本次董事会审议范围</w:t>
      </w:r>
      <w:r>
        <w:rPr>
          <w:rFonts w:hint="eastAsia" w:ascii="宋体" w:hAnsi="宋体" w:eastAsia="宋体" w:cs="宋体"/>
          <w:bCs/>
          <w:sz w:val="24"/>
          <w:szCs w:val="24"/>
          <w:lang w:val="en-US" w:eastAsia="zh-CN"/>
        </w:rPr>
        <w:t>内参与本次交易。</w:t>
      </w:r>
    </w:p>
    <w:p>
      <w:pPr>
        <w:pStyle w:val="3"/>
        <w:keepNext w:val="0"/>
        <w:keepLines w:val="0"/>
        <w:pageBreakBefore w:val="0"/>
        <w:widowControl/>
        <w:kinsoku w:val="0"/>
        <w:wordWrap/>
        <w:overflowPunct/>
        <w:topLinePunct w:val="0"/>
        <w:autoSpaceDE w:val="0"/>
        <w:autoSpaceDN w:val="0"/>
        <w:bidi w:val="0"/>
        <w:adjustRightInd w:val="0"/>
        <w:snapToGrid w:val="0"/>
        <w:spacing w:before="181" w:line="360" w:lineRule="auto"/>
        <w:ind w:right="113" w:firstLine="482" w:firstLineChars="200"/>
        <w:jc w:val="both"/>
        <w:textAlignment w:val="baseline"/>
        <w:rPr>
          <w:rFonts w:hint="eastAsia" w:ascii="宋体" w:hAnsi="宋体" w:eastAsia="宋体" w:cs="宋体"/>
          <w:spacing w:val="-7"/>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与本次交易相关的其他安排</w:t>
      </w:r>
    </w:p>
    <w:p>
      <w:pPr>
        <w:pStyle w:val="3"/>
        <w:keepNext w:val="0"/>
        <w:keepLines w:val="0"/>
        <w:pageBreakBefore w:val="0"/>
        <w:widowControl/>
        <w:kinsoku w:val="0"/>
        <w:wordWrap/>
        <w:overflowPunct/>
        <w:topLinePunct w:val="0"/>
        <w:autoSpaceDE w:val="0"/>
        <w:autoSpaceDN w:val="0"/>
        <w:bidi w:val="0"/>
        <w:adjustRightInd w:val="0"/>
        <w:snapToGrid w:val="0"/>
        <w:spacing w:before="181" w:line="360" w:lineRule="auto"/>
        <w:ind w:right="113" w:firstLine="452" w:firstLineChars="200"/>
        <w:jc w:val="both"/>
        <w:textAlignment w:val="baseline"/>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lang w:val="en-US" w:eastAsia="zh-CN"/>
        </w:rPr>
        <w:t>1、根据转让方在挂牌文件中的要求，公司</w:t>
      </w:r>
      <w:r>
        <w:rPr>
          <w:rFonts w:hint="eastAsia" w:ascii="宋体" w:hAnsi="宋体" w:eastAsia="宋体" w:cs="宋体"/>
          <w:spacing w:val="-7"/>
          <w:sz w:val="24"/>
          <w:szCs w:val="24"/>
        </w:rPr>
        <w:t>若成为受让方，</w:t>
      </w:r>
      <w:r>
        <w:rPr>
          <w:rFonts w:hint="eastAsia" w:ascii="宋体" w:hAnsi="宋体" w:eastAsia="宋体" w:cs="宋体"/>
          <w:spacing w:val="-7"/>
          <w:sz w:val="24"/>
          <w:szCs w:val="24"/>
          <w:lang w:val="en-US" w:eastAsia="zh-CN"/>
        </w:rPr>
        <w:t>公司需</w:t>
      </w:r>
      <w:r>
        <w:rPr>
          <w:rFonts w:hint="eastAsia" w:ascii="宋体" w:hAnsi="宋体" w:eastAsia="宋体" w:cs="宋体"/>
          <w:spacing w:val="-7"/>
          <w:sz w:val="24"/>
          <w:szCs w:val="24"/>
        </w:rPr>
        <w:t>承诺并同意在《产权交易合同》中约定，由标的企业或</w:t>
      </w:r>
      <w:r>
        <w:rPr>
          <w:rFonts w:hint="eastAsia" w:ascii="宋体" w:hAnsi="宋体" w:eastAsia="宋体" w:cs="宋体"/>
          <w:spacing w:val="-7"/>
          <w:sz w:val="24"/>
          <w:szCs w:val="24"/>
          <w:lang w:val="en-US" w:eastAsia="zh-CN"/>
        </w:rPr>
        <w:t>公司</w:t>
      </w:r>
      <w:r>
        <w:rPr>
          <w:rFonts w:hint="eastAsia" w:ascii="宋体" w:hAnsi="宋体" w:eastAsia="宋体" w:cs="宋体"/>
          <w:spacing w:val="-7"/>
          <w:sz w:val="24"/>
          <w:szCs w:val="24"/>
        </w:rPr>
        <w:t>代标的企业向中国兵器装备集团商业保理有限公司按期兑付其持有的标的企业开具的商业承兑汇票，</w:t>
      </w:r>
      <w:r>
        <w:rPr>
          <w:rFonts w:hint="eastAsia" w:ascii="宋体" w:hAnsi="宋体" w:eastAsia="宋体" w:cs="宋体"/>
          <w:spacing w:val="-7"/>
          <w:sz w:val="24"/>
          <w:szCs w:val="24"/>
          <w:lang w:val="en-US" w:eastAsia="zh-CN"/>
        </w:rPr>
        <w:t>公司</w:t>
      </w:r>
      <w:r>
        <w:rPr>
          <w:rFonts w:hint="eastAsia" w:ascii="宋体" w:hAnsi="宋体" w:eastAsia="宋体" w:cs="宋体"/>
          <w:spacing w:val="-7"/>
          <w:sz w:val="24"/>
          <w:szCs w:val="24"/>
        </w:rPr>
        <w:t>对前述兑付承担连带责任</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根据转让方提供的信息，截至目前该等尚未兑付的商业承兑</w:t>
      </w:r>
      <w:r>
        <w:rPr>
          <w:rFonts w:hint="eastAsia" w:ascii="宋体" w:hAnsi="宋体" w:eastAsia="宋体" w:cs="宋体"/>
          <w:spacing w:val="-7"/>
          <w:sz w:val="24"/>
          <w:szCs w:val="24"/>
          <w:highlight w:val="none"/>
          <w:lang w:val="en-US" w:eastAsia="zh-CN"/>
        </w:rPr>
        <w:t>汇票总金额为4,000万元，若公司成功竞拍取得标的股份，标的企业将成为公司合并报表范围内子公司，公司将于《产权交易合同》生效后在不超过4,000万元的额度范围内为云变电气对</w:t>
      </w:r>
      <w:r>
        <w:rPr>
          <w:rFonts w:hint="eastAsia" w:ascii="宋体" w:hAnsi="宋体" w:eastAsia="宋体" w:cs="宋体"/>
          <w:spacing w:val="-7"/>
          <w:sz w:val="24"/>
          <w:szCs w:val="24"/>
          <w:highlight w:val="none"/>
          <w:lang w:eastAsia="zh-CN"/>
        </w:rPr>
        <w:t>中国兵器装备集团商业保理有限公司</w:t>
      </w:r>
      <w:r>
        <w:rPr>
          <w:rFonts w:hint="eastAsia" w:ascii="宋体" w:hAnsi="宋体" w:eastAsia="宋体" w:cs="宋体"/>
          <w:spacing w:val="-7"/>
          <w:sz w:val="24"/>
          <w:szCs w:val="24"/>
          <w:highlight w:val="none"/>
          <w:lang w:val="en-US" w:eastAsia="zh-CN"/>
        </w:rPr>
        <w:t>的按期兑付承担担保责任。</w:t>
      </w:r>
    </w:p>
    <w:p>
      <w:pPr>
        <w:pStyle w:val="3"/>
        <w:keepNext w:val="0"/>
        <w:keepLines w:val="0"/>
        <w:pageBreakBefore w:val="0"/>
        <w:widowControl/>
        <w:kinsoku w:val="0"/>
        <w:wordWrap/>
        <w:overflowPunct/>
        <w:topLinePunct w:val="0"/>
        <w:autoSpaceDE w:val="0"/>
        <w:autoSpaceDN w:val="0"/>
        <w:bidi w:val="0"/>
        <w:adjustRightInd w:val="0"/>
        <w:snapToGrid w:val="0"/>
        <w:spacing w:before="181" w:line="360" w:lineRule="auto"/>
        <w:ind w:right="113" w:firstLine="452" w:firstLineChars="200"/>
        <w:jc w:val="both"/>
        <w:textAlignment w:val="baseline"/>
        <w:rPr>
          <w:rFonts w:hint="eastAsia" w:ascii="宋体" w:hAnsi="宋体" w:eastAsia="宋体" w:cs="宋体"/>
          <w:spacing w:val="-7"/>
          <w:sz w:val="24"/>
          <w:szCs w:val="24"/>
        </w:rPr>
      </w:pPr>
      <w:r>
        <w:rPr>
          <w:rFonts w:hint="eastAsia" w:cs="宋体"/>
          <w:spacing w:val="-7"/>
          <w:sz w:val="24"/>
          <w:szCs w:val="24"/>
          <w:lang w:val="en-US" w:eastAsia="zh-CN"/>
        </w:rPr>
        <w:t>2</w:t>
      </w:r>
      <w:r>
        <w:rPr>
          <w:rFonts w:hint="eastAsia" w:ascii="宋体" w:hAnsi="宋体" w:eastAsia="宋体" w:cs="宋体"/>
          <w:spacing w:val="-7"/>
          <w:sz w:val="24"/>
          <w:szCs w:val="24"/>
          <w:lang w:val="en-US" w:eastAsia="zh-CN"/>
        </w:rPr>
        <w:t>、</w:t>
      </w:r>
      <w:r>
        <w:rPr>
          <w:rFonts w:hint="eastAsia" w:ascii="宋体" w:hAnsi="宋体" w:eastAsia="宋体" w:cs="宋体"/>
          <w:spacing w:val="-7"/>
          <w:sz w:val="24"/>
          <w:szCs w:val="24"/>
        </w:rPr>
        <w:t>公司将根据</w:t>
      </w:r>
      <w:r>
        <w:rPr>
          <w:rFonts w:hint="eastAsia" w:ascii="宋体" w:hAnsi="宋体" w:eastAsia="宋体" w:cs="宋体"/>
          <w:spacing w:val="-7"/>
          <w:sz w:val="24"/>
          <w:szCs w:val="24"/>
          <w:lang w:val="en-US" w:eastAsia="zh-CN"/>
        </w:rPr>
        <w:t>北京</w:t>
      </w:r>
      <w:r>
        <w:rPr>
          <w:rFonts w:hint="eastAsia" w:ascii="宋体" w:hAnsi="宋体" w:eastAsia="宋体" w:cs="宋体"/>
          <w:spacing w:val="-7"/>
          <w:sz w:val="24"/>
          <w:szCs w:val="24"/>
        </w:rPr>
        <w:t>产权交易所的相关规则要求在董事会授权范围内参与该项目的竞购，成交价格及成交与否都存在不确定性</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具体以实际签署的产权交易合同为准</w:t>
      </w:r>
      <w:r>
        <w:rPr>
          <w:rFonts w:hint="eastAsia" w:ascii="宋体" w:hAnsi="宋体" w:eastAsia="宋体" w:cs="宋体"/>
          <w:spacing w:val="-7"/>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before="181" w:line="360" w:lineRule="auto"/>
        <w:ind w:right="113" w:firstLine="452" w:firstLineChars="200"/>
        <w:jc w:val="both"/>
        <w:textAlignment w:val="baseline"/>
        <w:rPr>
          <w:rFonts w:hint="eastAsia" w:ascii="宋体" w:hAnsi="宋体" w:eastAsia="宋体" w:cs="宋体"/>
          <w:spacing w:val="-7"/>
          <w:sz w:val="24"/>
          <w:szCs w:val="24"/>
          <w:lang w:eastAsia="zh-CN"/>
        </w:rPr>
      </w:pPr>
      <w:r>
        <w:rPr>
          <w:rFonts w:hint="eastAsia" w:cs="宋体"/>
          <w:b w:val="0"/>
          <w:bCs w:val="0"/>
          <w:spacing w:val="-7"/>
          <w:sz w:val="24"/>
          <w:szCs w:val="24"/>
          <w:lang w:val="en-US" w:eastAsia="zh-CN"/>
        </w:rPr>
        <w:t>3</w:t>
      </w:r>
      <w:r>
        <w:rPr>
          <w:rFonts w:hint="eastAsia" w:ascii="宋体" w:hAnsi="宋体" w:eastAsia="宋体" w:cs="宋体"/>
          <w:b w:val="0"/>
          <w:bCs w:val="0"/>
          <w:spacing w:val="-7"/>
          <w:sz w:val="24"/>
          <w:szCs w:val="24"/>
          <w:lang w:val="en-US" w:eastAsia="zh-CN"/>
        </w:rPr>
        <w:t>、</w:t>
      </w:r>
      <w:r>
        <w:rPr>
          <w:rFonts w:hint="eastAsia" w:ascii="宋体" w:hAnsi="宋体" w:eastAsia="宋体" w:cs="宋体"/>
          <w:spacing w:val="-7"/>
          <w:sz w:val="24"/>
          <w:szCs w:val="24"/>
        </w:rPr>
        <w:t>本次竞购不</w:t>
      </w:r>
      <w:r>
        <w:rPr>
          <w:rFonts w:hint="eastAsia" w:ascii="宋体" w:hAnsi="宋体" w:eastAsia="宋体" w:cs="宋体"/>
          <w:spacing w:val="-7"/>
          <w:sz w:val="24"/>
          <w:szCs w:val="24"/>
          <w:lang w:val="en-US" w:eastAsia="zh-CN"/>
        </w:rPr>
        <w:t>会导致新增</w:t>
      </w:r>
      <w:r>
        <w:rPr>
          <w:rFonts w:hint="eastAsia" w:ascii="宋体" w:hAnsi="宋体" w:eastAsia="宋体" w:cs="宋体"/>
          <w:spacing w:val="-7"/>
          <w:sz w:val="24"/>
          <w:szCs w:val="24"/>
        </w:rPr>
        <w:t>产生关联交易，不产生同业竞争。</w:t>
      </w:r>
      <w:r>
        <w:rPr>
          <w:rFonts w:hint="eastAsia" w:ascii="宋体" w:hAnsi="宋体" w:eastAsia="宋体" w:cs="宋体"/>
          <w:spacing w:val="-7"/>
          <w:position w:val="0"/>
          <w:sz w:val="24"/>
          <w:szCs w:val="24"/>
        </w:rPr>
        <w:t>本次竞购资金来源于</w:t>
      </w:r>
      <w:r>
        <w:rPr>
          <w:rFonts w:hint="eastAsia" w:ascii="宋体" w:hAnsi="宋体" w:eastAsia="宋体" w:cs="宋体"/>
          <w:spacing w:val="-7"/>
          <w:position w:val="0"/>
          <w:sz w:val="24"/>
          <w:szCs w:val="24"/>
          <w:lang w:val="en-US" w:eastAsia="zh-CN"/>
        </w:rPr>
        <w:t>公司自有或自筹</w:t>
      </w:r>
      <w:r>
        <w:rPr>
          <w:rFonts w:hint="eastAsia" w:ascii="宋体" w:hAnsi="宋体" w:eastAsia="宋体" w:cs="宋体"/>
          <w:spacing w:val="-7"/>
          <w:position w:val="0"/>
          <w:sz w:val="24"/>
          <w:szCs w:val="24"/>
        </w:rPr>
        <w:t>资金，与公司首次公开发行股票募集资金无关</w:t>
      </w:r>
      <w:r>
        <w:rPr>
          <w:rFonts w:hint="eastAsia" w:ascii="宋体" w:hAnsi="宋体" w:eastAsia="宋体" w:cs="宋体"/>
          <w:spacing w:val="-7"/>
          <w:position w:val="0"/>
          <w:sz w:val="24"/>
          <w:szCs w:val="24"/>
          <w:lang w:eastAsia="zh-CN"/>
        </w:rPr>
        <w:t>。</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pacing w:val="-2"/>
          <w:sz w:val="24"/>
          <w:szCs w:val="24"/>
        </w:rPr>
      </w:pPr>
      <w:r>
        <w:rPr>
          <w:rFonts w:hint="eastAsia" w:ascii="宋体" w:hAnsi="宋体" w:eastAsia="宋体" w:cs="宋体"/>
          <w:b/>
          <w:bCs/>
          <w:spacing w:val="-1"/>
          <w:sz w:val="24"/>
          <w:szCs w:val="24"/>
          <w:lang w:val="en-US" w:eastAsia="zh-CN"/>
        </w:rPr>
        <w:t>五、</w:t>
      </w:r>
      <w:r>
        <w:rPr>
          <w:rFonts w:hint="eastAsia" w:ascii="宋体" w:hAnsi="宋体" w:eastAsia="宋体" w:cs="宋体"/>
          <w:b/>
          <w:bCs/>
          <w:spacing w:val="-1"/>
          <w:sz w:val="24"/>
          <w:szCs w:val="24"/>
        </w:rPr>
        <w:t>收购目的</w:t>
      </w:r>
      <w:r>
        <w:rPr>
          <w:rFonts w:hint="eastAsia" w:ascii="宋体" w:hAnsi="宋体" w:eastAsia="宋体" w:cs="宋体"/>
          <w:b/>
          <w:bCs/>
          <w:spacing w:val="-2"/>
          <w:sz w:val="24"/>
          <w:szCs w:val="24"/>
        </w:rPr>
        <w:t>和对公司的影响</w:t>
      </w:r>
    </w:p>
    <w:p>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4"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1、公司目前的主营业务之一为输配电及其控制设备的研发、生产和销售，输配电及其控制设备产品包括110</w:t>
      </w:r>
      <w:r>
        <w:rPr>
          <w:rFonts w:hint="eastAsia" w:ascii="宋体" w:hAnsi="宋体" w:eastAsia="宋体" w:cs="宋体"/>
          <w:sz w:val="24"/>
          <w:szCs w:val="24"/>
          <w:lang w:eastAsia="zh-CN"/>
        </w:rPr>
        <w:t>kV</w:t>
      </w:r>
      <w:r>
        <w:rPr>
          <w:rFonts w:hint="eastAsia" w:ascii="宋体" w:hAnsi="宋体" w:eastAsia="宋体" w:cs="宋体"/>
          <w:sz w:val="24"/>
          <w:szCs w:val="24"/>
        </w:rPr>
        <w:t>级及以下电力变压器、成套电气设备和箱式变电站等。2022年公司实现电力变压器产量852.70万</w:t>
      </w:r>
      <w:r>
        <w:rPr>
          <w:rFonts w:hint="eastAsia" w:ascii="宋体" w:hAnsi="宋体" w:eastAsia="宋体" w:cs="宋体"/>
          <w:sz w:val="24"/>
          <w:szCs w:val="24"/>
          <w:lang w:eastAsia="zh-CN"/>
        </w:rPr>
        <w:t>kV</w:t>
      </w:r>
      <w:r>
        <w:rPr>
          <w:rFonts w:hint="eastAsia" w:ascii="宋体" w:hAnsi="宋体" w:eastAsia="宋体" w:cs="宋体"/>
          <w:sz w:val="24"/>
          <w:szCs w:val="24"/>
        </w:rPr>
        <w:t>A</w:t>
      </w:r>
      <w:r>
        <w:rPr>
          <w:rFonts w:hint="eastAsia" w:ascii="宋体" w:hAnsi="宋体" w:eastAsia="宋体" w:cs="宋体"/>
          <w:sz w:val="24"/>
          <w:szCs w:val="24"/>
          <w:lang w:eastAsia="zh-CN"/>
        </w:rPr>
        <w:t>，</w:t>
      </w:r>
      <w:r>
        <w:rPr>
          <w:rFonts w:hint="eastAsia" w:ascii="宋体" w:hAnsi="宋体" w:eastAsia="宋体" w:cs="宋体"/>
          <w:sz w:val="24"/>
          <w:szCs w:val="24"/>
        </w:rPr>
        <w:t>成套电气设备9,491台，箱式变电站1,138台，产能利用率分别为101.71%、91.93%和83.92%。</w:t>
      </w:r>
    </w:p>
    <w:p>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4"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标的</w:t>
      </w:r>
      <w:r>
        <w:rPr>
          <w:rFonts w:hint="eastAsia" w:ascii="宋体" w:hAnsi="宋体" w:eastAsia="宋体" w:cs="宋体"/>
          <w:sz w:val="24"/>
          <w:szCs w:val="24"/>
          <w:lang w:val="en-US" w:eastAsia="zh-CN"/>
        </w:rPr>
        <w:t>企业</w:t>
      </w:r>
      <w:r>
        <w:rPr>
          <w:rFonts w:hint="eastAsia" w:ascii="宋体" w:hAnsi="宋体" w:eastAsia="宋体" w:cs="宋体"/>
          <w:sz w:val="24"/>
          <w:szCs w:val="24"/>
        </w:rPr>
        <w:t>主营业务为生产及销售220</w:t>
      </w:r>
      <w:r>
        <w:rPr>
          <w:rFonts w:hint="eastAsia" w:ascii="宋体" w:hAnsi="宋体" w:eastAsia="宋体" w:cs="宋体"/>
          <w:sz w:val="24"/>
          <w:szCs w:val="24"/>
          <w:lang w:eastAsia="zh-CN"/>
        </w:rPr>
        <w:t>kV</w:t>
      </w:r>
      <w:r>
        <w:rPr>
          <w:rFonts w:hint="eastAsia" w:ascii="宋体" w:hAnsi="宋体" w:eastAsia="宋体" w:cs="宋体"/>
          <w:sz w:val="24"/>
          <w:szCs w:val="24"/>
        </w:rPr>
        <w:t>级及以下电力变压器、牵引变压器等类型变压器，同时具备500</w:t>
      </w:r>
      <w:r>
        <w:rPr>
          <w:rFonts w:hint="eastAsia" w:ascii="宋体" w:hAnsi="宋体" w:eastAsia="宋体" w:cs="宋体"/>
          <w:sz w:val="24"/>
          <w:szCs w:val="24"/>
          <w:lang w:eastAsia="zh-CN"/>
        </w:rPr>
        <w:t>kV</w:t>
      </w:r>
      <w:r>
        <w:rPr>
          <w:rFonts w:hint="eastAsia" w:ascii="宋体" w:hAnsi="宋体" w:eastAsia="宋体" w:cs="宋体"/>
          <w:sz w:val="24"/>
          <w:szCs w:val="24"/>
        </w:rPr>
        <w:t>变压器生产能力。如本次</w:t>
      </w:r>
      <w:r>
        <w:rPr>
          <w:rFonts w:hint="eastAsia" w:ascii="宋体" w:hAnsi="宋体" w:eastAsia="宋体" w:cs="宋体"/>
          <w:sz w:val="24"/>
          <w:szCs w:val="24"/>
          <w:lang w:val="en-US" w:eastAsia="zh-CN"/>
        </w:rPr>
        <w:t>竞购成功后</w:t>
      </w:r>
      <w:r>
        <w:rPr>
          <w:rFonts w:hint="eastAsia" w:ascii="宋体" w:hAnsi="宋体" w:eastAsia="宋体" w:cs="宋体"/>
          <w:sz w:val="24"/>
          <w:szCs w:val="24"/>
        </w:rPr>
        <w:t>，将快速提升望变电气220</w:t>
      </w:r>
      <w:r>
        <w:rPr>
          <w:rFonts w:hint="eastAsia" w:ascii="宋体" w:hAnsi="宋体" w:eastAsia="宋体" w:cs="宋体"/>
          <w:sz w:val="24"/>
          <w:szCs w:val="24"/>
          <w:lang w:eastAsia="zh-CN"/>
        </w:rPr>
        <w:t>kV</w:t>
      </w:r>
      <w:r>
        <w:rPr>
          <w:rFonts w:hint="eastAsia" w:ascii="宋体" w:hAnsi="宋体" w:eastAsia="宋体" w:cs="宋体"/>
          <w:sz w:val="24"/>
          <w:szCs w:val="24"/>
        </w:rPr>
        <w:t>级及以下变压器的研发能力及市场竞争力，拥有500</w:t>
      </w:r>
      <w:r>
        <w:rPr>
          <w:rFonts w:hint="eastAsia" w:ascii="宋体" w:hAnsi="宋体" w:eastAsia="宋体" w:cs="宋体"/>
          <w:sz w:val="24"/>
          <w:szCs w:val="24"/>
          <w:lang w:eastAsia="zh-CN"/>
        </w:rPr>
        <w:t>kV</w:t>
      </w:r>
      <w:r>
        <w:rPr>
          <w:rFonts w:hint="eastAsia" w:ascii="宋体" w:hAnsi="宋体" w:eastAsia="宋体" w:cs="宋体"/>
          <w:sz w:val="24"/>
          <w:szCs w:val="24"/>
        </w:rPr>
        <w:t>级电力变压器生产能力，同时有助于扩大公司的产品业务规模，进一步提升公司的整体竞争力。</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before="1" w:line="360" w:lineRule="auto"/>
        <w:ind w:left="34" w:firstLine="468" w:firstLineChars="200"/>
        <w:jc w:val="both"/>
        <w:textAlignment w:val="baseline"/>
        <w:rPr>
          <w:rFonts w:hint="eastAsia" w:ascii="宋体" w:hAnsi="宋体" w:eastAsia="宋体" w:cs="宋体"/>
          <w:spacing w:val="-4"/>
          <w:position w:val="17"/>
          <w:sz w:val="24"/>
          <w:szCs w:val="24"/>
          <w:lang w:val="en-US" w:eastAsia="zh-CN"/>
        </w:rPr>
      </w:pPr>
      <w:r>
        <w:rPr>
          <w:rFonts w:hint="eastAsia" w:ascii="宋体" w:hAnsi="宋体" w:eastAsia="宋体" w:cs="宋体"/>
          <w:spacing w:val="-3"/>
          <w:position w:val="17"/>
          <w:sz w:val="24"/>
          <w:szCs w:val="24"/>
        </w:rPr>
        <w:t>本次竞购成功后，</w:t>
      </w:r>
      <w:r>
        <w:rPr>
          <w:rFonts w:hint="eastAsia" w:ascii="宋体" w:hAnsi="宋体" w:eastAsia="宋体" w:cs="宋体"/>
          <w:spacing w:val="-3"/>
          <w:position w:val="17"/>
          <w:sz w:val="24"/>
          <w:szCs w:val="24"/>
          <w:lang w:val="en-US" w:eastAsia="zh-CN"/>
        </w:rPr>
        <w:t>云变电气</w:t>
      </w:r>
      <w:r>
        <w:rPr>
          <w:rFonts w:hint="eastAsia" w:ascii="宋体" w:hAnsi="宋体" w:eastAsia="宋体" w:cs="宋体"/>
          <w:spacing w:val="-3"/>
          <w:position w:val="17"/>
          <w:sz w:val="24"/>
          <w:szCs w:val="24"/>
        </w:rPr>
        <w:t>成为公司的控股</w:t>
      </w:r>
      <w:r>
        <w:rPr>
          <w:rFonts w:hint="eastAsia" w:ascii="宋体" w:hAnsi="宋体" w:eastAsia="宋体" w:cs="宋体"/>
          <w:spacing w:val="-4"/>
          <w:position w:val="17"/>
          <w:sz w:val="24"/>
          <w:szCs w:val="24"/>
        </w:rPr>
        <w:t>子公司，公司的合并报表</w:t>
      </w:r>
      <w:r>
        <w:rPr>
          <w:rFonts w:hint="eastAsia" w:ascii="宋体" w:hAnsi="宋体" w:eastAsia="宋体" w:cs="宋体"/>
          <w:spacing w:val="-4"/>
          <w:position w:val="17"/>
          <w:sz w:val="24"/>
          <w:szCs w:val="24"/>
          <w:lang w:val="en-US" w:eastAsia="zh-CN"/>
        </w:rPr>
        <w:t>范围将发生变化。</w:t>
      </w:r>
    </w:p>
    <w:p>
      <w:pPr>
        <w:pStyle w:val="3"/>
        <w:keepNext w:val="0"/>
        <w:keepLines w:val="0"/>
        <w:pageBreakBefore w:val="0"/>
        <w:widowControl/>
        <w:kinsoku w:val="0"/>
        <w:wordWrap/>
        <w:overflowPunct/>
        <w:topLinePunct w:val="0"/>
        <w:autoSpaceDE w:val="0"/>
        <w:autoSpaceDN w:val="0"/>
        <w:bidi w:val="0"/>
        <w:adjustRightInd w:val="0"/>
        <w:snapToGrid w:val="0"/>
        <w:spacing w:before="185" w:line="360" w:lineRule="auto"/>
        <w:ind w:right="110" w:firstLine="496" w:firstLineChars="200"/>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董事会在授权范围内授权公司管理层负责本次竞购事宜的具体实施，包括但不限于办理相关竞购手续、签订正式协议、办理股份变更手续、接管云变电气管理工作等相关工作。</w:t>
      </w: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hint="eastAsia" w:ascii="宋体" w:hAnsi="宋体" w:eastAsia="宋体"/>
          <w:color w:val="000000"/>
          <w:sz w:val="24"/>
          <w:szCs w:val="24"/>
        </w:rPr>
      </w:pP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hint="eastAsia" w:ascii="宋体" w:hAnsi="宋体" w:eastAsia="宋体"/>
          <w:color w:val="000000"/>
          <w:sz w:val="24"/>
          <w:szCs w:val="24"/>
        </w:rPr>
      </w:pPr>
    </w:p>
    <w:p>
      <w:pPr>
        <w:keepNext w:val="0"/>
        <w:keepLines w:val="0"/>
        <w:pageBreakBefore w:val="0"/>
        <w:widowControl w:val="0"/>
        <w:wordWrap/>
        <w:overflowPunct/>
        <w:topLinePunct w:val="0"/>
        <w:bidi w:val="0"/>
        <w:adjustRightInd w:val="0"/>
        <w:snapToGrid w:val="0"/>
        <w:spacing w:line="560" w:lineRule="exact"/>
        <w:ind w:firstLine="480" w:firstLineChars="200"/>
        <w:jc w:val="both"/>
        <w:rPr>
          <w:rFonts w:ascii="宋体" w:hAnsi="宋体" w:eastAsia="宋体"/>
          <w:color w:val="000000"/>
          <w:sz w:val="24"/>
          <w:szCs w:val="24"/>
        </w:rPr>
      </w:pPr>
      <w:r>
        <w:rPr>
          <w:rFonts w:hint="eastAsia" w:ascii="宋体" w:hAnsi="宋体" w:eastAsia="宋体"/>
          <w:color w:val="000000"/>
          <w:sz w:val="24"/>
          <w:szCs w:val="24"/>
        </w:rPr>
        <w:t>特此公告。</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keepNext w:val="0"/>
        <w:keepLines w:val="0"/>
        <w:pageBreakBefore w:val="0"/>
        <w:widowControl w:val="0"/>
        <w:wordWrap/>
        <w:overflowPunct/>
        <w:topLinePunct w:val="0"/>
        <w:bidi w:val="0"/>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w:t>
      </w: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7</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15397"/>
    <w:multiLevelType w:val="singleLevel"/>
    <w:tmpl w:val="E7015397"/>
    <w:lvl w:ilvl="0" w:tentative="0">
      <w:start w:val="2"/>
      <w:numFmt w:val="decimal"/>
      <w:suff w:val="nothing"/>
      <w:lvlText w:val="%1、"/>
      <w:lvlJc w:val="left"/>
    </w:lvl>
  </w:abstractNum>
  <w:abstractNum w:abstractNumId="1">
    <w:nsid w:val="12381735"/>
    <w:multiLevelType w:val="multilevel"/>
    <w:tmpl w:val="123817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76EFD"/>
    <w:rsid w:val="0008555B"/>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2BD0"/>
    <w:rsid w:val="001A727A"/>
    <w:rsid w:val="001C1ED6"/>
    <w:rsid w:val="001D06CF"/>
    <w:rsid w:val="001D4E14"/>
    <w:rsid w:val="001D51B9"/>
    <w:rsid w:val="00201DED"/>
    <w:rsid w:val="0020797D"/>
    <w:rsid w:val="00207B64"/>
    <w:rsid w:val="00225FE6"/>
    <w:rsid w:val="00252550"/>
    <w:rsid w:val="00277255"/>
    <w:rsid w:val="002B229C"/>
    <w:rsid w:val="002F53E5"/>
    <w:rsid w:val="003112C9"/>
    <w:rsid w:val="003505CE"/>
    <w:rsid w:val="00351429"/>
    <w:rsid w:val="003541EB"/>
    <w:rsid w:val="003571E3"/>
    <w:rsid w:val="00391A1B"/>
    <w:rsid w:val="0039276C"/>
    <w:rsid w:val="003E38F1"/>
    <w:rsid w:val="003F1451"/>
    <w:rsid w:val="00464AFC"/>
    <w:rsid w:val="004A21C8"/>
    <w:rsid w:val="004A790E"/>
    <w:rsid w:val="004B5841"/>
    <w:rsid w:val="004B6BDD"/>
    <w:rsid w:val="004D041E"/>
    <w:rsid w:val="004D0E8E"/>
    <w:rsid w:val="004F172D"/>
    <w:rsid w:val="00522BE2"/>
    <w:rsid w:val="0053579F"/>
    <w:rsid w:val="005429C2"/>
    <w:rsid w:val="0055216A"/>
    <w:rsid w:val="005750AA"/>
    <w:rsid w:val="00575F03"/>
    <w:rsid w:val="005A15BF"/>
    <w:rsid w:val="005A2954"/>
    <w:rsid w:val="005B7B64"/>
    <w:rsid w:val="005F57F9"/>
    <w:rsid w:val="006150E2"/>
    <w:rsid w:val="0063047D"/>
    <w:rsid w:val="00636BAE"/>
    <w:rsid w:val="006704CD"/>
    <w:rsid w:val="00672360"/>
    <w:rsid w:val="00684FFB"/>
    <w:rsid w:val="006A3328"/>
    <w:rsid w:val="006A773E"/>
    <w:rsid w:val="006E4DD1"/>
    <w:rsid w:val="006F3EE0"/>
    <w:rsid w:val="007142F2"/>
    <w:rsid w:val="00726F44"/>
    <w:rsid w:val="00732B9D"/>
    <w:rsid w:val="00737063"/>
    <w:rsid w:val="0078004A"/>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A5E36"/>
    <w:rsid w:val="008E4B6F"/>
    <w:rsid w:val="0090186C"/>
    <w:rsid w:val="00902203"/>
    <w:rsid w:val="00915D39"/>
    <w:rsid w:val="00923C08"/>
    <w:rsid w:val="00947C32"/>
    <w:rsid w:val="009679A2"/>
    <w:rsid w:val="00992126"/>
    <w:rsid w:val="009B47DE"/>
    <w:rsid w:val="009D1A30"/>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C3419"/>
    <w:rsid w:val="00AD0F45"/>
    <w:rsid w:val="00B016E7"/>
    <w:rsid w:val="00B13254"/>
    <w:rsid w:val="00B3614E"/>
    <w:rsid w:val="00B61EEE"/>
    <w:rsid w:val="00B9137C"/>
    <w:rsid w:val="00B971E4"/>
    <w:rsid w:val="00BA49C4"/>
    <w:rsid w:val="00BB03CC"/>
    <w:rsid w:val="00BB61B6"/>
    <w:rsid w:val="00BC233A"/>
    <w:rsid w:val="00BD3997"/>
    <w:rsid w:val="00BE7D13"/>
    <w:rsid w:val="00BF7BDB"/>
    <w:rsid w:val="00C009B6"/>
    <w:rsid w:val="00C47186"/>
    <w:rsid w:val="00C55BBD"/>
    <w:rsid w:val="00C56BA2"/>
    <w:rsid w:val="00C7508F"/>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C496E"/>
    <w:rsid w:val="00EE084C"/>
    <w:rsid w:val="00F0268C"/>
    <w:rsid w:val="00F36086"/>
    <w:rsid w:val="00F54E0B"/>
    <w:rsid w:val="00F670DD"/>
    <w:rsid w:val="00F70648"/>
    <w:rsid w:val="00FC17CB"/>
    <w:rsid w:val="00FD0FAD"/>
    <w:rsid w:val="00FE6306"/>
    <w:rsid w:val="00FF7741"/>
    <w:rsid w:val="0272202F"/>
    <w:rsid w:val="08317AF9"/>
    <w:rsid w:val="09D93D68"/>
    <w:rsid w:val="0AB96B89"/>
    <w:rsid w:val="0AF40FFC"/>
    <w:rsid w:val="0BA87C9C"/>
    <w:rsid w:val="0CB64A29"/>
    <w:rsid w:val="0DF129EC"/>
    <w:rsid w:val="0F72351D"/>
    <w:rsid w:val="1346590F"/>
    <w:rsid w:val="14172444"/>
    <w:rsid w:val="1A171801"/>
    <w:rsid w:val="1DAB6DD2"/>
    <w:rsid w:val="1DF06EC2"/>
    <w:rsid w:val="200A4F8B"/>
    <w:rsid w:val="224340DA"/>
    <w:rsid w:val="24A216A6"/>
    <w:rsid w:val="27BD77B9"/>
    <w:rsid w:val="28DF4F8C"/>
    <w:rsid w:val="2A6940E5"/>
    <w:rsid w:val="2BBE6134"/>
    <w:rsid w:val="2F9044D2"/>
    <w:rsid w:val="30E156D2"/>
    <w:rsid w:val="3350577D"/>
    <w:rsid w:val="340E7867"/>
    <w:rsid w:val="35B55AA7"/>
    <w:rsid w:val="36157E17"/>
    <w:rsid w:val="361E1706"/>
    <w:rsid w:val="3A5A39CC"/>
    <w:rsid w:val="3AA458EA"/>
    <w:rsid w:val="3BE61717"/>
    <w:rsid w:val="3F2943D2"/>
    <w:rsid w:val="42132C5D"/>
    <w:rsid w:val="42991A4C"/>
    <w:rsid w:val="42DC0663"/>
    <w:rsid w:val="44D46601"/>
    <w:rsid w:val="454B7184"/>
    <w:rsid w:val="46ED5E7D"/>
    <w:rsid w:val="47312A24"/>
    <w:rsid w:val="4A36568F"/>
    <w:rsid w:val="4DD840D9"/>
    <w:rsid w:val="4E7F373F"/>
    <w:rsid w:val="4E8A006A"/>
    <w:rsid w:val="5150387B"/>
    <w:rsid w:val="521827E2"/>
    <w:rsid w:val="529D4CCA"/>
    <w:rsid w:val="542D006B"/>
    <w:rsid w:val="54CA7B2B"/>
    <w:rsid w:val="54E825DB"/>
    <w:rsid w:val="57B1777A"/>
    <w:rsid w:val="59007E53"/>
    <w:rsid w:val="5CE164BE"/>
    <w:rsid w:val="61FA1919"/>
    <w:rsid w:val="63C562D2"/>
    <w:rsid w:val="64380EB6"/>
    <w:rsid w:val="6843080A"/>
    <w:rsid w:val="69A55478"/>
    <w:rsid w:val="6A823CB0"/>
    <w:rsid w:val="6C89676B"/>
    <w:rsid w:val="6EC21834"/>
    <w:rsid w:val="6F8E647A"/>
    <w:rsid w:val="71374B14"/>
    <w:rsid w:val="71E91A60"/>
    <w:rsid w:val="74383A67"/>
    <w:rsid w:val="76310FC3"/>
    <w:rsid w:val="7650160A"/>
    <w:rsid w:val="771357EC"/>
    <w:rsid w:val="77D11EA6"/>
    <w:rsid w:val="7C1E2F09"/>
    <w:rsid w:val="7C3E412A"/>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Change w:id="0" w:author="Jia Yuan" w:date="2024-01-18T15:07:00Z">
        <w:pPr>
          <w:widowControl w:val="0"/>
        </w:pPr>
      </w:pPrChange>
    </w:pPr>
    <w:rPr>
      <w:rPrChange w:id="1" w:author="Jia Yuan" w:date="2024-01-18T15:07:00Z">
        <w:rPr>
          <w:rFonts w:asciiTheme="minorHAnsi" w:hAnsiTheme="minorHAnsi" w:eastAsiaTheme="minorEastAsia" w:cstheme="minorBidi"/>
          <w:kern w:val="2"/>
          <w:sz w:val="21"/>
          <w:szCs w:val="22"/>
          <w:lang w:val="en-US" w:eastAsia="zh-CN" w:bidi="ar-SA"/>
        </w:rPr>
      </w:rPrChange>
    </w:r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paragraph" w:styleId="4">
    <w:name w:val="Balloon Text"/>
    <w:basedOn w:val="1"/>
    <w:link w:val="18"/>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9">
    <w:name w:val="annotation subject"/>
    <w:basedOn w:val="2"/>
    <w:next w:val="2"/>
    <w:link w:val="20"/>
    <w:autoRedefine/>
    <w:qFormat/>
    <w:uiPriority w:val="0"/>
    <w:rPr>
      <w:b/>
      <w:bCs/>
    </w:rPr>
  </w:style>
  <w:style w:type="character" w:styleId="12">
    <w:name w:val="Hyperlink"/>
    <w:basedOn w:val="11"/>
    <w:autoRedefine/>
    <w:unhideWhenUsed/>
    <w:qFormat/>
    <w:uiPriority w:val="0"/>
    <w:rPr>
      <w:color w:val="0563C1" w:themeColor="hyperlink"/>
      <w:u w:val="single"/>
      <w14:textFill>
        <w14:solidFill>
          <w14:schemeClr w14:val="hlink"/>
        </w14:solidFill>
      </w14:textFill>
    </w:rPr>
  </w:style>
  <w:style w:type="character" w:styleId="13">
    <w:name w:val="annotation reference"/>
    <w:basedOn w:val="11"/>
    <w:autoRedefine/>
    <w:qFormat/>
    <w:uiPriority w:val="0"/>
    <w:rPr>
      <w:sz w:val="21"/>
      <w:szCs w:val="21"/>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字符"/>
    <w:basedOn w:val="11"/>
    <w:link w:val="6"/>
    <w:autoRedefine/>
    <w:qFormat/>
    <w:uiPriority w:val="0"/>
    <w:rPr>
      <w:kern w:val="2"/>
      <w:sz w:val="18"/>
      <w:szCs w:val="18"/>
    </w:rPr>
  </w:style>
  <w:style w:type="character" w:customStyle="1" w:styleId="16">
    <w:name w:val="页脚 字符"/>
    <w:basedOn w:val="11"/>
    <w:link w:val="5"/>
    <w:autoRedefine/>
    <w:qFormat/>
    <w:uiPriority w:val="99"/>
    <w:rPr>
      <w:kern w:val="2"/>
      <w:sz w:val="18"/>
      <w:szCs w:val="18"/>
    </w:rPr>
  </w:style>
  <w:style w:type="paragraph" w:styleId="17">
    <w:name w:val="List Paragraph"/>
    <w:basedOn w:val="1"/>
    <w:autoRedefine/>
    <w:qFormat/>
    <w:uiPriority w:val="34"/>
    <w:pPr>
      <w:ind w:firstLine="420" w:firstLineChars="200"/>
    </w:pPr>
    <w:rPr>
      <w:rFonts w:ascii="Calibri" w:hAnsi="Calibri" w:eastAsia="宋体" w:cs="Times New Roman"/>
    </w:rPr>
  </w:style>
  <w:style w:type="character" w:customStyle="1" w:styleId="18">
    <w:name w:val="批注框文本 字符"/>
    <w:basedOn w:val="11"/>
    <w:link w:val="4"/>
    <w:autoRedefine/>
    <w:qFormat/>
    <w:uiPriority w:val="0"/>
    <w:rPr>
      <w:kern w:val="2"/>
      <w:sz w:val="18"/>
      <w:szCs w:val="18"/>
    </w:rPr>
  </w:style>
  <w:style w:type="character" w:customStyle="1" w:styleId="19">
    <w:name w:val="批注文字 字符"/>
    <w:basedOn w:val="11"/>
    <w:link w:val="2"/>
    <w:autoRedefine/>
    <w:qFormat/>
    <w:uiPriority w:val="0"/>
    <w:rPr>
      <w:rFonts w:asciiTheme="minorHAnsi" w:hAnsiTheme="minorHAnsi" w:eastAsiaTheme="minorEastAsia" w:cstheme="minorBidi"/>
      <w:kern w:val="2"/>
      <w:sz w:val="21"/>
      <w:szCs w:val="22"/>
    </w:rPr>
  </w:style>
  <w:style w:type="character" w:customStyle="1" w:styleId="20">
    <w:name w:val="批注主题 字符"/>
    <w:basedOn w:val="19"/>
    <w:link w:val="9"/>
    <w:autoRedefine/>
    <w:qFormat/>
    <w:uiPriority w:val="0"/>
    <w:rPr>
      <w:rFonts w:asciiTheme="minorHAnsi" w:hAnsiTheme="minorHAnsi" w:eastAsiaTheme="minorEastAsia" w:cstheme="minorBidi"/>
      <w:b/>
      <w:bCs/>
      <w:kern w:val="2"/>
      <w:sz w:val="21"/>
      <w:szCs w:val="22"/>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Table Text"/>
    <w:basedOn w:val="1"/>
    <w:autoRedefine/>
    <w:semiHidden/>
    <w:qFormat/>
    <w:uiPriority w:val="0"/>
    <w:rPr>
      <w:rFonts w:ascii="宋体" w:hAnsi="宋体" w:eastAsia="宋体" w:cs="宋体"/>
      <w:sz w:val="24"/>
      <w:szCs w:val="24"/>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S标题2"/>
    <w:basedOn w:val="27"/>
    <w:autoRedefine/>
    <w:qFormat/>
    <w:uiPriority w:val="0"/>
    <w:pPr>
      <w:widowControl/>
      <w:spacing w:before="120" w:after="120" w:line="360" w:lineRule="auto"/>
    </w:pPr>
    <w:rPr>
      <w:rFonts w:ascii="Times New Roman" w:hAnsi="Times New Roman"/>
      <w:sz w:val="24"/>
      <w:szCs w:val="32"/>
      <w:lang w:val="zh-CN"/>
    </w:rPr>
  </w:style>
  <w:style w:type="paragraph" w:customStyle="1" w:styleId="27">
    <w:name w:val="002二级标题"/>
    <w:basedOn w:val="28"/>
    <w:autoRedefine/>
    <w:qFormat/>
    <w:uiPriority w:val="0"/>
    <w:pPr>
      <w:pageBreakBefore w:val="0"/>
      <w:spacing w:beforeLines="50" w:afterLines="50"/>
      <w:jc w:val="both"/>
      <w:outlineLvl w:val="1"/>
    </w:pPr>
    <w:rPr>
      <w:sz w:val="30"/>
    </w:rPr>
  </w:style>
  <w:style w:type="paragraph" w:customStyle="1" w:styleId="28">
    <w:name w:val="001一级标题"/>
    <w:basedOn w:val="1"/>
    <w:autoRedefine/>
    <w:qFormat/>
    <w:uiPriority w:val="0"/>
    <w:pPr>
      <w:keepNext/>
      <w:keepLines/>
      <w:pageBreakBefore/>
      <w:spacing w:beforeLines="100" w:afterLines="100"/>
      <w:jc w:val="center"/>
      <w:outlineLvl w:val="0"/>
    </w:pPr>
    <w:rPr>
      <w:rFonts w:ascii="Calibri" w:hAnsi="Calibri"/>
      <w:b/>
      <w:bCs/>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3929</Words>
  <Characters>4544</Characters>
  <Lines>23</Lines>
  <Paragraphs>6</Paragraphs>
  <TotalTime>1</TotalTime>
  <ScaleCrop>false</ScaleCrop>
  <LinksUpToDate>false</LinksUpToDate>
  <CharactersWithSpaces>4573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2022-08-18T06:47:00Z</dcterms:created>
  <dc:creator>BJB-ZB-03</dc:creator>
  <cp:lastModifiedBy>Y.    Miss</cp:lastModifiedBy>
  <dcterms:modified xsi:type="dcterms:W3CDTF">2024-03-06T08:02:22Z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04B53E9B9E0D4ED0BA8FA979EFFF75A7_13</vt:lpwstr>
  </property>
</Properties>
</file>