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42" w:line="218" w:lineRule="auto"/>
        <w:ind w:left="49"/>
        <w:rPr>
          <w:rFonts w:hint="default"/>
          <w:b/>
          <w:bCs/>
          <w:highlight w:val="none"/>
          <w:lang w:val="en-US" w:eastAsia="zh-CN"/>
        </w:rPr>
      </w:pPr>
      <w:r>
        <w:rPr>
          <w:rFonts w:hint="eastAsia"/>
          <w:b/>
          <w:bCs/>
          <w:spacing w:val="-8"/>
          <w:lang w:eastAsia="zh-CN"/>
        </w:rPr>
        <w:t>证券代码：603191         证券简称：</w:t>
      </w:r>
      <w:r>
        <w:rPr>
          <w:rFonts w:hint="eastAsia"/>
          <w:b/>
          <w:bCs/>
          <w:spacing w:val="-12"/>
          <w:lang w:eastAsia="zh-CN"/>
        </w:rPr>
        <w:t xml:space="preserve">望变电气  </w:t>
      </w:r>
      <w:r>
        <w:rPr>
          <w:rFonts w:hint="eastAsia"/>
          <w:b/>
          <w:bCs/>
          <w:spacing w:val="2"/>
          <w:lang w:eastAsia="zh-CN"/>
        </w:rPr>
        <w:t xml:space="preserve">  </w:t>
      </w:r>
      <w:r>
        <w:rPr>
          <w:rFonts w:hint="eastAsia"/>
          <w:b/>
          <w:bCs/>
          <w:spacing w:val="2"/>
          <w:highlight w:val="none"/>
          <w:lang w:eastAsia="zh-CN"/>
        </w:rPr>
        <w:t xml:space="preserve">     </w:t>
      </w:r>
      <w:r>
        <w:rPr>
          <w:rFonts w:hint="eastAsia"/>
          <w:b/>
          <w:bCs/>
          <w:spacing w:val="-8"/>
          <w:highlight w:val="none"/>
          <w:lang w:eastAsia="zh-CN"/>
        </w:rPr>
        <w:t>公告编号：202</w:t>
      </w:r>
      <w:r>
        <w:rPr>
          <w:rFonts w:hint="eastAsia"/>
          <w:b/>
          <w:bCs/>
          <w:spacing w:val="-8"/>
          <w:highlight w:val="none"/>
          <w:lang w:val="en-US" w:eastAsia="zh-CN"/>
        </w:rPr>
        <w:t>4</w:t>
      </w:r>
      <w:r>
        <w:rPr>
          <w:rFonts w:hint="eastAsia"/>
          <w:b/>
          <w:bCs/>
          <w:spacing w:val="-8"/>
          <w:highlight w:val="none"/>
          <w:lang w:eastAsia="zh-CN"/>
        </w:rPr>
        <w:t>-0</w:t>
      </w:r>
      <w:r>
        <w:rPr>
          <w:rFonts w:hint="eastAsia"/>
          <w:b/>
          <w:bCs/>
          <w:spacing w:val="-8"/>
          <w:highlight w:val="none"/>
          <w:lang w:val="en-US" w:eastAsia="zh-CN"/>
        </w:rPr>
        <w:t>14</w:t>
      </w:r>
    </w:p>
    <w:p>
      <w:pPr>
        <w:pStyle w:val="3"/>
        <w:spacing w:before="117" w:line="220" w:lineRule="auto"/>
        <w:jc w:val="both"/>
        <w:outlineLvl w:val="0"/>
        <w:rPr>
          <w:color w:val="FF0000"/>
          <w:sz w:val="36"/>
          <w:szCs w:val="36"/>
          <w:highlight w:val="none"/>
          <w:lang w:eastAsia="zh-CN"/>
          <w14:textOutline w14:w="6527" w14:cap="flat" w14:cmpd="sng" w14:algn="ctr">
            <w14:solidFill>
              <w14:srgbClr w14:val="FF0000"/>
            </w14:solidFill>
            <w14:prstDash w14:val="solid"/>
            <w14:miter w14:val="0"/>
          </w14:textOutline>
        </w:rPr>
      </w:pPr>
    </w:p>
    <w:p>
      <w:pPr>
        <w:pStyle w:val="3"/>
        <w:spacing w:before="117" w:line="220" w:lineRule="auto"/>
        <w:jc w:val="center"/>
        <w:outlineLvl w:val="0"/>
        <w:rPr>
          <w:color w:val="FF0000"/>
          <w:sz w:val="36"/>
          <w:szCs w:val="36"/>
          <w:highlight w:val="none"/>
          <w:lang w:eastAsia="zh-CN"/>
          <w14:textOutline w14:w="6527" w14:cap="flat" w14:cmpd="sng" w14:algn="ctr">
            <w14:solidFill>
              <w14:srgbClr w14:val="FF0000"/>
            </w14:solidFill>
            <w14:prstDash w14:val="solid"/>
            <w14:miter w14:val="0"/>
          </w14:textOutline>
        </w:rPr>
      </w:pPr>
      <w:r>
        <w:rPr>
          <w:rFonts w:hint="eastAsia"/>
          <w:color w:val="FF0000"/>
          <w:sz w:val="36"/>
          <w:szCs w:val="36"/>
          <w:highlight w:val="none"/>
          <w:lang w:eastAsia="zh-CN"/>
          <w14:textOutline w14:w="6527" w14:cap="flat" w14:cmpd="sng" w14:algn="ctr">
            <w14:solidFill>
              <w14:srgbClr w14:val="FF0000"/>
            </w14:solidFill>
            <w14:prstDash w14:val="solid"/>
            <w14:miter w14:val="0"/>
          </w14:textOutline>
        </w:rPr>
        <w:t>重庆望变电气（集团）股份有限公司</w:t>
      </w:r>
    </w:p>
    <w:p>
      <w:pPr>
        <w:pStyle w:val="3"/>
        <w:spacing w:before="117" w:line="220" w:lineRule="auto"/>
        <w:jc w:val="center"/>
        <w:outlineLvl w:val="0"/>
        <w:rPr>
          <w:color w:val="FF0000"/>
          <w:sz w:val="36"/>
          <w:szCs w:val="36"/>
          <w:highlight w:val="none"/>
          <w:lang w:eastAsia="zh-CN"/>
          <w14:textOutline w14:w="6527" w14:cap="flat" w14:cmpd="sng" w14:algn="ctr">
            <w14:solidFill>
              <w14:srgbClr w14:val="FF0000"/>
            </w14:solidFill>
            <w14:prstDash w14:val="solid"/>
            <w14:miter w14:val="0"/>
          </w14:textOutline>
        </w:rPr>
      </w:pPr>
      <w:r>
        <w:rPr>
          <w:rFonts w:hint="eastAsia"/>
          <w:color w:val="FF0000"/>
          <w:sz w:val="36"/>
          <w:szCs w:val="36"/>
          <w:highlight w:val="none"/>
          <w:lang w:eastAsia="zh-CN"/>
          <w14:textOutline w14:w="6527" w14:cap="flat" w14:cmpd="sng" w14:algn="ctr">
            <w14:solidFill>
              <w14:srgbClr w14:val="FF0000"/>
            </w14:solidFill>
            <w14:prstDash w14:val="solid"/>
            <w14:miter w14:val="0"/>
          </w14:textOutline>
        </w:rPr>
        <w:t>关于以集中竞价方式回购公司股份的进展公告</w:t>
      </w:r>
    </w:p>
    <w:p>
      <w:pPr>
        <w:spacing w:line="130" w:lineRule="exact"/>
        <w:rPr>
          <w:color w:val="FF0000"/>
          <w:sz w:val="36"/>
          <w:szCs w:val="36"/>
          <w:highlight w:val="none"/>
          <w:lang w:eastAsia="zh-CN"/>
          <w14:textOutline w14:w="6527" w14:cap="flat" w14:cmpd="sng" w14:algn="ctr">
            <w14:solidFill>
              <w14:srgbClr w14:val="FF0000"/>
            </w14:solidFill>
            <w14:prstDash w14:val="solid"/>
            <w14:miter w14:val="0"/>
          </w14:textOutline>
        </w:rPr>
      </w:pPr>
    </w:p>
    <w:tbl>
      <w:tblPr>
        <w:tblStyle w:val="12"/>
        <w:tblW w:w="8595" w:type="dxa"/>
        <w:tblInd w:w="29"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59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180" w:hRule="atLeast"/>
        </w:trPr>
        <w:tc>
          <w:tcPr>
            <w:tcW w:w="8595" w:type="dxa"/>
          </w:tcPr>
          <w:p>
            <w:pPr>
              <w:spacing w:before="310" w:line="231" w:lineRule="auto"/>
              <w:ind w:left="151" w:right="61" w:firstLine="484"/>
              <w:rPr>
                <w:rFonts w:ascii="宋体" w:hAnsi="宋体" w:eastAsia="宋体" w:cs="宋体"/>
                <w:sz w:val="24"/>
                <w:szCs w:val="24"/>
                <w:highlight w:val="none"/>
                <w:lang w:eastAsia="zh-CN"/>
              </w:rPr>
            </w:pPr>
            <w:r>
              <w:rPr>
                <w:rFonts w:hint="eastAsia" w:ascii="宋体" w:hAnsi="宋体" w:eastAsia="宋体" w:cs="宋体"/>
                <w:color w:val="auto"/>
                <w:spacing w:val="-12"/>
                <w:sz w:val="24"/>
                <w:szCs w:val="24"/>
                <w:highlight w:val="none"/>
                <w:lang w:eastAsia="zh-CN"/>
              </w:rPr>
              <w:t>本公司董事会及全体董事保证本公告内容不存在任何虚假记载、误导性陈 述或者重大遗漏， 并对其内容的真实性、准确性和完整性承担个别及连带责任。</w:t>
            </w:r>
          </w:p>
        </w:tc>
      </w:tr>
    </w:tbl>
    <w:p>
      <w:pPr>
        <w:spacing w:line="309" w:lineRule="auto"/>
        <w:rPr>
          <w:highlight w:val="none"/>
          <w:lang w:eastAsia="zh-CN"/>
        </w:rPr>
      </w:pPr>
    </w:p>
    <w:p>
      <w:pPr>
        <w:spacing w:line="309" w:lineRule="auto"/>
        <w:rPr>
          <w:highlight w:val="none"/>
          <w:lang w:eastAsia="zh-CN"/>
        </w:rPr>
      </w:pPr>
    </w:p>
    <w:p>
      <w:pPr>
        <w:pStyle w:val="3"/>
        <w:spacing w:before="78" w:line="220" w:lineRule="auto"/>
        <w:ind w:left="26"/>
        <w:rPr>
          <w:highlight w:val="none"/>
          <w:lang w:eastAsia="zh-CN"/>
        </w:rPr>
      </w:pPr>
      <w:r>
        <w:rPr>
          <w:spacing w:val="-2"/>
          <w:highlight w:val="none"/>
          <w:lang w:eastAsia="zh-CN"/>
          <w14:textOutline w14:w="4356" w14:cap="flat" w14:cmpd="sng" w14:algn="ctr">
            <w14:solidFill>
              <w14:srgbClr w14:val="000000"/>
            </w14:solidFill>
            <w14:prstDash w14:val="solid"/>
            <w14:miter w14:val="0"/>
          </w14:textOutline>
        </w:rPr>
        <w:t>重要内容提示：</w:t>
      </w:r>
    </w:p>
    <w:p>
      <w:pPr>
        <w:spacing w:line="360" w:lineRule="auto"/>
        <w:ind w:firstLine="432" w:firstLineChars="20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2"/>
          <w:sz w:val="24"/>
          <w:szCs w:val="24"/>
          <w:highlight w:val="none"/>
          <w:lang w:eastAsia="zh-CN"/>
        </w:rPr>
        <w:t>截至202</w:t>
      </w:r>
      <w:r>
        <w:rPr>
          <w:rFonts w:hint="eastAsia" w:ascii="宋体" w:hAnsi="宋体" w:eastAsia="宋体" w:cs="宋体"/>
          <w:color w:val="auto"/>
          <w:spacing w:val="-12"/>
          <w:sz w:val="24"/>
          <w:szCs w:val="24"/>
          <w:highlight w:val="none"/>
          <w:lang w:val="en-US" w:eastAsia="zh-CN"/>
        </w:rPr>
        <w:t>4</w:t>
      </w:r>
      <w:r>
        <w:rPr>
          <w:rFonts w:hint="eastAsia" w:ascii="宋体" w:hAnsi="宋体" w:eastAsia="宋体" w:cs="宋体"/>
          <w:color w:val="auto"/>
          <w:spacing w:val="-12"/>
          <w:sz w:val="24"/>
          <w:szCs w:val="24"/>
          <w:highlight w:val="none"/>
          <w:lang w:eastAsia="zh-CN"/>
        </w:rPr>
        <w:t>年</w:t>
      </w:r>
      <w:r>
        <w:rPr>
          <w:rFonts w:hint="eastAsia" w:ascii="宋体" w:hAnsi="宋体" w:eastAsia="宋体" w:cs="宋体"/>
          <w:color w:val="auto"/>
          <w:spacing w:val="-12"/>
          <w:sz w:val="24"/>
          <w:szCs w:val="24"/>
          <w:highlight w:val="none"/>
          <w:lang w:val="en-US" w:eastAsia="zh-CN"/>
        </w:rPr>
        <w:t>2</w:t>
      </w:r>
      <w:r>
        <w:rPr>
          <w:rFonts w:hint="eastAsia" w:ascii="宋体" w:hAnsi="宋体" w:eastAsia="宋体" w:cs="宋体"/>
          <w:color w:val="auto"/>
          <w:spacing w:val="-12"/>
          <w:sz w:val="24"/>
          <w:szCs w:val="24"/>
          <w:highlight w:val="none"/>
          <w:lang w:eastAsia="zh-CN"/>
        </w:rPr>
        <w:t>月</w:t>
      </w:r>
      <w:r>
        <w:rPr>
          <w:rFonts w:hint="eastAsia" w:ascii="宋体" w:hAnsi="宋体" w:eastAsia="宋体" w:cs="宋体"/>
          <w:color w:val="auto"/>
          <w:spacing w:val="-12"/>
          <w:sz w:val="24"/>
          <w:szCs w:val="24"/>
          <w:highlight w:val="none"/>
          <w:lang w:val="en-US" w:eastAsia="zh-CN"/>
        </w:rPr>
        <w:t>29</w:t>
      </w:r>
      <w:r>
        <w:rPr>
          <w:rFonts w:hint="eastAsia" w:ascii="宋体" w:hAnsi="宋体" w:eastAsia="宋体" w:cs="宋体"/>
          <w:color w:val="auto"/>
          <w:spacing w:val="-12"/>
          <w:sz w:val="24"/>
          <w:szCs w:val="24"/>
          <w:highlight w:val="none"/>
          <w:lang w:eastAsia="zh-CN"/>
        </w:rPr>
        <w:t>日，重庆望变电气（集团）股份有限公司（以下简称“公司”）通过集中竞价交易方式已累计回购公司股份3</w:t>
      </w:r>
      <w:r>
        <w:rPr>
          <w:rFonts w:hint="eastAsia" w:ascii="宋体" w:hAnsi="宋体" w:eastAsia="宋体" w:cs="宋体"/>
          <w:color w:val="auto"/>
          <w:spacing w:val="-12"/>
          <w:sz w:val="24"/>
          <w:szCs w:val="24"/>
          <w:highlight w:val="none"/>
          <w:lang w:val="en-US" w:eastAsia="zh-CN"/>
        </w:rPr>
        <w:t>,</w:t>
      </w:r>
      <w:r>
        <w:rPr>
          <w:rFonts w:hint="eastAsia" w:ascii="宋体" w:hAnsi="宋体" w:eastAsia="宋体" w:cs="宋体"/>
          <w:color w:val="auto"/>
          <w:spacing w:val="-12"/>
          <w:sz w:val="24"/>
          <w:szCs w:val="24"/>
          <w:highlight w:val="none"/>
          <w:lang w:eastAsia="zh-CN"/>
        </w:rPr>
        <w:t>202</w:t>
      </w:r>
      <w:r>
        <w:rPr>
          <w:rFonts w:hint="eastAsia" w:ascii="宋体" w:hAnsi="宋体" w:eastAsia="宋体" w:cs="宋体"/>
          <w:color w:val="auto"/>
          <w:spacing w:val="-12"/>
          <w:sz w:val="24"/>
          <w:szCs w:val="24"/>
          <w:highlight w:val="none"/>
          <w:lang w:val="en-US" w:eastAsia="zh-CN"/>
        </w:rPr>
        <w:t>,</w:t>
      </w:r>
      <w:r>
        <w:rPr>
          <w:rFonts w:hint="eastAsia" w:ascii="宋体" w:hAnsi="宋体" w:eastAsia="宋体" w:cs="宋体"/>
          <w:color w:val="auto"/>
          <w:spacing w:val="-12"/>
          <w:sz w:val="24"/>
          <w:szCs w:val="24"/>
          <w:highlight w:val="none"/>
          <w:lang w:eastAsia="zh-CN"/>
        </w:rPr>
        <w:t>768股，占公司总股本的比例为0.96</w:t>
      </w:r>
      <w:r>
        <w:rPr>
          <w:rFonts w:hint="eastAsia" w:ascii="宋体" w:hAnsi="宋体" w:eastAsia="宋体" w:cs="宋体"/>
          <w:color w:val="auto"/>
          <w:spacing w:val="-12"/>
          <w:sz w:val="24"/>
          <w:szCs w:val="24"/>
          <w:highlight w:val="none"/>
          <w:lang w:val="en-US" w:eastAsia="zh-CN"/>
        </w:rPr>
        <w:t>13</w:t>
      </w:r>
      <w:r>
        <w:rPr>
          <w:rFonts w:hint="eastAsia" w:ascii="宋体" w:hAnsi="宋体" w:eastAsia="宋体" w:cs="宋体"/>
          <w:color w:val="auto"/>
          <w:spacing w:val="-12"/>
          <w:sz w:val="24"/>
          <w:szCs w:val="24"/>
          <w:highlight w:val="none"/>
          <w:lang w:eastAsia="zh-CN"/>
        </w:rPr>
        <w:t>%，购买的最高价格为16.38元/股、最低价格为15.10元/股，已支付的总金额为50</w:t>
      </w:r>
      <w:r>
        <w:rPr>
          <w:rFonts w:hint="eastAsia" w:ascii="宋体" w:hAnsi="宋体" w:eastAsia="宋体" w:cs="宋体"/>
          <w:color w:val="auto"/>
          <w:spacing w:val="-12"/>
          <w:sz w:val="24"/>
          <w:szCs w:val="24"/>
          <w:highlight w:val="none"/>
          <w:lang w:val="en-US" w:eastAsia="zh-CN"/>
        </w:rPr>
        <w:t>,</w:t>
      </w:r>
      <w:r>
        <w:rPr>
          <w:rFonts w:hint="eastAsia" w:ascii="宋体" w:hAnsi="宋体" w:eastAsia="宋体" w:cs="宋体"/>
          <w:color w:val="auto"/>
          <w:spacing w:val="-12"/>
          <w:sz w:val="24"/>
          <w:szCs w:val="24"/>
          <w:highlight w:val="none"/>
          <w:lang w:eastAsia="zh-CN"/>
        </w:rPr>
        <w:t>299</w:t>
      </w:r>
      <w:r>
        <w:rPr>
          <w:rFonts w:hint="eastAsia" w:ascii="宋体" w:hAnsi="宋体" w:eastAsia="宋体" w:cs="宋体"/>
          <w:color w:val="auto"/>
          <w:spacing w:val="-12"/>
          <w:sz w:val="24"/>
          <w:szCs w:val="24"/>
          <w:highlight w:val="none"/>
          <w:lang w:val="en-US" w:eastAsia="zh-CN"/>
        </w:rPr>
        <w:t>,</w:t>
      </w:r>
      <w:r>
        <w:rPr>
          <w:rFonts w:hint="eastAsia" w:ascii="宋体" w:hAnsi="宋体" w:eastAsia="宋体" w:cs="宋体"/>
          <w:color w:val="auto"/>
          <w:spacing w:val="-12"/>
          <w:sz w:val="24"/>
          <w:szCs w:val="24"/>
          <w:highlight w:val="none"/>
          <w:lang w:eastAsia="zh-CN"/>
        </w:rPr>
        <w:t>241.28元（含交易费用）。</w:t>
      </w:r>
    </w:p>
    <w:p>
      <w:pPr>
        <w:pStyle w:val="3"/>
        <w:spacing w:line="360" w:lineRule="auto"/>
        <w:ind w:firstLine="472" w:firstLineChars="200"/>
        <w:jc w:val="both"/>
        <w:rPr>
          <w:color w:val="auto"/>
          <w:spacing w:val="-2"/>
          <w:highlight w:val="none"/>
          <w:lang w:eastAsia="zh-CN"/>
          <w14:textOutline w14:w="4356" w14:cap="flat" w14:cmpd="sng" w14:algn="ctr">
            <w14:solidFill>
              <w14:srgbClr w14:val="000000"/>
            </w14:solidFill>
            <w14:prstDash w14:val="solid"/>
            <w14:miter w14:val="0"/>
          </w14:textOutline>
        </w:rPr>
      </w:pPr>
      <w:r>
        <w:rPr>
          <w:rFonts w:hint="eastAsia"/>
          <w:color w:val="auto"/>
          <w:spacing w:val="-2"/>
          <w:highlight w:val="none"/>
          <w:lang w:eastAsia="zh-CN"/>
          <w14:textOutline w14:w="4356" w14:cap="flat" w14:cmpd="sng" w14:algn="ctr">
            <w14:solidFill>
              <w14:srgbClr w14:val="000000"/>
            </w14:solidFill>
            <w14:prstDash w14:val="solid"/>
            <w14:miter w14:val="0"/>
          </w14:textOutline>
        </w:rPr>
        <w:t>一、回购股份的基本情况</w:t>
      </w:r>
    </w:p>
    <w:p>
      <w:pPr>
        <w:pStyle w:val="3"/>
        <w:spacing w:line="360" w:lineRule="auto"/>
        <w:ind w:firstLine="432" w:firstLineChars="200"/>
        <w:jc w:val="both"/>
        <w:rPr>
          <w:color w:val="auto"/>
          <w:spacing w:val="-12"/>
          <w:highlight w:val="none"/>
          <w:lang w:eastAsia="zh-CN"/>
        </w:rPr>
      </w:pPr>
      <w:r>
        <w:rPr>
          <w:rFonts w:hint="eastAsia"/>
          <w:color w:val="auto"/>
          <w:spacing w:val="-12"/>
          <w:highlight w:val="none"/>
          <w:lang w:eastAsia="zh-CN"/>
        </w:rPr>
        <w:t>2023年10月25日，公司召开第三届董事会第十八次会议，审议通过了《关于以集中竞价方式回购公司股份方案的议案》。根据相关法律法规以及《公司章程》相关规定，本次回购股份方案已经公司三分之二以上董事出席的董事会审议通过，无需提交公司股东大会审议。公司独立董事对该议案发表了同意的独立意见。</w:t>
      </w:r>
    </w:p>
    <w:p>
      <w:pPr>
        <w:pStyle w:val="3"/>
        <w:spacing w:line="360" w:lineRule="auto"/>
        <w:ind w:firstLine="432" w:firstLineChars="200"/>
        <w:jc w:val="both"/>
        <w:rPr>
          <w:color w:val="auto"/>
          <w:spacing w:val="-12"/>
          <w:highlight w:val="none"/>
          <w:lang w:eastAsia="zh-CN"/>
        </w:rPr>
      </w:pPr>
      <w:r>
        <w:rPr>
          <w:rFonts w:hint="eastAsia"/>
          <w:color w:val="auto"/>
          <w:spacing w:val="-12"/>
          <w:highlight w:val="none"/>
          <w:lang w:eastAsia="zh-CN"/>
        </w:rPr>
        <w:t>根据议案内容，公司拟以自有资金通过集中竞价方式回购公司股份，回购资金总额为不低于人民币5,000万元（含本数）且不超过人民币10,000万元（含本数）；公司本次回购股份的价格不超过公司董事会审议通过回购股份决议前30个交易日公司股票交易均价的150%；回</w:t>
      </w:r>
      <w:bookmarkStart w:id="0" w:name="_GoBack"/>
      <w:bookmarkEnd w:id="0"/>
      <w:r>
        <w:rPr>
          <w:rFonts w:hint="eastAsia"/>
          <w:color w:val="auto"/>
          <w:spacing w:val="-12"/>
          <w:highlight w:val="none"/>
          <w:lang w:eastAsia="zh-CN"/>
        </w:rPr>
        <w:t>购股份用于未来员工持股计划或股权激励，回购期限自董事会审议通过回购方案之日起不超过12个月。详见公司于2023年10月27日在上海证券交易所网站披露的《关于以集中竞价方式回购公司股份方案的公告》（公告编号：2023-048）。</w:t>
      </w:r>
    </w:p>
    <w:p>
      <w:pPr>
        <w:pStyle w:val="3"/>
        <w:spacing w:line="360" w:lineRule="auto"/>
        <w:ind w:firstLine="434" w:firstLineChars="200"/>
        <w:jc w:val="both"/>
        <w:rPr>
          <w:b/>
          <w:bCs/>
          <w:color w:val="auto"/>
          <w:spacing w:val="-12"/>
          <w:highlight w:val="none"/>
          <w:lang w:eastAsia="zh-CN"/>
        </w:rPr>
      </w:pPr>
      <w:r>
        <w:rPr>
          <w:rFonts w:hint="eastAsia"/>
          <w:b/>
          <w:bCs/>
          <w:color w:val="auto"/>
          <w:spacing w:val="-12"/>
          <w:highlight w:val="none"/>
          <w:lang w:eastAsia="zh-CN"/>
        </w:rPr>
        <w:t>二、回购股份的进展情况</w:t>
      </w:r>
    </w:p>
    <w:p>
      <w:pPr>
        <w:pStyle w:val="3"/>
        <w:spacing w:line="360" w:lineRule="auto"/>
        <w:ind w:firstLine="432" w:firstLineChars="200"/>
        <w:jc w:val="both"/>
        <w:rPr>
          <w:rFonts w:hint="eastAsia"/>
          <w:color w:val="auto"/>
          <w:spacing w:val="-12"/>
          <w:highlight w:val="none"/>
          <w:lang w:val="en-US" w:eastAsia="zh-CN"/>
        </w:rPr>
      </w:pPr>
      <w:r>
        <w:rPr>
          <w:rFonts w:hint="eastAsia"/>
          <w:color w:val="auto"/>
          <w:spacing w:val="-12"/>
          <w:highlight w:val="none"/>
          <w:lang w:val="en-US" w:eastAsia="zh-CN"/>
        </w:rPr>
        <w:t>2024年2月，公司未通过</w:t>
      </w:r>
      <w:r>
        <w:rPr>
          <w:rFonts w:hint="eastAsia"/>
          <w:color w:val="auto"/>
          <w:spacing w:val="-12"/>
          <w:highlight w:val="none"/>
          <w:lang w:eastAsia="zh-CN"/>
        </w:rPr>
        <w:t>集中竞价交易方式</w:t>
      </w:r>
      <w:r>
        <w:rPr>
          <w:rFonts w:hint="eastAsia"/>
          <w:color w:val="auto"/>
          <w:spacing w:val="-12"/>
          <w:highlight w:val="none"/>
          <w:lang w:val="en-US" w:eastAsia="zh-CN"/>
        </w:rPr>
        <w:t>回购公司股份。</w:t>
      </w:r>
    </w:p>
    <w:p>
      <w:pPr>
        <w:pStyle w:val="3"/>
        <w:spacing w:line="360" w:lineRule="auto"/>
        <w:ind w:firstLine="432" w:firstLineChars="200"/>
        <w:jc w:val="both"/>
        <w:rPr>
          <w:color w:val="auto"/>
          <w:spacing w:val="-12"/>
          <w:highlight w:val="none"/>
          <w:lang w:eastAsia="zh-CN"/>
        </w:rPr>
      </w:pPr>
      <w:r>
        <w:rPr>
          <w:rFonts w:hint="eastAsia"/>
          <w:color w:val="auto"/>
          <w:spacing w:val="-12"/>
          <w:highlight w:val="none"/>
          <w:lang w:eastAsia="zh-CN"/>
        </w:rPr>
        <w:t>截至202</w:t>
      </w:r>
      <w:r>
        <w:rPr>
          <w:rFonts w:hint="eastAsia"/>
          <w:color w:val="auto"/>
          <w:spacing w:val="-12"/>
          <w:highlight w:val="none"/>
          <w:lang w:val="en-US" w:eastAsia="zh-CN"/>
        </w:rPr>
        <w:t>4</w:t>
      </w:r>
      <w:r>
        <w:rPr>
          <w:rFonts w:hint="eastAsia"/>
          <w:color w:val="auto"/>
          <w:spacing w:val="-12"/>
          <w:highlight w:val="none"/>
          <w:lang w:eastAsia="zh-CN"/>
        </w:rPr>
        <w:t>年</w:t>
      </w:r>
      <w:r>
        <w:rPr>
          <w:rFonts w:hint="eastAsia"/>
          <w:color w:val="auto"/>
          <w:spacing w:val="-12"/>
          <w:highlight w:val="none"/>
          <w:lang w:val="en-US" w:eastAsia="zh-CN"/>
        </w:rPr>
        <w:t>2</w:t>
      </w:r>
      <w:r>
        <w:rPr>
          <w:rFonts w:hint="eastAsia"/>
          <w:color w:val="auto"/>
          <w:spacing w:val="-12"/>
          <w:highlight w:val="none"/>
          <w:lang w:eastAsia="zh-CN"/>
        </w:rPr>
        <w:t>月</w:t>
      </w:r>
      <w:r>
        <w:rPr>
          <w:rFonts w:hint="eastAsia"/>
          <w:color w:val="auto"/>
          <w:spacing w:val="-12"/>
          <w:highlight w:val="none"/>
          <w:lang w:val="en-US" w:eastAsia="zh-CN"/>
        </w:rPr>
        <w:t>29</w:t>
      </w:r>
      <w:r>
        <w:rPr>
          <w:rFonts w:hint="eastAsia"/>
          <w:color w:val="auto"/>
          <w:spacing w:val="-12"/>
          <w:highlight w:val="none"/>
          <w:lang w:eastAsia="zh-CN"/>
        </w:rPr>
        <w:t>日，公司通过集中竞价交易方式已累计回购股份3,202,768 股，占公司总股本的比例为0.96</w:t>
      </w:r>
      <w:r>
        <w:rPr>
          <w:rFonts w:hint="eastAsia"/>
          <w:color w:val="auto"/>
          <w:spacing w:val="-12"/>
          <w:highlight w:val="none"/>
          <w:lang w:val="en-US" w:eastAsia="zh-CN"/>
        </w:rPr>
        <w:t>13</w:t>
      </w:r>
      <w:r>
        <w:rPr>
          <w:rFonts w:hint="eastAsia"/>
          <w:color w:val="auto"/>
          <w:spacing w:val="-12"/>
          <w:highlight w:val="none"/>
          <w:lang w:eastAsia="zh-CN"/>
        </w:rPr>
        <w:t>%，购买的最高价格为16.38元/股、最低价格为15.10元/股，已支付的总金额为50,299,241.28 元（含交易费用）。</w:t>
      </w:r>
    </w:p>
    <w:p>
      <w:pPr>
        <w:pStyle w:val="3"/>
        <w:spacing w:line="360" w:lineRule="auto"/>
        <w:ind w:firstLine="432" w:firstLineChars="200"/>
        <w:jc w:val="both"/>
        <w:rPr>
          <w:color w:val="auto"/>
          <w:spacing w:val="-12"/>
          <w:highlight w:val="none"/>
          <w:lang w:eastAsia="zh-CN"/>
        </w:rPr>
      </w:pPr>
      <w:r>
        <w:rPr>
          <w:rFonts w:hint="eastAsia"/>
          <w:color w:val="auto"/>
          <w:spacing w:val="-12"/>
          <w:highlight w:val="none"/>
          <w:lang w:eastAsia="zh-CN"/>
        </w:rPr>
        <w:t>上述回购符合相关法律法规及公司回购方案的要求。</w:t>
      </w:r>
    </w:p>
    <w:p>
      <w:pPr>
        <w:pStyle w:val="3"/>
        <w:spacing w:line="360" w:lineRule="auto"/>
        <w:ind w:firstLine="434" w:firstLineChars="200"/>
        <w:jc w:val="both"/>
        <w:rPr>
          <w:b/>
          <w:bCs/>
          <w:color w:val="auto"/>
          <w:spacing w:val="-12"/>
          <w:highlight w:val="none"/>
          <w:lang w:eastAsia="zh-CN"/>
        </w:rPr>
      </w:pPr>
      <w:r>
        <w:rPr>
          <w:rFonts w:hint="eastAsia"/>
          <w:b/>
          <w:bCs/>
          <w:color w:val="auto"/>
          <w:spacing w:val="-12"/>
          <w:highlight w:val="none"/>
          <w:lang w:eastAsia="zh-CN"/>
        </w:rPr>
        <w:t>三、其他说明</w:t>
      </w:r>
    </w:p>
    <w:p>
      <w:pPr>
        <w:pStyle w:val="3"/>
        <w:spacing w:line="360" w:lineRule="auto"/>
        <w:ind w:firstLine="432" w:firstLineChars="200"/>
        <w:jc w:val="both"/>
        <w:rPr>
          <w:color w:val="auto"/>
          <w:spacing w:val="-12"/>
          <w:highlight w:val="none"/>
          <w:lang w:eastAsia="zh-CN"/>
        </w:rPr>
      </w:pPr>
      <w:r>
        <w:rPr>
          <w:rFonts w:hint="eastAsia"/>
          <w:color w:val="auto"/>
          <w:spacing w:val="-12"/>
          <w:highlight w:val="none"/>
          <w:lang w:eastAsia="zh-CN"/>
        </w:rPr>
        <w:t>公司将严格按照《上海证券交易所上市公司自律监管指引第 7 号—回购股份》相关规定，根据公司董事会审议通过的股份回购方案，实施股份回购并履行信息披露义务。敬请广大投资者理性投资，注意投资风险。</w:t>
      </w:r>
    </w:p>
    <w:p>
      <w:pPr>
        <w:pStyle w:val="3"/>
        <w:spacing w:line="360" w:lineRule="auto"/>
        <w:ind w:firstLine="432" w:firstLineChars="200"/>
        <w:jc w:val="both"/>
        <w:rPr>
          <w:color w:val="auto"/>
          <w:spacing w:val="-12"/>
          <w:highlight w:val="none"/>
          <w:lang w:eastAsia="zh-CN"/>
        </w:rPr>
      </w:pPr>
      <w:r>
        <w:rPr>
          <w:rFonts w:hint="eastAsia"/>
          <w:color w:val="auto"/>
          <w:spacing w:val="-12"/>
          <w:highlight w:val="none"/>
          <w:lang w:eastAsia="zh-CN"/>
        </w:rPr>
        <w:t>特此公告。</w:t>
      </w:r>
    </w:p>
    <w:p>
      <w:pPr>
        <w:pStyle w:val="3"/>
        <w:spacing w:line="360" w:lineRule="auto"/>
        <w:ind w:firstLine="432" w:firstLineChars="200"/>
        <w:jc w:val="both"/>
        <w:rPr>
          <w:color w:val="auto"/>
          <w:spacing w:val="-12"/>
          <w:highlight w:val="none"/>
          <w:lang w:eastAsia="zh-CN"/>
        </w:rPr>
      </w:pPr>
    </w:p>
    <w:p>
      <w:pPr>
        <w:pStyle w:val="3"/>
        <w:spacing w:line="360" w:lineRule="auto"/>
        <w:ind w:firstLine="432" w:firstLineChars="200"/>
        <w:jc w:val="both"/>
        <w:rPr>
          <w:color w:val="auto"/>
          <w:spacing w:val="-12"/>
          <w:highlight w:val="none"/>
          <w:lang w:eastAsia="zh-CN"/>
        </w:rPr>
      </w:pPr>
    </w:p>
    <w:p>
      <w:pPr>
        <w:pStyle w:val="3"/>
        <w:spacing w:line="360" w:lineRule="auto"/>
        <w:ind w:firstLine="432" w:firstLineChars="200"/>
        <w:jc w:val="right"/>
        <w:rPr>
          <w:color w:val="auto"/>
          <w:spacing w:val="-12"/>
          <w:highlight w:val="none"/>
          <w:lang w:eastAsia="zh-CN"/>
        </w:rPr>
      </w:pPr>
      <w:r>
        <w:rPr>
          <w:rFonts w:hint="eastAsia"/>
          <w:color w:val="auto"/>
          <w:spacing w:val="-12"/>
          <w:highlight w:val="none"/>
          <w:lang w:eastAsia="zh-CN"/>
        </w:rPr>
        <w:t>重庆望变电气（集团）股份有限公司</w:t>
      </w:r>
    </w:p>
    <w:p>
      <w:pPr>
        <w:pStyle w:val="3"/>
        <w:spacing w:line="360" w:lineRule="auto"/>
        <w:ind w:firstLine="432" w:firstLineChars="200"/>
        <w:jc w:val="right"/>
        <w:rPr>
          <w:color w:val="auto"/>
          <w:spacing w:val="-12"/>
          <w:highlight w:val="none"/>
          <w:lang w:eastAsia="zh-CN"/>
        </w:rPr>
      </w:pPr>
      <w:r>
        <w:rPr>
          <w:rFonts w:hint="eastAsia"/>
          <w:color w:val="auto"/>
          <w:spacing w:val="-12"/>
          <w:highlight w:val="none"/>
          <w:lang w:eastAsia="zh-CN"/>
        </w:rPr>
        <w:t>董事会</w:t>
      </w:r>
    </w:p>
    <w:p>
      <w:pPr>
        <w:pStyle w:val="3"/>
        <w:spacing w:line="360" w:lineRule="auto"/>
        <w:ind w:firstLine="432" w:firstLineChars="200"/>
        <w:jc w:val="right"/>
        <w:rPr>
          <w:color w:val="auto"/>
          <w:spacing w:val="-12"/>
          <w:highlight w:val="none"/>
          <w:lang w:eastAsia="zh-CN"/>
        </w:rPr>
      </w:pPr>
      <w:r>
        <w:rPr>
          <w:rFonts w:hint="eastAsia"/>
          <w:color w:val="auto"/>
          <w:spacing w:val="-12"/>
          <w:highlight w:val="none"/>
          <w:lang w:eastAsia="zh-CN"/>
        </w:rPr>
        <w:t>202</w:t>
      </w:r>
      <w:r>
        <w:rPr>
          <w:rFonts w:hint="eastAsia"/>
          <w:color w:val="auto"/>
          <w:spacing w:val="-12"/>
          <w:highlight w:val="none"/>
          <w:lang w:val="en-US" w:eastAsia="zh-CN"/>
        </w:rPr>
        <w:t>4</w:t>
      </w:r>
      <w:r>
        <w:rPr>
          <w:rFonts w:hint="eastAsia"/>
          <w:color w:val="auto"/>
          <w:spacing w:val="-12"/>
          <w:highlight w:val="none"/>
          <w:lang w:eastAsia="zh-CN"/>
        </w:rPr>
        <w:t>年</w:t>
      </w:r>
      <w:r>
        <w:rPr>
          <w:rFonts w:hint="eastAsia"/>
          <w:color w:val="auto"/>
          <w:spacing w:val="-12"/>
          <w:highlight w:val="none"/>
          <w:lang w:val="en-US" w:eastAsia="zh-CN"/>
        </w:rPr>
        <w:t>3</w:t>
      </w:r>
      <w:r>
        <w:rPr>
          <w:rFonts w:hint="eastAsia"/>
          <w:color w:val="auto"/>
          <w:spacing w:val="-12"/>
          <w:highlight w:val="none"/>
          <w:lang w:eastAsia="zh-CN"/>
        </w:rPr>
        <w:t>月</w:t>
      </w:r>
      <w:r>
        <w:rPr>
          <w:rFonts w:hint="eastAsia"/>
          <w:color w:val="auto"/>
          <w:spacing w:val="-12"/>
          <w:highlight w:val="none"/>
          <w:lang w:val="en-US" w:eastAsia="zh-CN"/>
        </w:rPr>
        <w:t>5</w:t>
      </w:r>
      <w:r>
        <w:rPr>
          <w:rFonts w:hint="eastAsia"/>
          <w:color w:val="auto"/>
          <w:spacing w:val="-12"/>
          <w:highlight w:val="none"/>
          <w:lang w:eastAsia="zh-CN"/>
        </w:rPr>
        <w:t>日</w:t>
      </w:r>
    </w:p>
    <w:sectPr>
      <w:pgSz w:w="11907" w:h="16839"/>
      <w:pgMar w:top="1431" w:right="1718" w:bottom="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isplayBackgroundShape w:val="1"/>
  <w:bordersDoNotSurroundHeader w:val="1"/>
  <w:bordersDoNotSurroundFooter w:val="1"/>
  <w:hideSpellingErrors/>
  <w:hideGrammaticalErrors/>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00C01B00"/>
    <w:rsid w:val="00054F39"/>
    <w:rsid w:val="00060DB9"/>
    <w:rsid w:val="00061DA2"/>
    <w:rsid w:val="000A2E75"/>
    <w:rsid w:val="000A4DA0"/>
    <w:rsid w:val="000A6E39"/>
    <w:rsid w:val="000C7906"/>
    <w:rsid w:val="00114A74"/>
    <w:rsid w:val="00136D4D"/>
    <w:rsid w:val="00157354"/>
    <w:rsid w:val="00174838"/>
    <w:rsid w:val="001C04C0"/>
    <w:rsid w:val="001E1F19"/>
    <w:rsid w:val="00215110"/>
    <w:rsid w:val="00313F32"/>
    <w:rsid w:val="003165DA"/>
    <w:rsid w:val="00326683"/>
    <w:rsid w:val="00343073"/>
    <w:rsid w:val="00365482"/>
    <w:rsid w:val="00417BA0"/>
    <w:rsid w:val="00470FDD"/>
    <w:rsid w:val="004D0F58"/>
    <w:rsid w:val="00512891"/>
    <w:rsid w:val="005C0646"/>
    <w:rsid w:val="00615B31"/>
    <w:rsid w:val="00622562"/>
    <w:rsid w:val="0062356D"/>
    <w:rsid w:val="00656F57"/>
    <w:rsid w:val="00661F18"/>
    <w:rsid w:val="0067305C"/>
    <w:rsid w:val="006A35C5"/>
    <w:rsid w:val="006F1375"/>
    <w:rsid w:val="00751F55"/>
    <w:rsid w:val="007B15E8"/>
    <w:rsid w:val="00824F9D"/>
    <w:rsid w:val="00825CDB"/>
    <w:rsid w:val="0084048C"/>
    <w:rsid w:val="0087640B"/>
    <w:rsid w:val="008D5282"/>
    <w:rsid w:val="008E2366"/>
    <w:rsid w:val="008E3633"/>
    <w:rsid w:val="008F3EE3"/>
    <w:rsid w:val="0090142C"/>
    <w:rsid w:val="00924475"/>
    <w:rsid w:val="009C2429"/>
    <w:rsid w:val="009E7ECB"/>
    <w:rsid w:val="00A64673"/>
    <w:rsid w:val="00AD1415"/>
    <w:rsid w:val="00B429A7"/>
    <w:rsid w:val="00B5147C"/>
    <w:rsid w:val="00B85808"/>
    <w:rsid w:val="00BB5099"/>
    <w:rsid w:val="00C01B00"/>
    <w:rsid w:val="00C05414"/>
    <w:rsid w:val="00C37D2A"/>
    <w:rsid w:val="00D930DD"/>
    <w:rsid w:val="00DE1AF6"/>
    <w:rsid w:val="00E940E5"/>
    <w:rsid w:val="00EA4CAE"/>
    <w:rsid w:val="00ED1530"/>
    <w:rsid w:val="00EE3029"/>
    <w:rsid w:val="00F16EBF"/>
    <w:rsid w:val="00FC1DD7"/>
    <w:rsid w:val="03821EC1"/>
    <w:rsid w:val="062D5D56"/>
    <w:rsid w:val="06870DFD"/>
    <w:rsid w:val="10884FAF"/>
    <w:rsid w:val="1F034F6D"/>
    <w:rsid w:val="28D01170"/>
    <w:rsid w:val="2E40666F"/>
    <w:rsid w:val="33D94DD3"/>
    <w:rsid w:val="38BF2942"/>
    <w:rsid w:val="3D075831"/>
    <w:rsid w:val="3F86697B"/>
    <w:rsid w:val="40471C9A"/>
    <w:rsid w:val="40AB0497"/>
    <w:rsid w:val="4932554A"/>
    <w:rsid w:val="4B7A37A1"/>
    <w:rsid w:val="4C713C0A"/>
    <w:rsid w:val="4F75620F"/>
    <w:rsid w:val="50FF4E17"/>
    <w:rsid w:val="52FE56CE"/>
    <w:rsid w:val="5C6D112F"/>
    <w:rsid w:val="5C8D2A7F"/>
    <w:rsid w:val="5F7B384F"/>
    <w:rsid w:val="680B32BF"/>
    <w:rsid w:val="68C1243D"/>
    <w:rsid w:val="6F967980"/>
    <w:rsid w:val="705A57BD"/>
    <w:rsid w:val="7181693B"/>
    <w:rsid w:val="72A53EE6"/>
    <w:rsid w:val="76C83D6D"/>
    <w:rsid w:val="79AD2E5C"/>
    <w:rsid w:val="7D172723"/>
    <w:rsid w:val="7D772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qFormat/>
    <w:uiPriority w:val="0"/>
  </w:style>
  <w:style w:type="paragraph" w:styleId="3">
    <w:name w:val="Body Text"/>
    <w:basedOn w:val="1"/>
    <w:autoRedefine/>
    <w:semiHidden/>
    <w:qFormat/>
    <w:uiPriority w:val="0"/>
    <w:rPr>
      <w:rFonts w:ascii="宋体" w:hAnsi="宋体" w:eastAsia="宋体" w:cs="宋体"/>
      <w:sz w:val="24"/>
      <w:szCs w:val="24"/>
    </w:rPr>
  </w:style>
  <w:style w:type="paragraph" w:styleId="4">
    <w:name w:val="Balloon Text"/>
    <w:basedOn w:val="1"/>
    <w:link w:val="17"/>
    <w:autoRedefine/>
    <w:qFormat/>
    <w:uiPriority w:val="0"/>
    <w:rPr>
      <w:sz w:val="18"/>
      <w:szCs w:val="18"/>
    </w:rPr>
  </w:style>
  <w:style w:type="paragraph" w:styleId="5">
    <w:name w:val="footer"/>
    <w:basedOn w:val="1"/>
    <w:link w:val="20"/>
    <w:autoRedefine/>
    <w:qFormat/>
    <w:uiPriority w:val="0"/>
    <w:pPr>
      <w:tabs>
        <w:tab w:val="center" w:pos="4153"/>
        <w:tab w:val="right" w:pos="8306"/>
      </w:tabs>
    </w:pPr>
    <w:rPr>
      <w:sz w:val="18"/>
      <w:szCs w:val="18"/>
    </w:rPr>
  </w:style>
  <w:style w:type="paragraph" w:styleId="6">
    <w:name w:val="header"/>
    <w:basedOn w:val="1"/>
    <w:link w:val="19"/>
    <w:autoRedefine/>
    <w:qFormat/>
    <w:uiPriority w:val="0"/>
    <w:pPr>
      <w:tabs>
        <w:tab w:val="center" w:pos="4153"/>
        <w:tab w:val="right" w:pos="8306"/>
      </w:tabs>
      <w:jc w:val="center"/>
    </w:pPr>
    <w:rPr>
      <w:sz w:val="18"/>
      <w:szCs w:val="18"/>
    </w:rPr>
  </w:style>
  <w:style w:type="paragraph" w:styleId="7">
    <w:name w:val="annotation subject"/>
    <w:basedOn w:val="2"/>
    <w:next w:val="2"/>
    <w:link w:val="16"/>
    <w:autoRedefine/>
    <w:qFormat/>
    <w:uiPriority w:val="0"/>
    <w:rPr>
      <w:b/>
      <w:bCs/>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qFormat/>
    <w:uiPriority w:val="0"/>
    <w:rPr>
      <w:sz w:val="21"/>
      <w:szCs w:val="21"/>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宋体" w:hAnsi="宋体" w:eastAsia="宋体" w:cs="宋体"/>
      <w:sz w:val="24"/>
      <w:szCs w:val="24"/>
    </w:rPr>
  </w:style>
  <w:style w:type="paragraph" w:customStyle="1" w:styleId="14">
    <w:name w:val="修订1"/>
    <w:autoRedefine/>
    <w:hidden/>
    <w:unhideWhenUsed/>
    <w:qFormat/>
    <w:uiPriority w:val="99"/>
    <w:rPr>
      <w:rFonts w:ascii="Arial" w:hAnsi="Arial" w:eastAsia="Arial" w:cs="Arial"/>
      <w:snapToGrid w:val="0"/>
      <w:color w:val="000000"/>
      <w:sz w:val="21"/>
      <w:szCs w:val="21"/>
      <w:lang w:val="en-US" w:eastAsia="en-US" w:bidi="ar-SA"/>
    </w:rPr>
  </w:style>
  <w:style w:type="character" w:customStyle="1" w:styleId="15">
    <w:name w:val="批注文字 字符"/>
    <w:basedOn w:val="10"/>
    <w:link w:val="2"/>
    <w:autoRedefine/>
    <w:qFormat/>
    <w:uiPriority w:val="0"/>
    <w:rPr>
      <w:rFonts w:ascii="Arial" w:hAnsi="Arial" w:eastAsia="Arial" w:cs="Arial"/>
      <w:snapToGrid w:val="0"/>
      <w:color w:val="000000"/>
      <w:sz w:val="21"/>
      <w:szCs w:val="21"/>
      <w:lang w:eastAsia="en-US"/>
    </w:rPr>
  </w:style>
  <w:style w:type="character" w:customStyle="1" w:styleId="16">
    <w:name w:val="批注主题 字符"/>
    <w:basedOn w:val="15"/>
    <w:link w:val="7"/>
    <w:autoRedefine/>
    <w:qFormat/>
    <w:uiPriority w:val="0"/>
    <w:rPr>
      <w:rFonts w:ascii="Arial" w:hAnsi="Arial" w:eastAsia="Arial" w:cs="Arial"/>
      <w:b/>
      <w:bCs/>
      <w:snapToGrid w:val="0"/>
      <w:color w:val="000000"/>
      <w:sz w:val="21"/>
      <w:szCs w:val="21"/>
      <w:lang w:eastAsia="en-US"/>
    </w:rPr>
  </w:style>
  <w:style w:type="character" w:customStyle="1" w:styleId="17">
    <w:name w:val="批注框文本 字符"/>
    <w:basedOn w:val="10"/>
    <w:link w:val="4"/>
    <w:autoRedefine/>
    <w:qFormat/>
    <w:uiPriority w:val="0"/>
    <w:rPr>
      <w:rFonts w:ascii="Arial" w:hAnsi="Arial" w:eastAsia="Arial" w:cs="Arial"/>
      <w:snapToGrid w:val="0"/>
      <w:color w:val="000000"/>
      <w:sz w:val="18"/>
      <w:szCs w:val="18"/>
      <w:lang w:eastAsia="en-US"/>
    </w:rPr>
  </w:style>
  <w:style w:type="paragraph" w:customStyle="1" w:styleId="18">
    <w:name w:val="Revision"/>
    <w:autoRedefine/>
    <w:hidden/>
    <w:unhideWhenUsed/>
    <w:qFormat/>
    <w:uiPriority w:val="99"/>
    <w:rPr>
      <w:rFonts w:ascii="Arial" w:hAnsi="Arial" w:eastAsia="Arial" w:cs="Arial"/>
      <w:snapToGrid w:val="0"/>
      <w:color w:val="000000"/>
      <w:sz w:val="21"/>
      <w:szCs w:val="21"/>
      <w:lang w:val="en-US" w:eastAsia="en-US" w:bidi="ar-SA"/>
    </w:rPr>
  </w:style>
  <w:style w:type="character" w:customStyle="1" w:styleId="19">
    <w:name w:val="页眉 字符"/>
    <w:basedOn w:val="10"/>
    <w:link w:val="6"/>
    <w:autoRedefine/>
    <w:qFormat/>
    <w:uiPriority w:val="0"/>
    <w:rPr>
      <w:rFonts w:ascii="Arial" w:hAnsi="Arial" w:eastAsia="Arial" w:cs="Arial"/>
      <w:snapToGrid w:val="0"/>
      <w:color w:val="000000"/>
      <w:sz w:val="18"/>
      <w:szCs w:val="18"/>
      <w:lang w:eastAsia="en-US"/>
    </w:rPr>
  </w:style>
  <w:style w:type="character" w:customStyle="1" w:styleId="20">
    <w:name w:val="页脚 字符"/>
    <w:basedOn w:val="10"/>
    <w:link w:val="5"/>
    <w:autoRedefine/>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176</Words>
  <Characters>1005</Characters>
  <Lines>8</Lines>
  <Paragraphs>2</Paragraphs>
  <TotalTime>107</TotalTime>
  <ScaleCrop>false</ScaleCrop>
  <LinksUpToDate>false</LinksUpToDate>
  <CharactersWithSpaces>1179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2023-12-04T02:28:00Z</dcterms:created>
  <dc:creator>恽明秋</dc:creator>
  <cp:lastModifiedBy>Y.    Miss</cp:lastModifiedBy>
  <dcterms:modified xsi:type="dcterms:W3CDTF">2024-03-04T09:36:01Z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2023-11-15T13:32:34Z</vt:filetime>
  </property>
  <property fmtid="{D5CDD505-2E9C-101B-9397-08002B2CF9AE}" pid="4" name="KSOProductBuildVer">
    <vt:lpwstr>2052-12.1.0.16388</vt:lpwstr>
  </property>
  <property fmtid="{D5CDD505-2E9C-101B-9397-08002B2CF9AE}" pid="5" name="ICV">
    <vt:lpwstr>CB19B13F373C474083FA12DA88233131_13</vt:lpwstr>
  </property>
</Properties>
</file>