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line="218" w:lineRule="auto"/>
        <w:ind w:left="49"/>
        <w:rPr>
          <w:rFonts w:hint="default"/>
          <w:b/>
          <w:bCs/>
          <w:lang w:val="en-US" w:eastAsia="zh-CN"/>
        </w:rPr>
      </w:pPr>
      <w:r>
        <w:rPr>
          <w:rFonts w:hint="eastAsia"/>
          <w:b/>
          <w:bCs/>
          <w:spacing w:val="-8"/>
          <w:lang w:eastAsia="zh-CN"/>
        </w:rPr>
        <w:t>证券代码：603191         证券简称：</w:t>
      </w:r>
      <w:r>
        <w:rPr>
          <w:rFonts w:hint="eastAsia"/>
          <w:b/>
          <w:bCs/>
          <w:spacing w:val="-12"/>
          <w:lang w:eastAsia="zh-CN"/>
        </w:rPr>
        <w:t xml:space="preserve">望变电气  </w:t>
      </w:r>
      <w:r>
        <w:rPr>
          <w:rFonts w:hint="eastAsia"/>
          <w:b/>
          <w:bCs/>
          <w:spacing w:val="2"/>
          <w:lang w:eastAsia="zh-CN"/>
        </w:rPr>
        <w:t xml:space="preserve">       </w:t>
      </w:r>
      <w:r>
        <w:rPr>
          <w:rFonts w:hint="eastAsia"/>
          <w:b/>
          <w:bCs/>
          <w:spacing w:val="-8"/>
          <w:lang w:eastAsia="zh-CN"/>
        </w:rPr>
        <w:t>公告编号：202</w:t>
      </w:r>
      <w:r>
        <w:rPr>
          <w:rFonts w:hint="eastAsia"/>
          <w:b/>
          <w:bCs/>
          <w:spacing w:val="-8"/>
          <w:lang w:val="en-US" w:eastAsia="zh-CN"/>
        </w:rPr>
        <w:t>4</w:t>
      </w:r>
      <w:r>
        <w:rPr>
          <w:rFonts w:hint="eastAsia"/>
          <w:b/>
          <w:bCs/>
          <w:spacing w:val="-8"/>
          <w:lang w:eastAsia="zh-CN"/>
        </w:rPr>
        <w:t>-0</w:t>
      </w:r>
      <w:r>
        <w:rPr>
          <w:rFonts w:hint="eastAsia"/>
          <w:b/>
          <w:bCs/>
          <w:spacing w:val="-8"/>
          <w:lang w:val="en-US" w:eastAsia="zh-CN"/>
        </w:rPr>
        <w:t>17</w:t>
      </w:r>
    </w:p>
    <w:p>
      <w:pPr>
        <w:pStyle w:val="3"/>
        <w:spacing w:before="117" w:line="220" w:lineRule="auto"/>
        <w:jc w:val="both"/>
        <w:outlineLvl w:val="0"/>
        <w:rPr>
          <w:color w:val="FF0000"/>
          <w:sz w:val="36"/>
          <w:szCs w:val="36"/>
          <w:lang w:eastAsia="zh-CN"/>
          <w14:textOutline w14:w="6527" w14:cap="flat" w14:cmpd="sng" w14:algn="ctr">
            <w14:solidFill>
              <w14:srgbClr w14:val="FF0000"/>
            </w14:solidFill>
            <w14:prstDash w14:val="solid"/>
            <w14:miter w14:val="0"/>
          </w14:textOutline>
        </w:rPr>
      </w:pPr>
    </w:p>
    <w:p>
      <w:pPr>
        <w:pStyle w:val="3"/>
        <w:spacing w:before="117" w:line="220" w:lineRule="auto"/>
        <w:jc w:val="center"/>
        <w:outlineLvl w:val="0"/>
        <w:rPr>
          <w:color w:val="FF0000"/>
          <w:sz w:val="36"/>
          <w:szCs w:val="36"/>
          <w:lang w:eastAsia="zh-CN"/>
          <w14:textOutline w14:w="6527" w14:cap="flat" w14:cmpd="sng" w14:algn="ctr">
            <w14:solidFill>
              <w14:srgbClr w14:val="FF0000"/>
            </w14:solidFill>
            <w14:prstDash w14:val="solid"/>
            <w14:miter w14:val="0"/>
          </w14:textOutline>
        </w:rPr>
      </w:pPr>
      <w:r>
        <w:rPr>
          <w:rFonts w:hint="eastAsia"/>
          <w:color w:val="FF0000"/>
          <w:sz w:val="36"/>
          <w:szCs w:val="36"/>
          <w:lang w:eastAsia="zh-CN"/>
          <w14:textOutline w14:w="6527" w14:cap="flat" w14:cmpd="sng" w14:algn="ctr">
            <w14:solidFill>
              <w14:srgbClr w14:val="FF0000"/>
            </w14:solidFill>
            <w14:prstDash w14:val="solid"/>
            <w14:miter w14:val="0"/>
          </w14:textOutline>
        </w:rPr>
        <w:t>重庆望变电气（集团）股份有限公司</w:t>
      </w:r>
    </w:p>
    <w:p>
      <w:pPr>
        <w:pStyle w:val="3"/>
        <w:spacing w:before="117" w:line="220" w:lineRule="auto"/>
        <w:jc w:val="center"/>
        <w:outlineLvl w:val="0"/>
        <w:rPr>
          <w:rFonts w:hint="eastAsia"/>
          <w:color w:val="FF0000"/>
          <w:sz w:val="36"/>
          <w:szCs w:val="36"/>
          <w:lang w:eastAsia="zh-CN"/>
          <w14:textOutline w14:w="6527" w14:cap="flat" w14:cmpd="sng" w14:algn="ctr">
            <w14:solidFill>
              <w14:srgbClr w14:val="FF0000"/>
            </w14:solidFill>
            <w14:prstDash w14:val="solid"/>
            <w14:miter w14:val="0"/>
          </w14:textOutline>
        </w:rPr>
      </w:pPr>
      <w:r>
        <w:rPr>
          <w:rFonts w:hint="eastAsia"/>
          <w:color w:val="FF0000"/>
          <w:sz w:val="36"/>
          <w:szCs w:val="36"/>
          <w:lang w:eastAsia="zh-CN"/>
          <w14:textOutline w14:w="6527" w14:cap="flat" w14:cmpd="sng" w14:algn="ctr">
            <w14:solidFill>
              <w14:srgbClr w14:val="FF0000"/>
            </w14:solidFill>
            <w14:prstDash w14:val="solid"/>
            <w14:miter w14:val="0"/>
          </w14:textOutline>
        </w:rPr>
        <w:t>关于调整公司2024年限制性股票激励计划激励对象</w:t>
      </w:r>
    </w:p>
    <w:p>
      <w:pPr>
        <w:pStyle w:val="3"/>
        <w:spacing w:before="117" w:line="220" w:lineRule="auto"/>
        <w:jc w:val="center"/>
        <w:outlineLvl w:val="0"/>
        <w:rPr>
          <w:color w:val="FF0000"/>
          <w:sz w:val="36"/>
          <w:szCs w:val="36"/>
          <w:lang w:eastAsia="zh-CN"/>
          <w14:textOutline w14:w="6527" w14:cap="flat" w14:cmpd="sng" w14:algn="ctr">
            <w14:solidFill>
              <w14:srgbClr w14:val="FF0000"/>
            </w14:solidFill>
            <w14:prstDash w14:val="solid"/>
            <w14:miter w14:val="0"/>
          </w14:textOutline>
        </w:rPr>
      </w:pPr>
      <w:r>
        <w:rPr>
          <w:rFonts w:hint="eastAsia"/>
          <w:color w:val="FF0000"/>
          <w:sz w:val="36"/>
          <w:szCs w:val="36"/>
          <w:lang w:eastAsia="zh-CN"/>
          <w14:textOutline w14:w="6527" w14:cap="flat" w14:cmpd="sng" w14:algn="ctr">
            <w14:solidFill>
              <w14:srgbClr w14:val="FF0000"/>
            </w14:solidFill>
            <w14:prstDash w14:val="solid"/>
            <w14:miter w14:val="0"/>
          </w14:textOutline>
        </w:rPr>
        <w:t>名单及授予数量的公告</w:t>
      </w:r>
    </w:p>
    <w:p>
      <w:pPr>
        <w:spacing w:line="130" w:lineRule="exact"/>
        <w:rPr>
          <w:color w:val="FF0000"/>
          <w:sz w:val="36"/>
          <w:szCs w:val="36"/>
          <w:lang w:eastAsia="zh-CN"/>
          <w14:textOutline w14:w="6527" w14:cap="flat" w14:cmpd="sng" w14:algn="ctr">
            <w14:solidFill>
              <w14:srgbClr w14:val="FF0000"/>
            </w14:solidFill>
            <w14:prstDash w14:val="solid"/>
            <w14:miter w14:val="0"/>
          </w14:textOutline>
        </w:rPr>
      </w:pPr>
    </w:p>
    <w:tbl>
      <w:tblPr>
        <w:tblStyle w:val="12"/>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szCs w:val="24"/>
                <w:lang w:eastAsia="zh-CN"/>
              </w:rPr>
            </w:pPr>
            <w:r>
              <w:rPr>
                <w:rFonts w:hint="eastAsia" w:ascii="宋体" w:hAnsi="宋体" w:eastAsia="宋体" w:cs="宋体"/>
                <w:color w:val="auto"/>
                <w:spacing w:val="-12"/>
                <w:sz w:val="24"/>
                <w:szCs w:val="24"/>
                <w:lang w:eastAsia="zh-CN"/>
              </w:rPr>
              <w:t>本公司董事会及全体董事保证本公告内容不存在任何虚假记载、误导性陈 述或者重大遗漏， 并对其内容的真实性、准确性和完整性承担个别及连带责任。</w:t>
            </w:r>
          </w:p>
        </w:tc>
      </w:tr>
    </w:tbl>
    <w:p>
      <w:pPr>
        <w:spacing w:line="309" w:lineRule="auto"/>
        <w:rPr>
          <w:lang w:eastAsia="zh-CN"/>
        </w:rPr>
      </w:pPr>
    </w:p>
    <w:p>
      <w:pPr>
        <w:spacing w:line="309" w:lineRule="auto"/>
        <w:rPr>
          <w:lang w:eastAsia="zh-CN"/>
        </w:rPr>
      </w:pPr>
    </w:p>
    <w:p>
      <w:pPr>
        <w:pStyle w:val="3"/>
        <w:spacing w:before="78" w:line="220" w:lineRule="auto"/>
        <w:ind w:left="26"/>
        <w:rPr>
          <w:rFonts w:hint="eastAsia" w:ascii="宋体" w:hAnsi="宋体" w:eastAsia="宋体" w:cs="宋体"/>
          <w:spacing w:val="-2"/>
          <w:lang w:eastAsia="zh-CN"/>
          <w14:textOutline w14:w="4356" w14:cap="flat" w14:cmpd="sng" w14:algn="ctr">
            <w14:solidFill>
              <w14:srgbClr w14:val="000000"/>
            </w14:solidFill>
            <w14:prstDash w14:val="solid"/>
            <w14:miter w14:val="0"/>
          </w14:textOutline>
        </w:rPr>
      </w:pPr>
      <w:r>
        <w:rPr>
          <w:rFonts w:hint="eastAsia" w:ascii="宋体" w:hAnsi="宋体" w:eastAsia="宋体" w:cs="宋体"/>
          <w:spacing w:val="-2"/>
          <w:lang w:eastAsia="zh-CN"/>
          <w14:textOutline w14:w="4356" w14:cap="flat" w14:cmpd="sng" w14:algn="ctr">
            <w14:solidFill>
              <w14:srgbClr w14:val="000000"/>
            </w14:solidFill>
            <w14:prstDash w14:val="solid"/>
            <w14:miter w14:val="0"/>
          </w14:textOutline>
        </w:rPr>
        <w:t>重要内容提示：</w:t>
      </w:r>
    </w:p>
    <w:p>
      <w:pPr>
        <w:pStyle w:val="3"/>
        <w:spacing w:before="78" w:line="220" w:lineRule="auto"/>
        <w:ind w:left="26"/>
        <w:rPr>
          <w:rFonts w:hint="eastAsia" w:ascii="宋体" w:hAnsi="宋体" w:eastAsia="宋体" w:cs="宋体"/>
          <w:spacing w:val="-2"/>
          <w:lang w:eastAsia="zh-CN"/>
          <w14:textOutline w14:w="4356" w14:cap="flat" w14:cmpd="sng" w14:algn="ctr">
            <w14:solidFill>
              <w14:srgbClr w14:val="000000"/>
            </w14:solidFill>
            <w14:prstDash w14:val="solid"/>
            <w14:miter w14:val="0"/>
          </w14:textOutline>
        </w:rPr>
      </w:pPr>
    </w:p>
    <w:p>
      <w:pPr>
        <w:numPr>
          <w:ilvl w:val="0"/>
          <w:numId w:val="1"/>
        </w:numPr>
        <w:spacing w:line="360" w:lineRule="auto"/>
        <w:ind w:left="420" w:leftChars="0" w:hanging="42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首次授予激励对象人数：由66人调整为58人。</w:t>
      </w:r>
      <w:bookmarkStart w:id="0" w:name="_GoBack"/>
    </w:p>
    <w:bookmarkEnd w:id="0"/>
    <w:p>
      <w:pPr>
        <w:numPr>
          <w:ilvl w:val="0"/>
          <w:numId w:val="0"/>
        </w:numPr>
        <w:spacing w:line="360" w:lineRule="auto"/>
        <w:ind w:leftChars="0" w:firstLine="432" w:firstLineChars="200"/>
        <w:jc w:val="both"/>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重庆望变电气（集团）股份有限公司（以下简称“公司”）于2024年3月5日召开第四届董事会第三次会议、第四届监事会第三次会议审议通过了《关于调整公司2024年限制性股票激励计划激励对象名单及授予数量的议案》。根据公司《2024年限制性股票激励计划》（以下简称“《激励计划》”或“本次激励计划”）的规定和公司2024年第一次临时股东大会的授权，董事会对激励计划中的激励对象名单及授予数量进行调整，现将相关内容公告如下：</w:t>
      </w:r>
    </w:p>
    <w:p>
      <w:pPr>
        <w:pStyle w:val="3"/>
        <w:numPr>
          <w:ilvl w:val="0"/>
          <w:numId w:val="2"/>
        </w:numPr>
        <w:spacing w:line="360" w:lineRule="auto"/>
        <w:ind w:firstLine="472" w:firstLineChars="200"/>
        <w:jc w:val="both"/>
        <w:rPr>
          <w:rFonts w:hint="eastAsia" w:ascii="宋体" w:hAnsi="宋体" w:eastAsia="宋体" w:cs="宋体"/>
          <w:color w:val="auto"/>
          <w:spacing w:val="-2"/>
          <w:lang w:val="en-US" w:eastAsia="zh-CN"/>
          <w14:textOutline w14:w="4356" w14:cap="flat" w14:cmpd="sng" w14:algn="ctr">
            <w14:solidFill>
              <w14:srgbClr w14:val="000000"/>
            </w14:solidFill>
            <w14:prstDash w14:val="solid"/>
            <w14:miter w14:val="0"/>
          </w14:textOutline>
        </w:rPr>
      </w:pPr>
      <w:r>
        <w:rPr>
          <w:rFonts w:hint="eastAsia" w:ascii="宋体" w:hAnsi="宋体" w:eastAsia="宋体" w:cs="宋体"/>
          <w:color w:val="auto"/>
          <w:spacing w:val="-2"/>
          <w:lang w:val="en-US" w:eastAsia="zh-CN"/>
          <w14:textOutline w14:w="4356" w14:cap="flat" w14:cmpd="sng" w14:algn="ctr">
            <w14:solidFill>
              <w14:srgbClr w14:val="000000"/>
            </w14:solidFill>
            <w14:prstDash w14:val="solid"/>
            <w14:miter w14:val="0"/>
          </w14:textOutline>
        </w:rPr>
        <w:t>本次激励计划已履行的决策程序和信息披露情况</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18日，公司召开第四届董事会第二次会议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公司独立董事就本次激励计划及其他相关议案发表了独立意见，公司独立董事赵宇就提交股东大会审议本次激励计划相关议案向全体股东征集了投票权，北京市嘉源律师事务所就激励计划出具了法律意见书。</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18日，公司召开第四届监事会第二次会议审议通过了《关于公司&lt;2024年限制性股票激励计划（草案）&gt;及其摘要的议案》《关于核实公司&lt;2024年限制性股票激励计划激励对象名单&gt;的议案》《关于公司&lt;2024年限制性股票激励计划实施考核管理办法&gt;的议案》，公司监事会就激励计划相关出具了核查意见。</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22日，公司在上海证券交易所网站（www.sse.com.cn）上披露了《重庆望变电气（集团）股份有限公司2024年限制性股票激励计划激励对象名单》（以下简称激励对象名单），并于同日在公司内部通过公司内网公示了激励对象名单，公示时间为2024年1月22日至2024年1月31日。截至公示期满，公司未收到任何组织或个人对本次拟激励对象提出的异议，监事会于2024年2月2日发表了《关于公司2024年限制性股票激励计划激励对象名单的核查意见及公示情况说明》。</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2月6日，公司召开了2024年第一次临时股东大会，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2024年2月7日，公司披露了《关于2024年限制性股票激励计划内幕消息知情人及激励对象买卖公司股票情况的自查公告》。</w:t>
      </w:r>
    </w:p>
    <w:p>
      <w:pPr>
        <w:pStyle w:val="3"/>
        <w:numPr>
          <w:ilvl w:val="0"/>
          <w:numId w:val="0"/>
        </w:numPr>
        <w:spacing w:line="360" w:lineRule="auto"/>
        <w:ind w:firstLine="472"/>
        <w:jc w:val="both"/>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2024年3月5日，公司召开了</w:t>
      </w:r>
      <w:r>
        <w:rPr>
          <w:rFonts w:hint="eastAsia" w:cs="宋体"/>
          <w:snapToGrid w:val="0"/>
          <w:color w:val="auto"/>
          <w:spacing w:val="-12"/>
          <w:sz w:val="24"/>
          <w:szCs w:val="24"/>
          <w:lang w:val="en-US" w:eastAsia="zh-CN" w:bidi="ar-SA"/>
        </w:rPr>
        <w:t>第四届</w:t>
      </w:r>
      <w:r>
        <w:rPr>
          <w:rFonts w:hint="eastAsia" w:ascii="宋体" w:hAnsi="宋体"/>
          <w:b w:val="0"/>
          <w:color w:val="auto"/>
          <w:spacing w:val="-12"/>
          <w:sz w:val="24"/>
          <w:szCs w:val="24"/>
          <w:lang w:eastAsia="zh-CN"/>
        </w:rPr>
        <w:t>董事会薪酬与考核委员会</w:t>
      </w:r>
      <w:r>
        <w:rPr>
          <w:rFonts w:hint="eastAsia"/>
          <w:b w:val="0"/>
          <w:color w:val="auto"/>
          <w:spacing w:val="-12"/>
          <w:sz w:val="24"/>
          <w:szCs w:val="24"/>
          <w:lang w:val="en-US" w:eastAsia="zh-CN"/>
        </w:rPr>
        <w:t>第二次会议、</w:t>
      </w:r>
      <w:r>
        <w:rPr>
          <w:rFonts w:hint="eastAsia" w:ascii="宋体" w:hAnsi="宋体" w:eastAsia="宋体" w:cs="宋体"/>
          <w:snapToGrid w:val="0"/>
          <w:color w:val="auto"/>
          <w:spacing w:val="-12"/>
          <w:sz w:val="24"/>
          <w:szCs w:val="24"/>
          <w:lang w:val="en-US" w:eastAsia="zh-CN" w:bidi="ar-SA"/>
        </w:rPr>
        <w:t>第四届董事会第三次会议、第四届监事会第三次会议审议通过了《关于调整公司2024年限制性股票激励计划激励对象名单及授予数量的议案》《关于向公司2024年限制性股票激励计划激励对象首次授予限制性股票的议案》。监事会对相关事项发表了意见，北京市嘉源律师事务所就相关事项出具了法律意见书。</w:t>
      </w:r>
    </w:p>
    <w:p>
      <w:pPr>
        <w:pStyle w:val="3"/>
        <w:numPr>
          <w:ilvl w:val="0"/>
          <w:numId w:val="2"/>
        </w:numPr>
        <w:spacing w:line="360" w:lineRule="auto"/>
        <w:ind w:left="0" w:leftChars="0" w:firstLine="434" w:firstLineChars="200"/>
        <w:jc w:val="both"/>
        <w:rPr>
          <w:rFonts w:hint="eastAsia" w:ascii="宋体" w:hAnsi="宋体" w:eastAsia="宋体" w:cs="宋体"/>
          <w:b/>
          <w:bCs/>
          <w:color w:val="auto"/>
          <w:spacing w:val="-12"/>
          <w:lang w:val="en-US" w:eastAsia="zh-CN"/>
        </w:rPr>
      </w:pPr>
      <w:r>
        <w:rPr>
          <w:rFonts w:hint="eastAsia" w:ascii="宋体" w:hAnsi="宋体" w:eastAsia="宋体" w:cs="宋体"/>
          <w:b/>
          <w:bCs/>
          <w:color w:val="auto"/>
          <w:spacing w:val="-12"/>
          <w:lang w:val="en-US" w:eastAsia="zh-CN"/>
        </w:rPr>
        <w:t>本次激励计划的激励对象名单及授予数量进行调整的情况说明</w:t>
      </w:r>
    </w:p>
    <w:p>
      <w:pPr>
        <w:adjustRightInd w:val="0"/>
        <w:snapToGrid w:val="0"/>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鉴于本次激励计划中拟首次授予的</w:t>
      </w:r>
      <w:r>
        <w:rPr>
          <w:rFonts w:hint="eastAsia" w:ascii="宋体" w:hAnsi="宋体" w:eastAsia="宋体" w:cs="宋体"/>
          <w:sz w:val="24"/>
          <w:highlight w:val="none"/>
          <w:lang w:val="en-US" w:eastAsia="zh-CN"/>
        </w:rPr>
        <w:t>8名</w:t>
      </w:r>
      <w:r>
        <w:rPr>
          <w:rFonts w:hint="eastAsia" w:ascii="宋体" w:hAnsi="宋体" w:eastAsia="宋体" w:cs="宋体"/>
          <w:sz w:val="24"/>
          <w:highlight w:val="none"/>
        </w:rPr>
        <w:t>激励对象由于个人原因放弃认购限制性股票，根据公司2024年第一次临时股东大会的授权，董事会拟对公司激励计划</w:t>
      </w:r>
      <w:r>
        <w:rPr>
          <w:rFonts w:hint="eastAsia" w:ascii="宋体" w:hAnsi="宋体" w:eastAsia="宋体" w:cs="宋体"/>
          <w:sz w:val="24"/>
          <w:highlight w:val="none"/>
          <w:lang w:val="en-US" w:eastAsia="zh-CN"/>
        </w:rPr>
        <w:t>中</w:t>
      </w:r>
      <w:r>
        <w:rPr>
          <w:rFonts w:hint="eastAsia" w:ascii="宋体" w:hAnsi="宋体" w:eastAsia="宋体" w:cs="宋体"/>
          <w:sz w:val="24"/>
          <w:highlight w:val="none"/>
        </w:rPr>
        <w:t>首次授予限制性股票的激励对象人员由原不超过66名调整为</w:t>
      </w:r>
      <w:r>
        <w:rPr>
          <w:rFonts w:hint="eastAsia" w:ascii="宋体" w:hAnsi="宋体" w:eastAsia="宋体" w:cs="宋体"/>
          <w:sz w:val="24"/>
          <w:highlight w:val="none"/>
          <w:lang w:val="en-US" w:eastAsia="zh-CN"/>
        </w:rPr>
        <w:t>58名。因个人原因放弃认购的激励对象原</w:t>
      </w:r>
      <w:r>
        <w:rPr>
          <w:rFonts w:hint="eastAsia" w:ascii="宋体" w:hAnsi="宋体" w:eastAsia="宋体" w:cs="宋体"/>
          <w:sz w:val="24"/>
          <w:highlight w:val="none"/>
        </w:rPr>
        <w:t>获授</w:t>
      </w:r>
      <w:r>
        <w:rPr>
          <w:rFonts w:hint="eastAsia" w:ascii="宋体" w:hAnsi="宋体" w:eastAsia="宋体" w:cs="宋体"/>
          <w:sz w:val="24"/>
          <w:highlight w:val="none"/>
          <w:lang w:val="en-US" w:eastAsia="zh-CN"/>
        </w:rPr>
        <w:t>股份数将调整到本次激励计划首次授予的其他激励对象，首次授予的限制性股票数量不变。</w:t>
      </w:r>
    </w:p>
    <w:p>
      <w:pPr>
        <w:adjustRightInd w:val="0"/>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本次调整后的激励对象属于经公司2024年第一次临时股东大会批准的激励计划中规定的激励对象范围。</w:t>
      </w:r>
    </w:p>
    <w:p>
      <w:pPr>
        <w:adjustRightInd w:val="0"/>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调整后的情况如下：</w:t>
      </w:r>
    </w:p>
    <w:tbl>
      <w:tblPr>
        <w:tblStyle w:val="8"/>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47"/>
        <w:gridCol w:w="829"/>
        <w:gridCol w:w="1823"/>
        <w:gridCol w:w="1445"/>
        <w:gridCol w:w="1545"/>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5"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姓名</w:t>
            </w:r>
          </w:p>
        </w:tc>
        <w:tc>
          <w:tcPr>
            <w:tcW w:w="482"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国籍</w:t>
            </w:r>
          </w:p>
        </w:tc>
        <w:tc>
          <w:tcPr>
            <w:tcW w:w="1059"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职务</w:t>
            </w:r>
          </w:p>
        </w:tc>
        <w:tc>
          <w:tcPr>
            <w:tcW w:w="841"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获授的限制性股票数量（万股）</w:t>
            </w:r>
          </w:p>
        </w:tc>
        <w:tc>
          <w:tcPr>
            <w:tcW w:w="899"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占授予限制性股票总数的比例</w:t>
            </w:r>
          </w:p>
        </w:tc>
        <w:tc>
          <w:tcPr>
            <w:tcW w:w="972" w:type="pct"/>
            <w:shd w:val="clear" w:color="auto" w:fill="BFBFB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占本激励计划公告时股本总额的比例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81" w:type="pct"/>
            <w:gridSpan w:val="6"/>
            <w:shd w:val="clear" w:color="auto" w:fill="FFFFFF"/>
            <w:tcMar>
              <w:top w:w="0" w:type="dxa"/>
              <w:left w:w="0" w:type="dxa"/>
              <w:bottom w:w="0" w:type="dxa"/>
              <w:right w:w="0" w:type="dxa"/>
            </w:tcMar>
            <w:vAlign w:val="center"/>
          </w:tcPr>
          <w:p>
            <w:pPr>
              <w:adjustRightInd w:val="0"/>
              <w:snapToGrid w:val="0"/>
              <w:rPr>
                <w:rFonts w:hint="eastAsia" w:ascii="宋体" w:hAnsi="宋体" w:eastAsia="宋体" w:cs="宋体"/>
                <w:b/>
                <w:color w:val="000000"/>
                <w:highlight w:val="none"/>
              </w:rPr>
            </w:pPr>
            <w:r>
              <w:rPr>
                <w:rFonts w:hint="eastAsia" w:ascii="宋体" w:hAnsi="宋体" w:eastAsia="宋体" w:cs="宋体"/>
                <w:b/>
                <w:color w:val="000000"/>
                <w:highlight w:val="none"/>
              </w:rPr>
              <w:t>一、董事、高级管理人员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杨林</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董事、副总经理</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22</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6.88</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w:t>
            </w:r>
            <w:r>
              <w:rPr>
                <w:rFonts w:hint="eastAsia" w:ascii="宋体" w:hAnsi="宋体" w:eastAsia="宋体" w:cs="宋体"/>
                <w:color w:val="000000"/>
                <w:szCs w:val="21"/>
                <w:highlight w:val="none"/>
              </w:rPr>
              <w:t>07</w:t>
            </w:r>
            <w:r>
              <w:rPr>
                <w:rFonts w:hint="eastAsia" w:ascii="宋体" w:hAnsi="宋体" w:eastAsia="宋体" w:cs="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胡守天</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董事、副总经理</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2.81</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王海波</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董事、副总经理</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2.81</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付康</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董事</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2.81</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李代萍</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副总经理、董事会秘书</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2.81</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刘柏林</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副总经理</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19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5.94</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w:t>
            </w:r>
            <w:r>
              <w:rPr>
                <w:rFonts w:hint="eastAsia" w:ascii="宋体" w:hAnsi="宋体" w:eastAsia="宋体" w:cs="宋体"/>
                <w:color w:val="000000"/>
                <w:szCs w:val="21"/>
                <w:highlight w:val="none"/>
              </w:rPr>
              <w:t>06</w:t>
            </w:r>
            <w:r>
              <w:rPr>
                <w:rFonts w:hint="eastAsia" w:ascii="宋体" w:hAnsi="宋体" w:eastAsia="宋体" w:cs="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肖永号</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副总经理</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9</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2.81</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杨万华</w:t>
            </w:r>
          </w:p>
        </w:tc>
        <w:tc>
          <w:tcPr>
            <w:tcW w:w="482"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中国</w:t>
            </w:r>
          </w:p>
        </w:tc>
        <w:tc>
          <w:tcPr>
            <w:tcW w:w="1059" w:type="pct"/>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color w:val="000000"/>
                <w:highlight w:val="none"/>
              </w:rPr>
            </w:pPr>
            <w:r>
              <w:rPr>
                <w:rFonts w:hint="eastAsia" w:ascii="宋体" w:hAnsi="宋体" w:eastAsia="宋体" w:cs="宋体"/>
                <w:color w:val="000000"/>
                <w:szCs w:val="21"/>
                <w:highlight w:val="none"/>
              </w:rPr>
              <w:t>财务总监</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7</w:t>
            </w:r>
            <w:r>
              <w:rPr>
                <w:rFonts w:hint="eastAsia" w:ascii="宋体" w:hAnsi="宋体" w:eastAsia="宋体" w:cs="宋体"/>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szCs w:val="21"/>
                <w:highlight w:val="none"/>
              </w:rPr>
              <w:t>2.19</w:t>
            </w:r>
            <w:r>
              <w:rPr>
                <w:rFonts w:hint="eastAsia" w:ascii="宋体" w:hAnsi="宋体" w:eastAsia="宋体" w:cs="宋体"/>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color w:val="000000"/>
                <w:highlight w:val="none"/>
              </w:rPr>
            </w:pPr>
            <w:r>
              <w:rPr>
                <w:rFonts w:hint="eastAsia" w:ascii="宋体" w:hAnsi="宋体" w:eastAsia="宋体" w:cs="宋体"/>
                <w:color w:val="000000"/>
                <w:highlight w:val="none"/>
              </w:rPr>
              <w:t>0.</w:t>
            </w:r>
            <w:r>
              <w:rPr>
                <w:rFonts w:hint="eastAsia" w:ascii="宋体" w:hAnsi="宋体" w:eastAsia="宋体" w:cs="宋体"/>
                <w:color w:val="000000"/>
                <w:szCs w:val="21"/>
                <w:highlight w:val="none"/>
              </w:rPr>
              <w:t>02</w:t>
            </w:r>
            <w:r>
              <w:rPr>
                <w:rFonts w:hint="eastAsia" w:ascii="宋体" w:hAnsi="宋体" w:eastAsia="宋体" w:cs="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小计</w:t>
            </w:r>
          </w:p>
        </w:tc>
        <w:tc>
          <w:tcPr>
            <w:tcW w:w="841"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b/>
                <w:color w:val="000000"/>
                <w:highlight w:val="none"/>
              </w:rPr>
            </w:pPr>
            <w:r>
              <w:rPr>
                <w:rFonts w:hint="eastAsia" w:ascii="宋体" w:hAnsi="宋体" w:eastAsia="宋体" w:cs="宋体"/>
                <w:b/>
                <w:bCs/>
                <w:color w:val="000000"/>
                <w:highlight w:val="none"/>
              </w:rPr>
              <w:t>93</w:t>
            </w:r>
            <w:r>
              <w:rPr>
                <w:rFonts w:hint="eastAsia" w:ascii="宋体" w:hAnsi="宋体" w:eastAsia="宋体" w:cs="宋体"/>
                <w:b/>
                <w:color w:val="000000"/>
                <w:highlight w:val="none"/>
              </w:rPr>
              <w:t>.00</w:t>
            </w:r>
          </w:p>
        </w:tc>
        <w:tc>
          <w:tcPr>
            <w:tcW w:w="899"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b/>
                <w:color w:val="000000"/>
                <w:highlight w:val="none"/>
              </w:rPr>
            </w:pPr>
            <w:r>
              <w:rPr>
                <w:rFonts w:hint="eastAsia" w:ascii="宋体" w:hAnsi="宋体" w:eastAsia="宋体" w:cs="宋体"/>
                <w:b/>
                <w:bCs/>
                <w:color w:val="000000"/>
                <w:szCs w:val="21"/>
                <w:highlight w:val="none"/>
              </w:rPr>
              <w:t>29.06</w:t>
            </w:r>
            <w:r>
              <w:rPr>
                <w:rFonts w:hint="eastAsia" w:ascii="宋体" w:hAnsi="宋体" w:eastAsia="宋体" w:cs="宋体"/>
                <w:b/>
                <w:color w:val="000000"/>
                <w:highlight w:val="none"/>
              </w:rPr>
              <w:t>%</w:t>
            </w:r>
          </w:p>
        </w:tc>
        <w:tc>
          <w:tcPr>
            <w:tcW w:w="972" w:type="pct"/>
            <w:shd w:val="clear" w:color="auto" w:fill="FFFFFF"/>
            <w:tcMar>
              <w:top w:w="0" w:type="dxa"/>
              <w:left w:w="0" w:type="dxa"/>
              <w:bottom w:w="0" w:type="dxa"/>
              <w:right w:w="0" w:type="dxa"/>
            </w:tcMar>
            <w:vAlign w:val="center"/>
          </w:tcPr>
          <w:p>
            <w:pPr>
              <w:adjustRightInd w:val="0"/>
              <w:snapToGrid w:val="0"/>
              <w:jc w:val="right"/>
              <w:rPr>
                <w:rFonts w:hint="eastAsia" w:ascii="宋体" w:hAnsi="宋体" w:eastAsia="宋体" w:cs="宋体"/>
                <w:b/>
                <w:color w:val="000000"/>
                <w:highlight w:val="none"/>
              </w:rPr>
            </w:pPr>
            <w:r>
              <w:rPr>
                <w:rFonts w:hint="eastAsia" w:ascii="宋体" w:hAnsi="宋体" w:eastAsia="宋体" w:cs="宋体"/>
                <w:b/>
                <w:color w:val="000000"/>
                <w:highlight w:val="none"/>
              </w:rPr>
              <w:t>0.</w:t>
            </w:r>
            <w:r>
              <w:rPr>
                <w:rFonts w:hint="eastAsia" w:ascii="宋体" w:hAnsi="宋体" w:eastAsia="宋体" w:cs="宋体"/>
                <w:b/>
                <w:bCs/>
                <w:color w:val="000000"/>
                <w:szCs w:val="21"/>
                <w:highlight w:val="none"/>
              </w:rPr>
              <w:t>28</w:t>
            </w:r>
            <w:r>
              <w:rPr>
                <w:rFonts w:hint="eastAsia" w:ascii="宋体" w:hAnsi="宋体" w:eastAsia="宋体" w:cs="宋体"/>
                <w:b/>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adjustRightInd w:val="0"/>
              <w:snapToGrid w:val="0"/>
              <w:rPr>
                <w:rFonts w:hint="eastAsia" w:ascii="宋体" w:hAnsi="宋体" w:eastAsia="宋体" w:cs="宋体"/>
                <w:b/>
                <w:color w:val="000000"/>
                <w:highlight w:val="none"/>
              </w:rPr>
            </w:pPr>
            <w:r>
              <w:rPr>
                <w:rFonts w:hint="eastAsia" w:ascii="宋体" w:hAnsi="宋体" w:eastAsia="宋体" w:cs="宋体"/>
                <w:b/>
                <w:color w:val="000000"/>
                <w:highlight w:val="none"/>
              </w:rPr>
              <w:t>二、董事会认为需要激励的其他人员（</w:t>
            </w:r>
            <w:r>
              <w:rPr>
                <w:rFonts w:hint="eastAsia" w:ascii="宋体" w:hAnsi="宋体" w:eastAsia="宋体" w:cs="宋体"/>
                <w:b/>
                <w:color w:val="000000"/>
                <w:szCs w:val="21"/>
                <w:highlight w:val="none"/>
              </w:rPr>
              <w:t>5</w:t>
            </w:r>
            <w:r>
              <w:rPr>
                <w:rFonts w:hint="eastAsia" w:ascii="宋体" w:hAnsi="宋体" w:eastAsia="宋体" w:cs="宋体"/>
                <w:b/>
                <w:color w:val="000000"/>
                <w:szCs w:val="21"/>
                <w:highlight w:val="none"/>
                <w:lang w:val="en-US" w:eastAsia="zh-CN"/>
              </w:rPr>
              <w:t>0</w:t>
            </w:r>
            <w:r>
              <w:rPr>
                <w:rFonts w:hint="eastAsia" w:ascii="宋体" w:hAnsi="宋体" w:eastAsia="宋体" w:cs="宋体"/>
                <w:b/>
                <w:color w:val="000000"/>
                <w:highlight w:val="none"/>
              </w:rPr>
              <w:t>人）</w:t>
            </w:r>
          </w:p>
        </w:tc>
        <w:tc>
          <w:tcPr>
            <w:tcW w:w="1521"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bCs/>
                <w:color w:val="000000"/>
              </w:rPr>
              <w:t>167</w:t>
            </w:r>
            <w:r>
              <w:rPr>
                <w:rFonts w:hint="eastAsia" w:ascii="宋体" w:hAnsi="宋体" w:eastAsia="宋体" w:cs="宋体"/>
                <w:b/>
                <w:color w:val="000000"/>
              </w:rPr>
              <w:t>.00</w:t>
            </w:r>
          </w:p>
        </w:tc>
        <w:tc>
          <w:tcPr>
            <w:tcW w:w="1626"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bCs/>
                <w:color w:val="000000"/>
                <w:sz w:val="21"/>
                <w:szCs w:val="21"/>
              </w:rPr>
              <w:t>52.19</w:t>
            </w:r>
            <w:r>
              <w:rPr>
                <w:rFonts w:hint="eastAsia" w:ascii="宋体" w:hAnsi="宋体" w:eastAsia="宋体" w:cs="宋体"/>
                <w:b/>
                <w:color w:val="000000"/>
                <w:sz w:val="21"/>
              </w:rPr>
              <w:t>%</w:t>
            </w:r>
          </w:p>
        </w:tc>
        <w:tc>
          <w:tcPr>
            <w:tcW w:w="1763"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sz w:val="21"/>
              </w:rPr>
              <w:t>0.</w:t>
            </w:r>
            <w:r>
              <w:rPr>
                <w:rFonts w:hint="eastAsia" w:ascii="宋体" w:hAnsi="宋体" w:eastAsia="宋体" w:cs="宋体"/>
                <w:b/>
                <w:bCs/>
                <w:color w:val="000000"/>
                <w:sz w:val="21"/>
                <w:szCs w:val="21"/>
              </w:rPr>
              <w:t>50</w:t>
            </w:r>
            <w:r>
              <w:rPr>
                <w:rFonts w:hint="eastAsia" w:ascii="宋体" w:hAnsi="宋体" w:eastAsia="宋体" w:cs="宋体"/>
                <w:b/>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adjustRightInd w:val="0"/>
              <w:snapToGrid w:val="0"/>
              <w:rPr>
                <w:rFonts w:hint="eastAsia" w:ascii="宋体" w:hAnsi="宋体" w:eastAsia="宋体" w:cs="宋体"/>
                <w:b/>
                <w:color w:val="000000"/>
                <w:highlight w:val="none"/>
              </w:rPr>
            </w:pPr>
            <w:r>
              <w:rPr>
                <w:rFonts w:hint="eastAsia" w:ascii="宋体" w:hAnsi="宋体" w:eastAsia="宋体" w:cs="宋体"/>
                <w:b/>
                <w:color w:val="000000"/>
                <w:highlight w:val="none"/>
              </w:rPr>
              <w:t>三、预留部分</w:t>
            </w:r>
          </w:p>
        </w:tc>
        <w:tc>
          <w:tcPr>
            <w:tcW w:w="1521"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kern w:val="2"/>
                <w:sz w:val="21"/>
              </w:rPr>
              <w:t>60.00</w:t>
            </w:r>
          </w:p>
        </w:tc>
        <w:tc>
          <w:tcPr>
            <w:tcW w:w="1626"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sz w:val="21"/>
              </w:rPr>
              <w:t>18.75%</w:t>
            </w:r>
          </w:p>
        </w:tc>
        <w:tc>
          <w:tcPr>
            <w:tcW w:w="1763"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sz w:val="21"/>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adjustRightInd w:val="0"/>
              <w:snapToGrid w:val="0"/>
              <w:jc w:val="center"/>
              <w:rPr>
                <w:rFonts w:hint="eastAsia" w:ascii="宋体" w:hAnsi="宋体" w:eastAsia="宋体" w:cs="宋体"/>
                <w:b/>
                <w:color w:val="000000"/>
                <w:highlight w:val="none"/>
              </w:rPr>
            </w:pPr>
            <w:r>
              <w:rPr>
                <w:rFonts w:hint="eastAsia" w:ascii="宋体" w:hAnsi="宋体" w:eastAsia="宋体" w:cs="宋体"/>
                <w:b/>
                <w:color w:val="000000"/>
                <w:highlight w:val="none"/>
              </w:rPr>
              <w:t>合计</w:t>
            </w:r>
          </w:p>
        </w:tc>
        <w:tc>
          <w:tcPr>
            <w:tcW w:w="1521"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kern w:val="2"/>
                <w:sz w:val="21"/>
              </w:rPr>
              <w:t>320.00</w:t>
            </w:r>
          </w:p>
        </w:tc>
        <w:tc>
          <w:tcPr>
            <w:tcW w:w="1626"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kern w:val="2"/>
                <w:sz w:val="21"/>
              </w:rPr>
              <w:t>100.00%</w:t>
            </w:r>
          </w:p>
        </w:tc>
        <w:tc>
          <w:tcPr>
            <w:tcW w:w="1763" w:type="dxa"/>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hint="eastAsia" w:ascii="宋体" w:hAnsi="宋体" w:eastAsia="宋体" w:cs="宋体"/>
                <w:b/>
                <w:color w:val="000000"/>
                <w:highlight w:val="none"/>
              </w:rPr>
            </w:pPr>
            <w:r>
              <w:rPr>
                <w:rFonts w:hint="eastAsia" w:ascii="宋体" w:hAnsi="宋体" w:eastAsia="宋体" w:cs="宋体"/>
                <w:b/>
                <w:color w:val="000000"/>
                <w:kern w:val="2"/>
                <w:sz w:val="21"/>
              </w:rPr>
              <w:t>0.96%</w:t>
            </w:r>
          </w:p>
        </w:tc>
      </w:tr>
    </w:tbl>
    <w:p>
      <w:pPr>
        <w:adjustRightInd w:val="0"/>
        <w:snapToGrid w:val="0"/>
        <w:spacing w:line="560" w:lineRule="exact"/>
        <w:ind w:firstLine="480" w:firstLineChars="200"/>
        <w:rPr>
          <w:rFonts w:hint="eastAsia" w:ascii="宋体" w:hAnsi="宋体" w:eastAsia="宋体" w:cs="宋体"/>
          <w:sz w:val="24"/>
        </w:rPr>
      </w:pPr>
    </w:p>
    <w:p>
      <w:pPr>
        <w:adjustRightInd w:val="0"/>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除上述调整内容外，本次激励计划其他内容与公司2024年第一次临时股东大会审议通过的激励计划一致。根据公司2024年第一次临时股东大会的授权，本次调整无需提交股东大会审议。</w:t>
      </w:r>
    </w:p>
    <w:p>
      <w:pPr>
        <w:pStyle w:val="3"/>
        <w:numPr>
          <w:ilvl w:val="0"/>
          <w:numId w:val="0"/>
        </w:numPr>
        <w:spacing w:line="360" w:lineRule="auto"/>
        <w:ind w:leftChars="200"/>
        <w:jc w:val="both"/>
        <w:rPr>
          <w:rFonts w:hint="eastAsia" w:ascii="宋体" w:hAnsi="宋体" w:eastAsia="宋体" w:cs="宋体"/>
          <w:b/>
          <w:bCs/>
          <w:color w:val="auto"/>
          <w:spacing w:val="-12"/>
          <w:lang w:val="en-US" w:eastAsia="zh-CN"/>
        </w:rPr>
      </w:pPr>
    </w:p>
    <w:p>
      <w:pPr>
        <w:pStyle w:val="3"/>
        <w:numPr>
          <w:ilvl w:val="0"/>
          <w:numId w:val="2"/>
        </w:numPr>
        <w:spacing w:line="360" w:lineRule="auto"/>
        <w:ind w:left="0" w:leftChars="0" w:firstLine="434" w:firstLineChars="200"/>
        <w:jc w:val="both"/>
        <w:rPr>
          <w:rFonts w:hint="eastAsia" w:ascii="宋体" w:hAnsi="宋体" w:eastAsia="宋体" w:cs="宋体"/>
          <w:b/>
          <w:bCs/>
          <w:color w:val="auto"/>
          <w:spacing w:val="-12"/>
          <w:lang w:val="en-US" w:eastAsia="zh-CN"/>
        </w:rPr>
      </w:pPr>
      <w:r>
        <w:rPr>
          <w:rFonts w:hint="eastAsia" w:ascii="宋体" w:hAnsi="宋体" w:eastAsia="宋体" w:cs="宋体"/>
          <w:b/>
          <w:bCs/>
          <w:color w:val="auto"/>
          <w:spacing w:val="-12"/>
          <w:lang w:val="en-US" w:eastAsia="zh-CN"/>
        </w:rPr>
        <w:t>激励对象名单及授予数量的调整对公司的影响</w:t>
      </w:r>
    </w:p>
    <w:p>
      <w:pPr>
        <w:adjustRightInd w:val="0"/>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本次对公司2024年限制性股票计划授予对象、授予数量进行调整不会对公司的财务状况和经营成果产生实质性影响。</w:t>
      </w:r>
    </w:p>
    <w:p>
      <w:pPr>
        <w:pStyle w:val="3"/>
        <w:numPr>
          <w:ilvl w:val="0"/>
          <w:numId w:val="0"/>
        </w:numPr>
        <w:spacing w:line="360" w:lineRule="auto"/>
        <w:ind w:leftChars="200"/>
        <w:jc w:val="both"/>
        <w:rPr>
          <w:rFonts w:hint="eastAsia" w:ascii="宋体" w:hAnsi="宋体" w:eastAsia="宋体" w:cs="宋体"/>
          <w:b/>
          <w:bCs/>
          <w:color w:val="auto"/>
          <w:spacing w:val="-12"/>
          <w:lang w:val="en-US" w:eastAsia="zh-CN"/>
        </w:rPr>
      </w:pPr>
    </w:p>
    <w:p>
      <w:pPr>
        <w:pStyle w:val="3"/>
        <w:numPr>
          <w:ilvl w:val="0"/>
          <w:numId w:val="2"/>
        </w:numPr>
        <w:spacing w:line="360" w:lineRule="auto"/>
        <w:ind w:left="0" w:leftChars="0" w:firstLine="434" w:firstLineChars="200"/>
        <w:jc w:val="both"/>
        <w:rPr>
          <w:rFonts w:hint="eastAsia" w:ascii="宋体" w:hAnsi="宋体" w:eastAsia="宋体" w:cs="宋体"/>
          <w:b/>
          <w:bCs/>
          <w:color w:val="auto"/>
          <w:spacing w:val="-12"/>
          <w:lang w:val="en-US" w:eastAsia="zh-CN"/>
        </w:rPr>
      </w:pPr>
      <w:r>
        <w:rPr>
          <w:rFonts w:hint="eastAsia" w:ascii="宋体" w:hAnsi="宋体" w:eastAsia="宋体" w:cs="宋体"/>
          <w:b/>
          <w:bCs/>
          <w:color w:val="auto"/>
          <w:spacing w:val="-12"/>
          <w:lang w:val="en-US" w:eastAsia="zh-CN"/>
        </w:rPr>
        <w:t>专项意见</w:t>
      </w:r>
    </w:p>
    <w:p>
      <w:pPr>
        <w:pStyle w:val="3"/>
        <w:numPr>
          <w:ilvl w:val="0"/>
          <w:numId w:val="3"/>
        </w:numPr>
        <w:spacing w:line="360" w:lineRule="auto"/>
        <w:ind w:leftChars="200"/>
        <w:jc w:val="both"/>
        <w:rPr>
          <w:rFonts w:hint="eastAsia" w:ascii="宋体" w:hAnsi="宋体" w:eastAsia="宋体" w:cs="宋体"/>
          <w:b/>
          <w:bCs/>
          <w:color w:val="auto"/>
          <w:spacing w:val="-12"/>
          <w:lang w:val="en-US" w:eastAsia="zh-CN"/>
        </w:rPr>
      </w:pPr>
      <w:r>
        <w:rPr>
          <w:rFonts w:hint="eastAsia" w:ascii="宋体" w:hAnsi="宋体" w:eastAsia="宋体" w:cs="宋体"/>
          <w:b/>
          <w:bCs/>
          <w:color w:val="auto"/>
          <w:spacing w:val="-12"/>
          <w:lang w:val="en-US" w:eastAsia="zh-CN"/>
        </w:rPr>
        <w:t>监事会意见</w:t>
      </w:r>
    </w:p>
    <w:p>
      <w:pPr>
        <w:pStyle w:val="3"/>
        <w:numPr>
          <w:ilvl w:val="0"/>
          <w:numId w:val="0"/>
        </w:numPr>
        <w:spacing w:line="360" w:lineRule="auto"/>
        <w:ind w:firstLine="480" w:firstLineChars="200"/>
        <w:jc w:val="both"/>
        <w:rPr>
          <w:rFonts w:hint="eastAsia" w:ascii="宋体" w:hAnsi="宋体" w:eastAsia="宋体" w:cs="宋体"/>
          <w:b/>
          <w:bCs/>
          <w:color w:val="auto"/>
          <w:spacing w:val="-12"/>
          <w:lang w:val="en-US" w:eastAsia="zh-CN"/>
        </w:rPr>
      </w:pPr>
      <w:r>
        <w:rPr>
          <w:rFonts w:hint="eastAsia" w:ascii="宋体" w:hAnsi="宋体" w:eastAsia="宋体" w:cs="宋体"/>
          <w:sz w:val="24"/>
          <w:szCs w:val="24"/>
        </w:rPr>
        <w:t>监事会认为，公司本次激励计划激励对象名单及授予数量的调整事宜符合 《上市公司股权激励管理办法》等相关法律、法规及公司《激励计划》的有关规定，不存在损害公司股东利益的情况。本次调整内容在公司股东大会对公司董事会的授权范围内，调整程序合法、合规。</w:t>
      </w:r>
    </w:p>
    <w:p>
      <w:pPr>
        <w:pStyle w:val="3"/>
        <w:numPr>
          <w:ilvl w:val="0"/>
          <w:numId w:val="3"/>
        </w:numPr>
        <w:spacing w:line="360" w:lineRule="auto"/>
        <w:ind w:leftChars="200"/>
        <w:jc w:val="both"/>
        <w:rPr>
          <w:rFonts w:hint="eastAsia" w:ascii="宋体" w:hAnsi="宋体" w:eastAsia="宋体" w:cs="宋体"/>
          <w:b/>
          <w:bCs/>
          <w:color w:val="auto"/>
          <w:spacing w:val="-12"/>
          <w:lang w:val="en-US" w:eastAsia="zh-CN"/>
        </w:rPr>
      </w:pPr>
      <w:r>
        <w:rPr>
          <w:rFonts w:hint="eastAsia" w:ascii="宋体" w:hAnsi="宋体" w:eastAsia="宋体" w:cs="宋体"/>
          <w:b/>
          <w:bCs/>
          <w:color w:val="auto"/>
          <w:spacing w:val="-12"/>
          <w:lang w:val="en-US" w:eastAsia="zh-CN"/>
        </w:rPr>
        <w:t>律师事务所意见</w:t>
      </w:r>
    </w:p>
    <w:p>
      <w:pPr>
        <w:keepNext w:val="0"/>
        <w:keepLines w:val="0"/>
        <w:pageBreakBefore w:val="0"/>
        <w:widowControl/>
        <w:numPr>
          <w:ilvl w:val="0"/>
          <w:numId w:val="0"/>
        </w:numPr>
        <w:tabs>
          <w:tab w:val="left" w:pos="720"/>
        </w:tabs>
        <w:kinsoku w:val="0"/>
        <w:wordWrap/>
        <w:overflowPunct w:val="0"/>
        <w:topLinePunct w:val="0"/>
        <w:autoSpaceDE w:val="0"/>
        <w:autoSpaceDN w:val="0"/>
        <w:bidi w:val="0"/>
        <w:adjustRightInd w:val="0"/>
        <w:snapToGrid w:val="0"/>
        <w:spacing w:before="312" w:beforeLines="100" w:line="360" w:lineRule="auto"/>
        <w:ind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北京市嘉源律师事务所认为：本次调整和本次授予已经取得现阶段必要的批准和授权，符合《上市公司股权激励管理办法》等相关法律法规及《激励计划》的相关规定</w:t>
      </w:r>
      <w:r>
        <w:rPr>
          <w:rFonts w:hint="eastAsia" w:ascii="宋体" w:hAnsi="宋体" w:eastAsia="宋体" w:cs="宋体"/>
          <w:sz w:val="24"/>
          <w:szCs w:val="24"/>
          <w:lang w:eastAsia="zh-CN"/>
        </w:rPr>
        <w:t>。</w:t>
      </w:r>
      <w:r>
        <w:rPr>
          <w:rFonts w:hint="eastAsia" w:ascii="宋体" w:hAnsi="宋体" w:eastAsia="宋体" w:cs="宋体"/>
          <w:sz w:val="24"/>
          <w:szCs w:val="24"/>
        </w:rPr>
        <w:t>本次调整符合《上市公司股权激励管理办法》等相关法律法规及《激励计划》的相关规定。本次激励计划首次授予条件已成就，公司向激励对象首次授予限制性股票符合《上市公司股权激励管理办法》等相关法律法规及《激励计划》的相关规定。本次授予的授予日、激励对象、授予数量及授予价格符合《上市公司股权激励管理办法》等相关法律法规及《激励计划》的相关规定。</w:t>
      </w:r>
    </w:p>
    <w:p>
      <w:pPr>
        <w:keepNext w:val="0"/>
        <w:keepLines w:val="0"/>
        <w:pageBreakBefore w:val="0"/>
        <w:widowControl/>
        <w:numPr>
          <w:ilvl w:val="0"/>
          <w:numId w:val="0"/>
        </w:numPr>
        <w:tabs>
          <w:tab w:val="left" w:pos="720"/>
        </w:tabs>
        <w:kinsoku w:val="0"/>
        <w:wordWrap/>
        <w:overflowPunct w:val="0"/>
        <w:topLinePunct w:val="0"/>
        <w:autoSpaceDE w:val="0"/>
        <w:autoSpaceDN w:val="0"/>
        <w:bidi w:val="0"/>
        <w:adjustRightInd w:val="0"/>
        <w:snapToGrid w:val="0"/>
        <w:spacing w:before="312" w:beforeLines="100" w:line="360" w:lineRule="auto"/>
        <w:ind w:leftChars="0" w:firstLine="432" w:firstLineChars="200"/>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特此公告。</w:t>
      </w:r>
    </w:p>
    <w:p>
      <w:pPr>
        <w:pStyle w:val="3"/>
        <w:spacing w:line="360" w:lineRule="auto"/>
        <w:ind w:firstLine="432" w:firstLineChars="200"/>
        <w:jc w:val="both"/>
        <w:rPr>
          <w:color w:val="auto"/>
          <w:spacing w:val="-12"/>
          <w:lang w:eastAsia="zh-CN"/>
        </w:rPr>
      </w:pPr>
    </w:p>
    <w:p>
      <w:pPr>
        <w:pStyle w:val="3"/>
        <w:spacing w:line="360" w:lineRule="auto"/>
        <w:ind w:firstLine="432" w:firstLineChars="200"/>
        <w:jc w:val="both"/>
        <w:rPr>
          <w:color w:val="auto"/>
          <w:spacing w:val="-12"/>
          <w:lang w:eastAsia="zh-CN"/>
        </w:rPr>
      </w:pPr>
    </w:p>
    <w:p>
      <w:pPr>
        <w:pStyle w:val="3"/>
        <w:spacing w:line="360" w:lineRule="auto"/>
        <w:ind w:firstLine="432" w:firstLineChars="200"/>
        <w:jc w:val="right"/>
        <w:rPr>
          <w:color w:val="auto"/>
          <w:spacing w:val="-12"/>
          <w:lang w:eastAsia="zh-CN"/>
        </w:rPr>
      </w:pPr>
      <w:r>
        <w:rPr>
          <w:rFonts w:hint="eastAsia"/>
          <w:color w:val="auto"/>
          <w:spacing w:val="-12"/>
          <w:lang w:eastAsia="zh-CN"/>
        </w:rPr>
        <w:t>重庆望变电气（集团）股份有限公司</w:t>
      </w:r>
    </w:p>
    <w:p>
      <w:pPr>
        <w:pStyle w:val="3"/>
        <w:spacing w:line="360" w:lineRule="auto"/>
        <w:ind w:firstLine="432" w:firstLineChars="200"/>
        <w:jc w:val="right"/>
        <w:rPr>
          <w:color w:val="auto"/>
          <w:spacing w:val="-12"/>
          <w:lang w:eastAsia="zh-CN"/>
        </w:rPr>
      </w:pPr>
      <w:r>
        <w:rPr>
          <w:rFonts w:hint="eastAsia"/>
          <w:color w:val="auto"/>
          <w:spacing w:val="-12"/>
          <w:lang w:eastAsia="zh-CN"/>
        </w:rPr>
        <w:t>董事会</w:t>
      </w:r>
    </w:p>
    <w:p>
      <w:pPr>
        <w:pStyle w:val="3"/>
        <w:spacing w:line="360" w:lineRule="auto"/>
        <w:ind w:firstLine="432" w:firstLineChars="200"/>
        <w:jc w:val="right"/>
        <w:rPr>
          <w:color w:val="auto"/>
          <w:spacing w:val="-12"/>
          <w:lang w:eastAsia="zh-CN"/>
        </w:rPr>
      </w:pPr>
      <w:r>
        <w:rPr>
          <w:rFonts w:hint="eastAsia"/>
          <w:color w:val="auto"/>
          <w:spacing w:val="-12"/>
          <w:lang w:eastAsia="zh-CN"/>
        </w:rPr>
        <w:t>202</w:t>
      </w:r>
      <w:r>
        <w:rPr>
          <w:rFonts w:hint="eastAsia"/>
          <w:color w:val="auto"/>
          <w:spacing w:val="-12"/>
          <w:lang w:val="en-US" w:eastAsia="zh-CN"/>
        </w:rPr>
        <w:t>4</w:t>
      </w:r>
      <w:r>
        <w:rPr>
          <w:rFonts w:hint="eastAsia"/>
          <w:color w:val="auto"/>
          <w:spacing w:val="-12"/>
          <w:lang w:eastAsia="zh-CN"/>
        </w:rPr>
        <w:t>年</w:t>
      </w:r>
      <w:r>
        <w:rPr>
          <w:rFonts w:hint="eastAsia"/>
          <w:color w:val="auto"/>
          <w:spacing w:val="-12"/>
          <w:lang w:val="en-US" w:eastAsia="zh-CN"/>
        </w:rPr>
        <w:t>3</w:t>
      </w:r>
      <w:r>
        <w:rPr>
          <w:rFonts w:hint="eastAsia"/>
          <w:color w:val="auto"/>
          <w:spacing w:val="-12"/>
          <w:lang w:eastAsia="zh-CN"/>
        </w:rPr>
        <w:t>月</w:t>
      </w:r>
      <w:r>
        <w:rPr>
          <w:rFonts w:hint="eastAsia"/>
          <w:color w:val="auto"/>
          <w:spacing w:val="-12"/>
          <w:lang w:val="en-US" w:eastAsia="zh-CN"/>
        </w:rPr>
        <w:t>7</w:t>
      </w:r>
      <w:r>
        <w:rPr>
          <w:rFonts w:hint="eastAsia"/>
          <w:color w:val="auto"/>
          <w:spacing w:val="-12"/>
          <w:lang w:eastAsia="zh-CN"/>
        </w:rPr>
        <w:t>日</w:t>
      </w:r>
    </w:p>
    <w:sectPr>
      <w:pgSz w:w="11907" w:h="16839"/>
      <w:pgMar w:top="1429" w:right="1718" w:bottom="1429" w:left="1785" w:header="0" w:footer="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BCE41"/>
    <w:multiLevelType w:val="singleLevel"/>
    <w:tmpl w:val="947BCE41"/>
    <w:lvl w:ilvl="0" w:tentative="0">
      <w:start w:val="1"/>
      <w:numFmt w:val="chineseCounting"/>
      <w:suff w:val="nothing"/>
      <w:lvlText w:val="%1、"/>
      <w:lvlJc w:val="left"/>
      <w:rPr>
        <w:rFonts w:hint="eastAsia"/>
      </w:rPr>
    </w:lvl>
  </w:abstractNum>
  <w:abstractNum w:abstractNumId="1">
    <w:nsid w:val="15B0FE60"/>
    <w:multiLevelType w:val="singleLevel"/>
    <w:tmpl w:val="15B0FE60"/>
    <w:lvl w:ilvl="0" w:tentative="0">
      <w:start w:val="1"/>
      <w:numFmt w:val="bullet"/>
      <w:lvlText w:val=""/>
      <w:lvlJc w:val="left"/>
      <w:pPr>
        <w:ind w:left="420" w:hanging="420"/>
      </w:pPr>
      <w:rPr>
        <w:rFonts w:hint="default" w:ascii="Wingdings" w:hAnsi="Wingdings"/>
      </w:rPr>
    </w:lvl>
  </w:abstractNum>
  <w:abstractNum w:abstractNumId="2">
    <w:nsid w:val="5D6A286C"/>
    <w:multiLevelType w:val="singleLevel"/>
    <w:tmpl w:val="5D6A286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hideSpellingErrors/>
  <w:hideGrammaticalErrors/>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C01B00"/>
    <w:rsid w:val="00054F39"/>
    <w:rsid w:val="00060DB9"/>
    <w:rsid w:val="00061DA2"/>
    <w:rsid w:val="000A2E75"/>
    <w:rsid w:val="000A4DA0"/>
    <w:rsid w:val="000A6E39"/>
    <w:rsid w:val="000C7906"/>
    <w:rsid w:val="00114A74"/>
    <w:rsid w:val="00136D4D"/>
    <w:rsid w:val="00157354"/>
    <w:rsid w:val="00174838"/>
    <w:rsid w:val="001C04C0"/>
    <w:rsid w:val="001E1F19"/>
    <w:rsid w:val="00215110"/>
    <w:rsid w:val="00313F32"/>
    <w:rsid w:val="003165DA"/>
    <w:rsid w:val="00326683"/>
    <w:rsid w:val="00343073"/>
    <w:rsid w:val="00365482"/>
    <w:rsid w:val="00417BA0"/>
    <w:rsid w:val="00470FDD"/>
    <w:rsid w:val="004D0F58"/>
    <w:rsid w:val="00512891"/>
    <w:rsid w:val="005C0646"/>
    <w:rsid w:val="00615B31"/>
    <w:rsid w:val="00622562"/>
    <w:rsid w:val="0062356D"/>
    <w:rsid w:val="00656F57"/>
    <w:rsid w:val="00661F18"/>
    <w:rsid w:val="0067305C"/>
    <w:rsid w:val="006A35C5"/>
    <w:rsid w:val="006F1375"/>
    <w:rsid w:val="00751F55"/>
    <w:rsid w:val="007B15E8"/>
    <w:rsid w:val="00824F9D"/>
    <w:rsid w:val="00825CDB"/>
    <w:rsid w:val="0084048C"/>
    <w:rsid w:val="0087640B"/>
    <w:rsid w:val="008D5282"/>
    <w:rsid w:val="008E2366"/>
    <w:rsid w:val="008E3633"/>
    <w:rsid w:val="008F3EE3"/>
    <w:rsid w:val="0090142C"/>
    <w:rsid w:val="00924475"/>
    <w:rsid w:val="009C2429"/>
    <w:rsid w:val="009E7ECB"/>
    <w:rsid w:val="00A64673"/>
    <w:rsid w:val="00AD1415"/>
    <w:rsid w:val="00B429A7"/>
    <w:rsid w:val="00B5147C"/>
    <w:rsid w:val="00B85808"/>
    <w:rsid w:val="00BB5099"/>
    <w:rsid w:val="00C01B00"/>
    <w:rsid w:val="00C05414"/>
    <w:rsid w:val="00C37D2A"/>
    <w:rsid w:val="00D930DD"/>
    <w:rsid w:val="00DE1AF6"/>
    <w:rsid w:val="00E940E5"/>
    <w:rsid w:val="00EA4CAE"/>
    <w:rsid w:val="00ED1530"/>
    <w:rsid w:val="00EE3029"/>
    <w:rsid w:val="00F16EBF"/>
    <w:rsid w:val="00FC1DD7"/>
    <w:rsid w:val="03821EC1"/>
    <w:rsid w:val="062D5D56"/>
    <w:rsid w:val="06870DFD"/>
    <w:rsid w:val="0D0F335C"/>
    <w:rsid w:val="0F3C7B4A"/>
    <w:rsid w:val="10884FAF"/>
    <w:rsid w:val="1F034F6D"/>
    <w:rsid w:val="216D7B25"/>
    <w:rsid w:val="225E5FFD"/>
    <w:rsid w:val="28D01170"/>
    <w:rsid w:val="2AB10E1A"/>
    <w:rsid w:val="2BC234BC"/>
    <w:rsid w:val="2E40666F"/>
    <w:rsid w:val="33D94DD3"/>
    <w:rsid w:val="38BF2942"/>
    <w:rsid w:val="3D075831"/>
    <w:rsid w:val="3EC814B2"/>
    <w:rsid w:val="3F23643C"/>
    <w:rsid w:val="3F86697B"/>
    <w:rsid w:val="40471C9A"/>
    <w:rsid w:val="40AB0497"/>
    <w:rsid w:val="44294485"/>
    <w:rsid w:val="46971CAC"/>
    <w:rsid w:val="4B7A37A1"/>
    <w:rsid w:val="4C713C0A"/>
    <w:rsid w:val="4E2D1FF0"/>
    <w:rsid w:val="52FE56CE"/>
    <w:rsid w:val="5C6D112F"/>
    <w:rsid w:val="5C8D2A7F"/>
    <w:rsid w:val="5D2A1B40"/>
    <w:rsid w:val="5F7B384F"/>
    <w:rsid w:val="6F967980"/>
    <w:rsid w:val="705A57BD"/>
    <w:rsid w:val="7181693B"/>
    <w:rsid w:val="76C83D6D"/>
    <w:rsid w:val="79AD2E5C"/>
    <w:rsid w:val="7D172723"/>
    <w:rsid w:val="7D77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style>
  <w:style w:type="paragraph" w:styleId="3">
    <w:name w:val="Body Text"/>
    <w:basedOn w:val="1"/>
    <w:autoRedefine/>
    <w:semiHidden/>
    <w:qFormat/>
    <w:uiPriority w:val="0"/>
    <w:rPr>
      <w:rFonts w:ascii="宋体" w:hAnsi="宋体" w:eastAsia="宋体" w:cs="宋体"/>
      <w:sz w:val="24"/>
      <w:szCs w:val="24"/>
    </w:rPr>
  </w:style>
  <w:style w:type="paragraph" w:styleId="4">
    <w:name w:val="Balloon Text"/>
    <w:basedOn w:val="1"/>
    <w:link w:val="17"/>
    <w:autoRedefine/>
    <w:qFormat/>
    <w:uiPriority w:val="0"/>
    <w:rPr>
      <w:sz w:val="18"/>
      <w:szCs w:val="18"/>
    </w:rPr>
  </w:style>
  <w:style w:type="paragraph" w:styleId="5">
    <w:name w:val="footer"/>
    <w:basedOn w:val="1"/>
    <w:link w:val="20"/>
    <w:autoRedefine/>
    <w:qFormat/>
    <w:uiPriority w:val="0"/>
    <w:pPr>
      <w:tabs>
        <w:tab w:val="center" w:pos="4153"/>
        <w:tab w:val="right" w:pos="8306"/>
      </w:tabs>
    </w:pPr>
    <w:rPr>
      <w:sz w:val="18"/>
      <w:szCs w:val="18"/>
    </w:rPr>
  </w:style>
  <w:style w:type="paragraph" w:styleId="6">
    <w:name w:val="header"/>
    <w:basedOn w:val="1"/>
    <w:link w:val="19"/>
    <w:autoRedefine/>
    <w:qFormat/>
    <w:uiPriority w:val="0"/>
    <w:pPr>
      <w:tabs>
        <w:tab w:val="center" w:pos="4153"/>
        <w:tab w:val="right" w:pos="8306"/>
      </w:tabs>
      <w:jc w:val="center"/>
    </w:pPr>
    <w:rPr>
      <w:sz w:val="18"/>
      <w:szCs w:val="18"/>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rPr>
  </w:style>
  <w:style w:type="paragraph" w:customStyle="1" w:styleId="1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10"/>
    <w:link w:val="2"/>
    <w:autoRedefine/>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7"/>
    <w:autoRedefine/>
    <w:qFormat/>
    <w:uiPriority w:val="0"/>
    <w:rPr>
      <w:rFonts w:ascii="Arial" w:hAnsi="Arial" w:eastAsia="Arial" w:cs="Arial"/>
      <w:b/>
      <w:bCs/>
      <w:snapToGrid w:val="0"/>
      <w:color w:val="000000"/>
      <w:sz w:val="21"/>
      <w:szCs w:val="21"/>
      <w:lang w:eastAsia="en-US"/>
    </w:rPr>
  </w:style>
  <w:style w:type="character" w:customStyle="1" w:styleId="17">
    <w:name w:val="批注框文本 字符"/>
    <w:basedOn w:val="10"/>
    <w:link w:val="4"/>
    <w:autoRedefine/>
    <w:qFormat/>
    <w:uiPriority w:val="0"/>
    <w:rPr>
      <w:rFonts w:ascii="Arial" w:hAnsi="Arial" w:eastAsia="Arial" w:cs="Arial"/>
      <w:snapToGrid w:val="0"/>
      <w:color w:val="000000"/>
      <w:sz w:val="18"/>
      <w:szCs w:val="18"/>
      <w:lang w:eastAsia="en-US"/>
    </w:rPr>
  </w:style>
  <w:style w:type="paragraph" w:customStyle="1" w:styleId="18">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页眉 字符"/>
    <w:basedOn w:val="10"/>
    <w:link w:val="6"/>
    <w:autoRedefine/>
    <w:qFormat/>
    <w:uiPriority w:val="0"/>
    <w:rPr>
      <w:rFonts w:ascii="Arial" w:hAnsi="Arial" w:eastAsia="Arial" w:cs="Arial"/>
      <w:snapToGrid w:val="0"/>
      <w:color w:val="000000"/>
      <w:sz w:val="18"/>
      <w:szCs w:val="18"/>
      <w:lang w:eastAsia="en-US"/>
    </w:rPr>
  </w:style>
  <w:style w:type="character" w:customStyle="1" w:styleId="20">
    <w:name w:val="页脚 字符"/>
    <w:basedOn w:val="10"/>
    <w:link w:val="5"/>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43</TotalTime>
  <ScaleCrop>false</ScaleCrop>
  <LinksUpToDate>false</LinksUpToDate>
  <CharactersWithSpaces>1179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2023-12-04T02:28:00Z</dcterms:created>
  <dc:creator>恽明秋</dc:creator>
  <cp:lastModifiedBy>Y.    Miss</cp:lastModifiedBy>
  <dcterms:modified xsi:type="dcterms:W3CDTF">2024-03-06T07:34:00Z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2023-11-15T13:32:34Z</vt:filetime>
  </property>
  <property fmtid="{D5CDD505-2E9C-101B-9397-08002B2CF9AE}" pid="4" name="KSOProductBuildVer">
    <vt:lpwstr>2052-12.1.0.16388</vt:lpwstr>
  </property>
  <property fmtid="{D5CDD505-2E9C-101B-9397-08002B2CF9AE}" pid="5" name="ICV">
    <vt:lpwstr>62347E5972794877B9098F0C43036755_13</vt:lpwstr>
  </property>
</Properties>
</file>