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default" w:ascii="仿宋" w:hAnsi="仿宋" w:eastAsia="宋体"/>
          <w:sz w:val="30"/>
          <w:szCs w:val="30"/>
          <w:lang w:val="en-US" w:eastAsia="zh-CN"/>
        </w:rPr>
      </w:pPr>
      <w:bookmarkStart w:id="1" w:name="_GoBack"/>
      <w:bookmarkEnd w:id="1"/>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rPr>
        <w:t>4</w:t>
      </w:r>
      <w:r>
        <w:rPr>
          <w:rFonts w:ascii="宋体" w:hAnsi="宋体" w:eastAsia="宋体"/>
          <w:b/>
          <w:sz w:val="24"/>
          <w:szCs w:val="24"/>
        </w:rPr>
        <w:t>-0</w:t>
      </w:r>
      <w:r>
        <w:rPr>
          <w:rFonts w:hint="eastAsia" w:ascii="宋体" w:hAnsi="宋体" w:eastAsia="宋体"/>
          <w:b/>
          <w:sz w:val="24"/>
          <w:szCs w:val="24"/>
          <w:lang w:val="en-US" w:eastAsia="zh-CN"/>
        </w:rPr>
        <w:t>15</w:t>
      </w:r>
    </w:p>
    <w:p>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pPr>
        <w:adjustRightInd w:val="0"/>
        <w:snapToGrid w:val="0"/>
        <w:spacing w:before="156" w:beforeLines="50" w:line="560" w:lineRule="exact"/>
        <w:jc w:val="center"/>
        <w:rPr>
          <w:rFonts w:ascii="宋体" w:hAnsi="宋体" w:eastAsia="宋体" w:cs="仿宋_GB2312"/>
          <w:b/>
          <w:bCs/>
          <w:color w:val="FF0000"/>
          <w:sz w:val="36"/>
          <w:szCs w:val="36"/>
        </w:rPr>
      </w:pPr>
      <w:bookmarkStart w:id="0" w:name="_Hlk117153081"/>
      <w:r>
        <w:rPr>
          <w:rFonts w:hint="eastAsia" w:ascii="宋体" w:hAnsi="宋体" w:eastAsia="宋体" w:cs="仿宋_GB2312"/>
          <w:b/>
          <w:bCs/>
          <w:color w:val="FF0000"/>
          <w:sz w:val="36"/>
          <w:szCs w:val="36"/>
        </w:rPr>
        <w:t>第四届董事会</w:t>
      </w:r>
      <w:r>
        <w:rPr>
          <w:rFonts w:hint="eastAsia" w:ascii="宋体" w:hAnsi="宋体" w:eastAsia="宋体" w:cs="仿宋_GB2312"/>
          <w:b/>
          <w:bCs/>
          <w:color w:val="FF0000"/>
          <w:sz w:val="36"/>
          <w:szCs w:val="36"/>
          <w:lang w:eastAsia="zh-CN"/>
        </w:rPr>
        <w:t>第三次</w:t>
      </w:r>
      <w:r>
        <w:rPr>
          <w:rFonts w:hint="eastAsia" w:ascii="宋体" w:hAnsi="宋体" w:eastAsia="宋体" w:cs="仿宋_GB2312"/>
          <w:b/>
          <w:bCs/>
          <w:color w:val="FF0000"/>
          <w:sz w:val="36"/>
          <w:szCs w:val="36"/>
        </w:rPr>
        <w:t>会议</w:t>
      </w:r>
      <w:bookmarkEnd w:id="0"/>
      <w:r>
        <w:rPr>
          <w:rFonts w:hint="eastAsia" w:ascii="宋体" w:hAnsi="宋体" w:eastAsia="宋体" w:cs="仿宋_GB2312"/>
          <w:b/>
          <w:bCs/>
          <w:color w:val="FF0000"/>
          <w:sz w:val="36"/>
          <w:szCs w:val="36"/>
        </w:rPr>
        <w:t>决议公告</w:t>
      </w:r>
    </w:p>
    <w:p>
      <w:pPr>
        <w:adjustRightInd w:val="0"/>
        <w:snapToGrid w:val="0"/>
        <w:spacing w:before="156" w:beforeLines="50" w:line="560" w:lineRule="exact"/>
        <w:jc w:val="center"/>
        <w:rPr>
          <w:rFonts w:ascii="仿宋_GB2312" w:hAnsi="仿宋_GB2312" w:eastAsia="仿宋_GB2312" w:cs="仿宋_GB2312"/>
          <w:b/>
          <w:bCs/>
          <w:color w:val="FF0000"/>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宋体" w:hAnsi="宋体" w:eastAsia="宋体"/>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r>
        <w:rPr>
          <w:rFonts w:hint="eastAsia" w:ascii="宋体" w:hAnsi="宋体" w:eastAsia="宋体"/>
          <w:color w:val="000000"/>
          <w:sz w:val="24"/>
          <w:szCs w:val="24"/>
        </w:rPr>
        <w:t>。</w:t>
      </w:r>
    </w:p>
    <w:p>
      <w:pPr>
        <w:autoSpaceDE w:val="0"/>
        <w:autoSpaceDN w:val="0"/>
        <w:adjustRightInd w:val="0"/>
        <w:snapToGrid w:val="0"/>
        <w:spacing w:line="560" w:lineRule="exact"/>
        <w:rPr>
          <w:rFonts w:ascii="仿宋" w:hAnsi="仿宋" w:eastAsia="仿宋_GB2312"/>
          <w:color w:val="000000"/>
          <w:sz w:val="30"/>
          <w:szCs w:val="30"/>
        </w:rPr>
      </w:pPr>
    </w:p>
    <w:p>
      <w:pPr>
        <w:pStyle w:val="15"/>
        <w:keepNext w:val="0"/>
        <w:keepLines w:val="0"/>
        <w:pageBreakBefore w:val="0"/>
        <w:widowControl w:val="0"/>
        <w:numPr>
          <w:ilvl w:val="0"/>
          <w:numId w:val="1"/>
        </w:numPr>
        <w:wordWrap/>
        <w:overflowPunct/>
        <w:topLinePunct w:val="0"/>
        <w:autoSpaceDE w:val="0"/>
        <w:autoSpaceDN w:val="0"/>
        <w:bidi w:val="0"/>
        <w:adjustRightInd w:val="0"/>
        <w:snapToGrid w:val="0"/>
        <w:spacing w:line="560" w:lineRule="exact"/>
        <w:ind w:firstLineChars="0"/>
        <w:jc w:val="both"/>
        <w:rPr>
          <w:rFonts w:ascii="宋体" w:hAnsi="宋体"/>
          <w:b/>
          <w:sz w:val="24"/>
          <w:szCs w:val="24"/>
        </w:rPr>
      </w:pPr>
      <w:r>
        <w:rPr>
          <w:rFonts w:hint="eastAsia" w:ascii="宋体" w:hAnsi="宋体"/>
          <w:b/>
          <w:sz w:val="24"/>
          <w:szCs w:val="24"/>
        </w:rPr>
        <w:t>董事会会议召开情况</w:t>
      </w:r>
    </w:p>
    <w:p>
      <w:pPr>
        <w:keepNext w:val="0"/>
        <w:keepLines w:val="0"/>
        <w:pageBreakBefore w:val="0"/>
        <w:widowControl w:val="0"/>
        <w:wordWrap/>
        <w:overflowPunct/>
        <w:topLinePunct w:val="0"/>
        <w:autoSpaceDE w:val="0"/>
        <w:autoSpaceDN w:val="0"/>
        <w:bidi w:val="0"/>
        <w:adjustRightInd w:val="0"/>
        <w:snapToGrid w:val="0"/>
        <w:spacing w:line="560" w:lineRule="exact"/>
        <w:ind w:firstLine="480" w:firstLineChars="200"/>
        <w:jc w:val="both"/>
        <w:rPr>
          <w:rFonts w:ascii="宋体" w:hAnsi="宋体"/>
          <w:sz w:val="24"/>
          <w:szCs w:val="24"/>
        </w:rPr>
      </w:pPr>
      <w:r>
        <w:rPr>
          <w:rFonts w:hint="eastAsia" w:ascii="宋体" w:hAnsi="宋体"/>
          <w:sz w:val="24"/>
          <w:szCs w:val="24"/>
        </w:rPr>
        <w:t>重庆望变电气（集团）股份有限公司（以下简称“公司”或“望变电气”）第四届董事会</w:t>
      </w:r>
      <w:r>
        <w:rPr>
          <w:rFonts w:hint="eastAsia" w:ascii="宋体" w:hAnsi="宋体"/>
          <w:sz w:val="24"/>
          <w:szCs w:val="24"/>
          <w:lang w:eastAsia="zh-CN"/>
        </w:rPr>
        <w:t>第三次</w:t>
      </w:r>
      <w:r>
        <w:rPr>
          <w:rFonts w:hint="eastAsia" w:ascii="宋体" w:hAnsi="宋体"/>
          <w:sz w:val="24"/>
          <w:szCs w:val="24"/>
        </w:rPr>
        <w:t>会议通知于2024年</w:t>
      </w: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日以邮件的方式发出，会议于2024年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日在公司会议室以现场结合通讯方式召开。本次会议应出席董事</w:t>
      </w:r>
      <w:r>
        <w:rPr>
          <w:rFonts w:ascii="宋体" w:hAnsi="宋体"/>
          <w:sz w:val="24"/>
          <w:szCs w:val="24"/>
        </w:rPr>
        <w:t>9</w:t>
      </w:r>
      <w:r>
        <w:rPr>
          <w:rFonts w:hint="eastAsia" w:ascii="宋体" w:hAnsi="宋体"/>
          <w:sz w:val="24"/>
          <w:szCs w:val="24"/>
        </w:rPr>
        <w:t>人，实际出席董事</w:t>
      </w:r>
      <w:r>
        <w:rPr>
          <w:rFonts w:ascii="宋体" w:hAnsi="宋体"/>
          <w:sz w:val="24"/>
          <w:szCs w:val="24"/>
        </w:rPr>
        <w:t>9</w:t>
      </w:r>
      <w:r>
        <w:rPr>
          <w:rFonts w:hint="eastAsia" w:ascii="宋体" w:hAnsi="宋体"/>
          <w:sz w:val="24"/>
          <w:szCs w:val="24"/>
        </w:rPr>
        <w:t>人（以通讯方式出席的有</w:t>
      </w:r>
      <w:r>
        <w:rPr>
          <w:rFonts w:hint="eastAsia" w:ascii="宋体" w:hAnsi="宋体"/>
          <w:sz w:val="24"/>
          <w:szCs w:val="24"/>
          <w:lang w:val="en-US" w:eastAsia="zh-CN"/>
        </w:rPr>
        <w:t>6</w:t>
      </w:r>
      <w:r>
        <w:rPr>
          <w:rFonts w:hint="eastAsia" w:ascii="宋体" w:hAnsi="宋体"/>
          <w:sz w:val="24"/>
          <w:szCs w:val="24"/>
        </w:rPr>
        <w:t>人），会议由董事长杨泽民先生召集并主持，公司监事及高级管理人员列席了会议，会议召集、召开、表决程序及审议事项符合《中华人民共和国公司法》《中华人民共和国证券法》等相关法律法规、规范性文件及《重庆望变电气（集团）股份有限公司章程》的规定，会议形成的决议合法、有效。</w:t>
      </w:r>
    </w:p>
    <w:p>
      <w:pPr>
        <w:pStyle w:val="15"/>
        <w:keepNext w:val="0"/>
        <w:keepLines w:val="0"/>
        <w:pageBreakBefore w:val="0"/>
        <w:widowControl w:val="0"/>
        <w:numPr>
          <w:ilvl w:val="0"/>
          <w:numId w:val="1"/>
        </w:numPr>
        <w:wordWrap/>
        <w:overflowPunct/>
        <w:topLinePunct w:val="0"/>
        <w:autoSpaceDE w:val="0"/>
        <w:autoSpaceDN w:val="0"/>
        <w:bidi w:val="0"/>
        <w:adjustRightInd w:val="0"/>
        <w:snapToGrid w:val="0"/>
        <w:spacing w:line="560" w:lineRule="exact"/>
        <w:ind w:firstLineChars="0"/>
        <w:jc w:val="both"/>
        <w:rPr>
          <w:rFonts w:ascii="宋体" w:hAnsi="宋体"/>
          <w:b/>
          <w:sz w:val="24"/>
          <w:szCs w:val="24"/>
        </w:rPr>
      </w:pPr>
      <w:r>
        <w:rPr>
          <w:rFonts w:hint="eastAsia" w:ascii="宋体" w:hAnsi="宋体"/>
          <w:b/>
          <w:sz w:val="24"/>
          <w:szCs w:val="24"/>
        </w:rPr>
        <w:t>董事会会议审议情况</w:t>
      </w:r>
    </w:p>
    <w:p>
      <w:pPr>
        <w:pStyle w:val="15"/>
        <w:keepNext w:val="0"/>
        <w:keepLines w:val="0"/>
        <w:pageBreakBefore w:val="0"/>
        <w:widowControl w:val="0"/>
        <w:wordWrap/>
        <w:overflowPunct/>
        <w:topLinePunct w:val="0"/>
        <w:autoSpaceDE w:val="0"/>
        <w:autoSpaceDN w:val="0"/>
        <w:bidi w:val="0"/>
        <w:adjustRightInd w:val="0"/>
        <w:snapToGrid w:val="0"/>
        <w:spacing w:line="560" w:lineRule="exact"/>
        <w:ind w:firstLine="0" w:firstLineChars="0"/>
        <w:jc w:val="both"/>
        <w:rPr>
          <w:rFonts w:ascii="宋体" w:hAnsi="宋体"/>
          <w:b/>
          <w:color w:val="000000"/>
          <w:sz w:val="24"/>
          <w:szCs w:val="24"/>
        </w:rPr>
      </w:pPr>
      <w:r>
        <w:rPr>
          <w:rFonts w:hint="eastAsia" w:ascii="宋体" w:hAnsi="宋体"/>
          <w:b/>
          <w:color w:val="000000"/>
          <w:sz w:val="24"/>
          <w:szCs w:val="24"/>
          <w:lang w:val="en-US" w:eastAsia="zh-CN"/>
        </w:rPr>
        <w:t xml:space="preserve">  </w:t>
      </w:r>
      <w:r>
        <w:rPr>
          <w:rFonts w:hint="eastAsia" w:ascii="宋体" w:hAnsi="宋体"/>
          <w:b/>
          <w:color w:val="000000"/>
          <w:sz w:val="24"/>
          <w:szCs w:val="24"/>
          <w:lang w:eastAsia="zh-CN"/>
        </w:rPr>
        <w:t>（</w:t>
      </w:r>
      <w:r>
        <w:rPr>
          <w:rFonts w:hint="eastAsia" w:ascii="宋体" w:hAnsi="宋体"/>
          <w:b/>
          <w:color w:val="000000"/>
          <w:sz w:val="24"/>
          <w:szCs w:val="24"/>
          <w:lang w:val="en-US" w:eastAsia="zh-CN"/>
        </w:rPr>
        <w:t>一</w:t>
      </w:r>
      <w:r>
        <w:rPr>
          <w:rFonts w:hint="eastAsia" w:ascii="宋体" w:hAnsi="宋体"/>
          <w:b/>
          <w:color w:val="000000"/>
          <w:sz w:val="24"/>
          <w:szCs w:val="24"/>
          <w:lang w:eastAsia="zh-CN"/>
        </w:rPr>
        <w:t>）</w:t>
      </w:r>
      <w:r>
        <w:rPr>
          <w:rFonts w:hint="eastAsia" w:ascii="宋体" w:hAnsi="宋体"/>
          <w:b/>
          <w:color w:val="000000"/>
          <w:sz w:val="24"/>
          <w:szCs w:val="24"/>
        </w:rPr>
        <w:t>审议通过《关于调整公司2024年限制性股票激励计划激励对象名单及授予数量的议案 》</w:t>
      </w:r>
    </w:p>
    <w:p>
      <w:pPr>
        <w:keepNext w:val="0"/>
        <w:keepLines w:val="0"/>
        <w:pageBreakBefore w:val="0"/>
        <w:widowControl w:val="0"/>
        <w:wordWrap/>
        <w:overflowPunct/>
        <w:topLinePunct w:val="0"/>
        <w:autoSpaceDE w:val="0"/>
        <w:autoSpaceDN w:val="0"/>
        <w:bidi w:val="0"/>
        <w:adjustRightInd w:val="0"/>
        <w:snapToGrid w:val="0"/>
        <w:spacing w:line="560" w:lineRule="exact"/>
        <w:ind w:firstLine="480" w:firstLineChars="200"/>
        <w:jc w:val="both"/>
        <w:rPr>
          <w:rFonts w:ascii="宋体" w:hAnsi="宋体"/>
          <w:color w:val="000000"/>
          <w:sz w:val="24"/>
          <w:szCs w:val="24"/>
        </w:rPr>
      </w:pPr>
      <w:r>
        <w:rPr>
          <w:rFonts w:hint="eastAsia" w:ascii="宋体" w:hAnsi="宋体"/>
          <w:color w:val="000000"/>
          <w:sz w:val="24"/>
          <w:szCs w:val="24"/>
          <w:lang w:val="en-US" w:eastAsia="zh-CN"/>
        </w:rPr>
        <w:t>具体</w:t>
      </w:r>
      <w:r>
        <w:rPr>
          <w:rFonts w:hint="eastAsia" w:ascii="宋体" w:hAnsi="宋体"/>
          <w:color w:val="000000"/>
          <w:sz w:val="24"/>
          <w:szCs w:val="24"/>
        </w:rPr>
        <w:t>内容详见</w:t>
      </w:r>
      <w:r>
        <w:rPr>
          <w:rFonts w:hint="eastAsia" w:ascii="宋体" w:hAnsi="宋体"/>
          <w:color w:val="000000"/>
          <w:sz w:val="24"/>
          <w:szCs w:val="24"/>
          <w:lang w:val="en-US" w:eastAsia="zh-CN"/>
        </w:rPr>
        <w:t>公司于</w:t>
      </w:r>
      <w:r>
        <w:rPr>
          <w:rFonts w:hint="eastAsia" w:ascii="宋体" w:hAnsi="宋体"/>
          <w:color w:val="000000"/>
          <w:sz w:val="24"/>
          <w:szCs w:val="24"/>
        </w:rPr>
        <w:t>2024年</w:t>
      </w:r>
      <w:r>
        <w:rPr>
          <w:rFonts w:hint="eastAsia" w:ascii="宋体" w:hAnsi="宋体"/>
          <w:color w:val="000000"/>
          <w:sz w:val="24"/>
          <w:szCs w:val="24"/>
          <w:lang w:val="en-US" w:eastAsia="zh-CN"/>
        </w:rPr>
        <w:t>3</w:t>
      </w:r>
      <w:r>
        <w:rPr>
          <w:rFonts w:hint="eastAsia" w:ascii="宋体" w:hAnsi="宋体"/>
          <w:color w:val="000000"/>
          <w:sz w:val="24"/>
          <w:szCs w:val="24"/>
        </w:rPr>
        <w:t>月</w:t>
      </w:r>
      <w:r>
        <w:rPr>
          <w:rFonts w:hint="eastAsia" w:ascii="宋体" w:hAnsi="宋体"/>
          <w:color w:val="000000"/>
          <w:sz w:val="24"/>
          <w:szCs w:val="24"/>
          <w:lang w:val="en-US" w:eastAsia="zh-CN"/>
        </w:rPr>
        <w:t>7</w:t>
      </w:r>
      <w:r>
        <w:rPr>
          <w:rFonts w:hint="eastAsia" w:ascii="宋体" w:hAnsi="宋体"/>
          <w:color w:val="000000"/>
          <w:sz w:val="24"/>
          <w:szCs w:val="24"/>
        </w:rPr>
        <w:t>日刊登</w:t>
      </w:r>
      <w:r>
        <w:rPr>
          <w:rFonts w:hint="eastAsia" w:ascii="宋体" w:hAnsi="宋体"/>
          <w:color w:val="000000"/>
          <w:sz w:val="24"/>
          <w:szCs w:val="24"/>
          <w:lang w:val="en-US" w:eastAsia="zh-CN"/>
        </w:rPr>
        <w:t>在</w:t>
      </w:r>
      <w:r>
        <w:rPr>
          <w:rFonts w:hint="eastAsia" w:ascii="宋体" w:hAnsi="宋体"/>
          <w:color w:val="000000"/>
          <w:sz w:val="24"/>
          <w:szCs w:val="24"/>
        </w:rPr>
        <w:t>上海证券交易所网站www.sse.com.cn的《关于调整公司2024年限制性股票激励计划激励对象名单及授予数量的公告》（公告编号：2024-0</w:t>
      </w:r>
      <w:r>
        <w:rPr>
          <w:rFonts w:hint="eastAsia" w:ascii="宋体" w:hAnsi="宋体"/>
          <w:color w:val="000000"/>
          <w:sz w:val="24"/>
          <w:szCs w:val="24"/>
          <w:lang w:val="en-US" w:eastAsia="zh-CN"/>
        </w:rPr>
        <w:t>17</w:t>
      </w:r>
      <w:r>
        <w:rPr>
          <w:rFonts w:hint="eastAsia" w:ascii="宋体" w:hAnsi="宋体"/>
          <w:color w:val="000000"/>
          <w:sz w:val="24"/>
          <w:szCs w:val="24"/>
        </w:rPr>
        <w:t>）。</w:t>
      </w:r>
    </w:p>
    <w:p>
      <w:pPr>
        <w:keepNext w:val="0"/>
        <w:keepLines w:val="0"/>
        <w:pageBreakBefore w:val="0"/>
        <w:widowControl w:val="0"/>
        <w:wordWrap/>
        <w:overflowPunct/>
        <w:topLinePunct w:val="0"/>
        <w:bidi w:val="0"/>
        <w:adjustRightInd w:val="0"/>
        <w:snapToGrid w:val="0"/>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表决结果：同意</w:t>
      </w:r>
      <w:r>
        <w:rPr>
          <w:rFonts w:hint="eastAsia" w:ascii="宋体" w:hAnsi="宋体" w:eastAsia="宋体" w:cs="宋体"/>
          <w:sz w:val="24"/>
          <w:szCs w:val="24"/>
          <w:lang w:val="en-US" w:eastAsia="zh-CN"/>
        </w:rPr>
        <w:t>5</w:t>
      </w:r>
      <w:r>
        <w:rPr>
          <w:rFonts w:hint="eastAsia" w:ascii="宋体" w:hAnsi="宋体" w:eastAsia="宋体" w:cs="宋体"/>
          <w:sz w:val="24"/>
          <w:szCs w:val="24"/>
        </w:rPr>
        <w:t>票；反对0票；弃权0票。关联董事杨林、胡守天、付康、王海波回避表决</w:t>
      </w:r>
      <w:r>
        <w:rPr>
          <w:rFonts w:hint="eastAsia" w:ascii="宋体" w:hAnsi="宋体" w:eastAsia="宋体" w:cs="宋体"/>
          <w:sz w:val="24"/>
          <w:szCs w:val="24"/>
          <w:lang w:eastAsia="zh-CN"/>
        </w:rPr>
        <w:t>。</w:t>
      </w:r>
    </w:p>
    <w:p>
      <w:pPr>
        <w:keepNext w:val="0"/>
        <w:keepLines w:val="0"/>
        <w:pageBreakBefore w:val="0"/>
        <w:widowControl w:val="0"/>
        <w:wordWrap/>
        <w:overflowPunct/>
        <w:topLinePunct w:val="0"/>
        <w:autoSpaceDE w:val="0"/>
        <w:autoSpaceDN w:val="0"/>
        <w:bidi w:val="0"/>
        <w:adjustRightInd w:val="0"/>
        <w:snapToGrid w:val="0"/>
        <w:spacing w:line="560" w:lineRule="exact"/>
        <w:ind w:firstLine="480" w:firstLineChars="200"/>
        <w:jc w:val="both"/>
        <w:rPr>
          <w:rFonts w:hint="eastAsia" w:ascii="宋体" w:hAnsi="宋体"/>
          <w:color w:val="000000"/>
          <w:sz w:val="24"/>
          <w:szCs w:val="24"/>
          <w:lang w:val="en-US" w:eastAsia="zh-CN"/>
        </w:rPr>
      </w:pPr>
      <w:r>
        <w:rPr>
          <w:rFonts w:hint="eastAsia" w:ascii="宋体" w:hAnsi="宋体"/>
          <w:color w:val="000000"/>
          <w:sz w:val="24"/>
          <w:szCs w:val="24"/>
          <w:lang w:val="en-US" w:eastAsia="zh-CN"/>
        </w:rPr>
        <w:t>本议案无需提交股东大会审议。</w:t>
      </w:r>
    </w:p>
    <w:p>
      <w:pPr>
        <w:keepNext w:val="0"/>
        <w:keepLines w:val="0"/>
        <w:pageBreakBefore w:val="0"/>
        <w:widowControl w:val="0"/>
        <w:wordWrap/>
        <w:overflowPunct/>
        <w:topLinePunct w:val="0"/>
        <w:autoSpaceDE w:val="0"/>
        <w:autoSpaceDN w:val="0"/>
        <w:bidi w:val="0"/>
        <w:adjustRightInd w:val="0"/>
        <w:snapToGrid w:val="0"/>
        <w:spacing w:line="560" w:lineRule="exact"/>
        <w:ind w:firstLine="482" w:firstLineChars="200"/>
        <w:jc w:val="both"/>
        <w:rPr>
          <w:rFonts w:ascii="宋体" w:hAnsi="宋体"/>
          <w:b/>
          <w:color w:val="000000"/>
          <w:sz w:val="24"/>
          <w:szCs w:val="24"/>
        </w:rPr>
      </w:pPr>
      <w:r>
        <w:rPr>
          <w:rFonts w:hint="eastAsia" w:ascii="宋体" w:hAnsi="宋体"/>
          <w:b/>
          <w:color w:val="000000"/>
          <w:sz w:val="24"/>
          <w:szCs w:val="24"/>
          <w:lang w:eastAsia="zh-CN"/>
        </w:rPr>
        <w:t>（</w:t>
      </w:r>
      <w:r>
        <w:rPr>
          <w:rFonts w:hint="eastAsia" w:ascii="宋体" w:hAnsi="宋体"/>
          <w:b/>
          <w:color w:val="000000"/>
          <w:sz w:val="24"/>
          <w:szCs w:val="24"/>
          <w:lang w:val="en-US" w:eastAsia="zh-CN"/>
        </w:rPr>
        <w:t>二</w:t>
      </w:r>
      <w:r>
        <w:rPr>
          <w:rFonts w:hint="eastAsia" w:ascii="宋体" w:hAnsi="宋体"/>
          <w:b/>
          <w:color w:val="000000"/>
          <w:sz w:val="24"/>
          <w:szCs w:val="24"/>
          <w:lang w:eastAsia="zh-CN"/>
        </w:rPr>
        <w:t>）</w:t>
      </w:r>
      <w:r>
        <w:rPr>
          <w:rFonts w:hint="eastAsia" w:ascii="宋体" w:hAnsi="宋体"/>
          <w:b/>
          <w:color w:val="000000"/>
          <w:sz w:val="24"/>
          <w:szCs w:val="24"/>
        </w:rPr>
        <w:t>审议通过《关于向公司2024年限制性股票激励计划激励对象首次授予限制性股票的议案》</w:t>
      </w:r>
    </w:p>
    <w:p>
      <w:pPr>
        <w:keepNext w:val="0"/>
        <w:keepLines w:val="0"/>
        <w:pageBreakBefore w:val="0"/>
        <w:widowControl w:val="0"/>
        <w:wordWrap/>
        <w:overflowPunct/>
        <w:topLinePunct w:val="0"/>
        <w:bidi w:val="0"/>
        <w:adjustRightInd w:val="0"/>
        <w:snapToGrid w:val="0"/>
        <w:spacing w:line="560" w:lineRule="exact"/>
        <w:ind w:firstLine="480" w:firstLineChars="200"/>
        <w:jc w:val="both"/>
        <w:rPr>
          <w:rFonts w:ascii="宋体" w:hAnsi="宋体" w:eastAsia="宋体" w:cs="宋体"/>
          <w:sz w:val="24"/>
          <w:szCs w:val="24"/>
        </w:rPr>
      </w:pPr>
      <w:r>
        <w:rPr>
          <w:rFonts w:hint="eastAsia" w:ascii="宋体" w:hAnsi="宋体" w:eastAsia="宋体" w:cs="宋体"/>
          <w:sz w:val="24"/>
          <w:szCs w:val="24"/>
          <w:lang w:val="en-US" w:eastAsia="zh-CN"/>
        </w:rPr>
        <w:t>具体</w:t>
      </w:r>
      <w:r>
        <w:rPr>
          <w:rFonts w:ascii="宋体" w:hAnsi="宋体" w:eastAsia="宋体" w:cs="宋体"/>
          <w:sz w:val="24"/>
          <w:szCs w:val="24"/>
        </w:rPr>
        <w:t>内容详见</w:t>
      </w:r>
      <w:r>
        <w:rPr>
          <w:rFonts w:hint="eastAsia" w:ascii="宋体" w:hAnsi="宋体" w:eastAsia="宋体" w:cs="宋体"/>
          <w:sz w:val="24"/>
          <w:szCs w:val="24"/>
          <w:lang w:val="en-US" w:eastAsia="zh-CN"/>
        </w:rPr>
        <w:t>公司于</w:t>
      </w:r>
      <w:r>
        <w:rPr>
          <w:rFonts w:ascii="宋体" w:hAnsi="宋体" w:eastAsia="宋体" w:cs="宋体"/>
          <w:sz w:val="24"/>
          <w:szCs w:val="24"/>
        </w:rPr>
        <w:t>202</w:t>
      </w:r>
      <w:r>
        <w:rPr>
          <w:rFonts w:hint="eastAsia" w:ascii="宋体" w:hAnsi="宋体" w:eastAsia="宋体" w:cs="宋体"/>
          <w:sz w:val="24"/>
          <w:szCs w:val="24"/>
        </w:rPr>
        <w:t>4</w:t>
      </w:r>
      <w:r>
        <w:rPr>
          <w:rFonts w:ascii="宋体" w:hAnsi="宋体" w:eastAsia="宋体" w:cs="宋体"/>
          <w:sz w:val="24"/>
          <w:szCs w:val="24"/>
        </w:rPr>
        <w:t>年</w:t>
      </w:r>
      <w:r>
        <w:rPr>
          <w:rFonts w:hint="eastAsia" w:ascii="宋体" w:hAnsi="宋体" w:eastAsia="宋体" w:cs="宋体"/>
          <w:sz w:val="24"/>
          <w:szCs w:val="24"/>
          <w:lang w:val="en-US" w:eastAsia="zh-CN"/>
        </w:rPr>
        <w:t>3</w:t>
      </w:r>
      <w:r>
        <w:rPr>
          <w:rFonts w:ascii="宋体" w:hAnsi="宋体" w:eastAsia="宋体" w:cs="宋体"/>
          <w:sz w:val="24"/>
          <w:szCs w:val="24"/>
        </w:rPr>
        <w:t>月</w:t>
      </w:r>
      <w:r>
        <w:rPr>
          <w:rFonts w:hint="eastAsia" w:ascii="宋体" w:hAnsi="宋体" w:eastAsia="宋体" w:cs="宋体"/>
          <w:sz w:val="24"/>
          <w:szCs w:val="24"/>
          <w:lang w:val="en-US" w:eastAsia="zh-CN"/>
        </w:rPr>
        <w:t>7</w:t>
      </w:r>
      <w:r>
        <w:rPr>
          <w:rFonts w:ascii="宋体" w:hAnsi="宋体" w:eastAsia="宋体" w:cs="宋体"/>
          <w:sz w:val="24"/>
          <w:szCs w:val="24"/>
        </w:rPr>
        <w:t>日刊登</w:t>
      </w:r>
      <w:r>
        <w:rPr>
          <w:rFonts w:hint="eastAsia" w:ascii="宋体" w:hAnsi="宋体" w:eastAsia="宋体" w:cs="宋体"/>
          <w:sz w:val="24"/>
          <w:szCs w:val="24"/>
          <w:lang w:val="en-US" w:eastAsia="zh-CN"/>
        </w:rPr>
        <w:t>在</w:t>
      </w:r>
      <w:r>
        <w:rPr>
          <w:rFonts w:ascii="宋体" w:hAnsi="宋体" w:eastAsia="宋体" w:cs="宋体"/>
          <w:sz w:val="24"/>
          <w:szCs w:val="24"/>
        </w:rPr>
        <w:t>上海证券交易所网站www.sse.com.cn</w:t>
      </w:r>
      <w:r>
        <w:rPr>
          <w:rFonts w:hint="eastAsia" w:ascii="宋体" w:hAnsi="宋体" w:eastAsia="宋体" w:cs="宋体"/>
          <w:sz w:val="24"/>
          <w:szCs w:val="24"/>
        </w:rPr>
        <w:t>的《关于向公司2024年限制性股票激励计划激励对象首次授予限制性股票的公告》</w:t>
      </w:r>
      <w:r>
        <w:rPr>
          <w:rFonts w:ascii="宋体" w:hAnsi="宋体" w:eastAsia="宋体" w:cs="宋体"/>
          <w:sz w:val="24"/>
          <w:szCs w:val="24"/>
        </w:rPr>
        <w:t>（公告编号：202</w:t>
      </w:r>
      <w:r>
        <w:rPr>
          <w:rFonts w:hint="eastAsia" w:ascii="宋体" w:hAnsi="宋体" w:eastAsia="宋体" w:cs="宋体"/>
          <w:sz w:val="24"/>
          <w:szCs w:val="24"/>
        </w:rPr>
        <w:t>4-0</w:t>
      </w:r>
      <w:r>
        <w:rPr>
          <w:rFonts w:hint="eastAsia" w:ascii="宋体" w:hAnsi="宋体" w:eastAsia="宋体" w:cs="宋体"/>
          <w:sz w:val="24"/>
          <w:szCs w:val="24"/>
          <w:lang w:val="en-US" w:eastAsia="zh-CN"/>
        </w:rPr>
        <w:t>18</w:t>
      </w:r>
      <w:r>
        <w:rPr>
          <w:rFonts w:ascii="宋体" w:hAnsi="宋体" w:eastAsia="宋体" w:cs="宋体"/>
          <w:sz w:val="24"/>
          <w:szCs w:val="24"/>
        </w:rPr>
        <w:t>）。</w:t>
      </w:r>
    </w:p>
    <w:p>
      <w:pPr>
        <w:keepNext w:val="0"/>
        <w:keepLines w:val="0"/>
        <w:pageBreakBefore w:val="0"/>
        <w:widowControl w:val="0"/>
        <w:wordWrap/>
        <w:overflowPunct/>
        <w:topLinePunct w:val="0"/>
        <w:bidi w:val="0"/>
        <w:adjustRightInd w:val="0"/>
        <w:snapToGrid w:val="0"/>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表决结果：同意</w:t>
      </w:r>
      <w:r>
        <w:rPr>
          <w:rFonts w:hint="eastAsia" w:ascii="宋体" w:hAnsi="宋体" w:eastAsia="宋体" w:cs="宋体"/>
          <w:sz w:val="24"/>
          <w:szCs w:val="24"/>
          <w:lang w:val="en-US" w:eastAsia="zh-CN"/>
        </w:rPr>
        <w:t>5</w:t>
      </w:r>
      <w:r>
        <w:rPr>
          <w:rFonts w:hint="eastAsia" w:ascii="宋体" w:hAnsi="宋体" w:eastAsia="宋体" w:cs="宋体"/>
          <w:sz w:val="24"/>
          <w:szCs w:val="24"/>
        </w:rPr>
        <w:t>票；反对0票；弃权0票。关联董事杨林、胡守天、付康、王海波回避表决</w:t>
      </w:r>
      <w:r>
        <w:rPr>
          <w:rFonts w:hint="eastAsia" w:ascii="宋体" w:hAnsi="宋体" w:eastAsia="宋体" w:cs="宋体"/>
          <w:sz w:val="24"/>
          <w:szCs w:val="24"/>
          <w:lang w:eastAsia="zh-CN"/>
        </w:rPr>
        <w:t>。</w:t>
      </w:r>
    </w:p>
    <w:p>
      <w:pPr>
        <w:keepNext w:val="0"/>
        <w:keepLines w:val="0"/>
        <w:pageBreakBefore w:val="0"/>
        <w:widowControl w:val="0"/>
        <w:wordWrap/>
        <w:overflowPunct/>
        <w:topLinePunct w:val="0"/>
        <w:autoSpaceDE w:val="0"/>
        <w:autoSpaceDN w:val="0"/>
        <w:bidi w:val="0"/>
        <w:adjustRightInd w:val="0"/>
        <w:snapToGrid w:val="0"/>
        <w:spacing w:line="560" w:lineRule="exact"/>
        <w:ind w:firstLine="480" w:firstLineChars="200"/>
        <w:jc w:val="both"/>
        <w:rPr>
          <w:rFonts w:hint="eastAsia" w:ascii="宋体" w:hAnsi="宋体"/>
          <w:color w:val="000000"/>
          <w:sz w:val="24"/>
          <w:szCs w:val="24"/>
          <w:lang w:val="en-US" w:eastAsia="zh-CN"/>
        </w:rPr>
      </w:pPr>
      <w:r>
        <w:rPr>
          <w:rFonts w:hint="eastAsia" w:ascii="宋体" w:hAnsi="宋体"/>
          <w:color w:val="000000"/>
          <w:sz w:val="24"/>
          <w:szCs w:val="24"/>
          <w:lang w:val="en-US" w:eastAsia="zh-CN"/>
        </w:rPr>
        <w:t>本议案无需提交股东大会审议。</w:t>
      </w:r>
    </w:p>
    <w:p>
      <w:pPr>
        <w:keepNext w:val="0"/>
        <w:keepLines w:val="0"/>
        <w:pageBreakBefore w:val="0"/>
        <w:widowControl w:val="0"/>
        <w:numPr>
          <w:ilvl w:val="0"/>
          <w:numId w:val="2"/>
        </w:numPr>
        <w:wordWrap/>
        <w:overflowPunct/>
        <w:topLinePunct w:val="0"/>
        <w:autoSpaceDE w:val="0"/>
        <w:autoSpaceDN w:val="0"/>
        <w:bidi w:val="0"/>
        <w:adjustRightInd w:val="0"/>
        <w:snapToGrid w:val="0"/>
        <w:spacing w:line="560" w:lineRule="exact"/>
        <w:ind w:firstLine="482" w:firstLineChars="200"/>
        <w:jc w:val="both"/>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审议通过《关于通过北京产权交易所竞购上海长威与南方资产合计持有云变电气79.97%股份的议案》</w:t>
      </w:r>
    </w:p>
    <w:p>
      <w:pPr>
        <w:keepNext w:val="0"/>
        <w:keepLines w:val="0"/>
        <w:pageBreakBefore w:val="0"/>
        <w:widowControl w:val="0"/>
        <w:wordWrap/>
        <w:overflowPunct/>
        <w:topLinePunct w:val="0"/>
        <w:bidi w:val="0"/>
        <w:adjustRightInd w:val="0"/>
        <w:snapToGrid w:val="0"/>
        <w:spacing w:line="560" w:lineRule="exact"/>
        <w:ind w:firstLine="480" w:firstLineChars="200"/>
        <w:jc w:val="both"/>
        <w:rPr>
          <w:rFonts w:ascii="宋体" w:hAnsi="宋体" w:eastAsia="宋体" w:cs="宋体"/>
          <w:sz w:val="24"/>
          <w:szCs w:val="24"/>
        </w:rPr>
      </w:pPr>
      <w:r>
        <w:rPr>
          <w:rFonts w:hint="eastAsia" w:ascii="宋体" w:hAnsi="宋体" w:eastAsia="宋体" w:cs="宋体"/>
          <w:sz w:val="24"/>
          <w:szCs w:val="24"/>
          <w:lang w:val="en-US" w:eastAsia="zh-CN"/>
        </w:rPr>
        <w:t>具体</w:t>
      </w:r>
      <w:r>
        <w:rPr>
          <w:rFonts w:ascii="宋体" w:hAnsi="宋体" w:eastAsia="宋体" w:cs="宋体"/>
          <w:sz w:val="24"/>
          <w:szCs w:val="24"/>
        </w:rPr>
        <w:t>内容详见</w:t>
      </w:r>
      <w:r>
        <w:rPr>
          <w:rFonts w:hint="eastAsia" w:ascii="宋体" w:hAnsi="宋体" w:eastAsia="宋体" w:cs="宋体"/>
          <w:sz w:val="24"/>
          <w:szCs w:val="24"/>
          <w:lang w:val="en-US" w:eastAsia="zh-CN"/>
        </w:rPr>
        <w:t>公司于</w:t>
      </w:r>
      <w:r>
        <w:rPr>
          <w:rFonts w:ascii="宋体" w:hAnsi="宋体" w:eastAsia="宋体" w:cs="宋体"/>
          <w:sz w:val="24"/>
          <w:szCs w:val="24"/>
        </w:rPr>
        <w:t>202</w:t>
      </w:r>
      <w:r>
        <w:rPr>
          <w:rFonts w:hint="eastAsia" w:ascii="宋体" w:hAnsi="宋体" w:eastAsia="宋体" w:cs="宋体"/>
          <w:sz w:val="24"/>
          <w:szCs w:val="24"/>
        </w:rPr>
        <w:t>4</w:t>
      </w:r>
      <w:r>
        <w:rPr>
          <w:rFonts w:ascii="宋体" w:hAnsi="宋体" w:eastAsia="宋体" w:cs="宋体"/>
          <w:sz w:val="24"/>
          <w:szCs w:val="24"/>
        </w:rPr>
        <w:t>年</w:t>
      </w:r>
      <w:r>
        <w:rPr>
          <w:rFonts w:hint="eastAsia" w:ascii="宋体" w:hAnsi="宋体" w:eastAsia="宋体" w:cs="宋体"/>
          <w:sz w:val="24"/>
          <w:szCs w:val="24"/>
          <w:lang w:val="en-US" w:eastAsia="zh-CN"/>
        </w:rPr>
        <w:t>3</w:t>
      </w:r>
      <w:r>
        <w:rPr>
          <w:rFonts w:ascii="宋体" w:hAnsi="宋体" w:eastAsia="宋体" w:cs="宋体"/>
          <w:sz w:val="24"/>
          <w:szCs w:val="24"/>
        </w:rPr>
        <w:t>月</w:t>
      </w:r>
      <w:r>
        <w:rPr>
          <w:rFonts w:hint="eastAsia" w:ascii="宋体" w:hAnsi="宋体" w:eastAsia="宋体" w:cs="宋体"/>
          <w:sz w:val="24"/>
          <w:szCs w:val="24"/>
          <w:lang w:val="en-US" w:eastAsia="zh-CN"/>
        </w:rPr>
        <w:t>7</w:t>
      </w:r>
      <w:r>
        <w:rPr>
          <w:rFonts w:ascii="宋体" w:hAnsi="宋体" w:eastAsia="宋体" w:cs="宋体"/>
          <w:sz w:val="24"/>
          <w:szCs w:val="24"/>
        </w:rPr>
        <w:t>日刊登</w:t>
      </w:r>
      <w:r>
        <w:rPr>
          <w:rFonts w:hint="eastAsia" w:ascii="宋体" w:hAnsi="宋体" w:eastAsia="宋体" w:cs="宋体"/>
          <w:sz w:val="24"/>
          <w:szCs w:val="24"/>
          <w:lang w:val="en-US" w:eastAsia="zh-CN"/>
        </w:rPr>
        <w:t>在</w:t>
      </w:r>
      <w:r>
        <w:rPr>
          <w:rFonts w:ascii="宋体" w:hAnsi="宋体" w:eastAsia="宋体" w:cs="宋体"/>
          <w:sz w:val="24"/>
          <w:szCs w:val="24"/>
        </w:rPr>
        <w:t>上海证券交易所网站www.sse.com.cn</w:t>
      </w:r>
      <w:r>
        <w:rPr>
          <w:rFonts w:hint="eastAsia" w:ascii="宋体" w:hAnsi="宋体" w:eastAsia="宋体" w:cs="宋体"/>
          <w:sz w:val="24"/>
          <w:szCs w:val="24"/>
        </w:rPr>
        <w:t>的《关于通过北京产权交易所竞购上海长威与南方资产合计持有云变电气79.97%股份的</w:t>
      </w:r>
      <w:r>
        <w:rPr>
          <w:rFonts w:hint="eastAsia" w:ascii="宋体" w:hAnsi="宋体" w:eastAsia="宋体" w:cs="宋体"/>
          <w:sz w:val="24"/>
          <w:szCs w:val="24"/>
          <w:lang w:val="en-US" w:eastAsia="zh-CN"/>
        </w:rPr>
        <w:t>公告</w:t>
      </w:r>
      <w:r>
        <w:rPr>
          <w:rFonts w:hint="eastAsia" w:ascii="宋体" w:hAnsi="宋体" w:eastAsia="宋体" w:cs="宋体"/>
          <w:sz w:val="24"/>
          <w:szCs w:val="24"/>
        </w:rPr>
        <w:t>》</w:t>
      </w:r>
      <w:r>
        <w:rPr>
          <w:rFonts w:ascii="宋体" w:hAnsi="宋体" w:eastAsia="宋体" w:cs="宋体"/>
          <w:sz w:val="24"/>
          <w:szCs w:val="24"/>
        </w:rPr>
        <w:t>（公告编号：202</w:t>
      </w:r>
      <w:r>
        <w:rPr>
          <w:rFonts w:hint="eastAsia" w:ascii="宋体" w:hAnsi="宋体" w:eastAsia="宋体" w:cs="宋体"/>
          <w:sz w:val="24"/>
          <w:szCs w:val="24"/>
        </w:rPr>
        <w:t>4-0</w:t>
      </w:r>
      <w:r>
        <w:rPr>
          <w:rFonts w:hint="eastAsia" w:ascii="宋体" w:hAnsi="宋体" w:eastAsia="宋体" w:cs="宋体"/>
          <w:sz w:val="24"/>
          <w:szCs w:val="24"/>
          <w:lang w:val="en-US" w:eastAsia="zh-CN"/>
        </w:rPr>
        <w:t>19</w:t>
      </w:r>
      <w:r>
        <w:rPr>
          <w:rFonts w:ascii="宋体" w:hAnsi="宋体" w:eastAsia="宋体" w:cs="宋体"/>
          <w:sz w:val="24"/>
          <w:szCs w:val="24"/>
        </w:rPr>
        <w:t>）。</w:t>
      </w:r>
    </w:p>
    <w:p>
      <w:pPr>
        <w:keepNext w:val="0"/>
        <w:keepLines w:val="0"/>
        <w:pageBreakBefore w:val="0"/>
        <w:widowControl w:val="0"/>
        <w:wordWrap/>
        <w:overflowPunct/>
        <w:topLinePunct w:val="0"/>
        <w:autoSpaceDE w:val="0"/>
        <w:autoSpaceDN w:val="0"/>
        <w:bidi w:val="0"/>
        <w:adjustRightInd w:val="0"/>
        <w:snapToGrid w:val="0"/>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表决结果：同意</w:t>
      </w:r>
      <w:r>
        <w:rPr>
          <w:rFonts w:hint="eastAsia" w:ascii="宋体" w:hAnsi="宋体" w:eastAsia="宋体" w:cs="宋体"/>
          <w:sz w:val="24"/>
          <w:szCs w:val="24"/>
          <w:lang w:val="en-US" w:eastAsia="zh-CN"/>
        </w:rPr>
        <w:t>9</w:t>
      </w:r>
      <w:r>
        <w:rPr>
          <w:rFonts w:hint="eastAsia" w:ascii="宋体" w:hAnsi="宋体" w:eastAsia="宋体" w:cs="宋体"/>
          <w:sz w:val="24"/>
          <w:szCs w:val="24"/>
        </w:rPr>
        <w:t>票；反对0票；弃权0票。</w:t>
      </w:r>
    </w:p>
    <w:p>
      <w:pPr>
        <w:keepNext w:val="0"/>
        <w:keepLines w:val="0"/>
        <w:pageBreakBefore w:val="0"/>
        <w:widowControl w:val="0"/>
        <w:wordWrap/>
        <w:overflowPunct/>
        <w:topLinePunct w:val="0"/>
        <w:autoSpaceDE w:val="0"/>
        <w:autoSpaceDN w:val="0"/>
        <w:bidi w:val="0"/>
        <w:adjustRightInd w:val="0"/>
        <w:snapToGrid w:val="0"/>
        <w:spacing w:line="560" w:lineRule="exact"/>
        <w:ind w:firstLine="480" w:firstLineChars="200"/>
        <w:jc w:val="both"/>
        <w:rPr>
          <w:rFonts w:hint="eastAsia" w:ascii="宋体" w:hAnsi="宋体"/>
          <w:color w:val="000000"/>
          <w:sz w:val="24"/>
          <w:szCs w:val="24"/>
          <w:lang w:val="en-US" w:eastAsia="zh-CN"/>
        </w:rPr>
      </w:pPr>
      <w:r>
        <w:rPr>
          <w:rFonts w:hint="eastAsia" w:ascii="宋体" w:hAnsi="宋体"/>
          <w:color w:val="000000"/>
          <w:sz w:val="24"/>
          <w:szCs w:val="24"/>
          <w:lang w:val="en-US" w:eastAsia="zh-CN"/>
        </w:rPr>
        <w:t>本议案无需提交股东大会审议。</w:t>
      </w:r>
    </w:p>
    <w:p>
      <w:pPr>
        <w:keepNext w:val="0"/>
        <w:keepLines w:val="0"/>
        <w:pageBreakBefore w:val="0"/>
        <w:widowControl w:val="0"/>
        <w:numPr>
          <w:ilvl w:val="0"/>
          <w:numId w:val="0"/>
        </w:numPr>
        <w:wordWrap/>
        <w:overflowPunct/>
        <w:topLinePunct w:val="0"/>
        <w:autoSpaceDE w:val="0"/>
        <w:autoSpaceDN w:val="0"/>
        <w:bidi w:val="0"/>
        <w:adjustRightInd w:val="0"/>
        <w:snapToGrid w:val="0"/>
        <w:spacing w:line="560" w:lineRule="exact"/>
        <w:jc w:val="both"/>
        <w:rPr>
          <w:rFonts w:hint="default" w:ascii="宋体" w:hAnsi="宋体"/>
          <w:b/>
          <w:bCs/>
          <w:color w:val="000000"/>
          <w:sz w:val="24"/>
          <w:szCs w:val="24"/>
          <w:lang w:val="en-US" w:eastAsia="zh-CN"/>
        </w:rPr>
      </w:pPr>
    </w:p>
    <w:p>
      <w:pPr>
        <w:keepNext w:val="0"/>
        <w:keepLines w:val="0"/>
        <w:pageBreakBefore w:val="0"/>
        <w:widowControl w:val="0"/>
        <w:wordWrap/>
        <w:overflowPunct/>
        <w:topLinePunct w:val="0"/>
        <w:bidi w:val="0"/>
        <w:adjustRightInd w:val="0"/>
        <w:snapToGrid w:val="0"/>
        <w:spacing w:line="560" w:lineRule="exact"/>
        <w:ind w:firstLine="480" w:firstLineChars="200"/>
        <w:jc w:val="both"/>
        <w:rPr>
          <w:rFonts w:ascii="宋体" w:hAnsi="宋体" w:eastAsia="宋体"/>
          <w:color w:val="000000"/>
          <w:sz w:val="24"/>
          <w:szCs w:val="24"/>
        </w:rPr>
      </w:pPr>
      <w:r>
        <w:rPr>
          <w:rFonts w:hint="eastAsia" w:ascii="宋体" w:hAnsi="宋体" w:eastAsia="宋体"/>
          <w:color w:val="000000"/>
          <w:sz w:val="24"/>
          <w:szCs w:val="24"/>
        </w:rPr>
        <w:t>特此公告。</w:t>
      </w:r>
    </w:p>
    <w:p>
      <w:pPr>
        <w:keepNext w:val="0"/>
        <w:keepLines w:val="0"/>
        <w:pageBreakBefore w:val="0"/>
        <w:widowControl w:val="0"/>
        <w:wordWrap/>
        <w:overflowPunct/>
        <w:topLinePunct w:val="0"/>
        <w:bidi w:val="0"/>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pPr>
        <w:keepNext w:val="0"/>
        <w:keepLines w:val="0"/>
        <w:pageBreakBefore w:val="0"/>
        <w:widowControl w:val="0"/>
        <w:wordWrap/>
        <w:overflowPunct/>
        <w:topLinePunct w:val="0"/>
        <w:bidi w:val="0"/>
        <w:adjustRightInd w:val="0"/>
        <w:snapToGrid w:val="0"/>
        <w:spacing w:line="560" w:lineRule="exact"/>
        <w:ind w:firstLine="480" w:firstLineChars="200"/>
        <w:jc w:val="right"/>
        <w:rPr>
          <w:rFonts w:ascii="宋体" w:hAnsi="宋体" w:eastAsia="宋体"/>
          <w:color w:val="000000"/>
          <w:sz w:val="24"/>
          <w:szCs w:val="24"/>
        </w:rPr>
      </w:pPr>
      <w:r>
        <w:rPr>
          <w:rFonts w:ascii="宋体" w:hAnsi="宋体" w:eastAsia="宋体"/>
          <w:color w:val="000000"/>
          <w:sz w:val="24"/>
          <w:szCs w:val="24"/>
        </w:rPr>
        <w:t>202</w:t>
      </w:r>
      <w:r>
        <w:rPr>
          <w:rFonts w:hint="eastAsia" w:ascii="宋体" w:hAnsi="宋体" w:eastAsia="宋体"/>
          <w:color w:val="000000"/>
          <w:sz w:val="24"/>
          <w:szCs w:val="24"/>
        </w:rPr>
        <w:t>4年</w:t>
      </w: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7</w:t>
      </w:r>
      <w:r>
        <w:rPr>
          <w:rFonts w:hint="eastAsia" w:ascii="宋体" w:hAnsi="宋体" w:eastAsia="宋体"/>
          <w:color w:val="00000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41265"/>
    <w:multiLevelType w:val="singleLevel"/>
    <w:tmpl w:val="8A741265"/>
    <w:lvl w:ilvl="0" w:tentative="0">
      <w:start w:val="3"/>
      <w:numFmt w:val="chineseCounting"/>
      <w:suff w:val="nothing"/>
      <w:lvlText w:val="（%1）"/>
      <w:lvlJc w:val="left"/>
      <w:rPr>
        <w:rFonts w:hint="eastAsia"/>
      </w:rPr>
    </w:lvl>
  </w:abstractNum>
  <w:abstractNum w:abstractNumId="1">
    <w:nsid w:val="5F1A283A"/>
    <w:multiLevelType w:val="multilevel"/>
    <w:tmpl w:val="5F1A283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10BC9"/>
    <w:rsid w:val="0003670A"/>
    <w:rsid w:val="000378C7"/>
    <w:rsid w:val="00064FE8"/>
    <w:rsid w:val="00076EFD"/>
    <w:rsid w:val="0008555B"/>
    <w:rsid w:val="000A40E4"/>
    <w:rsid w:val="000B1A1F"/>
    <w:rsid w:val="000C53B9"/>
    <w:rsid w:val="000C72A9"/>
    <w:rsid w:val="000D3DA9"/>
    <w:rsid w:val="000D409C"/>
    <w:rsid w:val="00102455"/>
    <w:rsid w:val="00123266"/>
    <w:rsid w:val="001254C4"/>
    <w:rsid w:val="00140439"/>
    <w:rsid w:val="0014777F"/>
    <w:rsid w:val="001507FC"/>
    <w:rsid w:val="0016249D"/>
    <w:rsid w:val="001723E5"/>
    <w:rsid w:val="00192BD0"/>
    <w:rsid w:val="001A727A"/>
    <w:rsid w:val="001C1ED6"/>
    <w:rsid w:val="001D06CF"/>
    <w:rsid w:val="001D4E14"/>
    <w:rsid w:val="001D51B9"/>
    <w:rsid w:val="00201DED"/>
    <w:rsid w:val="0020797D"/>
    <w:rsid w:val="00207B64"/>
    <w:rsid w:val="00225FE6"/>
    <w:rsid w:val="00252550"/>
    <w:rsid w:val="00277255"/>
    <w:rsid w:val="002B229C"/>
    <w:rsid w:val="002F53E5"/>
    <w:rsid w:val="003112C9"/>
    <w:rsid w:val="003505CE"/>
    <w:rsid w:val="00351429"/>
    <w:rsid w:val="003541EB"/>
    <w:rsid w:val="003571E3"/>
    <w:rsid w:val="00391A1B"/>
    <w:rsid w:val="0039276C"/>
    <w:rsid w:val="003E38F1"/>
    <w:rsid w:val="003F1451"/>
    <w:rsid w:val="00464AFC"/>
    <w:rsid w:val="004A21C8"/>
    <w:rsid w:val="004A790E"/>
    <w:rsid w:val="004B5841"/>
    <w:rsid w:val="004B6BDD"/>
    <w:rsid w:val="004D041E"/>
    <w:rsid w:val="004D0E8E"/>
    <w:rsid w:val="004F172D"/>
    <w:rsid w:val="00522BE2"/>
    <w:rsid w:val="0053579F"/>
    <w:rsid w:val="005429C2"/>
    <w:rsid w:val="0055216A"/>
    <w:rsid w:val="005750AA"/>
    <w:rsid w:val="00575F03"/>
    <w:rsid w:val="005A15BF"/>
    <w:rsid w:val="005A2954"/>
    <w:rsid w:val="005B7B64"/>
    <w:rsid w:val="005F57F9"/>
    <w:rsid w:val="006150E2"/>
    <w:rsid w:val="0063047D"/>
    <w:rsid w:val="00636BAE"/>
    <w:rsid w:val="006704CD"/>
    <w:rsid w:val="00672360"/>
    <w:rsid w:val="00684FFB"/>
    <w:rsid w:val="006A3328"/>
    <w:rsid w:val="006A773E"/>
    <w:rsid w:val="006E4DD1"/>
    <w:rsid w:val="006F3EE0"/>
    <w:rsid w:val="007142F2"/>
    <w:rsid w:val="00726F44"/>
    <w:rsid w:val="00732B9D"/>
    <w:rsid w:val="00737063"/>
    <w:rsid w:val="0078004A"/>
    <w:rsid w:val="007A61FA"/>
    <w:rsid w:val="007B073D"/>
    <w:rsid w:val="007B1916"/>
    <w:rsid w:val="007C3FFA"/>
    <w:rsid w:val="007E572E"/>
    <w:rsid w:val="007F703D"/>
    <w:rsid w:val="007F7EDC"/>
    <w:rsid w:val="008162CF"/>
    <w:rsid w:val="008320FC"/>
    <w:rsid w:val="0084121D"/>
    <w:rsid w:val="0084422E"/>
    <w:rsid w:val="00854FC4"/>
    <w:rsid w:val="00855683"/>
    <w:rsid w:val="00856E6D"/>
    <w:rsid w:val="008A5E36"/>
    <w:rsid w:val="008E4B6F"/>
    <w:rsid w:val="0090186C"/>
    <w:rsid w:val="00902203"/>
    <w:rsid w:val="00915D39"/>
    <w:rsid w:val="00923C08"/>
    <w:rsid w:val="00947C32"/>
    <w:rsid w:val="009679A2"/>
    <w:rsid w:val="00992126"/>
    <w:rsid w:val="009B47DE"/>
    <w:rsid w:val="009D1A30"/>
    <w:rsid w:val="009E3152"/>
    <w:rsid w:val="009E3407"/>
    <w:rsid w:val="00A01CB8"/>
    <w:rsid w:val="00A05D77"/>
    <w:rsid w:val="00A35853"/>
    <w:rsid w:val="00A40BAA"/>
    <w:rsid w:val="00A41695"/>
    <w:rsid w:val="00A51C23"/>
    <w:rsid w:val="00A53142"/>
    <w:rsid w:val="00A5357E"/>
    <w:rsid w:val="00A56C7F"/>
    <w:rsid w:val="00A57119"/>
    <w:rsid w:val="00A81E75"/>
    <w:rsid w:val="00A823F8"/>
    <w:rsid w:val="00AC3419"/>
    <w:rsid w:val="00AD0F45"/>
    <w:rsid w:val="00B016E7"/>
    <w:rsid w:val="00B13254"/>
    <w:rsid w:val="00B3614E"/>
    <w:rsid w:val="00B61EEE"/>
    <w:rsid w:val="00B9137C"/>
    <w:rsid w:val="00B971E4"/>
    <w:rsid w:val="00BA49C4"/>
    <w:rsid w:val="00BB03CC"/>
    <w:rsid w:val="00BB61B6"/>
    <w:rsid w:val="00BC233A"/>
    <w:rsid w:val="00BD3997"/>
    <w:rsid w:val="00BE7D13"/>
    <w:rsid w:val="00BF7BDB"/>
    <w:rsid w:val="00C009B6"/>
    <w:rsid w:val="00C47186"/>
    <w:rsid w:val="00C55BBD"/>
    <w:rsid w:val="00C56BA2"/>
    <w:rsid w:val="00C7508F"/>
    <w:rsid w:val="00CC6AE1"/>
    <w:rsid w:val="00CD08C9"/>
    <w:rsid w:val="00CF4977"/>
    <w:rsid w:val="00D25F85"/>
    <w:rsid w:val="00D4059C"/>
    <w:rsid w:val="00D45861"/>
    <w:rsid w:val="00D46F41"/>
    <w:rsid w:val="00D65BA4"/>
    <w:rsid w:val="00D76D97"/>
    <w:rsid w:val="00D8189C"/>
    <w:rsid w:val="00DB13C5"/>
    <w:rsid w:val="00DB744D"/>
    <w:rsid w:val="00DC6C34"/>
    <w:rsid w:val="00DC78D5"/>
    <w:rsid w:val="00DD62E6"/>
    <w:rsid w:val="00DE6E82"/>
    <w:rsid w:val="00DF73E8"/>
    <w:rsid w:val="00E301F1"/>
    <w:rsid w:val="00E558AE"/>
    <w:rsid w:val="00E667EA"/>
    <w:rsid w:val="00E746B0"/>
    <w:rsid w:val="00E818E9"/>
    <w:rsid w:val="00E82A34"/>
    <w:rsid w:val="00E95F43"/>
    <w:rsid w:val="00EC496E"/>
    <w:rsid w:val="00EE084C"/>
    <w:rsid w:val="00F0268C"/>
    <w:rsid w:val="00F36086"/>
    <w:rsid w:val="00F54E0B"/>
    <w:rsid w:val="00F670DD"/>
    <w:rsid w:val="00F70648"/>
    <w:rsid w:val="00FC17CB"/>
    <w:rsid w:val="00FD0FAD"/>
    <w:rsid w:val="00FE6306"/>
    <w:rsid w:val="00FF7741"/>
    <w:rsid w:val="0272202F"/>
    <w:rsid w:val="08317AF9"/>
    <w:rsid w:val="09D93D68"/>
    <w:rsid w:val="0AB96B89"/>
    <w:rsid w:val="0AF40FFC"/>
    <w:rsid w:val="0CB64A29"/>
    <w:rsid w:val="1346590F"/>
    <w:rsid w:val="14172444"/>
    <w:rsid w:val="1A171801"/>
    <w:rsid w:val="1DF06EC2"/>
    <w:rsid w:val="200A4F8B"/>
    <w:rsid w:val="224340DA"/>
    <w:rsid w:val="25C34175"/>
    <w:rsid w:val="27BD77B9"/>
    <w:rsid w:val="2A6940E5"/>
    <w:rsid w:val="2B904351"/>
    <w:rsid w:val="2BBE6134"/>
    <w:rsid w:val="2F9044D2"/>
    <w:rsid w:val="30E156D2"/>
    <w:rsid w:val="3350577D"/>
    <w:rsid w:val="35B55AA7"/>
    <w:rsid w:val="36157E17"/>
    <w:rsid w:val="361E1706"/>
    <w:rsid w:val="3AA458EA"/>
    <w:rsid w:val="3B267E7F"/>
    <w:rsid w:val="3BE61717"/>
    <w:rsid w:val="3F2943D2"/>
    <w:rsid w:val="42991A4C"/>
    <w:rsid w:val="42DC0663"/>
    <w:rsid w:val="44D46601"/>
    <w:rsid w:val="454B7184"/>
    <w:rsid w:val="46ED5E7D"/>
    <w:rsid w:val="47312A24"/>
    <w:rsid w:val="4A36568F"/>
    <w:rsid w:val="4C855953"/>
    <w:rsid w:val="4DD840D9"/>
    <w:rsid w:val="4E7F373F"/>
    <w:rsid w:val="4F3A7944"/>
    <w:rsid w:val="5150387B"/>
    <w:rsid w:val="521827E2"/>
    <w:rsid w:val="529D4CCA"/>
    <w:rsid w:val="542D006B"/>
    <w:rsid w:val="54CA7B2B"/>
    <w:rsid w:val="54E825DB"/>
    <w:rsid w:val="57B1777A"/>
    <w:rsid w:val="59007E53"/>
    <w:rsid w:val="5CE164BE"/>
    <w:rsid w:val="63C562D2"/>
    <w:rsid w:val="64380EB6"/>
    <w:rsid w:val="6843080A"/>
    <w:rsid w:val="69A55478"/>
    <w:rsid w:val="6A823CB0"/>
    <w:rsid w:val="6EC21834"/>
    <w:rsid w:val="6F8E647A"/>
    <w:rsid w:val="71374B14"/>
    <w:rsid w:val="71E91A60"/>
    <w:rsid w:val="74383A67"/>
    <w:rsid w:val="76310FC3"/>
    <w:rsid w:val="771357EC"/>
    <w:rsid w:val="77D11EA6"/>
    <w:rsid w:val="7C1E2F09"/>
    <w:rsid w:val="7C3E412A"/>
    <w:rsid w:val="7EA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qFormat/>
    <w:uiPriority w:val="0"/>
    <w:pPr>
      <w:jc w:val="left"/>
      <w:pPrChange w:id="0" w:author="Jia Yuan" w:date="2024-01-18T15:07:00Z">
        <w:pPr>
          <w:widowControl w:val="0"/>
        </w:pPr>
      </w:pPrChange>
    </w:pPr>
    <w:rPr>
      <w:rPrChange w:id="1" w:author="Jia Yuan" w:date="2024-01-18T15:07:00Z">
        <w:rPr>
          <w:rFonts w:asciiTheme="minorHAnsi" w:hAnsiTheme="minorHAnsi" w:eastAsiaTheme="minorEastAsia" w:cstheme="minorBidi"/>
          <w:kern w:val="2"/>
          <w:sz w:val="21"/>
          <w:szCs w:val="22"/>
          <w:lang w:val="en-US" w:eastAsia="zh-CN" w:bidi="ar-SA"/>
        </w:rPr>
      </w:rPrChange>
    </w:rPr>
  </w:style>
  <w:style w:type="paragraph" w:styleId="3">
    <w:name w:val="Balloon Text"/>
    <w:basedOn w:val="1"/>
    <w:link w:val="16"/>
    <w:autoRedefine/>
    <w:qFormat/>
    <w:uiPriority w:val="0"/>
    <w:rPr>
      <w:sz w:val="18"/>
      <w:szCs w:val="18"/>
    </w:rPr>
  </w:style>
  <w:style w:type="paragraph" w:styleId="4">
    <w:name w:val="footer"/>
    <w:basedOn w:val="1"/>
    <w:link w:val="14"/>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8"/>
    <w:autoRedefine/>
    <w:qFormat/>
    <w:uiPriority w:val="0"/>
    <w:rPr>
      <w:b/>
      <w:bCs/>
    </w:rPr>
  </w:style>
  <w:style w:type="character" w:styleId="10">
    <w:name w:val="Hyperlink"/>
    <w:basedOn w:val="9"/>
    <w:autoRedefine/>
    <w:unhideWhenUsed/>
    <w:qFormat/>
    <w:uiPriority w:val="0"/>
    <w:rPr>
      <w:color w:val="0563C1" w:themeColor="hyperlink"/>
      <w:u w:val="single"/>
      <w14:textFill>
        <w14:solidFill>
          <w14:schemeClr w14:val="hlink"/>
        </w14:solidFill>
      </w14:textFill>
    </w:rPr>
  </w:style>
  <w:style w:type="character" w:styleId="11">
    <w:name w:val="annotation reference"/>
    <w:basedOn w:val="9"/>
    <w:autoRedefine/>
    <w:qFormat/>
    <w:uiPriority w:val="0"/>
    <w:rPr>
      <w:sz w:val="21"/>
      <w:szCs w:val="21"/>
    </w:rPr>
  </w:style>
  <w:style w:type="paragraph" w:customStyle="1" w:styleId="1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页眉 字符"/>
    <w:basedOn w:val="9"/>
    <w:link w:val="5"/>
    <w:autoRedefine/>
    <w:qFormat/>
    <w:uiPriority w:val="0"/>
    <w:rPr>
      <w:kern w:val="2"/>
      <w:sz w:val="18"/>
      <w:szCs w:val="18"/>
    </w:rPr>
  </w:style>
  <w:style w:type="character" w:customStyle="1" w:styleId="14">
    <w:name w:val="页脚 字符"/>
    <w:basedOn w:val="9"/>
    <w:link w:val="4"/>
    <w:autoRedefine/>
    <w:qFormat/>
    <w:uiPriority w:val="99"/>
    <w:rPr>
      <w:kern w:val="2"/>
      <w:sz w:val="18"/>
      <w:szCs w:val="18"/>
    </w:rPr>
  </w:style>
  <w:style w:type="paragraph" w:styleId="15">
    <w:name w:val="List Paragraph"/>
    <w:basedOn w:val="1"/>
    <w:autoRedefine/>
    <w:qFormat/>
    <w:uiPriority w:val="34"/>
    <w:pPr>
      <w:ind w:firstLine="420" w:firstLineChars="200"/>
    </w:pPr>
    <w:rPr>
      <w:rFonts w:ascii="Calibri" w:hAnsi="Calibri" w:eastAsia="宋体" w:cs="Times New Roman"/>
    </w:rPr>
  </w:style>
  <w:style w:type="character" w:customStyle="1" w:styleId="16">
    <w:name w:val="批注框文本 字符"/>
    <w:basedOn w:val="9"/>
    <w:link w:val="3"/>
    <w:autoRedefine/>
    <w:qFormat/>
    <w:uiPriority w:val="0"/>
    <w:rPr>
      <w:kern w:val="2"/>
      <w:sz w:val="18"/>
      <w:szCs w:val="18"/>
    </w:rPr>
  </w:style>
  <w:style w:type="character" w:customStyle="1" w:styleId="17">
    <w:name w:val="批注文字 字符"/>
    <w:basedOn w:val="9"/>
    <w:link w:val="2"/>
    <w:autoRedefine/>
    <w:qFormat/>
    <w:uiPriority w:val="0"/>
    <w:rPr>
      <w:rFonts w:asciiTheme="minorHAnsi" w:hAnsiTheme="minorHAnsi" w:eastAsiaTheme="minorEastAsia" w:cstheme="minorBidi"/>
      <w:kern w:val="2"/>
      <w:sz w:val="21"/>
      <w:szCs w:val="22"/>
    </w:rPr>
  </w:style>
  <w:style w:type="character" w:customStyle="1" w:styleId="18">
    <w:name w:val="批注主题 字符"/>
    <w:basedOn w:val="17"/>
    <w:link w:val="7"/>
    <w:autoRedefine/>
    <w:qFormat/>
    <w:uiPriority w:val="0"/>
    <w:rPr>
      <w:rFonts w:asciiTheme="minorHAnsi" w:hAnsiTheme="minorHAnsi" w:eastAsiaTheme="minorEastAsia" w:cstheme="minorBidi"/>
      <w:b/>
      <w:bCs/>
      <w:kern w:val="2"/>
      <w:sz w:val="21"/>
      <w:szCs w:val="22"/>
    </w:r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496</Words>
  <Characters>2828</Characters>
  <Lines>23</Lines>
  <Paragraphs>6</Paragraphs>
  <TotalTime>1</TotalTime>
  <ScaleCrop>false</ScaleCrop>
  <LinksUpToDate>false</LinksUpToDate>
  <CharactersWithSpaces>3318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2022-08-18T06:47:00Z</dcterms:created>
  <dc:creator>BJB-ZB-03</dc:creator>
  <cp:lastModifiedBy>Y.    Miss</cp:lastModifiedBy>
  <dcterms:modified xsi:type="dcterms:W3CDTF">2024-03-06T07:38:04Z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74AACC94FE73492DBCC07E78337394F2_13</vt:lpwstr>
  </property>
</Properties>
</file>