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42" w:line="218" w:lineRule="auto"/>
        <w:ind w:left="49"/>
        <w:rPr>
          <w:rFonts w:hint="default"/>
          <w:b/>
          <w:bCs/>
          <w:lang w:val="en-US" w:eastAsia="zh-CN"/>
        </w:rPr>
      </w:pPr>
      <w:r>
        <w:rPr>
          <w:rFonts w:hint="eastAsia"/>
          <w:b/>
          <w:bCs/>
          <w:spacing w:val="-8"/>
          <w:lang w:eastAsia="zh-CN"/>
        </w:rPr>
        <w:t>证券代码：603191         证券简称：</w:t>
      </w:r>
      <w:r>
        <w:rPr>
          <w:rFonts w:hint="eastAsia"/>
          <w:b/>
          <w:bCs/>
          <w:spacing w:val="-12"/>
          <w:lang w:eastAsia="zh-CN"/>
        </w:rPr>
        <w:t xml:space="preserve">望变电气  </w:t>
      </w:r>
      <w:r>
        <w:rPr>
          <w:rFonts w:hint="eastAsia"/>
          <w:b/>
          <w:bCs/>
          <w:spacing w:val="2"/>
          <w:lang w:eastAsia="zh-CN"/>
        </w:rPr>
        <w:t xml:space="preserve">       </w:t>
      </w:r>
      <w:r>
        <w:rPr>
          <w:rFonts w:hint="eastAsia"/>
          <w:b/>
          <w:bCs/>
          <w:spacing w:val="-8"/>
          <w:lang w:eastAsia="zh-CN"/>
        </w:rPr>
        <w:t>公告编号：202</w:t>
      </w:r>
      <w:r>
        <w:rPr>
          <w:rFonts w:hint="eastAsia"/>
          <w:b/>
          <w:bCs/>
          <w:spacing w:val="-8"/>
          <w:lang w:val="en-US" w:eastAsia="zh-CN"/>
        </w:rPr>
        <w:t>4</w:t>
      </w:r>
      <w:r>
        <w:rPr>
          <w:rFonts w:hint="eastAsia"/>
          <w:b/>
          <w:bCs/>
          <w:spacing w:val="-8"/>
          <w:lang w:eastAsia="zh-CN"/>
        </w:rPr>
        <w:t>-0</w:t>
      </w:r>
      <w:r>
        <w:rPr>
          <w:rFonts w:hint="eastAsia"/>
          <w:b/>
          <w:bCs/>
          <w:spacing w:val="-8"/>
          <w:lang w:val="en-US" w:eastAsia="zh-CN"/>
        </w:rPr>
        <w:t>18</w:t>
      </w:r>
    </w:p>
    <w:p>
      <w:pPr>
        <w:pStyle w:val="3"/>
        <w:spacing w:before="117" w:line="220" w:lineRule="auto"/>
        <w:jc w:val="both"/>
        <w:outlineLvl w:val="0"/>
        <w:rPr>
          <w:color w:val="FF0000"/>
          <w:sz w:val="36"/>
          <w:szCs w:val="36"/>
          <w:lang w:eastAsia="zh-CN"/>
          <w14:textOutline w14:w="6527" w14:cap="flat" w14:cmpd="sng" w14:algn="ctr">
            <w14:solidFill>
              <w14:srgbClr w14:val="FF0000"/>
            </w14:solidFill>
            <w14:prstDash w14:val="solid"/>
            <w14:miter w14:val="0"/>
          </w14:textOutline>
        </w:rPr>
      </w:pPr>
    </w:p>
    <w:p>
      <w:pPr>
        <w:widowControl w:val="0"/>
        <w:kinsoku/>
        <w:autoSpaceDE/>
        <w:autoSpaceDN/>
        <w:spacing w:before="156" w:beforeLines="50" w:line="560" w:lineRule="exact"/>
        <w:jc w:val="center"/>
        <w:textAlignment w:val="auto"/>
        <w:rPr>
          <w:rFonts w:hint="eastAsia" w:ascii="宋体" w:hAnsi="宋体" w:eastAsia="宋体" w:cs="仿宋_GB2312"/>
          <w:b/>
          <w:bCs/>
          <w:snapToGrid/>
          <w:color w:val="FF0000"/>
          <w:kern w:val="2"/>
          <w:sz w:val="36"/>
          <w:szCs w:val="36"/>
          <w:lang w:eastAsia="zh-CN"/>
        </w:rPr>
      </w:pPr>
      <w:r>
        <w:rPr>
          <w:rFonts w:hint="eastAsia" w:ascii="宋体" w:hAnsi="宋体" w:eastAsia="宋体" w:cs="仿宋_GB2312"/>
          <w:b/>
          <w:bCs/>
          <w:snapToGrid/>
          <w:color w:val="FF0000"/>
          <w:kern w:val="2"/>
          <w:sz w:val="36"/>
          <w:szCs w:val="36"/>
          <w:lang w:eastAsia="zh-CN"/>
        </w:rPr>
        <w:t>重庆望变电气（集团）股份有限公司</w:t>
      </w:r>
    </w:p>
    <w:p>
      <w:pPr>
        <w:widowControl w:val="0"/>
        <w:kinsoku/>
        <w:autoSpaceDE/>
        <w:autoSpaceDN/>
        <w:spacing w:before="156" w:beforeLines="50" w:line="560" w:lineRule="exact"/>
        <w:jc w:val="center"/>
        <w:textAlignment w:val="auto"/>
        <w:rPr>
          <w:rFonts w:hint="eastAsia" w:ascii="宋体" w:hAnsi="宋体" w:eastAsia="宋体" w:cs="仿宋_GB2312"/>
          <w:b/>
          <w:bCs/>
          <w:snapToGrid/>
          <w:color w:val="FF0000"/>
          <w:kern w:val="2"/>
          <w:sz w:val="36"/>
          <w:szCs w:val="36"/>
          <w:lang w:eastAsia="zh-CN"/>
        </w:rPr>
      </w:pPr>
      <w:r>
        <w:rPr>
          <w:rFonts w:hint="eastAsia" w:ascii="宋体" w:hAnsi="宋体" w:eastAsia="宋体" w:cs="仿宋_GB2312"/>
          <w:b/>
          <w:bCs/>
          <w:snapToGrid/>
          <w:color w:val="FF0000"/>
          <w:kern w:val="2"/>
          <w:sz w:val="36"/>
          <w:szCs w:val="36"/>
          <w:lang w:eastAsia="zh-CN"/>
        </w:rPr>
        <w:t>关于向公司2024年限制性股票激励计划激励对象</w:t>
      </w:r>
    </w:p>
    <w:p>
      <w:pPr>
        <w:widowControl w:val="0"/>
        <w:kinsoku/>
        <w:autoSpaceDE/>
        <w:autoSpaceDN/>
        <w:spacing w:before="156" w:beforeLines="50" w:line="560" w:lineRule="exact"/>
        <w:jc w:val="center"/>
        <w:textAlignment w:val="auto"/>
        <w:rPr>
          <w:rFonts w:hint="eastAsia" w:ascii="宋体" w:hAnsi="宋体" w:eastAsia="宋体" w:cs="仿宋_GB2312"/>
          <w:b/>
          <w:bCs/>
          <w:snapToGrid/>
          <w:color w:val="FF0000"/>
          <w:kern w:val="2"/>
          <w:sz w:val="36"/>
          <w:szCs w:val="36"/>
          <w:lang w:eastAsia="zh-CN"/>
        </w:rPr>
      </w:pPr>
      <w:r>
        <w:rPr>
          <w:rFonts w:hint="eastAsia" w:ascii="宋体" w:hAnsi="宋体" w:eastAsia="宋体" w:cs="仿宋_GB2312"/>
          <w:b/>
          <w:bCs/>
          <w:snapToGrid/>
          <w:color w:val="FF0000"/>
          <w:kern w:val="2"/>
          <w:sz w:val="36"/>
          <w:szCs w:val="36"/>
          <w:lang w:eastAsia="zh-CN"/>
        </w:rPr>
        <w:t>首次授予限制性股票的公告</w:t>
      </w:r>
    </w:p>
    <w:p>
      <w:pPr>
        <w:spacing w:line="130" w:lineRule="exact"/>
        <w:rPr>
          <w:color w:val="FF0000"/>
          <w:sz w:val="36"/>
          <w:szCs w:val="36"/>
          <w:lang w:eastAsia="zh-CN"/>
          <w14:textOutline w14:w="6527" w14:cap="flat" w14:cmpd="sng" w14:algn="ctr">
            <w14:solidFill>
              <w14:srgbClr w14:val="FF0000"/>
            </w14:solidFill>
            <w14:prstDash w14:val="solid"/>
            <w14:miter w14:val="0"/>
          </w14:textOutline>
        </w:rPr>
      </w:pPr>
    </w:p>
    <w:tbl>
      <w:tblPr>
        <w:tblStyle w:val="12"/>
        <w:tblW w:w="8595" w:type="dxa"/>
        <w:tblInd w:w="2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59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180" w:hRule="atLeast"/>
        </w:trPr>
        <w:tc>
          <w:tcPr>
            <w:tcW w:w="8595" w:type="dxa"/>
          </w:tcPr>
          <w:p>
            <w:pPr>
              <w:spacing w:before="310" w:line="231" w:lineRule="auto"/>
              <w:ind w:left="151" w:right="61" w:firstLine="484"/>
              <w:rPr>
                <w:rFonts w:ascii="宋体" w:hAnsi="宋体" w:eastAsia="宋体" w:cs="宋体"/>
                <w:sz w:val="24"/>
                <w:szCs w:val="24"/>
                <w:lang w:eastAsia="zh-CN"/>
              </w:rPr>
            </w:pPr>
            <w:r>
              <w:rPr>
                <w:rFonts w:hint="eastAsia" w:ascii="宋体" w:hAnsi="宋体" w:eastAsia="宋体" w:cs="宋体"/>
                <w:color w:val="auto"/>
                <w:spacing w:val="-12"/>
                <w:sz w:val="24"/>
                <w:szCs w:val="24"/>
                <w:lang w:eastAsia="zh-CN"/>
              </w:rPr>
              <w:t>本公司董事会及全体董事保证本公告内容不存在任何虚假记载、误导性陈 述或者重大遗漏， 并对其内容的真实性、准确性和完整性承担个别及连带责任。</w:t>
            </w:r>
          </w:p>
        </w:tc>
      </w:tr>
    </w:tbl>
    <w:p>
      <w:pPr>
        <w:spacing w:line="309" w:lineRule="auto"/>
        <w:rPr>
          <w:lang w:eastAsia="zh-CN"/>
        </w:rPr>
      </w:pPr>
    </w:p>
    <w:p>
      <w:pPr>
        <w:spacing w:line="309" w:lineRule="auto"/>
        <w:rPr>
          <w:lang w:eastAsia="zh-CN"/>
        </w:rPr>
      </w:pPr>
    </w:p>
    <w:p>
      <w:pPr>
        <w:pStyle w:val="3"/>
        <w:keepNext w:val="0"/>
        <w:keepLines w:val="0"/>
        <w:pageBreakBefore w:val="0"/>
        <w:kinsoku w:val="0"/>
        <w:wordWrap/>
        <w:topLinePunct w:val="0"/>
        <w:autoSpaceDE w:val="0"/>
        <w:autoSpaceDN w:val="0"/>
        <w:bidi w:val="0"/>
        <w:adjustRightInd w:val="0"/>
        <w:snapToGrid w:val="0"/>
        <w:spacing w:before="78" w:line="360" w:lineRule="auto"/>
        <w:ind w:left="26"/>
        <w:textAlignment w:val="baseline"/>
        <w:rPr>
          <w:rFonts w:hint="eastAsia" w:ascii="宋体" w:hAnsi="宋体" w:eastAsia="宋体" w:cs="宋体"/>
          <w:spacing w:val="-2"/>
          <w:sz w:val="24"/>
          <w:szCs w:val="24"/>
          <w:lang w:eastAsia="zh-CN"/>
          <w14:textOutline w14:w="4356" w14:cap="flat" w14:cmpd="sng" w14:algn="ctr">
            <w14:solidFill>
              <w14:srgbClr w14:val="000000"/>
            </w14:solidFill>
            <w14:prstDash w14:val="solid"/>
            <w14:miter w14:val="0"/>
          </w14:textOutline>
        </w:rPr>
      </w:pPr>
      <w:r>
        <w:rPr>
          <w:rFonts w:hint="eastAsia" w:ascii="宋体" w:hAnsi="宋体" w:eastAsia="宋体" w:cs="宋体"/>
          <w:spacing w:val="-2"/>
          <w:sz w:val="24"/>
          <w:szCs w:val="24"/>
          <w:lang w:eastAsia="zh-CN"/>
          <w14:textOutline w14:w="4356" w14:cap="flat" w14:cmpd="sng" w14:algn="ctr">
            <w14:solidFill>
              <w14:srgbClr w14:val="000000"/>
            </w14:solidFill>
            <w14:prstDash w14:val="solid"/>
            <w14:miter w14:val="0"/>
          </w14:textOutline>
        </w:rPr>
        <w:t>重要内容提示：</w:t>
      </w:r>
    </w:p>
    <w:p>
      <w:pPr>
        <w:keepNext w:val="0"/>
        <w:keepLines w:val="0"/>
        <w:pageBreakBefore w:val="0"/>
        <w:numPr>
          <w:ilvl w:val="0"/>
          <w:numId w:val="1"/>
        </w:numPr>
        <w:kinsoku w:val="0"/>
        <w:wordWrap/>
        <w:topLinePunct w:val="0"/>
        <w:autoSpaceDE w:val="0"/>
        <w:autoSpaceDN w:val="0"/>
        <w:bidi w:val="0"/>
        <w:adjustRightInd w:val="0"/>
        <w:snapToGrid w:val="0"/>
        <w:spacing w:line="360" w:lineRule="auto"/>
        <w:ind w:left="420" w:leftChars="0" w:hanging="42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首次授予日：2024年3月5日</w:t>
      </w:r>
    </w:p>
    <w:p>
      <w:pPr>
        <w:keepNext w:val="0"/>
        <w:keepLines w:val="0"/>
        <w:pageBreakBefore w:val="0"/>
        <w:numPr>
          <w:ilvl w:val="0"/>
          <w:numId w:val="1"/>
        </w:numPr>
        <w:kinsoku w:val="0"/>
        <w:wordWrap/>
        <w:topLinePunct w:val="0"/>
        <w:autoSpaceDE w:val="0"/>
        <w:autoSpaceDN w:val="0"/>
        <w:bidi w:val="0"/>
        <w:adjustRightInd w:val="0"/>
        <w:snapToGrid w:val="0"/>
        <w:spacing w:line="360" w:lineRule="auto"/>
        <w:ind w:left="420" w:leftChars="0" w:hanging="42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首次授予数量：260万股</w:t>
      </w:r>
    </w:p>
    <w:p>
      <w:pPr>
        <w:keepNext w:val="0"/>
        <w:keepLines w:val="0"/>
        <w:pageBreakBefore w:val="0"/>
        <w:numPr>
          <w:ilvl w:val="0"/>
          <w:numId w:val="1"/>
        </w:numPr>
        <w:kinsoku w:val="0"/>
        <w:wordWrap/>
        <w:topLinePunct w:val="0"/>
        <w:autoSpaceDE w:val="0"/>
        <w:autoSpaceDN w:val="0"/>
        <w:bidi w:val="0"/>
        <w:adjustRightInd w:val="0"/>
        <w:snapToGrid w:val="0"/>
        <w:spacing w:line="360" w:lineRule="auto"/>
        <w:ind w:left="420" w:leftChars="0" w:hanging="420" w:firstLineChars="0"/>
        <w:jc w:val="both"/>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2"/>
          <w:sz w:val="24"/>
          <w:szCs w:val="24"/>
          <w:lang w:val="en-US" w:eastAsia="zh-CN"/>
        </w:rPr>
        <w:t>首次授予价格：8.09元/股</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480" w:firstLineChars="200"/>
        <w:jc w:val="both"/>
        <w:textAlignment w:val="auto"/>
        <w:rPr>
          <w:rFonts w:hint="eastAsia" w:ascii="宋体" w:hAnsi="宋体" w:eastAsiaTheme="minorEastAsia" w:cstheme="minorBidi"/>
          <w:snapToGrid/>
          <w:kern w:val="2"/>
          <w:sz w:val="24"/>
          <w:szCs w:val="24"/>
          <w:lang w:val="en-US" w:eastAsia="zh-CN"/>
        </w:rPr>
      </w:pPr>
      <w:r>
        <w:rPr>
          <w:rFonts w:hint="eastAsia" w:ascii="宋体" w:hAnsi="宋体" w:eastAsiaTheme="minorEastAsia" w:cstheme="minorBidi"/>
          <w:snapToGrid/>
          <w:kern w:val="2"/>
          <w:sz w:val="24"/>
          <w:szCs w:val="24"/>
          <w:lang w:val="en-US" w:eastAsia="zh-CN"/>
        </w:rPr>
        <w:t>重庆望变电气（集团）股份有限公司（以下简称“公司”）于2024年3月5日召开第四届董事会第三次会议、第四届监事会第三次会议审议通过了《关于向公司2024年限制性股票激励计划激励对象首次授予限制性股票的议案》。根据公司《2024年限制性股票激励计划》（以下简称“《激励计划》”或“本次激励计划”）的规定和公司2024年第一次临时股东大会的授权，董事会认为本次激励计划的首次授予条件已经成就，同意确认2024年3月5日为首次授予日，授予58名激励对象260万股限制性股票。现将相关内容公告如下：</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color w:val="auto"/>
          <w:spacing w:val="-2"/>
          <w:sz w:val="24"/>
          <w:szCs w:val="24"/>
          <w:lang w:val="en-US" w:eastAsia="zh-CN"/>
          <w14:textOutline w14:w="4356" w14:cap="flat" w14:cmpd="sng" w14:algn="ctr">
            <w14:solidFill>
              <w14:srgbClr w14:val="000000"/>
            </w14:solidFill>
            <w14:prstDash w14:val="solid"/>
            <w14:miter w14:val="0"/>
          </w14:textOutline>
        </w:rPr>
      </w:pPr>
      <w:r>
        <w:rPr>
          <w:rFonts w:hint="eastAsia" w:ascii="宋体" w:hAnsi="宋体" w:eastAsia="宋体" w:cs="宋体"/>
          <w:color w:val="auto"/>
          <w:spacing w:val="-2"/>
          <w:sz w:val="24"/>
          <w:szCs w:val="24"/>
          <w:lang w:val="en-US" w:eastAsia="zh-CN"/>
          <w14:textOutline w14:w="4356" w14:cap="flat" w14:cmpd="sng" w14:algn="ctr">
            <w14:solidFill>
              <w14:srgbClr w14:val="000000"/>
            </w14:solidFill>
            <w14:prstDash w14:val="solid"/>
            <w14:miter w14:val="0"/>
          </w14:textOutline>
        </w:rPr>
        <w:t>一、权益授予情况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（一）本次权益授予已履行的决策程序和信息披露情况</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18日，公司召开第四届董事会第二次会议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公司独立董事就本次激励计划及其他相关议案发表了独立意见，公司独立董事赵宇就提交股东大会审议本次激励计划相关议案向全体股东征集了投票权，北京市嘉源律师事务所就激励计划出具了法律意见书。</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18日，公司召开第四届监事会第二次会议审议通过了《关于公司&lt;2024年限制性股票激励计划（草案）&gt;及其摘要的议案》《关于核实公司&lt;2024年限制性股票激励计划激励对象名单&gt;的议案》《关于公司&lt;2024年限制性股票激励计划实施考核管理办法&gt;的议案》，公司监事会就激励计划相关出具了核查意见。</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1月22日，公司在上海证券交易所网站（www.sse.com.cn）上披露了《重庆望变电气（集团）股份有限公司2024年限制性股票激励计划激励对象名单》（以下简称激励对象名单），并于2024年1月22日在公司内部通过公司内网公示了激励对象名单，公示时间为2024年1月22日至2024年1月31日。截至公示期满，公司未收到任何组织或个人对本次拟激励对象提出的异议，监事会于2024年2月2日发表了《关于公司2024年限制性股票激励计划激励对象名单的核查意见及公示情况说明》。</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2月6日，公司召开了2024年第一次临时股东大会，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2024年2月7日，公司披露了《关于2024年限制性股票激励计划内幕消息知情人及激励对象买卖公司股票情况的自查公告》。</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2024年3月5日，公司召开了</w:t>
      </w:r>
      <w:r>
        <w:rPr>
          <w:rFonts w:hint="eastAsia" w:cs="宋体"/>
          <w:snapToGrid w:val="0"/>
          <w:color w:val="auto"/>
          <w:spacing w:val="-12"/>
          <w:sz w:val="24"/>
          <w:szCs w:val="24"/>
          <w:lang w:val="en-US" w:eastAsia="zh-CN" w:bidi="ar-SA"/>
        </w:rPr>
        <w:t>第四届</w:t>
      </w:r>
      <w:r>
        <w:rPr>
          <w:rFonts w:hint="eastAsia" w:ascii="宋体" w:hAnsi="宋体"/>
          <w:b w:val="0"/>
          <w:color w:val="auto"/>
          <w:spacing w:val="-12"/>
          <w:sz w:val="24"/>
          <w:szCs w:val="24"/>
          <w:lang w:eastAsia="zh-CN"/>
        </w:rPr>
        <w:t>董事会薪酬与考核委员会</w:t>
      </w:r>
      <w:r>
        <w:rPr>
          <w:rFonts w:hint="eastAsia"/>
          <w:b w:val="0"/>
          <w:color w:val="auto"/>
          <w:spacing w:val="-12"/>
          <w:sz w:val="24"/>
          <w:szCs w:val="24"/>
          <w:lang w:val="en-US" w:eastAsia="zh-CN"/>
        </w:rPr>
        <w:t>第二次会议、</w:t>
      </w:r>
      <w:r>
        <w:rPr>
          <w:rFonts w:hint="eastAsia" w:ascii="宋体" w:hAnsi="宋体" w:eastAsia="宋体" w:cs="宋体"/>
          <w:snapToGrid w:val="0"/>
          <w:color w:val="auto"/>
          <w:spacing w:val="-12"/>
          <w:sz w:val="24"/>
          <w:szCs w:val="24"/>
          <w:lang w:val="en-US" w:eastAsia="zh-CN" w:bidi="ar-SA"/>
        </w:rPr>
        <w:t>第四届董事会第三次会议、第四届监事会第三次会议审议通过了《关于调整公司2024年限制性股票激励计划激励对象名单及授予数量的议案》《关于向公司2024年限制性股票激励计划激励对象首次授予限制性股票的议案》。监事会对相关事项发表了意见，北京市嘉源律师事务所就相关事项出具了法律意见书。</w:t>
      </w:r>
    </w:p>
    <w:p>
      <w:pPr>
        <w:pStyle w:val="3"/>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472"/>
        <w:jc w:val="both"/>
        <w:textAlignment w:val="baseline"/>
        <w:rPr>
          <w:rFonts w:hint="eastAsia" w:ascii="宋体" w:hAnsi="宋体" w:eastAsia="宋体" w:cs="宋体"/>
          <w:snapToGrid w:val="0"/>
          <w:color w:val="auto"/>
          <w:spacing w:val="-12"/>
          <w:sz w:val="24"/>
          <w:szCs w:val="24"/>
          <w:lang w:val="en-US" w:eastAsia="zh-CN" w:bidi="ar-SA"/>
        </w:rPr>
      </w:pPr>
      <w:r>
        <w:rPr>
          <w:rFonts w:hint="eastAsia" w:ascii="宋体" w:hAnsi="宋体" w:eastAsia="宋体" w:cs="宋体"/>
          <w:snapToGrid w:val="0"/>
          <w:color w:val="auto"/>
          <w:spacing w:val="-12"/>
          <w:sz w:val="24"/>
          <w:szCs w:val="24"/>
          <w:lang w:val="en-US" w:eastAsia="zh-CN" w:bidi="ar-SA"/>
        </w:rPr>
        <w:t>董事会关于符合授予条件的说明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rPr>
        <w:t>根据公司《激励计划》中“限制性股票的授予、解除限售条件”，激励对象获授限制性股票的条件为：</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outlineLvl w:val="3"/>
        <w:rPr>
          <w:rFonts w:hint="eastAsia" w:ascii="宋体" w:hAnsi="宋体" w:eastAsia="宋体" w:cs="宋体"/>
          <w:sz w:val="24"/>
          <w:szCs w:val="24"/>
        </w:rPr>
      </w:pPr>
      <w:r>
        <w:rPr>
          <w:rFonts w:hint="eastAsia" w:ascii="宋体" w:hAnsi="宋体" w:eastAsia="宋体" w:cs="宋体"/>
          <w:sz w:val="24"/>
          <w:szCs w:val="24"/>
        </w:rPr>
        <w:t>“1、公司未发生如下任一情形：</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（1）最近一个会计年度财务会计报告被注册会计师出具否定意见或者无法表示意见的审计报告；</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（2）最近一个会计年度财务报告内部控制被注册会计师出具否定意见或者无法表示意见的审计报告；</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（3）上市后最近36个月内出现过未按法律法规、公司章程、公开承诺进行利润分配的情形；</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（4）法律法规规定不得实行股权激励的；</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（5）中国证监会认定的其他情形。</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outlineLvl w:val="3"/>
        <w:rPr>
          <w:rFonts w:hint="eastAsia" w:ascii="宋体" w:hAnsi="宋体" w:eastAsia="宋体" w:cs="宋体"/>
          <w:sz w:val="24"/>
          <w:szCs w:val="24"/>
        </w:rPr>
      </w:pPr>
      <w:r>
        <w:rPr>
          <w:rFonts w:hint="eastAsia" w:ascii="宋体" w:hAnsi="宋体" w:eastAsia="宋体" w:cs="宋体"/>
          <w:sz w:val="24"/>
          <w:szCs w:val="24"/>
        </w:rPr>
        <w:t>2、激励对象未发生如下任一情形：</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outlineLvl w:val="0"/>
        <w:rPr>
          <w:rFonts w:hint="eastAsia" w:ascii="宋体" w:hAnsi="宋体" w:eastAsia="宋体" w:cs="宋体"/>
          <w:sz w:val="24"/>
          <w:szCs w:val="24"/>
        </w:rPr>
      </w:pPr>
      <w:r>
        <w:rPr>
          <w:rFonts w:hint="eastAsia" w:ascii="宋体" w:hAnsi="宋体" w:eastAsia="宋体" w:cs="宋体"/>
          <w:sz w:val="24"/>
          <w:szCs w:val="24"/>
        </w:rPr>
        <w:t>（1）最近12个月内被证券交易所认定为不适当人选；</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（2）最近12个月内被中国证监会及其派出机构认定为不适当人选；</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（3）最近12个月内因重大违法违规行为被中国证监会及其派出机构行政处罚或者采取市场禁入措施；</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（4）具有《公司法》规定的不得担任公司董事、高级管理人员情形的；</w:t>
      </w:r>
    </w:p>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（5）法律法规规定不得参与上市公司股权激励的；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（6）中国证监会认定的其他情形。”</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rPr>
        <w:t>根据《上市公司股权激励管理办法》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以下简称“《</w:t>
      </w:r>
      <w:r>
        <w:rPr>
          <w:rFonts w:hint="eastAsia" w:ascii="宋体" w:hAnsi="宋体" w:eastAsia="宋体" w:cs="宋体"/>
          <w:sz w:val="24"/>
          <w:szCs w:val="24"/>
        </w:rPr>
        <w:t>管理办法</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等相关法律、法规及公司《激励计划》的有关规定，经过认真核查，公司及公司拟授予的激励对象均未发生上述任一情形，董事会认为本次激励计划的首次授予条件已经成就，同意公司本次激励计划的授予日确定</w:t>
      </w:r>
      <w:r>
        <w:rPr>
          <w:rFonts w:hint="eastAsia" w:ascii="宋体" w:hAnsi="宋体" w:eastAsia="宋体" w:cs="宋体"/>
          <w:b w:val="0"/>
          <w:bCs w:val="0"/>
          <w:sz w:val="24"/>
          <w:szCs w:val="24"/>
        </w:rPr>
        <w:t>为2024年3月5日，</w:t>
      </w:r>
      <w:r>
        <w:rPr>
          <w:rFonts w:hint="eastAsia" w:ascii="宋体" w:hAnsi="宋体" w:eastAsia="宋体" w:cs="宋体"/>
          <w:sz w:val="24"/>
          <w:szCs w:val="24"/>
        </w:rPr>
        <w:t>同意向</w:t>
      </w:r>
      <w:r>
        <w:rPr>
          <w:rFonts w:hint="eastAsia" w:ascii="宋体" w:hAnsi="宋体" w:eastAsia="宋体" w:cs="宋体"/>
          <w:sz w:val="24"/>
          <w:szCs w:val="24"/>
          <w:lang w:val="en-US" w:eastAsia="zh-CN"/>
        </w:rPr>
        <w:t>58</w:t>
      </w:r>
      <w:r>
        <w:rPr>
          <w:rFonts w:hint="eastAsia" w:ascii="宋体" w:hAnsi="宋体" w:eastAsia="宋体" w:cs="宋体"/>
          <w:sz w:val="24"/>
          <w:szCs w:val="24"/>
        </w:rPr>
        <w:t>名激励对象授予限制性股票</w:t>
      </w:r>
      <w:r>
        <w:rPr>
          <w:rFonts w:hint="eastAsia" w:ascii="宋体" w:hAnsi="宋体" w:eastAsia="宋体" w:cs="宋体"/>
          <w:sz w:val="24"/>
          <w:szCs w:val="24"/>
          <w:lang w:val="en-US" w:eastAsia="zh-CN"/>
        </w:rPr>
        <w:t>260</w:t>
      </w:r>
      <w:r>
        <w:rPr>
          <w:rFonts w:hint="eastAsia" w:ascii="宋体" w:hAnsi="宋体" w:eastAsia="宋体" w:cs="宋体"/>
          <w:sz w:val="24"/>
          <w:szCs w:val="24"/>
        </w:rPr>
        <w:t>万股，授予价格为人民币8.09元/股。</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472" w:firstLineChars="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权益授予的具体情况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首次授予日： 2024年3月5日。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lang w:val="en-US" w:eastAsia="zh-CN"/>
        </w:rPr>
        <w:t>2、</w:t>
      </w:r>
      <w:r>
        <w:rPr>
          <w:rFonts w:hint="eastAsia" w:ascii="宋体" w:hAnsi="宋体" w:eastAsia="宋体" w:cs="宋体"/>
          <w:sz w:val="24"/>
          <w:szCs w:val="24"/>
        </w:rPr>
        <w:t>首次授予数量：</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260</w:t>
      </w:r>
      <w:r>
        <w:rPr>
          <w:rFonts w:hint="eastAsia" w:ascii="宋体" w:hAnsi="宋体" w:eastAsia="宋体" w:cs="宋体"/>
          <w:sz w:val="24"/>
          <w:szCs w:val="24"/>
          <w:highlight w:val="none"/>
        </w:rPr>
        <w:t>万股。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首次授予人数： </w:t>
      </w:r>
      <w:r>
        <w:rPr>
          <w:rFonts w:hint="eastAsia" w:ascii="宋体" w:hAnsi="宋体" w:eastAsia="宋体" w:cs="宋体"/>
          <w:sz w:val="24"/>
          <w:szCs w:val="24"/>
          <w:highlight w:val="none"/>
          <w:lang w:val="en-US" w:eastAsia="zh-CN"/>
        </w:rPr>
        <w:t>58</w:t>
      </w:r>
      <w:r>
        <w:rPr>
          <w:rFonts w:hint="eastAsia" w:ascii="宋体" w:hAnsi="宋体" w:eastAsia="宋体" w:cs="宋体"/>
          <w:sz w:val="24"/>
          <w:szCs w:val="24"/>
          <w:highlight w:val="none"/>
        </w:rPr>
        <w:t>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首次授予价格： 首次授予的限制性股票授予价格为8.09 元/股。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股票来源： 公司以集中竞价方式回购的本公司人民币A股普通股股票。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、激励计划的有效期、限售期及解除限售安排情况：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）有效期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60" w:firstLineChars="192"/>
        <w:jc w:val="both"/>
        <w:textAlignment w:val="baseline"/>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color w:val="auto"/>
          <w:spacing w:val="-12"/>
          <w:sz w:val="24"/>
          <w:szCs w:val="24"/>
          <w:lang w:val="en-US" w:eastAsia="zh-CN"/>
        </w:rPr>
        <w:t>次</w:t>
      </w:r>
      <w:r>
        <w:rPr>
          <w:rFonts w:hint="eastAsia" w:ascii="宋体" w:hAnsi="宋体" w:eastAsia="宋体" w:cs="宋体"/>
          <w:sz w:val="24"/>
          <w:szCs w:val="24"/>
        </w:rPr>
        <w:t>激励计划有效期自限制性股票首次授予之日起至激励对象获授的限制性股票全部解除限售或回购注销之日止，最长不超过48个月。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）限售期及解除限售安排</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自激励对象获授限制性股票授予之日起12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本计划首次授予的限制性股票解除限售期及各期解除限售时间安排如下表所示：</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2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before="156" w:beforeLines="50" w:line="36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解除限售安排</w:t>
            </w:r>
          </w:p>
        </w:tc>
        <w:tc>
          <w:tcPr>
            <w:tcW w:w="4677"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解除限售时间</w:t>
            </w:r>
          </w:p>
        </w:tc>
        <w:tc>
          <w:tcPr>
            <w:tcW w:w="2181"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line="360" w:lineRule="auto"/>
              <w:jc w:val="left"/>
              <w:textAlignment w:val="baseline"/>
              <w:rPr>
                <w:rFonts w:hint="eastAsia" w:ascii="宋体" w:hAnsi="宋体" w:eastAsia="宋体" w:cs="宋体"/>
                <w:sz w:val="18"/>
                <w:szCs w:val="18"/>
              </w:rPr>
            </w:pPr>
            <w:r>
              <w:rPr>
                <w:rFonts w:hint="eastAsia" w:ascii="宋体" w:hAnsi="宋体" w:eastAsia="宋体" w:cs="宋体"/>
                <w:sz w:val="18"/>
                <w:szCs w:val="18"/>
              </w:rPr>
              <w:t>可解除限售权益数量占授予权益总量的比例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第一个解除限售期</w:t>
            </w:r>
          </w:p>
        </w:tc>
        <w:tc>
          <w:tcPr>
            <w:tcW w:w="4677"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自授予之日起12个月后的首个交易日至授予之日起24个月内的最后一个交易日止</w:t>
            </w:r>
          </w:p>
        </w:tc>
        <w:tc>
          <w:tcPr>
            <w:tcW w:w="2181" w:type="dxa"/>
            <w:vAlign w:val="center"/>
          </w:tcPr>
          <w:p>
            <w:pPr>
              <w:keepNext w:val="0"/>
              <w:keepLines w:val="0"/>
              <w:pageBreakBefore w:val="0"/>
              <w:kinsoku w:val="0"/>
              <w:wordWrap/>
              <w:topLinePunct w:val="0"/>
              <w:autoSpaceDE w:val="0"/>
              <w:autoSpaceDN w:val="0"/>
              <w:bidi w:val="0"/>
              <w:adjustRightInd w:val="0"/>
              <w:snapToGrid w:val="0"/>
              <w:spacing w:line="360" w:lineRule="auto"/>
              <w:ind w:firstLine="420"/>
              <w:textAlignment w:val="baseline"/>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第二个解除限售期</w:t>
            </w:r>
          </w:p>
        </w:tc>
        <w:tc>
          <w:tcPr>
            <w:tcW w:w="4677"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自授予之日起24个月后的首个交易日至授予之日起36个月内的最后一个交易日止</w:t>
            </w:r>
          </w:p>
        </w:tc>
        <w:tc>
          <w:tcPr>
            <w:tcW w:w="2181" w:type="dxa"/>
            <w:vAlign w:val="center"/>
          </w:tcPr>
          <w:p>
            <w:pPr>
              <w:keepNext w:val="0"/>
              <w:keepLines w:val="0"/>
              <w:pageBreakBefore w:val="0"/>
              <w:kinsoku w:val="0"/>
              <w:wordWrap/>
              <w:topLinePunct w:val="0"/>
              <w:autoSpaceDE w:val="0"/>
              <w:autoSpaceDN w:val="0"/>
              <w:bidi w:val="0"/>
              <w:adjustRightInd w:val="0"/>
              <w:snapToGrid w:val="0"/>
              <w:spacing w:line="360" w:lineRule="auto"/>
              <w:ind w:firstLine="420"/>
              <w:textAlignment w:val="baseline"/>
              <w:rPr>
                <w:rFonts w:hint="eastAsia" w:ascii="宋体" w:hAnsi="宋体" w:eastAsia="宋体" w:cs="宋体"/>
                <w:sz w:val="18"/>
                <w:szCs w:val="18"/>
              </w:rPr>
            </w:pPr>
            <w:r>
              <w:rPr>
                <w:rFonts w:hint="eastAsia" w:ascii="宋体" w:hAnsi="宋体" w:eastAsia="宋体" w:cs="宋体"/>
                <w:sz w:val="18"/>
                <w:szCs w:val="18"/>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第三个解除限售期</w:t>
            </w:r>
          </w:p>
        </w:tc>
        <w:tc>
          <w:tcPr>
            <w:tcW w:w="4677"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自授予之日起36个月后的首个交易日至授予之日起48个月内的最后一个交易日止</w:t>
            </w:r>
          </w:p>
        </w:tc>
        <w:tc>
          <w:tcPr>
            <w:tcW w:w="2181" w:type="dxa"/>
            <w:vAlign w:val="center"/>
          </w:tcPr>
          <w:p>
            <w:pPr>
              <w:keepNext w:val="0"/>
              <w:keepLines w:val="0"/>
              <w:pageBreakBefore w:val="0"/>
              <w:kinsoku w:val="0"/>
              <w:wordWrap/>
              <w:topLinePunct w:val="0"/>
              <w:autoSpaceDE w:val="0"/>
              <w:autoSpaceDN w:val="0"/>
              <w:bidi w:val="0"/>
              <w:adjustRightInd w:val="0"/>
              <w:snapToGrid w:val="0"/>
              <w:spacing w:line="360" w:lineRule="auto"/>
              <w:ind w:firstLine="420"/>
              <w:textAlignment w:val="baseline"/>
              <w:rPr>
                <w:rFonts w:hint="eastAsia" w:ascii="宋体" w:hAnsi="宋体" w:eastAsia="宋体" w:cs="宋体"/>
                <w:sz w:val="18"/>
                <w:szCs w:val="18"/>
              </w:rPr>
            </w:pPr>
            <w:r>
              <w:rPr>
                <w:rFonts w:hint="eastAsia" w:ascii="宋体" w:hAnsi="宋体" w:eastAsia="宋体" w:cs="宋体"/>
                <w:sz w:val="18"/>
                <w:szCs w:val="18"/>
              </w:rPr>
              <w:t>40%</w:t>
            </w:r>
          </w:p>
        </w:tc>
      </w:tr>
    </w:tbl>
    <w:p>
      <w:pPr>
        <w:keepNext w:val="0"/>
        <w:keepLines w:val="0"/>
        <w:pageBreakBefore w:val="0"/>
        <w:widowControl/>
        <w:kinsoku w:val="0"/>
        <w:wordWrap/>
        <w:overflowPunct/>
        <w:topLinePunct w:val="0"/>
        <w:autoSpaceDE w:val="0"/>
        <w:autoSpaceDN w:val="0"/>
        <w:bidi w:val="0"/>
        <w:adjustRightInd w:val="0"/>
        <w:snapToGrid w:val="0"/>
        <w:spacing w:before="156" w:beforeLines="50"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若预留部分限制性股票在2024年度授予，则解除限售期及解除限售数量占授予权益总量的比例与首次授予部分一致。若预留部分限制性股票在2025年授予，则解除限售期及解除限售权益数量占授予权益总量的比例如下表所示：</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2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解除限售安排</w:t>
            </w:r>
          </w:p>
        </w:tc>
        <w:tc>
          <w:tcPr>
            <w:tcW w:w="4677"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line="360" w:lineRule="auto"/>
              <w:ind w:firstLine="422"/>
              <w:jc w:val="center"/>
              <w:textAlignment w:val="baseline"/>
              <w:rPr>
                <w:rFonts w:hint="eastAsia" w:ascii="宋体" w:hAnsi="宋体" w:eastAsia="宋体" w:cs="宋体"/>
                <w:sz w:val="18"/>
                <w:szCs w:val="18"/>
              </w:rPr>
            </w:pPr>
            <w:r>
              <w:rPr>
                <w:rFonts w:hint="eastAsia" w:ascii="宋体" w:hAnsi="宋体" w:eastAsia="宋体" w:cs="宋体"/>
                <w:sz w:val="18"/>
                <w:szCs w:val="18"/>
              </w:rPr>
              <w:t>解除限售时间</w:t>
            </w:r>
          </w:p>
        </w:tc>
        <w:tc>
          <w:tcPr>
            <w:tcW w:w="2181" w:type="dxa"/>
            <w:shd w:val="clear" w:color="auto" w:fill="BFBFBF"/>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sz w:val="18"/>
                <w:szCs w:val="18"/>
              </w:rPr>
            </w:pPr>
            <w:r>
              <w:rPr>
                <w:rFonts w:hint="eastAsia" w:ascii="宋体" w:hAnsi="宋体" w:eastAsia="宋体" w:cs="宋体"/>
                <w:sz w:val="18"/>
                <w:szCs w:val="18"/>
              </w:rPr>
              <w:t>解除限售权益数量占授予权益总量的比例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第一个解除限售期</w:t>
            </w:r>
          </w:p>
        </w:tc>
        <w:tc>
          <w:tcPr>
            <w:tcW w:w="4677"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自预留授予之日起12个月后的首个交易日至预留授予之日起24个月内的最后一个交易日止</w:t>
            </w:r>
          </w:p>
        </w:tc>
        <w:tc>
          <w:tcPr>
            <w:tcW w:w="2181" w:type="dxa"/>
            <w:vAlign w:val="center"/>
          </w:tcPr>
          <w:p>
            <w:pPr>
              <w:keepNext w:val="0"/>
              <w:keepLines w:val="0"/>
              <w:pageBreakBefore w:val="0"/>
              <w:kinsoku w:val="0"/>
              <w:wordWrap/>
              <w:topLinePunct w:val="0"/>
              <w:autoSpaceDE w:val="0"/>
              <w:autoSpaceDN w:val="0"/>
              <w:bidi w:val="0"/>
              <w:adjustRightInd w:val="0"/>
              <w:snapToGrid w:val="0"/>
              <w:spacing w:line="360" w:lineRule="auto"/>
              <w:ind w:firstLine="420"/>
              <w:textAlignment w:val="baseline"/>
              <w:rPr>
                <w:rFonts w:hint="eastAsia" w:ascii="宋体" w:hAnsi="宋体" w:eastAsia="宋体" w:cs="宋体"/>
                <w:sz w:val="18"/>
                <w:szCs w:val="18"/>
              </w:rPr>
            </w:pPr>
            <w:r>
              <w:rPr>
                <w:rFonts w:hint="eastAsia" w:ascii="宋体" w:hAnsi="宋体" w:eastAsia="宋体" w:cs="宋体"/>
                <w:sz w:val="18"/>
                <w:szCs w:val="18"/>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第二个解除限售期</w:t>
            </w:r>
          </w:p>
        </w:tc>
        <w:tc>
          <w:tcPr>
            <w:tcW w:w="4677" w:type="dxa"/>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sz w:val="18"/>
                <w:szCs w:val="18"/>
              </w:rPr>
            </w:pPr>
            <w:r>
              <w:rPr>
                <w:rFonts w:hint="eastAsia" w:ascii="宋体" w:hAnsi="宋体" w:eastAsia="宋体" w:cs="宋体"/>
                <w:sz w:val="18"/>
                <w:szCs w:val="18"/>
              </w:rPr>
              <w:t>自预留授予之日起24个月后的首个交易日至预留授予之日起36个月内的最后一个交易日止</w:t>
            </w:r>
          </w:p>
        </w:tc>
        <w:tc>
          <w:tcPr>
            <w:tcW w:w="2181" w:type="dxa"/>
            <w:vAlign w:val="center"/>
          </w:tcPr>
          <w:p>
            <w:pPr>
              <w:keepNext w:val="0"/>
              <w:keepLines w:val="0"/>
              <w:pageBreakBefore w:val="0"/>
              <w:kinsoku w:val="0"/>
              <w:wordWrap/>
              <w:topLinePunct w:val="0"/>
              <w:autoSpaceDE w:val="0"/>
              <w:autoSpaceDN w:val="0"/>
              <w:bidi w:val="0"/>
              <w:adjustRightInd w:val="0"/>
              <w:snapToGrid w:val="0"/>
              <w:spacing w:line="360" w:lineRule="auto"/>
              <w:ind w:firstLine="420"/>
              <w:textAlignment w:val="baseline"/>
              <w:rPr>
                <w:rFonts w:hint="eastAsia" w:ascii="宋体" w:hAnsi="宋体" w:eastAsia="宋体" w:cs="宋体"/>
                <w:sz w:val="18"/>
                <w:szCs w:val="18"/>
              </w:rPr>
            </w:pPr>
            <w:r>
              <w:rPr>
                <w:rFonts w:hint="eastAsia" w:ascii="宋体" w:hAnsi="宋体" w:eastAsia="宋体" w:cs="宋体"/>
                <w:sz w:val="18"/>
                <w:szCs w:val="18"/>
              </w:rPr>
              <w:t>50%</w:t>
            </w:r>
          </w:p>
        </w:tc>
      </w:tr>
    </w:tbl>
    <w:p>
      <w:pPr>
        <w:pStyle w:val="3"/>
        <w:keepNext w:val="0"/>
        <w:keepLines w:val="0"/>
        <w:pageBreakBefore w:val="0"/>
        <w:kinsoku w:val="0"/>
        <w:wordWrap/>
        <w:topLinePunct w:val="0"/>
        <w:autoSpaceDE w:val="0"/>
        <w:autoSpaceDN w:val="0"/>
        <w:bidi w:val="0"/>
        <w:adjustRightInd w:val="0"/>
        <w:snapToGrid w:val="0"/>
        <w:spacing w:before="120" w:line="360" w:lineRule="auto"/>
        <w:textAlignment w:val="baseline"/>
        <w:rPr>
          <w:rFonts w:hint="eastAsia" w:ascii="宋体" w:hAnsi="宋体" w:eastAsia="宋体" w:cs="宋体"/>
          <w:sz w:val="24"/>
          <w:szCs w:val="24"/>
        </w:rPr>
      </w:pPr>
    </w:p>
    <w:p>
      <w:pPr>
        <w:keepNext w:val="0"/>
        <w:keepLines w:val="0"/>
        <w:pageBreakBefore w:val="0"/>
        <w:numPr>
          <w:ilvl w:val="0"/>
          <w:numId w:val="0"/>
        </w:numPr>
        <w:kinsoku w:val="0"/>
        <w:wordWrap/>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val="0"/>
          <w:bCs w:val="0"/>
          <w:sz w:val="24"/>
          <w:szCs w:val="24"/>
          <w:lang w:val="en-US" w:eastAsia="zh-CN"/>
        </w:rPr>
      </w:pPr>
    </w:p>
    <w:p>
      <w:pPr>
        <w:keepNext w:val="0"/>
        <w:keepLines w:val="0"/>
        <w:pageBreakBefore w:val="0"/>
        <w:numPr>
          <w:ilvl w:val="0"/>
          <w:numId w:val="0"/>
        </w:numPr>
        <w:kinsoku w:val="0"/>
        <w:wordWrap/>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b/>
          <w:bCs/>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激励对象名单及授予情况</w:t>
      </w:r>
    </w:p>
    <w:tbl>
      <w:tblPr>
        <w:tblStyle w:val="8"/>
        <w:tblW w:w="507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247"/>
        <w:gridCol w:w="829"/>
        <w:gridCol w:w="1823"/>
        <w:gridCol w:w="1445"/>
        <w:gridCol w:w="1545"/>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5"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姓名</w:t>
            </w:r>
          </w:p>
        </w:tc>
        <w:tc>
          <w:tcPr>
            <w:tcW w:w="482"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国籍</w:t>
            </w:r>
          </w:p>
        </w:tc>
        <w:tc>
          <w:tcPr>
            <w:tcW w:w="1059"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职务</w:t>
            </w:r>
          </w:p>
        </w:tc>
        <w:tc>
          <w:tcPr>
            <w:tcW w:w="841"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获授的限制性股票数量（万股）</w:t>
            </w:r>
          </w:p>
        </w:tc>
        <w:tc>
          <w:tcPr>
            <w:tcW w:w="899"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占授予限制性股票总数的比例</w:t>
            </w:r>
          </w:p>
        </w:tc>
        <w:tc>
          <w:tcPr>
            <w:tcW w:w="972" w:type="pct"/>
            <w:shd w:val="clear" w:color="auto" w:fill="BFBFB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占本激励计划公告时股本总额的比例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4981" w:type="pct"/>
            <w:gridSpan w:val="6"/>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一、董事、高级管理人员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杨林</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22.00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6.88%</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胡守天</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2.81%</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王海波</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董事、副总经理</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2.81%</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付康</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董事</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2.81%</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李代萍</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副总经理、董事会秘书</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2.81%</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刘柏林</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19.00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5.94%</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肖永号</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副总经理</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9.00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2.81%</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725"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杨万华</w:t>
            </w:r>
          </w:p>
        </w:tc>
        <w:tc>
          <w:tcPr>
            <w:tcW w:w="48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中国</w:t>
            </w:r>
          </w:p>
        </w:tc>
        <w:tc>
          <w:tcPr>
            <w:tcW w:w="105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财务总监</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7.00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2.19%</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小计</w:t>
            </w:r>
          </w:p>
        </w:tc>
        <w:tc>
          <w:tcPr>
            <w:tcW w:w="841"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93</w:t>
            </w:r>
            <w:r>
              <w:rPr>
                <w:rFonts w:hint="eastAsia" w:ascii="宋体" w:hAnsi="宋体" w:eastAsia="宋体" w:cs="宋体"/>
                <w:b/>
                <w:color w:val="000000"/>
                <w:sz w:val="18"/>
                <w:szCs w:val="18"/>
                <w:highlight w:val="none"/>
              </w:rPr>
              <w:t>.00</w:t>
            </w:r>
          </w:p>
        </w:tc>
        <w:tc>
          <w:tcPr>
            <w:tcW w:w="899"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bCs/>
                <w:color w:val="000000"/>
                <w:sz w:val="18"/>
                <w:szCs w:val="18"/>
                <w:highlight w:val="none"/>
              </w:rPr>
              <w:t>29.06</w:t>
            </w:r>
            <w:r>
              <w:rPr>
                <w:rFonts w:hint="eastAsia" w:ascii="宋体" w:hAnsi="宋体" w:eastAsia="宋体" w:cs="宋体"/>
                <w:b/>
                <w:color w:val="000000"/>
                <w:sz w:val="18"/>
                <w:szCs w:val="18"/>
                <w:highlight w:val="none"/>
              </w:rPr>
              <w:t>%</w:t>
            </w:r>
          </w:p>
        </w:tc>
        <w:tc>
          <w:tcPr>
            <w:tcW w:w="972" w:type="pct"/>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0.</w:t>
            </w:r>
            <w:r>
              <w:rPr>
                <w:rFonts w:hint="eastAsia" w:ascii="宋体" w:hAnsi="宋体" w:eastAsia="宋体" w:cs="宋体"/>
                <w:b/>
                <w:bCs/>
                <w:color w:val="000000"/>
                <w:sz w:val="18"/>
                <w:szCs w:val="18"/>
                <w:highlight w:val="none"/>
              </w:rPr>
              <w:t>28</w:t>
            </w:r>
            <w:r>
              <w:rPr>
                <w:rFonts w:hint="eastAsia" w:ascii="宋体" w:hAnsi="宋体" w:eastAsia="宋体" w:cs="宋体"/>
                <w:b/>
                <w:color w:val="000000"/>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二、董事会认为需要激励的其他人员（</w:t>
            </w:r>
            <w:bookmarkStart w:id="0" w:name="_GoBack"/>
            <w:bookmarkEnd w:id="0"/>
            <w:r>
              <w:rPr>
                <w:rFonts w:hint="eastAsia" w:ascii="宋体" w:hAnsi="宋体" w:eastAsia="宋体" w:cs="宋体"/>
                <w:b/>
                <w:color w:val="000000"/>
                <w:sz w:val="18"/>
                <w:szCs w:val="18"/>
                <w:highlight w:val="none"/>
              </w:rPr>
              <w:t>5</w:t>
            </w:r>
            <w:r>
              <w:rPr>
                <w:rFonts w:hint="eastAsia" w:ascii="宋体" w:hAnsi="宋体" w:eastAsia="宋体" w:cs="宋体"/>
                <w:b/>
                <w:color w:val="000000"/>
                <w:sz w:val="18"/>
                <w:szCs w:val="18"/>
                <w:highlight w:val="none"/>
                <w:lang w:val="en-US" w:eastAsia="zh-CN"/>
              </w:rPr>
              <w:t>0</w:t>
            </w:r>
            <w:r>
              <w:rPr>
                <w:rFonts w:hint="eastAsia" w:ascii="宋体" w:hAnsi="宋体" w:eastAsia="宋体" w:cs="宋体"/>
                <w:b/>
                <w:color w:val="000000"/>
                <w:sz w:val="18"/>
                <w:szCs w:val="18"/>
                <w:highlight w:val="none"/>
              </w:rPr>
              <w:t>人）</w:t>
            </w:r>
          </w:p>
        </w:tc>
        <w:tc>
          <w:tcPr>
            <w:tcW w:w="1521"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bCs/>
                <w:color w:val="000000"/>
                <w:sz w:val="18"/>
                <w:szCs w:val="18"/>
              </w:rPr>
              <w:t>167</w:t>
            </w:r>
            <w:r>
              <w:rPr>
                <w:rFonts w:hint="eastAsia" w:ascii="宋体" w:hAnsi="宋体" w:eastAsia="宋体" w:cs="宋体"/>
                <w:b/>
                <w:color w:val="000000"/>
                <w:sz w:val="18"/>
                <w:szCs w:val="18"/>
              </w:rPr>
              <w:t>.00</w:t>
            </w:r>
          </w:p>
        </w:tc>
        <w:tc>
          <w:tcPr>
            <w:tcW w:w="1626"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bCs/>
                <w:color w:val="000000"/>
                <w:sz w:val="18"/>
                <w:szCs w:val="18"/>
              </w:rPr>
              <w:t>52.19</w:t>
            </w:r>
            <w:r>
              <w:rPr>
                <w:rFonts w:hint="eastAsia" w:ascii="宋体" w:hAnsi="宋体" w:eastAsia="宋体" w:cs="宋体"/>
                <w:b/>
                <w:color w:val="000000"/>
                <w:sz w:val="18"/>
                <w:szCs w:val="18"/>
              </w:rPr>
              <w:t>%</w:t>
            </w:r>
          </w:p>
        </w:tc>
        <w:tc>
          <w:tcPr>
            <w:tcW w:w="1763"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rPr>
              <w:t>0.</w:t>
            </w:r>
            <w:r>
              <w:rPr>
                <w:rFonts w:hint="eastAsia" w:ascii="宋体" w:hAnsi="宋体" w:eastAsia="宋体" w:cs="宋体"/>
                <w:b/>
                <w:bCs/>
                <w:color w:val="000000"/>
                <w:sz w:val="18"/>
                <w:szCs w:val="18"/>
              </w:rPr>
              <w:t>50</w:t>
            </w:r>
            <w:r>
              <w:rPr>
                <w:rFonts w:hint="eastAsia" w:ascii="宋体" w:hAnsi="宋体" w:eastAsia="宋体" w:cs="宋体"/>
                <w:b/>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三、预留部分</w:t>
            </w:r>
          </w:p>
        </w:tc>
        <w:tc>
          <w:tcPr>
            <w:tcW w:w="1521"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kern w:val="2"/>
                <w:sz w:val="18"/>
                <w:szCs w:val="18"/>
              </w:rPr>
              <w:t>60.00</w:t>
            </w:r>
          </w:p>
        </w:tc>
        <w:tc>
          <w:tcPr>
            <w:tcW w:w="1626"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rPr>
              <w:t>18.75%</w:t>
            </w:r>
          </w:p>
        </w:tc>
        <w:tc>
          <w:tcPr>
            <w:tcW w:w="1763"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rPr>
              <w:t>0.18%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67" w:type="pct"/>
            <w:gridSpan w:val="3"/>
            <w:shd w:val="clear" w:color="auto" w:fill="FFFFFF"/>
            <w:tcMar>
              <w:top w:w="0" w:type="dxa"/>
              <w:left w:w="0" w:type="dxa"/>
              <w:bottom w:w="0" w:type="dxa"/>
              <w:right w:w="0" w:type="dxa"/>
            </w:tcMar>
            <w:vAlign w:val="center"/>
          </w:tcPr>
          <w:p>
            <w:pPr>
              <w:keepNext w:val="0"/>
              <w:keepLines w:val="0"/>
              <w:pageBreakBefore w:val="0"/>
              <w:kinsoku w:val="0"/>
              <w:wordWrap/>
              <w:topLinePunct w:val="0"/>
              <w:autoSpaceDE w:val="0"/>
              <w:autoSpaceDN w:val="0"/>
              <w:bidi w:val="0"/>
              <w:adjustRightInd w:val="0"/>
              <w:snapToGrid w:val="0"/>
              <w:spacing w:line="360" w:lineRule="auto"/>
              <w:jc w:val="center"/>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sz w:val="18"/>
                <w:szCs w:val="18"/>
                <w:highlight w:val="none"/>
              </w:rPr>
              <w:t>合计</w:t>
            </w:r>
          </w:p>
        </w:tc>
        <w:tc>
          <w:tcPr>
            <w:tcW w:w="1521"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kern w:val="2"/>
                <w:sz w:val="18"/>
                <w:szCs w:val="18"/>
              </w:rPr>
              <w:t>320.00</w:t>
            </w:r>
          </w:p>
        </w:tc>
        <w:tc>
          <w:tcPr>
            <w:tcW w:w="1626"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kern w:val="2"/>
                <w:sz w:val="18"/>
                <w:szCs w:val="18"/>
              </w:rPr>
              <w:t>100.00%</w:t>
            </w:r>
          </w:p>
        </w:tc>
        <w:tc>
          <w:tcPr>
            <w:tcW w:w="1763" w:type="dxa"/>
            <w:shd w:val="clear" w:color="auto" w:fill="FFFFFF"/>
            <w:tcMar>
              <w:top w:w="0" w:type="dxa"/>
              <w:left w:w="0" w:type="dxa"/>
              <w:bottom w:w="0" w:type="dxa"/>
              <w:right w:w="0" w:type="dxa"/>
            </w:tcMar>
            <w:vAlign w:val="center"/>
          </w:tcPr>
          <w:p>
            <w:pPr>
              <w:keepNext w:val="0"/>
              <w:keepLines w:val="0"/>
              <w:pageBreakBefore w:val="0"/>
              <w:widowControl w:val="0"/>
              <w:kinsoku w:val="0"/>
              <w:wordWrap/>
              <w:topLinePunct w:val="0"/>
              <w:autoSpaceDE w:val="0"/>
              <w:autoSpaceDN w:val="0"/>
              <w:bidi w:val="0"/>
              <w:adjustRightInd w:val="0"/>
              <w:snapToGrid w:val="0"/>
              <w:spacing w:after="0" w:line="360" w:lineRule="auto"/>
              <w:jc w:val="right"/>
              <w:textAlignment w:val="baseline"/>
              <w:rPr>
                <w:rFonts w:hint="eastAsia" w:ascii="宋体" w:hAnsi="宋体" w:eastAsia="宋体" w:cs="宋体"/>
                <w:b/>
                <w:color w:val="000000"/>
                <w:sz w:val="18"/>
                <w:szCs w:val="18"/>
                <w:highlight w:val="none"/>
              </w:rPr>
            </w:pPr>
            <w:r>
              <w:rPr>
                <w:rFonts w:hint="eastAsia" w:ascii="宋体" w:hAnsi="宋体" w:eastAsia="宋体" w:cs="宋体"/>
                <w:b/>
                <w:color w:val="000000"/>
                <w:kern w:val="2"/>
                <w:sz w:val="18"/>
                <w:szCs w:val="18"/>
              </w:rPr>
              <w:t>0.96%</w:t>
            </w:r>
          </w:p>
        </w:tc>
      </w:tr>
    </w:tbl>
    <w:p>
      <w:pPr>
        <w:keepNext w:val="0"/>
        <w:keepLines w:val="0"/>
        <w:pageBreakBefore w:val="0"/>
        <w:kinsoku w:val="0"/>
        <w:wordWrap/>
        <w:topLinePunct w:val="0"/>
        <w:autoSpaceDE w:val="0"/>
        <w:autoSpaceDN w:val="0"/>
        <w:bidi w:val="0"/>
        <w:adjustRightInd w:val="0"/>
        <w:snapToGrid w:val="0"/>
        <w:spacing w:line="560" w:lineRule="exact"/>
        <w:ind w:firstLine="420"/>
        <w:jc w:val="both"/>
        <w:textAlignment w:val="baseline"/>
        <w:rPr>
          <w:rFonts w:hint="eastAsia" w:ascii="宋体" w:hAnsi="宋体" w:eastAsia="宋体" w:cs="宋体"/>
          <w:sz w:val="21"/>
          <w:szCs w:val="21"/>
        </w:rPr>
      </w:pPr>
      <w:r>
        <w:rPr>
          <w:rFonts w:hint="eastAsia" w:ascii="宋体" w:hAnsi="宋体" w:eastAsia="宋体" w:cs="宋体"/>
          <w:sz w:val="21"/>
          <w:szCs w:val="21"/>
        </w:rPr>
        <w:t>注：1、上述任何一名激励对象通过全部在有效期内的股权激励计划获授的本公司股票，累计不超过本计划提交股东大会审议时公司股本总额的1%。公司全部有效的激励计划所涉及的标的股票总数累计不超过股权激励计划提交股东大会审议时公司股本总额的10%。</w:t>
      </w:r>
    </w:p>
    <w:p>
      <w:pPr>
        <w:keepNext w:val="0"/>
        <w:keepLines w:val="0"/>
        <w:pageBreakBefore w:val="0"/>
        <w:kinsoku w:val="0"/>
        <w:wordWrap/>
        <w:topLinePunct w:val="0"/>
        <w:autoSpaceDE w:val="0"/>
        <w:autoSpaceDN w:val="0"/>
        <w:bidi w:val="0"/>
        <w:adjustRightInd w:val="0"/>
        <w:snapToGrid w:val="0"/>
        <w:spacing w:line="560" w:lineRule="exact"/>
        <w:ind w:firstLine="420"/>
        <w:jc w:val="both"/>
        <w:textAlignment w:val="baseline"/>
        <w:rPr>
          <w:rFonts w:hint="eastAsia" w:ascii="宋体" w:hAnsi="宋体" w:eastAsia="宋体" w:cs="宋体"/>
          <w:b/>
          <w:bCs/>
          <w:sz w:val="21"/>
          <w:szCs w:val="21"/>
        </w:rPr>
      </w:pPr>
      <w:r>
        <w:rPr>
          <w:rFonts w:hint="eastAsia" w:ascii="宋体" w:hAnsi="宋体" w:eastAsia="宋体" w:cs="宋体"/>
          <w:sz w:val="21"/>
          <w:szCs w:val="21"/>
        </w:rPr>
        <w:t>2、本计划激励对象不包括独立董事、监事及单独或合计持有公司5%以上股份的股东或实际控制人及其配偶、父母、子女。</w:t>
      </w:r>
    </w:p>
    <w:p>
      <w:pPr>
        <w:keepNext w:val="0"/>
        <w:keepLines w:val="0"/>
        <w:pageBreakBefore w:val="0"/>
        <w:numPr>
          <w:ilvl w:val="0"/>
          <w:numId w:val="0"/>
        </w:numPr>
        <w:kinsoku w:val="0"/>
        <w:wordWrap/>
        <w:topLinePunct w:val="0"/>
        <w:autoSpaceDE w:val="0"/>
        <w:autoSpaceDN w:val="0"/>
        <w:bidi w:val="0"/>
        <w:adjustRightInd w:val="0"/>
        <w:snapToGrid w:val="0"/>
        <w:spacing w:line="560" w:lineRule="exact"/>
        <w:ind w:left="360" w:leftChars="0"/>
        <w:jc w:val="both"/>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本次实施的激励计划与股东大会通过的激励计划的差异情况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鉴于公司本</w:t>
      </w:r>
      <w:r>
        <w:rPr>
          <w:rFonts w:hint="eastAsia" w:ascii="宋体" w:hAnsi="宋体" w:eastAsia="宋体" w:cs="宋体"/>
          <w:color w:val="auto"/>
          <w:spacing w:val="-12"/>
          <w:sz w:val="24"/>
          <w:szCs w:val="24"/>
          <w:lang w:val="en-US" w:eastAsia="zh-CN"/>
        </w:rPr>
        <w:t>次</w:t>
      </w:r>
      <w:r>
        <w:rPr>
          <w:rFonts w:hint="eastAsia" w:ascii="宋体" w:hAnsi="宋体" w:eastAsia="宋体" w:cs="宋体"/>
          <w:sz w:val="24"/>
          <w:szCs w:val="24"/>
        </w:rPr>
        <w:t>激励计划拟首次授予的激励对象中有</w:t>
      </w:r>
      <w:r>
        <w:rPr>
          <w:rFonts w:hint="eastAsia" w:ascii="宋体" w:hAnsi="宋体" w:eastAsia="宋体" w:cs="宋体"/>
          <w:sz w:val="24"/>
          <w:szCs w:val="24"/>
          <w:lang w:val="en-US" w:eastAsia="zh-CN"/>
        </w:rPr>
        <w:t>8人</w:t>
      </w:r>
      <w:r>
        <w:rPr>
          <w:rFonts w:hint="eastAsia" w:ascii="宋体" w:hAnsi="宋体" w:eastAsia="宋体" w:cs="宋体"/>
          <w:sz w:val="24"/>
          <w:szCs w:val="24"/>
        </w:rPr>
        <w:t>由于个人原因放弃认购限制性股票，公司对本</w:t>
      </w:r>
      <w:r>
        <w:rPr>
          <w:rFonts w:hint="eastAsia" w:ascii="宋体" w:hAnsi="宋体" w:eastAsia="宋体" w:cs="宋体"/>
          <w:color w:val="auto"/>
          <w:spacing w:val="-12"/>
          <w:sz w:val="24"/>
          <w:szCs w:val="24"/>
          <w:lang w:val="en-US" w:eastAsia="zh-CN"/>
        </w:rPr>
        <w:t>次</w:t>
      </w:r>
      <w:r>
        <w:rPr>
          <w:rFonts w:hint="eastAsia" w:ascii="宋体" w:hAnsi="宋体" w:eastAsia="宋体" w:cs="宋体"/>
          <w:sz w:val="24"/>
          <w:szCs w:val="24"/>
        </w:rPr>
        <w:t>激励计划授予激励对象人数、名单及各激励对象获授限制性股票数量进行调整。本次调整后，本</w:t>
      </w:r>
      <w:r>
        <w:rPr>
          <w:rFonts w:hint="eastAsia" w:ascii="宋体" w:hAnsi="宋体" w:eastAsia="宋体" w:cs="宋体"/>
          <w:color w:val="auto"/>
          <w:spacing w:val="-12"/>
          <w:sz w:val="24"/>
          <w:szCs w:val="24"/>
          <w:lang w:val="en-US" w:eastAsia="zh-CN"/>
        </w:rPr>
        <w:t>次</w:t>
      </w:r>
      <w:r>
        <w:rPr>
          <w:rFonts w:hint="eastAsia" w:ascii="宋体" w:hAnsi="宋体" w:eastAsia="宋体" w:cs="宋体"/>
          <w:sz w:val="24"/>
          <w:szCs w:val="24"/>
        </w:rPr>
        <w:t>激励计划首次授予的激励对象由</w:t>
      </w:r>
      <w:r>
        <w:rPr>
          <w:rFonts w:hint="eastAsia" w:ascii="宋体" w:hAnsi="宋体" w:eastAsia="宋体" w:cs="宋体"/>
          <w:sz w:val="24"/>
          <w:szCs w:val="24"/>
          <w:lang w:val="en-US" w:eastAsia="zh-CN"/>
        </w:rPr>
        <w:t>66</w:t>
      </w:r>
      <w:r>
        <w:rPr>
          <w:rFonts w:hint="eastAsia" w:ascii="宋体" w:hAnsi="宋体" w:eastAsia="宋体" w:cs="宋体"/>
          <w:sz w:val="24"/>
          <w:szCs w:val="24"/>
        </w:rPr>
        <w:t>人调整为</w:t>
      </w:r>
      <w:r>
        <w:rPr>
          <w:rFonts w:hint="eastAsia" w:ascii="宋体" w:hAnsi="宋体" w:eastAsia="宋体" w:cs="宋体"/>
          <w:sz w:val="24"/>
          <w:szCs w:val="24"/>
          <w:lang w:val="en-US" w:eastAsia="zh-CN"/>
        </w:rPr>
        <w:t>58</w:t>
      </w:r>
      <w:r>
        <w:rPr>
          <w:rFonts w:hint="eastAsia" w:ascii="宋体" w:hAnsi="宋体" w:eastAsia="宋体" w:cs="宋体"/>
          <w:sz w:val="24"/>
          <w:szCs w:val="24"/>
        </w:rPr>
        <w:t>人。因个人原因放弃认购的激励对象原获授股份数将调整到本次激励计划首次授予的其他激励对象，首次授予的限制性股票数量不变。本次调整后的激励对象属于经公司2024年第一次临时股东大会批准的激励计划中规定的激励对象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除上述调整内容外，本次激励计划其他内容与公司2024年第一次临时股东大会审议通过的激励计划一致。根据公司2024年第一次临时股东大会的授权，本次调整无需提交股东大会审议。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b/>
          <w:sz w:val="24"/>
          <w:szCs w:val="24"/>
        </w:rPr>
      </w:pPr>
      <w:r>
        <w:rPr>
          <w:rFonts w:hint="eastAsia" w:ascii="宋体" w:hAnsi="宋体" w:eastAsia="宋体" w:cs="宋体"/>
          <w:sz w:val="24"/>
          <w:szCs w:val="24"/>
          <w:lang w:val="en-US" w:eastAsia="zh-CN"/>
        </w:rPr>
        <w:t>二、</w:t>
      </w:r>
      <w:r>
        <w:rPr>
          <w:rFonts w:hint="eastAsia" w:ascii="宋体" w:hAnsi="宋体" w:eastAsia="宋体" w:cs="宋体"/>
          <w:b/>
          <w:sz w:val="24"/>
          <w:szCs w:val="24"/>
        </w:rPr>
        <w:t>监事会对激励对象名单核实的情况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监事会发表如下意见：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《激励计划》规定的向激励对象首次授予权益的条件已满足；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公司首次授予权益的激励对象不存在禁止获授激励权益的情形，激励对 象的主体资格合法、有效且激励对象范围符合公司实际情况及公司业务发展的实 际需要；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3、根据</w:t>
      </w:r>
      <w:r>
        <w:rPr>
          <w:rFonts w:hint="eastAsia" w:ascii="宋体" w:hAnsi="宋体" w:eastAsia="宋体" w:cs="宋体"/>
          <w:sz w:val="24"/>
          <w:szCs w:val="24"/>
          <w:lang w:val="en-US" w:eastAsia="zh-CN"/>
        </w:rPr>
        <w:t>公司</w:t>
      </w:r>
      <w:r>
        <w:rPr>
          <w:rFonts w:hint="eastAsia" w:ascii="宋体" w:hAnsi="宋体" w:eastAsia="宋体" w:cs="宋体"/>
          <w:sz w:val="24"/>
          <w:szCs w:val="24"/>
        </w:rPr>
        <w:t>股东大会的授权，</w:t>
      </w:r>
      <w:r>
        <w:rPr>
          <w:rFonts w:hint="eastAsia" w:ascii="宋体" w:hAnsi="宋体" w:eastAsia="宋体" w:cs="宋体"/>
          <w:sz w:val="24"/>
          <w:szCs w:val="24"/>
          <w:lang w:val="en-US" w:eastAsia="zh-CN"/>
        </w:rPr>
        <w:t>同意董事会</w:t>
      </w:r>
      <w:r>
        <w:rPr>
          <w:rFonts w:hint="eastAsia" w:ascii="宋体" w:hAnsi="宋体" w:eastAsia="宋体" w:cs="宋体"/>
          <w:sz w:val="24"/>
          <w:szCs w:val="24"/>
        </w:rPr>
        <w:t>确定以202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日为公司202</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年限制性股票激励计划首次权益的授予日，该授予日符合《管理办法》及《激励计划》中关于授予日的相关规定。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b/>
          <w:bCs/>
          <w:color w:val="auto"/>
          <w:spacing w:val="-12"/>
          <w:sz w:val="24"/>
          <w:szCs w:val="24"/>
          <w:lang w:val="en-US" w:eastAsia="zh-CN"/>
        </w:rPr>
      </w:pPr>
      <w:r>
        <w:rPr>
          <w:rFonts w:hint="eastAsia" w:ascii="宋体" w:hAnsi="宋体" w:eastAsia="宋体" w:cs="宋体"/>
          <w:sz w:val="24"/>
          <w:szCs w:val="24"/>
        </w:rPr>
        <w:t>综上，监事会同意以202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5</w:t>
      </w:r>
      <w:r>
        <w:rPr>
          <w:rFonts w:hint="eastAsia" w:ascii="宋体" w:hAnsi="宋体" w:eastAsia="宋体" w:cs="宋体"/>
          <w:sz w:val="24"/>
          <w:szCs w:val="24"/>
        </w:rPr>
        <w:t>日作为首次权益的授予日，向符合条件的 5</w:t>
      </w:r>
      <w:r>
        <w:rPr>
          <w:rFonts w:hint="eastAsia" w:ascii="宋体" w:hAnsi="宋体" w:eastAsia="宋体" w:cs="宋体"/>
          <w:sz w:val="24"/>
          <w:szCs w:val="24"/>
          <w:lang w:val="en-US" w:eastAsia="zh-CN"/>
        </w:rPr>
        <w:t>8</w:t>
      </w:r>
      <w:r>
        <w:rPr>
          <w:rFonts w:hint="eastAsia" w:ascii="宋体" w:hAnsi="宋体" w:eastAsia="宋体" w:cs="宋体"/>
          <w:sz w:val="24"/>
          <w:szCs w:val="24"/>
        </w:rPr>
        <w:t>名激励对象授予</w:t>
      </w:r>
      <w:r>
        <w:rPr>
          <w:rFonts w:hint="eastAsia" w:ascii="宋体" w:hAnsi="宋体" w:eastAsia="宋体" w:cs="宋体"/>
          <w:sz w:val="24"/>
          <w:szCs w:val="24"/>
          <w:lang w:val="en-US" w:eastAsia="zh-CN"/>
        </w:rPr>
        <w:t>260</w:t>
      </w:r>
      <w:r>
        <w:rPr>
          <w:rFonts w:hint="eastAsia" w:ascii="宋体" w:hAnsi="宋体" w:eastAsia="宋体" w:cs="宋体"/>
          <w:sz w:val="24"/>
          <w:szCs w:val="24"/>
        </w:rPr>
        <w:t>万股限制性股票，授予价格为人民币</w:t>
      </w:r>
      <w:r>
        <w:rPr>
          <w:rFonts w:hint="eastAsia" w:ascii="宋体" w:hAnsi="宋体" w:eastAsia="宋体" w:cs="宋体"/>
          <w:sz w:val="24"/>
          <w:szCs w:val="24"/>
          <w:lang w:val="en-US" w:eastAsia="zh-CN"/>
        </w:rPr>
        <w:t>8.09</w:t>
      </w:r>
      <w:r>
        <w:rPr>
          <w:rFonts w:hint="eastAsia" w:ascii="宋体" w:hAnsi="宋体" w:eastAsia="宋体" w:cs="宋体"/>
          <w:sz w:val="24"/>
          <w:szCs w:val="24"/>
        </w:rPr>
        <w:t>元/股。</w:t>
      </w:r>
    </w:p>
    <w:p>
      <w:pPr>
        <w:keepNext w:val="0"/>
        <w:keepLines w:val="0"/>
        <w:pageBreakBefore w:val="0"/>
        <w:numPr>
          <w:ilvl w:val="0"/>
          <w:numId w:val="0"/>
        </w:numPr>
        <w:kinsoku w:val="0"/>
        <w:wordWrap/>
        <w:topLinePunct w:val="0"/>
        <w:autoSpaceDE w:val="0"/>
        <w:autoSpaceDN w:val="0"/>
        <w:bidi w:val="0"/>
        <w:adjustRightInd w:val="0"/>
        <w:snapToGrid w:val="0"/>
        <w:spacing w:line="560" w:lineRule="exact"/>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激励对象为董事、高级管理人员的，在限制性股票授予日前6个月卖出公司股份情况的说明</w:t>
      </w:r>
    </w:p>
    <w:p>
      <w:pPr>
        <w:keepNext w:val="0"/>
        <w:keepLines w:val="0"/>
        <w:pageBreakBefore w:val="0"/>
        <w:kinsoku w:val="0"/>
        <w:wordWrap/>
        <w:topLinePunct w:val="0"/>
        <w:autoSpaceDE w:val="0"/>
        <w:autoSpaceDN w:val="0"/>
        <w:bidi w:val="0"/>
        <w:adjustRightInd w:val="0"/>
        <w:snapToGrid w:val="0"/>
        <w:spacing w:line="560" w:lineRule="exact"/>
        <w:ind w:firstLine="480" w:firstLineChars="200"/>
        <w:jc w:val="both"/>
        <w:textAlignment w:val="baseline"/>
        <w:rPr>
          <w:rFonts w:hint="eastAsia" w:ascii="宋体" w:hAnsi="宋体" w:eastAsia="宋体" w:cs="宋体"/>
          <w:sz w:val="24"/>
          <w:szCs w:val="24"/>
        </w:rPr>
      </w:pPr>
      <w:r>
        <w:rPr>
          <w:rFonts w:hint="eastAsia" w:ascii="宋体" w:hAnsi="宋体" w:eastAsia="宋体" w:cs="宋体"/>
          <w:sz w:val="24"/>
          <w:szCs w:val="24"/>
        </w:rPr>
        <w:t>本次激励对象中董事付康在2023年10月存在通过二级市场买卖公司股票的情况，该行为完全系付康个人基于对二级市场的判断而独自交易，不存在利用内幕信息进行股票交易的情形。付康于2023年11月13日起担任公司董事，</w:t>
      </w:r>
      <w:r>
        <w:rPr>
          <w:rFonts w:hint="eastAsia" w:ascii="宋体" w:hAnsi="宋体" w:eastAsia="宋体" w:cs="宋体"/>
          <w:sz w:val="24"/>
          <w:szCs w:val="24"/>
          <w:lang w:val="en-US" w:eastAsia="zh-CN"/>
        </w:rPr>
        <w:t>自</w:t>
      </w:r>
      <w:r>
        <w:rPr>
          <w:rFonts w:hint="eastAsia" w:ascii="宋体" w:hAnsi="宋体" w:eastAsia="宋体" w:cs="宋体"/>
          <w:sz w:val="24"/>
          <w:szCs w:val="24"/>
        </w:rPr>
        <w:t>2023年10月2</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val="en-US" w:eastAsia="zh-CN"/>
        </w:rPr>
        <w:t>至今</w:t>
      </w:r>
      <w:r>
        <w:rPr>
          <w:rFonts w:hint="eastAsia" w:ascii="宋体" w:hAnsi="宋体" w:eastAsia="宋体" w:cs="宋体"/>
          <w:sz w:val="24"/>
          <w:szCs w:val="24"/>
        </w:rPr>
        <w:t>，付康未持有公司股票。</w:t>
      </w:r>
    </w:p>
    <w:p>
      <w:pPr>
        <w:keepNext w:val="0"/>
        <w:keepLines w:val="0"/>
        <w:pageBreakBefore w:val="0"/>
        <w:kinsoku w:val="0"/>
        <w:wordWrap/>
        <w:topLinePunct w:val="0"/>
        <w:autoSpaceDE w:val="0"/>
        <w:autoSpaceDN w:val="0"/>
        <w:bidi w:val="0"/>
        <w:adjustRightInd w:val="0"/>
        <w:snapToGrid w:val="0"/>
        <w:spacing w:line="560" w:lineRule="exact"/>
        <w:ind w:firstLine="482" w:firstLineChars="200"/>
        <w:jc w:val="both"/>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权益授予后对公司财务状况的影响</w:t>
      </w:r>
    </w:p>
    <w:p>
      <w:pPr>
        <w:keepNext w:val="0"/>
        <w:keepLines w:val="0"/>
        <w:pageBreakBefore w:val="0"/>
        <w:kinsoku w:val="0"/>
        <w:wordWrap/>
        <w:topLinePunct w:val="0"/>
        <w:autoSpaceDE w:val="0"/>
        <w:autoSpaceDN w:val="0"/>
        <w:bidi w:val="0"/>
        <w:adjustRightInd w:val="0"/>
        <w:snapToGrid w:val="0"/>
        <w:spacing w:before="156" w:beforeLines="50" w:after="0" w:line="560" w:lineRule="exact"/>
        <w:ind w:firstLine="480" w:firstLineChars="20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根据《企业会计准则第11号——股份支付》和《企业会计准则第22号——金融工具确认和计量》的相关规定，限制性股票的单位成本=限制性股票的公允价值－授予价格，其中，限制性股票的公允价值为授予日收盘价。</w:t>
      </w:r>
    </w:p>
    <w:p>
      <w:pPr>
        <w:keepNext w:val="0"/>
        <w:keepLines w:val="0"/>
        <w:pageBreakBefore w:val="0"/>
        <w:kinsoku w:val="0"/>
        <w:wordWrap/>
        <w:topLinePunct w:val="0"/>
        <w:autoSpaceDE w:val="0"/>
        <w:autoSpaceDN w:val="0"/>
        <w:bidi w:val="0"/>
        <w:adjustRightInd w:val="0"/>
        <w:snapToGrid w:val="0"/>
        <w:spacing w:before="156" w:beforeLines="50" w:after="0" w:line="560" w:lineRule="exact"/>
        <w:ind w:firstLine="432" w:firstLineChars="200"/>
        <w:jc w:val="both"/>
        <w:textAlignment w:val="baseline"/>
        <w:rPr>
          <w:rFonts w:hint="eastAsia" w:ascii="宋体" w:hAnsi="宋体" w:eastAsia="宋体" w:cs="宋体"/>
          <w:color w:val="000000"/>
          <w:sz w:val="24"/>
          <w:szCs w:val="24"/>
        </w:rPr>
      </w:pPr>
      <w:r>
        <w:rPr>
          <w:rFonts w:hint="eastAsia" w:ascii="宋体" w:hAnsi="宋体" w:eastAsia="宋体" w:cs="宋体"/>
          <w:b w:val="0"/>
          <w:bCs w:val="0"/>
          <w:color w:val="auto"/>
          <w:spacing w:val="-12"/>
          <w:sz w:val="24"/>
          <w:szCs w:val="24"/>
          <w:lang w:val="en-US" w:eastAsia="zh-CN"/>
        </w:rPr>
        <w:t>公司董事会已确认本次激励计划权益首次授予日为2024年3月5日，根据授予日收盘</w:t>
      </w:r>
      <w:r>
        <w:rPr>
          <w:rFonts w:hint="eastAsia" w:ascii="宋体" w:hAnsi="宋体" w:eastAsia="宋体" w:cs="宋体"/>
          <w:b w:val="0"/>
          <w:bCs w:val="0"/>
          <w:color w:val="auto"/>
          <w:spacing w:val="-12"/>
          <w:sz w:val="24"/>
          <w:szCs w:val="24"/>
          <w:highlight w:val="none"/>
          <w:lang w:val="en-US" w:eastAsia="zh-CN"/>
        </w:rPr>
        <w:t>价格为15.85元/</w:t>
      </w:r>
      <w:r>
        <w:rPr>
          <w:rFonts w:hint="eastAsia" w:ascii="宋体" w:hAnsi="宋体" w:eastAsia="宋体" w:cs="宋体"/>
          <w:b w:val="0"/>
          <w:bCs w:val="0"/>
          <w:color w:val="auto"/>
          <w:spacing w:val="-12"/>
          <w:sz w:val="24"/>
          <w:szCs w:val="24"/>
          <w:lang w:val="en-US" w:eastAsia="zh-CN"/>
        </w:rPr>
        <w:t>股，基于授予日收盘价格的测算，</w:t>
      </w:r>
      <w:r>
        <w:rPr>
          <w:rFonts w:hint="eastAsia" w:ascii="宋体" w:hAnsi="宋体" w:eastAsia="宋体" w:cs="宋体"/>
          <w:color w:val="000000"/>
          <w:sz w:val="24"/>
          <w:szCs w:val="24"/>
        </w:rPr>
        <w:t>本</w:t>
      </w:r>
      <w:r>
        <w:rPr>
          <w:rFonts w:hint="eastAsia" w:ascii="宋体" w:hAnsi="宋体" w:eastAsia="宋体" w:cs="宋体"/>
          <w:color w:val="auto"/>
          <w:spacing w:val="-12"/>
          <w:sz w:val="24"/>
          <w:szCs w:val="24"/>
          <w:lang w:val="en-US" w:eastAsia="zh-CN"/>
        </w:rPr>
        <w:t>次</w:t>
      </w:r>
      <w:r>
        <w:rPr>
          <w:rFonts w:hint="eastAsia" w:ascii="宋体" w:hAnsi="宋体" w:eastAsia="宋体" w:cs="宋体"/>
          <w:color w:val="000000"/>
          <w:sz w:val="24"/>
          <w:szCs w:val="24"/>
        </w:rPr>
        <w:t>激励计划首次授予限制性股票对各期会计成本的影响如下表所示：</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单位：万股、万元</w:t>
      </w:r>
    </w:p>
    <w:tbl>
      <w:tblPr>
        <w:tblStyle w:val="8"/>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66"/>
        <w:gridCol w:w="1843"/>
        <w:gridCol w:w="1293"/>
        <w:gridCol w:w="1448"/>
        <w:gridCol w:w="1449"/>
        <w:gridCol w:w="12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 w:hRule="atLeast"/>
        </w:trPr>
        <w:tc>
          <w:tcPr>
            <w:tcW w:w="792"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首次授予数量</w:t>
            </w:r>
          </w:p>
        </w:tc>
        <w:tc>
          <w:tcPr>
            <w:tcW w:w="1069"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预计摊销的总费用</w:t>
            </w:r>
          </w:p>
        </w:tc>
        <w:tc>
          <w:tcPr>
            <w:tcW w:w="750"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2024年</w:t>
            </w:r>
          </w:p>
        </w:tc>
        <w:tc>
          <w:tcPr>
            <w:tcW w:w="840"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2025年</w:t>
            </w:r>
          </w:p>
        </w:tc>
        <w:tc>
          <w:tcPr>
            <w:tcW w:w="840"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2026年</w:t>
            </w:r>
          </w:p>
        </w:tc>
        <w:tc>
          <w:tcPr>
            <w:tcW w:w="706" w:type="pct"/>
            <w:shd w:val="clear" w:color="auto" w:fill="D9D9D9"/>
            <w:vAlign w:val="center"/>
          </w:tcPr>
          <w:p>
            <w:pPr>
              <w:keepNext w:val="0"/>
              <w:keepLines w:val="0"/>
              <w:pageBreakBefore w:val="0"/>
              <w:widowControl w:val="0"/>
              <w:kinsoku w:val="0"/>
              <w:wordWrap/>
              <w:topLinePunct w:val="0"/>
              <w:autoSpaceDE w:val="0"/>
              <w:autoSpaceDN w:val="0"/>
              <w:bidi w:val="0"/>
              <w:adjustRightInd w:val="0"/>
              <w:snapToGrid w:val="0"/>
              <w:spacing w:after="0" w:line="560" w:lineRule="exact"/>
              <w:jc w:val="center"/>
              <w:textAlignment w:val="baseline"/>
              <w:rPr>
                <w:rFonts w:hint="eastAsia" w:asciiTheme="majorEastAsia" w:hAnsiTheme="majorEastAsia" w:eastAsiaTheme="majorEastAsia" w:cstheme="majorEastAsia"/>
                <w:b/>
                <w:color w:val="000000"/>
                <w:kern w:val="2"/>
                <w:sz w:val="18"/>
                <w:szCs w:val="18"/>
                <w:highlight w:val="none"/>
              </w:rPr>
            </w:pPr>
            <w:r>
              <w:rPr>
                <w:rFonts w:hint="eastAsia" w:asciiTheme="majorEastAsia" w:hAnsiTheme="majorEastAsia" w:eastAsiaTheme="majorEastAsia" w:cstheme="majorEastAsia"/>
                <w:b/>
                <w:color w:val="000000"/>
                <w:kern w:val="2"/>
                <w:sz w:val="18"/>
                <w:szCs w:val="18"/>
                <w:highlight w:val="none"/>
              </w:rPr>
              <w:t>2027年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792" w:type="pct"/>
            <w:shd w:val="clear" w:color="auto" w:fill="auto"/>
            <w:vAlign w:val="center"/>
          </w:tcPr>
          <w:p>
            <w:pPr>
              <w:keepNext w:val="0"/>
              <w:keepLines w:val="0"/>
              <w:widowControl/>
              <w:suppressLineNumbers w:val="0"/>
              <w:jc w:val="center"/>
              <w:textAlignment w:val="bottom"/>
              <w:rPr>
                <w:rFonts w:hint="default" w:asciiTheme="majorEastAsia" w:hAnsiTheme="majorEastAsia" w:eastAsiaTheme="majorEastAsia" w:cstheme="majorEastAsia"/>
                <w:i w:val="0"/>
                <w:iCs w:val="0"/>
                <w:snapToGrid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260.00</w:t>
            </w:r>
          </w:p>
        </w:tc>
        <w:tc>
          <w:tcPr>
            <w:tcW w:w="1069" w:type="pct"/>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snapToGrid w:val="0"/>
                <w:color w:val="000000"/>
                <w:kern w:val="0"/>
                <w:sz w:val="18"/>
                <w:szCs w:val="18"/>
                <w:highlight w:val="none"/>
                <w:u w:val="none"/>
                <w:lang w:val="en-US" w:eastAsia="en-US" w:bidi="ar"/>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2017.60</w:t>
            </w:r>
          </w:p>
        </w:tc>
        <w:tc>
          <w:tcPr>
            <w:tcW w:w="750" w:type="pct"/>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980.78</w:t>
            </w:r>
          </w:p>
        </w:tc>
        <w:tc>
          <w:tcPr>
            <w:tcW w:w="840" w:type="pct"/>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snapToGrid w:val="0"/>
                <w:color w:val="000000"/>
                <w:sz w:val="18"/>
                <w:szCs w:val="18"/>
                <w:highlight w:val="none"/>
                <w:u w:val="none"/>
                <w:lang w:val="en-US" w:eastAsia="en-US" w:bidi="ar-SA"/>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672.53</w:t>
            </w:r>
          </w:p>
        </w:tc>
        <w:tc>
          <w:tcPr>
            <w:tcW w:w="840" w:type="pct"/>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snapToGrid w:val="0"/>
                <w:color w:val="000000"/>
                <w:sz w:val="18"/>
                <w:szCs w:val="18"/>
                <w:highlight w:val="none"/>
                <w:u w:val="none"/>
                <w:lang w:val="en-US" w:eastAsia="en-US" w:bidi="ar-SA"/>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319.45</w:t>
            </w:r>
          </w:p>
        </w:tc>
        <w:tc>
          <w:tcPr>
            <w:tcW w:w="706" w:type="pct"/>
            <w:shd w:val="clear" w:color="auto" w:fill="auto"/>
            <w:vAlign w:val="center"/>
          </w:tcPr>
          <w:p>
            <w:pPr>
              <w:keepNext w:val="0"/>
              <w:keepLines w:val="0"/>
              <w:widowControl/>
              <w:suppressLineNumbers w:val="0"/>
              <w:jc w:val="center"/>
              <w:textAlignment w:val="bottom"/>
              <w:rPr>
                <w:rFonts w:hint="eastAsia" w:asciiTheme="majorEastAsia" w:hAnsiTheme="majorEastAsia" w:eastAsiaTheme="majorEastAsia" w:cstheme="majorEastAsia"/>
                <w:i w:val="0"/>
                <w:iCs w:val="0"/>
                <w:snapToGrid w:val="0"/>
                <w:color w:val="000000"/>
                <w:sz w:val="18"/>
                <w:szCs w:val="18"/>
                <w:highlight w:val="none"/>
                <w:u w:val="none"/>
                <w:lang w:val="en-US" w:eastAsia="en-US" w:bidi="ar-SA"/>
              </w:rPr>
            </w:pPr>
            <w:r>
              <w:rPr>
                <w:rFonts w:hint="eastAsia" w:asciiTheme="majorEastAsia" w:hAnsiTheme="majorEastAsia" w:eastAsiaTheme="majorEastAsia" w:cstheme="majorEastAsia"/>
                <w:i w:val="0"/>
                <w:iCs w:val="0"/>
                <w:snapToGrid w:val="0"/>
                <w:color w:val="000000"/>
                <w:kern w:val="0"/>
                <w:sz w:val="18"/>
                <w:szCs w:val="18"/>
                <w:highlight w:val="none"/>
                <w:u w:val="none"/>
                <w:lang w:val="en-US" w:eastAsia="zh-CN" w:bidi="ar"/>
              </w:rPr>
              <w:t>44.84</w:t>
            </w:r>
          </w:p>
        </w:tc>
      </w:tr>
    </w:tbl>
    <w:p>
      <w:pPr>
        <w:keepNext w:val="0"/>
        <w:keepLines w:val="0"/>
        <w:pageBreakBefore w:val="0"/>
        <w:kinsoku w:val="0"/>
        <w:wordWrap/>
        <w:topLinePunct w:val="0"/>
        <w:autoSpaceDE w:val="0"/>
        <w:autoSpaceDN w:val="0"/>
        <w:bidi w:val="0"/>
        <w:adjustRightInd w:val="0"/>
        <w:snapToGrid w:val="0"/>
        <w:spacing w:before="156" w:beforeLines="50" w:after="0" w:line="560" w:lineRule="exact"/>
        <w:ind w:firstLine="480" w:firstLineChars="20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上述测算部分不包含限制性股票的预留部分60.00万股，预留部分授予时将产生额外的股份支付费用。限制性股票的预留部分60.00万股，将在本</w:t>
      </w:r>
      <w:r>
        <w:rPr>
          <w:rFonts w:hint="eastAsia" w:ascii="宋体" w:hAnsi="宋体" w:eastAsia="宋体" w:cs="宋体"/>
          <w:color w:val="auto"/>
          <w:spacing w:val="-12"/>
          <w:sz w:val="24"/>
          <w:szCs w:val="24"/>
          <w:lang w:val="en-US" w:eastAsia="zh-CN"/>
        </w:rPr>
        <w:t>次</w:t>
      </w:r>
      <w:r>
        <w:rPr>
          <w:rFonts w:hint="eastAsia" w:ascii="宋体" w:hAnsi="宋体" w:eastAsia="宋体" w:cs="宋体"/>
          <w:color w:val="000000"/>
          <w:sz w:val="24"/>
          <w:szCs w:val="24"/>
        </w:rPr>
        <w:t>激励计划经股东大会通过后12个月内明确激励对象并授予，并根据届时授予日的市场价格测算确定股份支付费用，预留限制性股票的会计处理同首次授予限制性股票的会计处理。</w:t>
      </w:r>
    </w:p>
    <w:p>
      <w:pPr>
        <w:keepNext w:val="0"/>
        <w:keepLines w:val="0"/>
        <w:pageBreakBefore w:val="0"/>
        <w:kinsoku w:val="0"/>
        <w:wordWrap/>
        <w:topLinePunct w:val="0"/>
        <w:autoSpaceDE w:val="0"/>
        <w:autoSpaceDN w:val="0"/>
        <w:bidi w:val="0"/>
        <w:adjustRightInd w:val="0"/>
        <w:snapToGrid w:val="0"/>
        <w:spacing w:before="156" w:beforeLines="50" w:after="0" w:line="560" w:lineRule="exact"/>
        <w:ind w:firstLine="480" w:firstLineChars="200"/>
        <w:jc w:val="both"/>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pPr>
        <w:keepNext w:val="0"/>
        <w:keepLines w:val="0"/>
        <w:pageBreakBefore w:val="0"/>
        <w:kinsoku w:val="0"/>
        <w:wordWrap/>
        <w:topLinePunct w:val="0"/>
        <w:autoSpaceDE w:val="0"/>
        <w:autoSpaceDN w:val="0"/>
        <w:bidi w:val="0"/>
        <w:adjustRightInd w:val="0"/>
        <w:snapToGrid w:val="0"/>
        <w:spacing w:before="156" w:beforeLines="50" w:after="0" w:line="560" w:lineRule="exact"/>
        <w:ind w:firstLine="480" w:firstLineChars="200"/>
        <w:jc w:val="both"/>
        <w:textAlignment w:val="baseline"/>
        <w:rPr>
          <w:rFonts w:hint="eastAsia" w:ascii="宋体" w:hAnsi="宋体" w:eastAsia="宋体" w:cs="宋体"/>
          <w:b/>
          <w:bCs/>
          <w:color w:val="auto"/>
          <w:spacing w:val="-12"/>
          <w:sz w:val="24"/>
          <w:szCs w:val="24"/>
          <w:lang w:val="en-US" w:eastAsia="zh-CN"/>
        </w:rPr>
      </w:pPr>
      <w:r>
        <w:rPr>
          <w:rFonts w:hint="eastAsia" w:ascii="宋体" w:hAnsi="宋体" w:eastAsia="宋体" w:cs="宋体"/>
          <w:color w:val="000000"/>
          <w:sz w:val="24"/>
          <w:szCs w:val="24"/>
        </w:rPr>
        <w:t>上述成本摊销预测对公司经营成果影响的最终结果将以会计师事务所出具的年度审计报告为准。</w:t>
      </w:r>
    </w:p>
    <w:p>
      <w:pPr>
        <w:keepNext w:val="0"/>
        <w:keepLines w:val="0"/>
        <w:pageBreakBefore w:val="0"/>
        <w:kinsoku w:val="0"/>
        <w:wordWrap/>
        <w:topLinePunct w:val="0"/>
        <w:autoSpaceDE w:val="0"/>
        <w:autoSpaceDN w:val="0"/>
        <w:bidi w:val="0"/>
        <w:adjustRightInd w:val="0"/>
        <w:snapToGrid w:val="0"/>
        <w:spacing w:line="560" w:lineRule="exact"/>
        <w:ind w:firstLine="434" w:firstLineChars="200"/>
        <w:jc w:val="both"/>
        <w:textAlignment w:val="baseline"/>
        <w:rPr>
          <w:rFonts w:hint="eastAsia" w:ascii="宋体" w:hAnsi="宋体" w:eastAsia="宋体" w:cs="宋体"/>
          <w:b/>
          <w:sz w:val="24"/>
          <w:szCs w:val="24"/>
        </w:rPr>
      </w:pPr>
      <w:r>
        <w:rPr>
          <w:rFonts w:hint="eastAsia" w:ascii="宋体" w:hAnsi="宋体" w:eastAsia="宋体" w:cs="宋体"/>
          <w:b/>
          <w:bCs/>
          <w:color w:val="auto"/>
          <w:spacing w:val="-12"/>
          <w:sz w:val="24"/>
          <w:szCs w:val="24"/>
          <w:lang w:val="en-US" w:eastAsia="zh-CN"/>
        </w:rPr>
        <w:t>五、</w:t>
      </w:r>
      <w:r>
        <w:rPr>
          <w:rFonts w:hint="eastAsia" w:ascii="宋体" w:hAnsi="宋体" w:eastAsia="宋体" w:cs="宋体"/>
          <w:b/>
          <w:sz w:val="24"/>
          <w:szCs w:val="24"/>
        </w:rPr>
        <w:t>法律意见书的结论性意见</w:t>
      </w:r>
    </w:p>
    <w:p>
      <w:pPr>
        <w:keepNext w:val="0"/>
        <w:keepLines w:val="0"/>
        <w:pageBreakBefore w:val="0"/>
        <w:widowControl/>
        <w:numPr>
          <w:ilvl w:val="0"/>
          <w:numId w:val="0"/>
        </w:numPr>
        <w:tabs>
          <w:tab w:val="left" w:pos="720"/>
        </w:tabs>
        <w:kinsoku w:val="0"/>
        <w:wordWrap/>
        <w:overflowPunct w:val="0"/>
        <w:topLinePunct w:val="0"/>
        <w:autoSpaceDE w:val="0"/>
        <w:autoSpaceDN w:val="0"/>
        <w:bidi w:val="0"/>
        <w:adjustRightInd w:val="0"/>
        <w:snapToGrid w:val="0"/>
        <w:spacing w:before="312" w:beforeLines="100" w:line="560" w:lineRule="exact"/>
        <w:ind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rPr>
        <w:t>北京市嘉源律师事务所认为：本次调整和本次授予已经取得现阶段必要的批准和授权，符合《管理办法》等相关法律法规及《激励计划》的相关规定</w:t>
      </w:r>
      <w:r>
        <w:rPr>
          <w:rFonts w:hint="eastAsia" w:ascii="宋体" w:hAnsi="宋体" w:eastAsia="宋体" w:cs="宋体"/>
          <w:sz w:val="24"/>
          <w:szCs w:val="24"/>
          <w:lang w:eastAsia="zh-CN"/>
        </w:rPr>
        <w:t>。</w:t>
      </w:r>
      <w:r>
        <w:rPr>
          <w:rFonts w:hint="eastAsia" w:ascii="宋体" w:hAnsi="宋体" w:eastAsia="宋体" w:cs="宋体"/>
          <w:sz w:val="24"/>
          <w:szCs w:val="24"/>
        </w:rPr>
        <w:t>本次调整符合《管理办法》等相关法律法规及《激励计划》的相关规定。本次激励计划首次授予条件已成就，公司向激励对象首次授予限制性股票符合《管理办法》等相关法律法规及《激励计划》的相关规定。本次授予的授予日、激励对象、授予数量及授予价格符合《管理办法》等相关法律法规及《激励计划》的相关规定</w:t>
      </w:r>
      <w:r>
        <w:rPr>
          <w:rFonts w:hint="eastAsia" w:ascii="宋体" w:hAnsi="宋体" w:eastAsia="宋体" w:cs="宋体"/>
          <w:sz w:val="24"/>
          <w:szCs w:val="24"/>
          <w:lang w:eastAsia="zh-CN"/>
        </w:rPr>
        <w:t>。</w:t>
      </w:r>
    </w:p>
    <w:p>
      <w:pPr>
        <w:keepNext w:val="0"/>
        <w:keepLines w:val="0"/>
        <w:pageBreakBefore w:val="0"/>
        <w:numPr>
          <w:ilvl w:val="0"/>
          <w:numId w:val="0"/>
        </w:numPr>
        <w:tabs>
          <w:tab w:val="left" w:pos="720"/>
        </w:tabs>
        <w:kinsoku w:val="0"/>
        <w:wordWrap/>
        <w:overflowPunct w:val="0"/>
        <w:topLinePunct w:val="0"/>
        <w:autoSpaceDE w:val="0"/>
        <w:autoSpaceDN w:val="0"/>
        <w:bidi w:val="0"/>
        <w:adjustRightInd w:val="0"/>
        <w:snapToGrid w:val="0"/>
        <w:spacing w:before="312" w:beforeLines="100" w:line="560" w:lineRule="exact"/>
        <w:ind w:leftChars="0" w:firstLine="432" w:firstLineChars="200"/>
        <w:jc w:val="both"/>
        <w:textAlignment w:val="baseline"/>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特此公告。</w:t>
      </w:r>
    </w:p>
    <w:p>
      <w:pPr>
        <w:pStyle w:val="3"/>
        <w:keepNext w:val="0"/>
        <w:keepLines w:val="0"/>
        <w:pageBreakBefore w:val="0"/>
        <w:kinsoku w:val="0"/>
        <w:wordWrap/>
        <w:topLinePunct w:val="0"/>
        <w:autoSpaceDE w:val="0"/>
        <w:autoSpaceDN w:val="0"/>
        <w:bidi w:val="0"/>
        <w:adjustRightInd w:val="0"/>
        <w:snapToGrid w:val="0"/>
        <w:spacing w:line="560" w:lineRule="exact"/>
        <w:ind w:firstLine="432" w:firstLineChars="200"/>
        <w:jc w:val="both"/>
        <w:textAlignment w:val="baseline"/>
        <w:rPr>
          <w:color w:val="auto"/>
          <w:spacing w:val="-12"/>
          <w:lang w:eastAsia="zh-CN"/>
        </w:rPr>
      </w:pPr>
    </w:p>
    <w:p>
      <w:pPr>
        <w:pStyle w:val="3"/>
        <w:keepNext w:val="0"/>
        <w:keepLines w:val="0"/>
        <w:pageBreakBefore w:val="0"/>
        <w:kinsoku w:val="0"/>
        <w:wordWrap/>
        <w:topLinePunct w:val="0"/>
        <w:autoSpaceDE w:val="0"/>
        <w:autoSpaceDN w:val="0"/>
        <w:bidi w:val="0"/>
        <w:adjustRightInd w:val="0"/>
        <w:snapToGrid w:val="0"/>
        <w:spacing w:line="560" w:lineRule="exact"/>
        <w:ind w:firstLine="432" w:firstLineChars="200"/>
        <w:jc w:val="both"/>
        <w:textAlignment w:val="baseline"/>
        <w:rPr>
          <w:color w:val="auto"/>
          <w:spacing w:val="-12"/>
          <w:lang w:eastAsia="zh-CN"/>
        </w:rPr>
      </w:pPr>
    </w:p>
    <w:p>
      <w:pPr>
        <w:pStyle w:val="3"/>
        <w:keepNext w:val="0"/>
        <w:keepLines w:val="0"/>
        <w:pageBreakBefore w:val="0"/>
        <w:kinsoku w:val="0"/>
        <w:wordWrap/>
        <w:topLinePunct w:val="0"/>
        <w:autoSpaceDE w:val="0"/>
        <w:autoSpaceDN w:val="0"/>
        <w:bidi w:val="0"/>
        <w:adjustRightInd w:val="0"/>
        <w:snapToGrid w:val="0"/>
        <w:spacing w:line="560" w:lineRule="exact"/>
        <w:ind w:firstLine="432" w:firstLineChars="200"/>
        <w:jc w:val="right"/>
        <w:textAlignment w:val="baseline"/>
        <w:rPr>
          <w:color w:val="auto"/>
          <w:spacing w:val="-12"/>
          <w:lang w:eastAsia="zh-CN"/>
        </w:rPr>
      </w:pPr>
      <w:r>
        <w:rPr>
          <w:rFonts w:hint="eastAsia"/>
          <w:color w:val="auto"/>
          <w:spacing w:val="-12"/>
          <w:lang w:eastAsia="zh-CN"/>
        </w:rPr>
        <w:t>重庆望变电气（集团）股份有限公司</w:t>
      </w:r>
    </w:p>
    <w:p>
      <w:pPr>
        <w:pStyle w:val="3"/>
        <w:keepNext w:val="0"/>
        <w:keepLines w:val="0"/>
        <w:pageBreakBefore w:val="0"/>
        <w:kinsoku w:val="0"/>
        <w:wordWrap/>
        <w:topLinePunct w:val="0"/>
        <w:autoSpaceDE w:val="0"/>
        <w:autoSpaceDN w:val="0"/>
        <w:bidi w:val="0"/>
        <w:adjustRightInd w:val="0"/>
        <w:snapToGrid w:val="0"/>
        <w:spacing w:line="560" w:lineRule="exact"/>
        <w:ind w:firstLine="432" w:firstLineChars="200"/>
        <w:jc w:val="right"/>
        <w:textAlignment w:val="baseline"/>
        <w:rPr>
          <w:color w:val="auto"/>
          <w:spacing w:val="-12"/>
          <w:lang w:eastAsia="zh-CN"/>
        </w:rPr>
      </w:pPr>
      <w:r>
        <w:rPr>
          <w:rFonts w:hint="eastAsia"/>
          <w:color w:val="auto"/>
          <w:spacing w:val="-12"/>
          <w:lang w:eastAsia="zh-CN"/>
        </w:rPr>
        <w:t>董事会</w:t>
      </w:r>
    </w:p>
    <w:p>
      <w:pPr>
        <w:pStyle w:val="3"/>
        <w:keepNext w:val="0"/>
        <w:keepLines w:val="0"/>
        <w:pageBreakBefore w:val="0"/>
        <w:kinsoku w:val="0"/>
        <w:wordWrap/>
        <w:topLinePunct w:val="0"/>
        <w:autoSpaceDE w:val="0"/>
        <w:autoSpaceDN w:val="0"/>
        <w:bidi w:val="0"/>
        <w:adjustRightInd w:val="0"/>
        <w:snapToGrid w:val="0"/>
        <w:spacing w:line="560" w:lineRule="exact"/>
        <w:ind w:firstLine="432" w:firstLineChars="200"/>
        <w:jc w:val="right"/>
        <w:textAlignment w:val="baseline"/>
        <w:rPr>
          <w:color w:val="auto"/>
          <w:spacing w:val="-12"/>
          <w:lang w:eastAsia="zh-CN"/>
        </w:rPr>
      </w:pPr>
      <w:r>
        <w:rPr>
          <w:rFonts w:hint="eastAsia"/>
          <w:color w:val="auto"/>
          <w:spacing w:val="-12"/>
          <w:lang w:eastAsia="zh-CN"/>
        </w:rPr>
        <w:t>202</w:t>
      </w:r>
      <w:r>
        <w:rPr>
          <w:rFonts w:hint="eastAsia"/>
          <w:color w:val="auto"/>
          <w:spacing w:val="-12"/>
          <w:lang w:val="en-US" w:eastAsia="zh-CN"/>
        </w:rPr>
        <w:t>4</w:t>
      </w:r>
      <w:r>
        <w:rPr>
          <w:rFonts w:hint="eastAsia"/>
          <w:color w:val="auto"/>
          <w:spacing w:val="-12"/>
          <w:lang w:eastAsia="zh-CN"/>
        </w:rPr>
        <w:t>年</w:t>
      </w:r>
      <w:r>
        <w:rPr>
          <w:rFonts w:hint="eastAsia"/>
          <w:color w:val="auto"/>
          <w:spacing w:val="-12"/>
          <w:lang w:val="en-US" w:eastAsia="zh-CN"/>
        </w:rPr>
        <w:t>3</w:t>
      </w:r>
      <w:r>
        <w:rPr>
          <w:rFonts w:hint="eastAsia"/>
          <w:color w:val="auto"/>
          <w:spacing w:val="-12"/>
          <w:lang w:eastAsia="zh-CN"/>
        </w:rPr>
        <w:t>月</w:t>
      </w:r>
      <w:r>
        <w:rPr>
          <w:rFonts w:hint="eastAsia"/>
          <w:color w:val="auto"/>
          <w:spacing w:val="-12"/>
          <w:lang w:val="en-US" w:eastAsia="zh-CN"/>
        </w:rPr>
        <w:t>7</w:t>
      </w:r>
      <w:r>
        <w:rPr>
          <w:rFonts w:hint="eastAsia"/>
          <w:color w:val="auto"/>
          <w:spacing w:val="-12"/>
          <w:lang w:eastAsia="zh-CN"/>
        </w:rPr>
        <w:t>日</w:t>
      </w:r>
    </w:p>
    <w:sectPr>
      <w:pgSz w:w="11907" w:h="16839"/>
      <w:pgMar w:top="1429" w:right="1718" w:bottom="1429" w:left="1785"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56AD4"/>
    <w:multiLevelType w:val="singleLevel"/>
    <w:tmpl w:val="CA756AD4"/>
    <w:lvl w:ilvl="0" w:tentative="0">
      <w:start w:val="2"/>
      <w:numFmt w:val="chineseCounting"/>
      <w:suff w:val="nothing"/>
      <w:lvlText w:val="（%1）"/>
      <w:lvlJc w:val="left"/>
      <w:rPr>
        <w:rFonts w:hint="eastAsia"/>
      </w:rPr>
    </w:lvl>
  </w:abstractNum>
  <w:abstractNum w:abstractNumId="1">
    <w:nsid w:val="15B0FE60"/>
    <w:multiLevelType w:val="singleLevel"/>
    <w:tmpl w:val="15B0FE60"/>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isplayBackgroundShape w:val="1"/>
  <w:bordersDoNotSurroundHeader w:val="0"/>
  <w:bordersDoNotSurroundFooter w:val="0"/>
  <w:hideSpellingErrors/>
  <w:hideGrammatical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00C01B00"/>
    <w:rsid w:val="00054F39"/>
    <w:rsid w:val="00060DB9"/>
    <w:rsid w:val="00061DA2"/>
    <w:rsid w:val="000A2E75"/>
    <w:rsid w:val="000A4DA0"/>
    <w:rsid w:val="000A6E39"/>
    <w:rsid w:val="000C7906"/>
    <w:rsid w:val="00114A74"/>
    <w:rsid w:val="00136D4D"/>
    <w:rsid w:val="00157354"/>
    <w:rsid w:val="00174838"/>
    <w:rsid w:val="001C04C0"/>
    <w:rsid w:val="001E1F19"/>
    <w:rsid w:val="00215110"/>
    <w:rsid w:val="00313F32"/>
    <w:rsid w:val="003165DA"/>
    <w:rsid w:val="00326683"/>
    <w:rsid w:val="00343073"/>
    <w:rsid w:val="00365482"/>
    <w:rsid w:val="00417BA0"/>
    <w:rsid w:val="00470FDD"/>
    <w:rsid w:val="004D0F58"/>
    <w:rsid w:val="00512891"/>
    <w:rsid w:val="005C0646"/>
    <w:rsid w:val="00615B31"/>
    <w:rsid w:val="00622562"/>
    <w:rsid w:val="0062356D"/>
    <w:rsid w:val="00656F57"/>
    <w:rsid w:val="00661F18"/>
    <w:rsid w:val="0067305C"/>
    <w:rsid w:val="006A35C5"/>
    <w:rsid w:val="006F1375"/>
    <w:rsid w:val="00751F55"/>
    <w:rsid w:val="007B15E8"/>
    <w:rsid w:val="00824F9D"/>
    <w:rsid w:val="00825CDB"/>
    <w:rsid w:val="0084048C"/>
    <w:rsid w:val="0087640B"/>
    <w:rsid w:val="008D5282"/>
    <w:rsid w:val="008E2366"/>
    <w:rsid w:val="008E3633"/>
    <w:rsid w:val="008F3EE3"/>
    <w:rsid w:val="0090142C"/>
    <w:rsid w:val="00924475"/>
    <w:rsid w:val="009C2429"/>
    <w:rsid w:val="009E7ECB"/>
    <w:rsid w:val="00A64673"/>
    <w:rsid w:val="00AD1415"/>
    <w:rsid w:val="00B429A7"/>
    <w:rsid w:val="00B5147C"/>
    <w:rsid w:val="00B85808"/>
    <w:rsid w:val="00BB5099"/>
    <w:rsid w:val="00C01B00"/>
    <w:rsid w:val="00C05414"/>
    <w:rsid w:val="00C37D2A"/>
    <w:rsid w:val="00D930DD"/>
    <w:rsid w:val="00DE1AF6"/>
    <w:rsid w:val="00E940E5"/>
    <w:rsid w:val="00EA4CAE"/>
    <w:rsid w:val="00ED1530"/>
    <w:rsid w:val="00EE3029"/>
    <w:rsid w:val="00F16EBF"/>
    <w:rsid w:val="00FC1DD7"/>
    <w:rsid w:val="02036538"/>
    <w:rsid w:val="03821EC1"/>
    <w:rsid w:val="062D5D56"/>
    <w:rsid w:val="06870DFD"/>
    <w:rsid w:val="10884FAF"/>
    <w:rsid w:val="15E173E1"/>
    <w:rsid w:val="1F034F6D"/>
    <w:rsid w:val="217363DE"/>
    <w:rsid w:val="25735A02"/>
    <w:rsid w:val="27A738D6"/>
    <w:rsid w:val="28BA57D6"/>
    <w:rsid w:val="28D01170"/>
    <w:rsid w:val="2B2730D0"/>
    <w:rsid w:val="2C9659C9"/>
    <w:rsid w:val="2E40666F"/>
    <w:rsid w:val="33D94DD3"/>
    <w:rsid w:val="38BF2942"/>
    <w:rsid w:val="3D075831"/>
    <w:rsid w:val="3DAC601D"/>
    <w:rsid w:val="3F86697B"/>
    <w:rsid w:val="40471C9A"/>
    <w:rsid w:val="40AB0497"/>
    <w:rsid w:val="474A2406"/>
    <w:rsid w:val="4B7A37A1"/>
    <w:rsid w:val="4C713C0A"/>
    <w:rsid w:val="4E2D1FF0"/>
    <w:rsid w:val="52FE56CE"/>
    <w:rsid w:val="55170BA8"/>
    <w:rsid w:val="569378D3"/>
    <w:rsid w:val="58C24C23"/>
    <w:rsid w:val="5C6D112F"/>
    <w:rsid w:val="5C8D2A7F"/>
    <w:rsid w:val="5F7B384F"/>
    <w:rsid w:val="62DB3901"/>
    <w:rsid w:val="6F967980"/>
    <w:rsid w:val="705A57BD"/>
    <w:rsid w:val="7181693B"/>
    <w:rsid w:val="742F354F"/>
    <w:rsid w:val="76C83D6D"/>
    <w:rsid w:val="79AD2E5C"/>
    <w:rsid w:val="7D172723"/>
    <w:rsid w:val="7D77238A"/>
    <w:rsid w:val="7D82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style>
  <w:style w:type="paragraph" w:styleId="3">
    <w:name w:val="Body Text"/>
    <w:basedOn w:val="1"/>
    <w:autoRedefine/>
    <w:semiHidden/>
    <w:qFormat/>
    <w:uiPriority w:val="0"/>
    <w:rPr>
      <w:rFonts w:ascii="宋体" w:hAnsi="宋体" w:eastAsia="宋体" w:cs="宋体"/>
      <w:sz w:val="24"/>
      <w:szCs w:val="24"/>
    </w:rPr>
  </w:style>
  <w:style w:type="paragraph" w:styleId="4">
    <w:name w:val="Balloon Text"/>
    <w:basedOn w:val="1"/>
    <w:link w:val="17"/>
    <w:autoRedefine/>
    <w:qFormat/>
    <w:uiPriority w:val="0"/>
    <w:rPr>
      <w:sz w:val="18"/>
      <w:szCs w:val="18"/>
    </w:rPr>
  </w:style>
  <w:style w:type="paragraph" w:styleId="5">
    <w:name w:val="footer"/>
    <w:basedOn w:val="1"/>
    <w:link w:val="20"/>
    <w:autoRedefine/>
    <w:qFormat/>
    <w:uiPriority w:val="0"/>
    <w:pPr>
      <w:tabs>
        <w:tab w:val="center" w:pos="4153"/>
        <w:tab w:val="right" w:pos="8306"/>
      </w:tabs>
    </w:pPr>
    <w:rPr>
      <w:sz w:val="18"/>
      <w:szCs w:val="18"/>
    </w:rPr>
  </w:style>
  <w:style w:type="paragraph" w:styleId="6">
    <w:name w:val="header"/>
    <w:basedOn w:val="1"/>
    <w:link w:val="19"/>
    <w:autoRedefine/>
    <w:qFormat/>
    <w:uiPriority w:val="0"/>
    <w:pPr>
      <w:tabs>
        <w:tab w:val="center" w:pos="4153"/>
        <w:tab w:val="right" w:pos="8306"/>
      </w:tabs>
      <w:jc w:val="center"/>
    </w:pPr>
    <w:rPr>
      <w:sz w:val="18"/>
      <w:szCs w:val="18"/>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rPr>
  </w:style>
  <w:style w:type="paragraph" w:customStyle="1" w:styleId="14">
    <w:name w:val="修订1"/>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5">
    <w:name w:val="批注文字 字符"/>
    <w:basedOn w:val="10"/>
    <w:link w:val="2"/>
    <w:autoRedefine/>
    <w:qFormat/>
    <w:uiPriority w:val="0"/>
    <w:rPr>
      <w:rFonts w:ascii="Arial" w:hAnsi="Arial" w:eastAsia="Arial" w:cs="Arial"/>
      <w:snapToGrid w:val="0"/>
      <w:color w:val="000000"/>
      <w:sz w:val="21"/>
      <w:szCs w:val="21"/>
      <w:lang w:eastAsia="en-US"/>
    </w:rPr>
  </w:style>
  <w:style w:type="character" w:customStyle="1" w:styleId="16">
    <w:name w:val="批注主题 字符"/>
    <w:basedOn w:val="15"/>
    <w:link w:val="7"/>
    <w:autoRedefine/>
    <w:qFormat/>
    <w:uiPriority w:val="0"/>
    <w:rPr>
      <w:rFonts w:ascii="Arial" w:hAnsi="Arial" w:eastAsia="Arial" w:cs="Arial"/>
      <w:b/>
      <w:bCs/>
      <w:snapToGrid w:val="0"/>
      <w:color w:val="000000"/>
      <w:sz w:val="21"/>
      <w:szCs w:val="21"/>
      <w:lang w:eastAsia="en-US"/>
    </w:rPr>
  </w:style>
  <w:style w:type="character" w:customStyle="1" w:styleId="17">
    <w:name w:val="批注框文本 字符"/>
    <w:basedOn w:val="10"/>
    <w:link w:val="4"/>
    <w:autoRedefine/>
    <w:qFormat/>
    <w:uiPriority w:val="0"/>
    <w:rPr>
      <w:rFonts w:ascii="Arial" w:hAnsi="Arial" w:eastAsia="Arial" w:cs="Arial"/>
      <w:snapToGrid w:val="0"/>
      <w:color w:val="000000"/>
      <w:sz w:val="18"/>
      <w:szCs w:val="18"/>
      <w:lang w:eastAsia="en-US"/>
    </w:rPr>
  </w:style>
  <w:style w:type="paragraph" w:customStyle="1" w:styleId="18">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9">
    <w:name w:val="页眉 字符"/>
    <w:basedOn w:val="10"/>
    <w:link w:val="6"/>
    <w:autoRedefine/>
    <w:qFormat/>
    <w:uiPriority w:val="0"/>
    <w:rPr>
      <w:rFonts w:ascii="Arial" w:hAnsi="Arial" w:eastAsia="Arial" w:cs="Arial"/>
      <w:snapToGrid w:val="0"/>
      <w:color w:val="000000"/>
      <w:sz w:val="18"/>
      <w:szCs w:val="18"/>
      <w:lang w:eastAsia="en-US"/>
    </w:rPr>
  </w:style>
  <w:style w:type="character" w:customStyle="1" w:styleId="20">
    <w:name w:val="页脚 字符"/>
    <w:basedOn w:val="10"/>
    <w:link w:val="5"/>
    <w:autoRedefine/>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1005</Characters>
  <Lines>8</Lines>
  <Paragraphs>2</Paragraphs>
  <TotalTime>7</TotalTime>
  <ScaleCrop>false</ScaleCrop>
  <LinksUpToDate>false</LinksUpToDate>
  <CharactersWithSpaces>1179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2023-12-04T02:28:00Z</dcterms:created>
  <dc:creator>恽明秋</dc:creator>
  <cp:lastModifiedBy>Y.    Miss</cp:lastModifiedBy>
  <dcterms:modified xsi:type="dcterms:W3CDTF">2024-03-06T09:17:23Z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2023-11-15T13:32:34Z</vt:filetime>
  </property>
  <property fmtid="{D5CDD505-2E9C-101B-9397-08002B2CF9AE}" pid="4" name="KSOProductBuildVer">
    <vt:lpwstr>2052-12.1.0.16388</vt:lpwstr>
  </property>
  <property fmtid="{D5CDD505-2E9C-101B-9397-08002B2CF9AE}" pid="5" name="ICV">
    <vt:lpwstr>478F349890CD45B39EABBE3639FD9BBE_13</vt:lpwstr>
  </property>
</Properties>
</file>