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1" w:line="219" w:lineRule="auto"/>
        <w:ind w:left="23"/>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spacing w:val="-2"/>
        </w:rPr>
        <w:t>证券代码：</w:t>
      </w:r>
      <w:r>
        <w:rPr>
          <w:rFonts w:hint="eastAsia" w:asciiTheme="majorEastAsia" w:hAnsiTheme="majorEastAsia" w:eastAsiaTheme="majorEastAsia" w:cstheme="majorEastAsia"/>
          <w:b/>
          <w:bCs/>
          <w:spacing w:val="-2"/>
          <w:lang w:val="en-US" w:eastAsia="zh-CN"/>
        </w:rPr>
        <w:t xml:space="preserve">603191          </w:t>
      </w:r>
      <w:r>
        <w:rPr>
          <w:rFonts w:hint="eastAsia" w:asciiTheme="majorEastAsia" w:hAnsiTheme="majorEastAsia" w:eastAsiaTheme="majorEastAsia" w:cstheme="majorEastAsia"/>
          <w:b/>
          <w:bCs/>
          <w:spacing w:val="-2"/>
        </w:rPr>
        <w:t>证券简称：</w:t>
      </w:r>
      <w:r>
        <w:rPr>
          <w:rFonts w:hint="eastAsia" w:asciiTheme="majorEastAsia" w:hAnsiTheme="majorEastAsia" w:eastAsiaTheme="majorEastAsia" w:cstheme="majorEastAsia"/>
          <w:b/>
          <w:bCs/>
          <w:spacing w:val="-2"/>
          <w:lang w:val="en-US" w:eastAsia="zh-CN"/>
        </w:rPr>
        <w:t>望变电气       公告编号：2024-011</w:t>
      </w:r>
    </w:p>
    <w:p>
      <w:pPr>
        <w:spacing w:before="298" w:line="222" w:lineRule="auto"/>
        <w:jc w:val="center"/>
        <w:outlineLvl w:val="0"/>
        <w:rPr>
          <w:rFonts w:hint="eastAsia" w:ascii="宋体" w:hAnsi="宋体" w:eastAsia="宋体" w:cs="宋体"/>
          <w:sz w:val="36"/>
          <w:szCs w:val="36"/>
        </w:rPr>
      </w:pPr>
      <w:r>
        <w:rPr>
          <w:rFonts w:hint="eastAsia" w:ascii="宋体" w:hAnsi="宋体" w:eastAsia="宋体" w:cs="宋体"/>
          <w:color w:val="FF0000"/>
          <w:spacing w:val="9"/>
          <w:sz w:val="36"/>
          <w:szCs w:val="36"/>
          <w:lang w:val="en-US" w:eastAsia="zh-CN"/>
          <w14:textOutline w14:w="7968" w14:cap="flat" w14:cmpd="sng">
            <w14:solidFill>
              <w14:srgbClr w14:val="FF0000"/>
            </w14:solidFill>
            <w14:prstDash w14:val="solid"/>
            <w14:miter w14:val="0"/>
          </w14:textOutline>
        </w:rPr>
        <w:t>重庆望变电气（集团）</w:t>
      </w:r>
      <w:r>
        <w:rPr>
          <w:rFonts w:hint="eastAsia" w:ascii="宋体" w:hAnsi="宋体" w:eastAsia="宋体" w:cs="宋体"/>
          <w:color w:val="FF0000"/>
          <w:spacing w:val="9"/>
          <w:sz w:val="36"/>
          <w:szCs w:val="36"/>
          <w14:textOutline w14:w="7968" w14:cap="flat" w14:cmpd="sng">
            <w14:solidFill>
              <w14:srgbClr w14:val="FF0000"/>
            </w14:solidFill>
            <w14:prstDash w14:val="solid"/>
            <w14:miter w14:val="0"/>
          </w14:textOutline>
        </w:rPr>
        <w:t>股份有限公司</w:t>
      </w:r>
    </w:p>
    <w:p>
      <w:pPr>
        <w:spacing w:before="42" w:line="222" w:lineRule="auto"/>
        <w:jc w:val="center"/>
        <w:rPr>
          <w:rFonts w:hint="eastAsia" w:ascii="宋体" w:hAnsi="宋体" w:eastAsia="宋体" w:cs="宋体"/>
          <w:color w:val="FF0000"/>
          <w:spacing w:val="8"/>
          <w:sz w:val="36"/>
          <w:szCs w:val="36"/>
          <w14:textOutline w14:w="7968" w14:cap="flat" w14:cmpd="sng">
            <w14:solidFill>
              <w14:srgbClr w14:val="FF0000"/>
            </w14:solidFill>
            <w14:prstDash w14:val="solid"/>
            <w14:miter w14:val="0"/>
          </w14:textOutline>
        </w:rPr>
      </w:pPr>
      <w:r>
        <w:rPr>
          <w:rFonts w:hint="eastAsia" w:ascii="宋体" w:hAnsi="宋体" w:eastAsia="宋体" w:cs="宋体"/>
          <w:color w:val="FF0000"/>
          <w:spacing w:val="8"/>
          <w:sz w:val="36"/>
          <w:szCs w:val="36"/>
          <w14:textOutline w14:w="7968" w14:cap="flat" w14:cmpd="sng">
            <w14:solidFill>
              <w14:srgbClr w14:val="FF0000"/>
            </w14:solidFill>
            <w14:prstDash w14:val="solid"/>
            <w14:miter w14:val="0"/>
          </w14:textOutline>
        </w:rPr>
        <w:t>监事会关于公司</w:t>
      </w:r>
      <w:r>
        <w:rPr>
          <w:rFonts w:hint="eastAsia" w:ascii="宋体" w:hAnsi="宋体" w:eastAsia="宋体" w:cs="宋体"/>
          <w:b/>
          <w:bCs/>
          <w:color w:val="FF0000"/>
          <w:spacing w:val="8"/>
          <w:sz w:val="36"/>
          <w:szCs w:val="36"/>
        </w:rPr>
        <w:t>202</w:t>
      </w:r>
      <w:r>
        <w:rPr>
          <w:rFonts w:hint="eastAsia" w:ascii="宋体" w:hAnsi="宋体" w:eastAsia="宋体" w:cs="宋体"/>
          <w:b/>
          <w:bCs/>
          <w:color w:val="FF0000"/>
          <w:spacing w:val="8"/>
          <w:sz w:val="36"/>
          <w:szCs w:val="36"/>
          <w:lang w:val="en-US" w:eastAsia="zh-CN"/>
        </w:rPr>
        <w:t>4</w:t>
      </w:r>
      <w:r>
        <w:rPr>
          <w:rFonts w:hint="eastAsia" w:ascii="宋体" w:hAnsi="宋体" w:eastAsia="宋体" w:cs="宋体"/>
          <w:color w:val="FF0000"/>
          <w:spacing w:val="8"/>
          <w:sz w:val="36"/>
          <w:szCs w:val="36"/>
          <w14:textOutline w14:w="7968" w14:cap="flat" w14:cmpd="sng">
            <w14:solidFill>
              <w14:srgbClr w14:val="FF0000"/>
            </w14:solidFill>
            <w14:prstDash w14:val="solid"/>
            <w14:miter w14:val="0"/>
          </w14:textOutline>
        </w:rPr>
        <w:t>年限制性股票激励</w:t>
      </w:r>
    </w:p>
    <w:p>
      <w:pPr>
        <w:spacing w:before="44" w:line="231" w:lineRule="auto"/>
        <w:ind w:right="858"/>
        <w:jc w:val="center"/>
        <w:rPr>
          <w:rFonts w:hint="eastAsia" w:ascii="宋体" w:hAnsi="宋体" w:eastAsia="宋体" w:cs="宋体"/>
          <w:color w:val="FF0000"/>
          <w:spacing w:val="10"/>
          <w:sz w:val="36"/>
          <w:szCs w:val="36"/>
          <w14:textOutline w14:w="7968" w14:cap="flat" w14:cmpd="sng">
            <w14:solidFill>
              <w14:srgbClr w14:val="FF0000"/>
            </w14:solidFill>
            <w14:prstDash w14:val="solid"/>
            <w14:miter w14:val="0"/>
          </w14:textOutline>
        </w:rPr>
      </w:pPr>
      <w:r>
        <w:rPr>
          <w:rFonts w:hint="eastAsia" w:ascii="宋体" w:hAnsi="宋体" w:eastAsia="宋体" w:cs="宋体"/>
          <w:color w:val="FF0000"/>
          <w:spacing w:val="10"/>
          <w:sz w:val="36"/>
          <w:szCs w:val="36"/>
          <w:lang w:val="en-US" w:eastAsia="zh-CN"/>
          <w14:textOutline w14:w="7968" w14:cap="flat" w14:cmpd="sng">
            <w14:solidFill>
              <w14:srgbClr w14:val="FF0000"/>
            </w14:solidFill>
            <w14:prstDash w14:val="solid"/>
            <w14:miter w14:val="0"/>
          </w14:textOutline>
        </w:rPr>
        <w:t xml:space="preserve">    </w:t>
      </w:r>
      <w:r>
        <w:rPr>
          <w:rFonts w:hint="eastAsia" w:ascii="宋体" w:hAnsi="宋体" w:eastAsia="宋体" w:cs="宋体"/>
          <w:color w:val="FF0000"/>
          <w:spacing w:val="10"/>
          <w:sz w:val="36"/>
          <w:szCs w:val="36"/>
          <w14:textOutline w14:w="7968" w14:cap="flat" w14:cmpd="sng">
            <w14:solidFill>
              <w14:srgbClr w14:val="FF0000"/>
            </w14:solidFill>
            <w14:prstDash w14:val="solid"/>
            <w14:miter w14:val="0"/>
          </w14:textOutline>
        </w:rPr>
        <w:t>计划激励对象名单的</w:t>
      </w:r>
      <w:r>
        <w:rPr>
          <w:rFonts w:hint="eastAsia" w:ascii="宋体" w:hAnsi="宋体" w:eastAsia="宋体" w:cs="宋体"/>
          <w:color w:val="FF0000"/>
          <w:spacing w:val="7"/>
          <w:sz w:val="36"/>
          <w:szCs w:val="36"/>
          <w14:textOutline w14:w="7968" w14:cap="flat" w14:cmpd="sng">
            <w14:solidFill>
              <w14:srgbClr w14:val="FF0000"/>
            </w14:solidFill>
            <w14:prstDash w14:val="solid"/>
            <w14:miter w14:val="0"/>
          </w14:textOutline>
        </w:rPr>
        <w:t>核查意见及</w:t>
      </w:r>
      <w:r>
        <w:rPr>
          <w:rFonts w:hint="eastAsia" w:ascii="宋体" w:hAnsi="宋体" w:eastAsia="宋体" w:cs="宋体"/>
          <w:color w:val="FF0000"/>
          <w:spacing w:val="10"/>
          <w:sz w:val="36"/>
          <w:szCs w:val="36"/>
          <w14:textOutline w14:w="7968" w14:cap="flat" w14:cmpd="sng">
            <w14:solidFill>
              <w14:srgbClr w14:val="FF0000"/>
            </w14:solidFill>
            <w14:prstDash w14:val="solid"/>
            <w14:miter w14:val="0"/>
          </w14:textOutline>
        </w:rPr>
        <w:t>公示情况说明</w:t>
      </w:r>
    </w:p>
    <w:p>
      <w:pPr>
        <w:spacing w:before="44" w:line="231" w:lineRule="auto"/>
        <w:ind w:right="858"/>
        <w:jc w:val="center"/>
        <w:rPr>
          <w:rFonts w:hint="eastAsia" w:ascii="宋体" w:hAnsi="宋体" w:eastAsia="宋体" w:cs="宋体"/>
          <w:color w:val="FF0000"/>
          <w:spacing w:val="10"/>
          <w:sz w:val="36"/>
          <w:szCs w:val="36"/>
          <w14:textOutline w14:w="7968" w14:cap="flat" w14:cmpd="sng">
            <w14:solidFill>
              <w14:srgbClr w14:val="FF0000"/>
            </w14:solidFill>
            <w14:prstDash w14:val="solid"/>
            <w14:miter w14:val="0"/>
          </w14:textOutline>
        </w:rPr>
      </w:pPr>
    </w:p>
    <w:tbl>
      <w:tblPr>
        <w:tblStyle w:val="6"/>
        <w:tblW w:w="8595" w:type="dxa"/>
        <w:tblInd w:w="2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80" w:hRule="atLeast"/>
        </w:trPr>
        <w:tc>
          <w:tcPr>
            <w:tcW w:w="8595" w:type="dxa"/>
          </w:tcPr>
          <w:p>
            <w:pPr>
              <w:spacing w:before="310" w:line="231" w:lineRule="auto"/>
              <w:ind w:left="151" w:right="61" w:firstLine="484"/>
              <w:rPr>
                <w:rFonts w:ascii="宋体" w:hAnsi="宋体" w:eastAsia="宋体" w:cs="宋体"/>
                <w:sz w:val="24"/>
                <w:szCs w:val="24"/>
                <w:lang w:eastAsia="zh-CN"/>
              </w:rPr>
            </w:pPr>
            <w:r>
              <w:rPr>
                <w:rFonts w:hint="eastAsia" w:ascii="宋体" w:hAnsi="宋体" w:eastAsia="宋体" w:cs="宋体"/>
                <w:color w:val="auto"/>
                <w:spacing w:val="-12"/>
                <w:sz w:val="24"/>
                <w:szCs w:val="24"/>
                <w:lang w:eastAsia="zh-CN"/>
              </w:rPr>
              <w:t>本公司董事会及全体董事保证本公告内容不存在任何虚假记载、误导性陈 述或者重大遗漏， 并对其内容的真实性、准确性和完整性承担个别及连带责任。</w:t>
            </w:r>
          </w:p>
        </w:tc>
      </w:tr>
    </w:tbl>
    <w:p>
      <w:pPr>
        <w:spacing w:line="426"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78" w:line="560" w:lineRule="exact"/>
        <w:ind w:left="23" w:right="11" w:firstLine="601"/>
        <w:jc w:val="both"/>
        <w:textAlignment w:val="baseline"/>
        <w:rPr>
          <w:rFonts w:hint="eastAsia" w:ascii="宋体" w:hAnsi="宋体" w:eastAsia="宋体" w:cs="宋体"/>
          <w:sz w:val="24"/>
          <w:szCs w:val="24"/>
        </w:rPr>
      </w:pPr>
      <w:r>
        <w:rPr>
          <w:rFonts w:hint="eastAsia" w:ascii="宋体" w:hAnsi="宋体" w:eastAsia="宋体" w:cs="宋体"/>
          <w:spacing w:val="-8"/>
          <w:sz w:val="24"/>
          <w:szCs w:val="24"/>
          <w:lang w:val="en-US" w:eastAsia="zh-CN"/>
        </w:rPr>
        <w:t>重庆望变电气（集团）</w:t>
      </w:r>
      <w:r>
        <w:rPr>
          <w:rFonts w:hint="eastAsia" w:ascii="宋体" w:hAnsi="宋体" w:eastAsia="宋体" w:cs="宋体"/>
          <w:spacing w:val="-8"/>
          <w:sz w:val="24"/>
          <w:szCs w:val="24"/>
        </w:rPr>
        <w:t>股份有限公司（以下简称公司）于202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w:t>
      </w:r>
      <w:r>
        <w:rPr>
          <w:rFonts w:hint="eastAsia" w:ascii="宋体" w:hAnsi="宋体" w:eastAsia="宋体" w:cs="宋体"/>
          <w:spacing w:val="-26"/>
          <w:sz w:val="24"/>
          <w:szCs w:val="24"/>
          <w:lang w:val="en-US" w:eastAsia="zh-CN"/>
        </w:rPr>
        <w:t>1</w:t>
      </w:r>
      <w:r>
        <w:rPr>
          <w:rFonts w:hint="eastAsia" w:ascii="宋体" w:hAnsi="宋体" w:eastAsia="宋体" w:cs="宋体"/>
          <w:spacing w:val="-8"/>
          <w:sz w:val="24"/>
          <w:szCs w:val="24"/>
        </w:rPr>
        <w:t>月</w:t>
      </w:r>
      <w:r>
        <w:rPr>
          <w:rFonts w:hint="eastAsia" w:ascii="宋体" w:hAnsi="宋体" w:eastAsia="宋体" w:cs="宋体"/>
          <w:spacing w:val="-46"/>
          <w:sz w:val="24"/>
          <w:szCs w:val="24"/>
          <w:lang w:val="en-US" w:eastAsia="zh-CN"/>
        </w:rPr>
        <w:t>18</w:t>
      </w:r>
      <w:r>
        <w:rPr>
          <w:rFonts w:hint="eastAsia" w:ascii="宋体" w:hAnsi="宋体" w:eastAsia="宋体" w:cs="宋体"/>
          <w:spacing w:val="-8"/>
          <w:sz w:val="24"/>
          <w:szCs w:val="24"/>
        </w:rPr>
        <w:t>日召开的</w:t>
      </w:r>
      <w:r>
        <w:rPr>
          <w:rFonts w:hint="eastAsia" w:ascii="宋体" w:hAnsi="宋体" w:eastAsia="宋体" w:cs="宋体"/>
          <w:spacing w:val="-8"/>
          <w:sz w:val="24"/>
          <w:szCs w:val="24"/>
          <w:lang w:val="en-US" w:eastAsia="zh-CN"/>
        </w:rPr>
        <w:t>第四届</w:t>
      </w:r>
      <w:r>
        <w:rPr>
          <w:rFonts w:hint="eastAsia" w:ascii="宋体" w:hAnsi="宋体" w:eastAsia="宋体" w:cs="宋体"/>
          <w:sz w:val="24"/>
          <w:szCs w:val="24"/>
        </w:rPr>
        <w:t>董事会</w:t>
      </w:r>
      <w:r>
        <w:rPr>
          <w:rFonts w:hint="eastAsia" w:ascii="宋体" w:hAnsi="宋体" w:eastAsia="宋体" w:cs="宋体"/>
          <w:sz w:val="24"/>
          <w:szCs w:val="24"/>
          <w:lang w:val="en-US" w:eastAsia="zh-CN"/>
        </w:rPr>
        <w:t>第二次会议</w:t>
      </w:r>
      <w:r>
        <w:rPr>
          <w:rFonts w:hint="eastAsia" w:ascii="宋体" w:hAnsi="宋体" w:eastAsia="宋体" w:cs="宋体"/>
          <w:sz w:val="24"/>
          <w:szCs w:val="24"/>
        </w:rPr>
        <w:t>和</w:t>
      </w:r>
      <w:r>
        <w:rPr>
          <w:rFonts w:hint="eastAsia" w:ascii="宋体" w:hAnsi="宋体" w:eastAsia="宋体" w:cs="宋体"/>
          <w:sz w:val="24"/>
          <w:szCs w:val="24"/>
          <w:lang w:val="en-US" w:eastAsia="zh-CN"/>
        </w:rPr>
        <w:t>第四届监事会第二次会议</w:t>
      </w:r>
      <w:r>
        <w:rPr>
          <w:rFonts w:hint="eastAsia" w:ascii="宋体" w:hAnsi="宋体" w:eastAsia="宋体" w:cs="宋体"/>
          <w:sz w:val="24"/>
          <w:szCs w:val="24"/>
        </w:rPr>
        <w:t>审议通过了《关于公司&lt;2024年限制性股票激励计划（草案）&gt;及其摘要的议案》等相关议案。根据《上市公司股权激</w:t>
      </w:r>
      <w:r>
        <w:rPr>
          <w:rFonts w:hint="eastAsia" w:ascii="宋体" w:hAnsi="宋体" w:eastAsia="宋体" w:cs="宋体"/>
          <w:spacing w:val="-1"/>
          <w:sz w:val="24"/>
          <w:szCs w:val="24"/>
        </w:rPr>
        <w:t>励管理办</w:t>
      </w:r>
      <w:r>
        <w:rPr>
          <w:rFonts w:hint="eastAsia" w:ascii="宋体" w:hAnsi="宋体" w:eastAsia="宋体" w:cs="宋体"/>
          <w:spacing w:val="-25"/>
          <w:w w:val="81"/>
          <w:sz w:val="24"/>
          <w:szCs w:val="24"/>
        </w:rPr>
        <w:t>法》</w:t>
      </w:r>
      <w:r>
        <w:rPr>
          <w:rFonts w:hint="eastAsia" w:ascii="宋体" w:hAnsi="宋体" w:eastAsia="宋体" w:cs="宋体"/>
          <w:spacing w:val="-4"/>
          <w:sz w:val="24"/>
          <w:szCs w:val="24"/>
        </w:rPr>
        <w:t>(以下简称《管理办法》)</w:t>
      </w:r>
      <w:r>
        <w:rPr>
          <w:rFonts w:hint="eastAsia" w:ascii="宋体" w:hAnsi="宋体" w:eastAsia="宋体" w:cs="宋体"/>
          <w:spacing w:val="-14"/>
          <w:sz w:val="24"/>
          <w:szCs w:val="24"/>
        </w:rPr>
        <w:t>等有关法律、法规及规范性文件的相关规定</w:t>
      </w:r>
      <w:r>
        <w:rPr>
          <w:rFonts w:hint="eastAsia" w:ascii="宋体" w:hAnsi="宋体" w:eastAsia="宋体" w:cs="宋体"/>
          <w:spacing w:val="-15"/>
          <w:sz w:val="24"/>
          <w:szCs w:val="24"/>
        </w:rPr>
        <w:t>，公司对202</w:t>
      </w:r>
      <w:r>
        <w:rPr>
          <w:rFonts w:hint="eastAsia" w:ascii="宋体" w:hAnsi="宋体" w:eastAsia="宋体" w:cs="宋体"/>
          <w:spacing w:val="-15"/>
          <w:sz w:val="24"/>
          <w:szCs w:val="24"/>
          <w:lang w:val="en-US" w:eastAsia="zh-CN"/>
        </w:rPr>
        <w:t>4</w:t>
      </w:r>
      <w:r>
        <w:rPr>
          <w:rFonts w:hint="eastAsia" w:ascii="宋体" w:hAnsi="宋体" w:eastAsia="宋体" w:cs="宋体"/>
          <w:spacing w:val="-3"/>
          <w:sz w:val="24"/>
          <w:szCs w:val="24"/>
        </w:rPr>
        <w:t>年限制性股票激励计划（以下简称《激励计划》）激励对象名单在公</w:t>
      </w:r>
      <w:r>
        <w:rPr>
          <w:rFonts w:hint="eastAsia" w:ascii="宋体" w:hAnsi="宋体" w:eastAsia="宋体" w:cs="宋体"/>
          <w:spacing w:val="-4"/>
          <w:sz w:val="24"/>
          <w:szCs w:val="24"/>
        </w:rPr>
        <w:t>司内部进行</w:t>
      </w:r>
      <w:r>
        <w:rPr>
          <w:rFonts w:hint="eastAsia" w:ascii="宋体" w:hAnsi="宋体" w:eastAsia="宋体" w:cs="宋体"/>
          <w:spacing w:val="-9"/>
          <w:sz w:val="24"/>
          <w:szCs w:val="24"/>
        </w:rPr>
        <w:t>了公示，公司监事会结合公示情况对激励对象进行了核</w:t>
      </w:r>
      <w:r>
        <w:rPr>
          <w:rFonts w:hint="eastAsia" w:ascii="宋体" w:hAnsi="宋体" w:eastAsia="宋体" w:cs="宋体"/>
          <w:spacing w:val="-10"/>
          <w:sz w:val="24"/>
          <w:szCs w:val="24"/>
        </w:rPr>
        <w:t>查，相关公示情况及核查</w:t>
      </w:r>
      <w:r>
        <w:rPr>
          <w:rFonts w:hint="eastAsia" w:ascii="宋体" w:hAnsi="宋体" w:eastAsia="宋体" w:cs="宋体"/>
          <w:spacing w:val="-4"/>
          <w:sz w:val="24"/>
          <w:szCs w:val="24"/>
        </w:rPr>
        <w:t>意见如下：</w:t>
      </w:r>
    </w:p>
    <w:p>
      <w:pPr>
        <w:pStyle w:val="3"/>
        <w:keepNext w:val="0"/>
        <w:keepLines w:val="0"/>
        <w:pageBreakBefore w:val="0"/>
        <w:widowControl/>
        <w:kinsoku w:val="0"/>
        <w:wordWrap/>
        <w:overflowPunct/>
        <w:topLinePunct w:val="0"/>
        <w:autoSpaceDE w:val="0"/>
        <w:autoSpaceDN w:val="0"/>
        <w:bidi w:val="0"/>
        <w:adjustRightInd w:val="0"/>
        <w:snapToGrid w:val="0"/>
        <w:spacing w:before="182" w:line="560" w:lineRule="exact"/>
        <w:ind w:left="500"/>
        <w:textAlignment w:val="baseline"/>
        <w:rPr>
          <w:rFonts w:hint="eastAsia" w:ascii="宋体" w:hAnsi="宋体" w:eastAsia="宋体" w:cs="宋体"/>
          <w:sz w:val="24"/>
          <w:szCs w:val="24"/>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一、公示情况说明</w:t>
      </w:r>
    </w:p>
    <w:p>
      <w:pPr>
        <w:pStyle w:val="3"/>
        <w:keepNext w:val="0"/>
        <w:keepLines w:val="0"/>
        <w:pageBreakBefore w:val="0"/>
        <w:widowControl/>
        <w:kinsoku w:val="0"/>
        <w:wordWrap/>
        <w:overflowPunct/>
        <w:topLinePunct w:val="0"/>
        <w:autoSpaceDE w:val="0"/>
        <w:autoSpaceDN w:val="0"/>
        <w:bidi w:val="0"/>
        <w:adjustRightInd w:val="0"/>
        <w:snapToGrid w:val="0"/>
        <w:spacing w:before="180" w:line="560" w:lineRule="exact"/>
        <w:ind w:left="23" w:right="12" w:firstLine="487"/>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公司于202</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年1月</w:t>
      </w:r>
      <w:r>
        <w:rPr>
          <w:rFonts w:hint="eastAsia" w:ascii="宋体" w:hAnsi="宋体" w:eastAsia="宋体" w:cs="宋体"/>
          <w:spacing w:val="-46"/>
          <w:sz w:val="24"/>
          <w:szCs w:val="24"/>
          <w:lang w:val="en-US" w:eastAsia="zh-CN"/>
        </w:rPr>
        <w:t>22</w:t>
      </w:r>
      <w:r>
        <w:rPr>
          <w:rFonts w:hint="eastAsia" w:ascii="宋体" w:hAnsi="宋体" w:eastAsia="宋体" w:cs="宋体"/>
          <w:spacing w:val="-4"/>
          <w:sz w:val="24"/>
          <w:szCs w:val="24"/>
        </w:rPr>
        <w:t>日在上海证券交易所网站（www.sse.com.cn）上</w:t>
      </w:r>
      <w:r>
        <w:rPr>
          <w:rFonts w:hint="eastAsia" w:ascii="宋体" w:hAnsi="宋体" w:eastAsia="宋体" w:cs="宋体"/>
          <w:spacing w:val="-8"/>
          <w:sz w:val="24"/>
          <w:szCs w:val="24"/>
        </w:rPr>
        <w:t>披露了《</w:t>
      </w:r>
      <w:r>
        <w:rPr>
          <w:rFonts w:hint="eastAsia" w:ascii="宋体" w:hAnsi="宋体" w:eastAsia="宋体" w:cs="宋体"/>
          <w:spacing w:val="-8"/>
          <w:sz w:val="24"/>
          <w:szCs w:val="24"/>
          <w:lang w:val="en-US" w:eastAsia="zh-CN"/>
        </w:rPr>
        <w:t>重庆望变电气（集团）</w:t>
      </w:r>
      <w:r>
        <w:rPr>
          <w:rFonts w:hint="eastAsia" w:ascii="宋体" w:hAnsi="宋体" w:eastAsia="宋体" w:cs="宋体"/>
          <w:spacing w:val="-8"/>
          <w:sz w:val="24"/>
          <w:szCs w:val="24"/>
        </w:rPr>
        <w:t>股份有限公司202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年限制性股票激励计</w:t>
      </w:r>
      <w:r>
        <w:rPr>
          <w:rFonts w:hint="eastAsia" w:ascii="宋体" w:hAnsi="宋体" w:eastAsia="宋体" w:cs="宋体"/>
          <w:spacing w:val="-9"/>
          <w:sz w:val="24"/>
          <w:szCs w:val="24"/>
        </w:rPr>
        <w:t>划激励对象名单》（以</w:t>
      </w:r>
      <w:r>
        <w:rPr>
          <w:rFonts w:hint="eastAsia" w:ascii="宋体" w:hAnsi="宋体" w:eastAsia="宋体" w:cs="宋体"/>
          <w:spacing w:val="-7"/>
          <w:sz w:val="24"/>
          <w:szCs w:val="24"/>
        </w:rPr>
        <w:t>下简称激励对象名单</w:t>
      </w:r>
      <w:r>
        <w:rPr>
          <w:rFonts w:hint="eastAsia" w:ascii="宋体" w:hAnsi="宋体" w:eastAsia="宋体" w:cs="宋体"/>
          <w:spacing w:val="-2"/>
          <w:sz w:val="24"/>
          <w:szCs w:val="24"/>
        </w:rPr>
        <w:t>），</w:t>
      </w:r>
      <w:r>
        <w:rPr>
          <w:rFonts w:hint="eastAsia" w:ascii="宋体" w:hAnsi="宋体" w:eastAsia="宋体" w:cs="宋体"/>
          <w:spacing w:val="-7"/>
          <w:sz w:val="24"/>
          <w:szCs w:val="24"/>
        </w:rPr>
        <w:t>并于202</w:t>
      </w:r>
      <w:r>
        <w:rPr>
          <w:rFonts w:hint="eastAsia" w:ascii="宋体" w:hAnsi="宋体" w:eastAsia="宋体" w:cs="宋体"/>
          <w:spacing w:val="-7"/>
          <w:sz w:val="24"/>
          <w:szCs w:val="24"/>
          <w:lang w:val="en-US" w:eastAsia="zh-CN"/>
        </w:rPr>
        <w:t>4</w:t>
      </w:r>
      <w:r>
        <w:rPr>
          <w:rFonts w:hint="eastAsia" w:ascii="宋体" w:hAnsi="宋体" w:eastAsia="宋体" w:cs="宋体"/>
          <w:spacing w:val="-7"/>
          <w:sz w:val="24"/>
          <w:szCs w:val="24"/>
        </w:rPr>
        <w:t>年</w:t>
      </w:r>
      <w:r>
        <w:rPr>
          <w:rFonts w:hint="eastAsia" w:ascii="宋体" w:hAnsi="宋体" w:eastAsia="宋体" w:cs="宋体"/>
          <w:spacing w:val="-27"/>
          <w:sz w:val="24"/>
          <w:szCs w:val="24"/>
          <w:lang w:val="en-US" w:eastAsia="zh-CN"/>
        </w:rPr>
        <w:t>1</w:t>
      </w:r>
      <w:r>
        <w:rPr>
          <w:rFonts w:hint="eastAsia" w:ascii="宋体" w:hAnsi="宋体" w:eastAsia="宋体" w:cs="宋体"/>
          <w:spacing w:val="-7"/>
          <w:sz w:val="24"/>
          <w:szCs w:val="24"/>
        </w:rPr>
        <w:t>月</w:t>
      </w:r>
      <w:r>
        <w:rPr>
          <w:rFonts w:hint="eastAsia" w:cs="宋体"/>
          <w:spacing w:val="-48"/>
          <w:sz w:val="24"/>
          <w:szCs w:val="24"/>
          <w:lang w:val="en-US" w:eastAsia="zh-CN"/>
        </w:rPr>
        <w:t>22</w:t>
      </w:r>
      <w:r>
        <w:rPr>
          <w:rFonts w:hint="eastAsia" w:ascii="宋体" w:hAnsi="宋体" w:eastAsia="宋体" w:cs="宋体"/>
          <w:spacing w:val="-7"/>
          <w:sz w:val="24"/>
          <w:szCs w:val="24"/>
        </w:rPr>
        <w:t>日在公司内部通过公司内网公示</w:t>
      </w:r>
      <w:r>
        <w:rPr>
          <w:rFonts w:hint="eastAsia" w:ascii="宋体" w:hAnsi="宋体" w:eastAsia="宋体" w:cs="宋体"/>
          <w:spacing w:val="-8"/>
          <w:sz w:val="24"/>
          <w:szCs w:val="24"/>
        </w:rPr>
        <w:t>了激励对象名单，公示时间为202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w:t>
      </w: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月</w:t>
      </w:r>
      <w:r>
        <w:rPr>
          <w:rFonts w:hint="eastAsia" w:ascii="宋体" w:hAnsi="宋体" w:eastAsia="宋体" w:cs="宋体"/>
          <w:spacing w:val="-50"/>
          <w:sz w:val="24"/>
          <w:szCs w:val="24"/>
          <w:lang w:val="en-US" w:eastAsia="zh-CN"/>
        </w:rPr>
        <w:t>22</w:t>
      </w:r>
      <w:r>
        <w:rPr>
          <w:rFonts w:hint="eastAsia" w:ascii="宋体" w:hAnsi="宋体" w:eastAsia="宋体" w:cs="宋体"/>
          <w:spacing w:val="-8"/>
          <w:sz w:val="24"/>
          <w:szCs w:val="24"/>
        </w:rPr>
        <w:t>日至202</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年1月</w:t>
      </w:r>
      <w:r>
        <w:rPr>
          <w:rFonts w:hint="eastAsia" w:ascii="宋体" w:hAnsi="宋体" w:eastAsia="宋体" w:cs="宋体"/>
          <w:spacing w:val="-28"/>
          <w:sz w:val="24"/>
          <w:szCs w:val="24"/>
          <w:lang w:val="en-US" w:eastAsia="zh-CN"/>
        </w:rPr>
        <w:t>31</w:t>
      </w:r>
      <w:r>
        <w:rPr>
          <w:rFonts w:hint="eastAsia" w:ascii="宋体" w:hAnsi="宋体" w:eastAsia="宋体" w:cs="宋体"/>
          <w:spacing w:val="-8"/>
          <w:sz w:val="24"/>
          <w:szCs w:val="24"/>
        </w:rPr>
        <w:t>日，在公</w:t>
      </w:r>
      <w:r>
        <w:rPr>
          <w:rFonts w:hint="eastAsia" w:ascii="宋体" w:hAnsi="宋体" w:eastAsia="宋体" w:cs="宋体"/>
          <w:spacing w:val="-1"/>
          <w:sz w:val="24"/>
          <w:szCs w:val="24"/>
        </w:rPr>
        <w:t>示期内，公司员工可通过口头、书面等方式向公司相关部门反馈意见。</w:t>
      </w:r>
    </w:p>
    <w:p>
      <w:pPr>
        <w:pStyle w:val="3"/>
        <w:keepNext w:val="0"/>
        <w:keepLines w:val="0"/>
        <w:pageBreakBefore w:val="0"/>
        <w:widowControl/>
        <w:kinsoku w:val="0"/>
        <w:wordWrap/>
        <w:overflowPunct/>
        <w:topLinePunct w:val="0"/>
        <w:autoSpaceDE w:val="0"/>
        <w:autoSpaceDN w:val="0"/>
        <w:bidi w:val="0"/>
        <w:adjustRightInd w:val="0"/>
        <w:snapToGrid w:val="0"/>
        <w:spacing w:before="184" w:line="560" w:lineRule="exact"/>
        <w:ind w:right="15" w:firstLine="440" w:firstLineChars="200"/>
        <w:jc w:val="both"/>
        <w:textAlignment w:val="baseline"/>
        <w:rPr>
          <w:rFonts w:hint="default" w:cs="宋体"/>
          <w:spacing w:val="-10"/>
          <w:position w:val="17"/>
          <w:sz w:val="24"/>
          <w:szCs w:val="24"/>
          <w:highlight w:val="none"/>
          <w:lang w:val="en-US" w:eastAsia="zh-CN"/>
        </w:rPr>
      </w:pPr>
      <w:bookmarkStart w:id="0" w:name="_GoBack"/>
      <w:r>
        <w:rPr>
          <w:rFonts w:hint="eastAsia" w:ascii="宋体" w:hAnsi="宋体" w:eastAsia="宋体" w:cs="宋体"/>
          <w:spacing w:val="-10"/>
          <w:position w:val="17"/>
          <w:sz w:val="24"/>
          <w:szCs w:val="24"/>
          <w:highlight w:val="none"/>
        </w:rPr>
        <w:t>经监事会核查，截至公示期满</w:t>
      </w:r>
      <w:r>
        <w:rPr>
          <w:rFonts w:hint="eastAsia" w:cs="宋体"/>
          <w:spacing w:val="-10"/>
          <w:position w:val="17"/>
          <w:sz w:val="24"/>
          <w:szCs w:val="24"/>
          <w:highlight w:val="none"/>
          <w:lang w:val="en-US" w:eastAsia="zh-CN"/>
        </w:rPr>
        <w:t>，未收到任何组织或个人对本次拟激励对象提出的异议。</w:t>
      </w:r>
    </w:p>
    <w:bookmarkEnd w:id="0"/>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82" w:line="560" w:lineRule="exact"/>
        <w:ind w:left="500"/>
        <w:textAlignment w:val="baseline"/>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监事会核查意见</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560" w:lineRule="exact"/>
        <w:ind w:firstLine="452" w:firstLineChars="200"/>
        <w:textAlignment w:val="baseline"/>
        <w:rPr>
          <w:rFonts w:hint="eastAsia" w:cs="宋体"/>
          <w:spacing w:val="-7"/>
          <w:position w:val="17"/>
          <w:sz w:val="24"/>
          <w:szCs w:val="24"/>
          <w:lang w:val="en-US" w:eastAsia="zh-CN"/>
        </w:rPr>
      </w:pPr>
      <w:r>
        <w:rPr>
          <w:rFonts w:hint="eastAsia" w:ascii="宋体" w:hAnsi="宋体" w:eastAsia="宋体" w:cs="宋体"/>
          <w:spacing w:val="-7"/>
          <w:position w:val="17"/>
          <w:sz w:val="24"/>
          <w:szCs w:val="24"/>
        </w:rPr>
        <w:t>监事会根据《管理办法》等相关规定，对公司本次激励计划的</w:t>
      </w:r>
      <w:r>
        <w:rPr>
          <w:rFonts w:hint="eastAsia" w:cs="宋体"/>
          <w:spacing w:val="-7"/>
          <w:position w:val="17"/>
          <w:sz w:val="24"/>
          <w:szCs w:val="24"/>
          <w:lang w:val="en-US" w:eastAsia="zh-CN"/>
        </w:rPr>
        <w:t>激励对象进行了核查，并发表了核查意见如下：</w:t>
      </w:r>
    </w:p>
    <w:p>
      <w:pPr>
        <w:pStyle w:val="3"/>
        <w:numPr>
          <w:ilvl w:val="0"/>
          <w:numId w:val="0"/>
        </w:numPr>
        <w:spacing w:before="180" w:line="468" w:lineRule="exact"/>
        <w:ind w:right="12" w:rightChars="0" w:firstLine="452" w:firstLineChars="200"/>
        <w:jc w:val="both"/>
        <w:rPr>
          <w:rFonts w:hint="eastAsia"/>
          <w:spacing w:val="-8"/>
          <w:position w:val="17"/>
          <w:lang w:eastAsia="zh-CN"/>
        </w:rPr>
      </w:pPr>
      <w:r>
        <w:rPr>
          <w:rFonts w:hint="eastAsia"/>
          <w:spacing w:val="-7"/>
          <w:position w:val="17"/>
          <w:lang w:val="en-US" w:eastAsia="zh-CN"/>
        </w:rPr>
        <w:t>1、</w:t>
      </w:r>
      <w:r>
        <w:rPr>
          <w:spacing w:val="-7"/>
          <w:position w:val="17"/>
        </w:rPr>
        <w:t>列入公司激励对象名单的人员具备《管</w:t>
      </w:r>
      <w:r>
        <w:rPr>
          <w:spacing w:val="-8"/>
          <w:position w:val="17"/>
        </w:rPr>
        <w:t>理办法》等文件规</w:t>
      </w:r>
      <w:r>
        <w:rPr>
          <w:rFonts w:hint="eastAsia"/>
          <w:spacing w:val="-8"/>
          <w:position w:val="17"/>
        </w:rPr>
        <w:t>定的激励对象条件，符合《激励计划》规定的激励对象条件</w:t>
      </w:r>
      <w:r>
        <w:rPr>
          <w:rFonts w:hint="eastAsia"/>
          <w:spacing w:val="-8"/>
          <w:position w:val="17"/>
          <w:lang w:eastAsia="zh-CN"/>
        </w:rPr>
        <w:t>。</w:t>
      </w:r>
    </w:p>
    <w:p>
      <w:pPr>
        <w:pStyle w:val="3"/>
        <w:numPr>
          <w:ilvl w:val="0"/>
          <w:numId w:val="0"/>
        </w:numPr>
        <w:spacing w:before="180" w:line="468" w:lineRule="exact"/>
        <w:ind w:right="12" w:rightChars="0" w:firstLine="480" w:firstLineChars="200"/>
        <w:jc w:val="both"/>
        <w:rPr>
          <w:rFonts w:hint="eastAsia"/>
        </w:rPr>
      </w:pPr>
      <w:r>
        <w:rPr>
          <w:rFonts w:hint="eastAsia"/>
          <w:lang w:val="en-US" w:eastAsia="zh-CN"/>
        </w:rPr>
        <w:t>2、</w:t>
      </w:r>
      <w:r>
        <w:rPr>
          <w:rFonts w:hint="eastAsia"/>
        </w:rPr>
        <w:t>列入激励对象名单的人员具备《公司法》《证券法》等法律、法规和规范性文件及《公司章程》规定的任职资格，不存在《管理办法》第八条规定的不得成为激励对象的下列情形：</w:t>
      </w:r>
    </w:p>
    <w:p>
      <w:pPr>
        <w:pStyle w:val="3"/>
        <w:numPr>
          <w:ilvl w:val="0"/>
          <w:numId w:val="0"/>
        </w:numPr>
        <w:spacing w:before="180" w:line="468" w:lineRule="exact"/>
        <w:ind w:right="12" w:rightChars="0" w:firstLine="480" w:firstLineChars="200"/>
        <w:jc w:val="both"/>
        <w:rPr>
          <w:rFonts w:hint="eastAsia"/>
        </w:rPr>
      </w:pPr>
      <w:r>
        <w:rPr>
          <w:rFonts w:hint="eastAsia"/>
        </w:rPr>
        <w:t>（1）最近12个月内被证券交易所认定为不适当人选；</w:t>
      </w:r>
    </w:p>
    <w:p>
      <w:pPr>
        <w:pStyle w:val="3"/>
        <w:numPr>
          <w:ilvl w:val="0"/>
          <w:numId w:val="0"/>
        </w:numPr>
        <w:spacing w:before="180" w:line="468" w:lineRule="exact"/>
        <w:ind w:right="12" w:rightChars="0" w:firstLine="480" w:firstLineChars="200"/>
        <w:jc w:val="both"/>
        <w:rPr>
          <w:rFonts w:hint="eastAsia"/>
        </w:rPr>
      </w:pPr>
      <w:r>
        <w:rPr>
          <w:rFonts w:hint="eastAsia"/>
        </w:rPr>
        <w:t>（2）最近12个月内被中国证监会及其派出机构认定为不适当人选；</w:t>
      </w:r>
    </w:p>
    <w:p>
      <w:pPr>
        <w:pStyle w:val="3"/>
        <w:numPr>
          <w:ilvl w:val="0"/>
          <w:numId w:val="0"/>
        </w:numPr>
        <w:spacing w:before="180" w:line="468" w:lineRule="exact"/>
        <w:ind w:right="12" w:rightChars="0" w:firstLine="480" w:firstLineChars="200"/>
        <w:jc w:val="both"/>
        <w:rPr>
          <w:rFonts w:hint="eastAsia"/>
        </w:rPr>
      </w:pPr>
      <w:r>
        <w:rPr>
          <w:rFonts w:hint="eastAsia"/>
        </w:rPr>
        <w:t>（3）最近12个月内因重大违法违规行为被中国证监会及其派出机构行政处罚或者采取市场禁入措施；</w:t>
      </w:r>
    </w:p>
    <w:p>
      <w:pPr>
        <w:pStyle w:val="3"/>
        <w:numPr>
          <w:ilvl w:val="0"/>
          <w:numId w:val="0"/>
        </w:numPr>
        <w:spacing w:before="180" w:line="468" w:lineRule="exact"/>
        <w:ind w:right="12" w:rightChars="0" w:firstLine="480" w:firstLineChars="200"/>
        <w:jc w:val="both"/>
        <w:rPr>
          <w:rFonts w:hint="eastAsia"/>
        </w:rPr>
      </w:pPr>
      <w:r>
        <w:rPr>
          <w:rFonts w:hint="eastAsia"/>
        </w:rPr>
        <w:t>（4）具有《公司法》规定的不得担任公司董事、高级管理人员情形的；</w:t>
      </w:r>
    </w:p>
    <w:p>
      <w:pPr>
        <w:pStyle w:val="3"/>
        <w:numPr>
          <w:ilvl w:val="0"/>
          <w:numId w:val="0"/>
        </w:numPr>
        <w:spacing w:before="180" w:line="468" w:lineRule="exact"/>
        <w:ind w:right="12" w:rightChars="0" w:firstLine="480" w:firstLineChars="200"/>
        <w:jc w:val="both"/>
        <w:rPr>
          <w:rFonts w:hint="eastAsia"/>
        </w:rPr>
      </w:pPr>
      <w:r>
        <w:rPr>
          <w:rFonts w:hint="eastAsia"/>
        </w:rPr>
        <w:t>（5）法律法规规定不得参与上市公司股权激励的；</w:t>
      </w:r>
    </w:p>
    <w:p>
      <w:pPr>
        <w:pStyle w:val="3"/>
        <w:numPr>
          <w:ilvl w:val="0"/>
          <w:numId w:val="0"/>
        </w:numPr>
        <w:spacing w:before="180" w:line="468" w:lineRule="exact"/>
        <w:ind w:right="12" w:rightChars="0" w:firstLine="480" w:firstLineChars="200"/>
        <w:jc w:val="both"/>
        <w:rPr>
          <w:rFonts w:hint="eastAsia"/>
        </w:rPr>
      </w:pPr>
      <w:r>
        <w:rPr>
          <w:rFonts w:hint="eastAsia"/>
        </w:rPr>
        <w:t>（6）中国证监会认定的其他情形。</w:t>
      </w:r>
    </w:p>
    <w:p>
      <w:pPr>
        <w:pStyle w:val="3"/>
        <w:numPr>
          <w:ilvl w:val="0"/>
          <w:numId w:val="0"/>
        </w:numPr>
        <w:spacing w:before="180" w:line="468" w:lineRule="exact"/>
        <w:ind w:right="12" w:rightChars="0" w:firstLine="480" w:firstLineChars="200"/>
        <w:jc w:val="both"/>
        <w:rPr>
          <w:rFonts w:hint="eastAsia"/>
        </w:rPr>
      </w:pPr>
      <w:r>
        <w:rPr>
          <w:rFonts w:hint="eastAsia"/>
        </w:rPr>
        <w:t>3、激励对象的基本情况属实，不存在虚假、故意隐瞒或致人重大误解之处。</w:t>
      </w:r>
    </w:p>
    <w:p>
      <w:pPr>
        <w:pStyle w:val="3"/>
        <w:numPr>
          <w:ilvl w:val="0"/>
          <w:numId w:val="0"/>
        </w:numPr>
        <w:spacing w:before="180" w:line="468" w:lineRule="exact"/>
        <w:ind w:right="12" w:rightChars="0" w:firstLine="480" w:firstLineChars="200"/>
        <w:jc w:val="both"/>
        <w:rPr>
          <w:rFonts w:hint="eastAsia"/>
        </w:rPr>
      </w:pPr>
      <w:r>
        <w:rPr>
          <w:rFonts w:hint="eastAsia"/>
        </w:rPr>
        <w:t>4、激励对象均为公司实施《激励计划》时在公司任职的董事、高级管理人员、核心管理人员、核心骨干员工。《激励计划》的激励对象不包括公司监事、独立董事、单独或合计持有公司5%以上股份的股东或实际控制人及其配偶、父母、子女。参与本激励计划的激励对象未同时参加其他任何上市公司股权激励计划。</w:t>
      </w:r>
    </w:p>
    <w:p>
      <w:pPr>
        <w:pStyle w:val="3"/>
        <w:numPr>
          <w:ilvl w:val="0"/>
          <w:numId w:val="0"/>
        </w:numPr>
        <w:spacing w:before="180" w:line="468" w:lineRule="exact"/>
        <w:ind w:right="12" w:rightChars="0" w:firstLine="480" w:firstLineChars="200"/>
        <w:jc w:val="both"/>
        <w:rPr>
          <w:rFonts w:hint="eastAsia"/>
        </w:rPr>
      </w:pPr>
      <w:r>
        <w:rPr>
          <w:rFonts w:hint="eastAsia"/>
        </w:rPr>
        <w:t>综上，公司监事会认为，列入公司激励对象名单的人员均符合相关法律、法规及规范性文件所规定的条件，符合《激励计划》规定的激励对象条件，其作为本次激励计划的激励对象合法、有效。</w:t>
      </w:r>
    </w:p>
    <w:p>
      <w:pPr>
        <w:pStyle w:val="3"/>
        <w:numPr>
          <w:ilvl w:val="0"/>
          <w:numId w:val="0"/>
        </w:numPr>
        <w:spacing w:before="180" w:line="468" w:lineRule="exact"/>
        <w:ind w:right="12" w:firstLine="480" w:firstLineChars="200"/>
        <w:jc w:val="both"/>
        <w:rPr>
          <w:rFonts w:ascii="Arial"/>
          <w:sz w:val="21"/>
        </w:rPr>
      </w:pPr>
      <w:r>
        <w:rPr>
          <w:rFonts w:hint="eastAsia"/>
          <w:lang w:val="en-US" w:eastAsia="zh-CN"/>
        </w:rPr>
        <w:t>特此说明。</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3"/>
        <w:spacing w:before="78" w:line="469" w:lineRule="exact"/>
        <w:ind w:right="12"/>
        <w:jc w:val="right"/>
        <w:rPr>
          <w:rFonts w:hint="eastAsia" w:ascii="宋体" w:hAnsi="宋体" w:eastAsia="宋体" w:cs="宋体"/>
          <w:sz w:val="24"/>
          <w:szCs w:val="24"/>
        </w:rPr>
      </w:pPr>
      <w:r>
        <w:rPr>
          <w:rFonts w:hint="eastAsia" w:ascii="宋体" w:hAnsi="宋体" w:eastAsia="宋体" w:cs="宋体"/>
          <w:spacing w:val="-1"/>
          <w:position w:val="17"/>
          <w:sz w:val="24"/>
          <w:szCs w:val="24"/>
          <w:lang w:val="en-US" w:eastAsia="zh-CN"/>
        </w:rPr>
        <w:t>重庆望变电气（集团）</w:t>
      </w:r>
      <w:r>
        <w:rPr>
          <w:rFonts w:hint="eastAsia" w:ascii="宋体" w:hAnsi="宋体" w:eastAsia="宋体" w:cs="宋体"/>
          <w:spacing w:val="-1"/>
          <w:position w:val="17"/>
          <w:sz w:val="24"/>
          <w:szCs w:val="24"/>
        </w:rPr>
        <w:t>股份有限公司</w:t>
      </w:r>
    </w:p>
    <w:p>
      <w:pPr>
        <w:pStyle w:val="3"/>
        <w:spacing w:before="1" w:line="218" w:lineRule="auto"/>
        <w:jc w:val="right"/>
        <w:rPr>
          <w:rFonts w:hint="eastAsia" w:ascii="宋体" w:hAnsi="宋体" w:eastAsia="宋体" w:cs="宋体"/>
          <w:sz w:val="24"/>
          <w:szCs w:val="24"/>
        </w:rPr>
      </w:pPr>
      <w:r>
        <w:rPr>
          <w:rFonts w:hint="eastAsia" w:ascii="宋体" w:hAnsi="宋体" w:eastAsia="宋体" w:cs="宋体"/>
          <w:spacing w:val="-3"/>
          <w:sz w:val="24"/>
          <w:szCs w:val="24"/>
        </w:rPr>
        <w:t>监事会</w:t>
      </w:r>
    </w:p>
    <w:p>
      <w:pPr>
        <w:pStyle w:val="3"/>
        <w:spacing w:before="183" w:line="220" w:lineRule="auto"/>
        <w:ind w:left="6255" w:firstLine="696" w:firstLineChars="300"/>
        <w:jc w:val="right"/>
        <w:rPr>
          <w:rFonts w:hint="eastAsia" w:ascii="宋体" w:hAnsi="宋体" w:eastAsia="宋体" w:cs="宋体"/>
          <w:sz w:val="24"/>
          <w:szCs w:val="24"/>
        </w:rPr>
      </w:pPr>
      <w:r>
        <w:rPr>
          <w:rFonts w:hint="eastAsia" w:ascii="宋体" w:hAnsi="宋体" w:eastAsia="宋体" w:cs="宋体"/>
          <w:spacing w:val="-4"/>
          <w:sz w:val="24"/>
          <w:szCs w:val="24"/>
        </w:rPr>
        <w:t>202</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年</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月</w:t>
      </w:r>
      <w:r>
        <w:rPr>
          <w:rFonts w:hint="eastAsia" w:cs="宋体"/>
          <w:spacing w:val="-54"/>
          <w:sz w:val="24"/>
          <w:szCs w:val="24"/>
          <w:lang w:val="en-US" w:eastAsia="zh-CN"/>
        </w:rPr>
        <w:t>2</w:t>
      </w:r>
      <w:r>
        <w:rPr>
          <w:rFonts w:hint="eastAsia" w:ascii="宋体" w:hAnsi="宋体" w:eastAsia="宋体" w:cs="宋体"/>
          <w:spacing w:val="-4"/>
          <w:sz w:val="24"/>
          <w:szCs w:val="24"/>
        </w:rPr>
        <w:t>日</w:t>
      </w:r>
    </w:p>
    <w:sectPr>
      <w:footerReference r:id="rId5" w:type="default"/>
      <w:pgSz w:w="11907" w:h="16839"/>
      <w:pgMar w:top="1425" w:right="1785" w:bottom="1156" w:left="1785" w:header="0" w:footer="9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109D6"/>
    <w:multiLevelType w:val="singleLevel"/>
    <w:tmpl w:val="F31109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QzZmRmZDMxMjkwMDE2NTk0ZWQ1ZWYwMzRmYjVhNmUifQ=="/>
  </w:docVars>
  <w:rsids>
    <w:rsidRoot w:val="00000000"/>
    <w:rsid w:val="07A862F4"/>
    <w:rsid w:val="0B380155"/>
    <w:rsid w:val="0D16299E"/>
    <w:rsid w:val="0EE07415"/>
    <w:rsid w:val="16A1128D"/>
    <w:rsid w:val="2298386B"/>
    <w:rsid w:val="22A04DED"/>
    <w:rsid w:val="31804F03"/>
    <w:rsid w:val="5B406147"/>
    <w:rsid w:val="5EED3BFA"/>
    <w:rsid w:val="7A084D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2022-04-28T15:36:00Z</dcterms:created>
  <dc:creator>孙沁</dc:creator>
  <cp:lastModifiedBy>Y.    Miss</cp:lastModifiedBy>
  <dcterms:modified xsi:type="dcterms:W3CDTF">2024-02-01T08:07:27Z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2024-01-15T14:35:05Z</vt:filetime>
  </property>
  <property fmtid="{D5CDD505-2E9C-101B-9397-08002B2CF9AE}" pid="4" name="KSOProductBuildVer">
    <vt:lpwstr>2052-12.1.0.16250</vt:lpwstr>
  </property>
  <property fmtid="{D5CDD505-2E9C-101B-9397-08002B2CF9AE}" pid="5" name="ICV">
    <vt:lpwstr>4E3F75A6ABAE4748A2C9A4995928C892_13</vt:lpwstr>
  </property>
</Properties>
</file>