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line="218" w:lineRule="auto"/>
        <w:ind w:left="49"/>
        <w:rPr>
          <w:rFonts w:hint="default"/>
          <w:b/>
          <w:bCs/>
          <w:highlight w:val="none"/>
          <w:lang w:val="en-US" w:eastAsia="zh-CN"/>
        </w:rPr>
      </w:pPr>
      <w:bookmarkStart w:id="0" w:name="_GoBack"/>
      <w:r>
        <w:rPr>
          <w:rFonts w:hint="eastAsia"/>
          <w:b/>
          <w:bCs/>
          <w:spacing w:val="-8"/>
          <w:highlight w:val="none"/>
          <w:lang w:eastAsia="zh-CN"/>
        </w:rPr>
        <w:t>证券代码：603191         证券简称：</w:t>
      </w:r>
      <w:r>
        <w:rPr>
          <w:rFonts w:hint="eastAsia"/>
          <w:b/>
          <w:bCs/>
          <w:spacing w:val="-12"/>
          <w:highlight w:val="none"/>
          <w:lang w:eastAsia="zh-CN"/>
        </w:rPr>
        <w:t xml:space="preserve">望变电气  </w:t>
      </w:r>
      <w:r>
        <w:rPr>
          <w:rFonts w:hint="eastAsia"/>
          <w:b/>
          <w:bCs/>
          <w:spacing w:val="2"/>
          <w:highlight w:val="none"/>
          <w:lang w:eastAsia="zh-CN"/>
        </w:rPr>
        <w:t xml:space="preserve">       </w:t>
      </w:r>
      <w:r>
        <w:rPr>
          <w:rFonts w:hint="eastAsia"/>
          <w:b/>
          <w:bCs/>
          <w:spacing w:val="-8"/>
          <w:highlight w:val="none"/>
          <w:lang w:eastAsia="zh-CN"/>
        </w:rPr>
        <w:t>公告编号：202</w:t>
      </w:r>
      <w:r>
        <w:rPr>
          <w:rFonts w:hint="eastAsia"/>
          <w:b/>
          <w:bCs/>
          <w:spacing w:val="-8"/>
          <w:highlight w:val="none"/>
          <w:lang w:val="en-US" w:eastAsia="zh-CN"/>
        </w:rPr>
        <w:t>4</w:t>
      </w:r>
      <w:r>
        <w:rPr>
          <w:rFonts w:hint="eastAsia"/>
          <w:b/>
          <w:bCs/>
          <w:spacing w:val="-8"/>
          <w:highlight w:val="none"/>
          <w:lang w:eastAsia="zh-CN"/>
        </w:rPr>
        <w:t>-</w:t>
      </w:r>
      <w:r>
        <w:rPr>
          <w:rFonts w:hint="eastAsia"/>
          <w:b/>
          <w:bCs/>
          <w:spacing w:val="-8"/>
          <w:highlight w:val="none"/>
          <w:lang w:eastAsia="zh-CN"/>
        </w:rPr>
        <w:t>0</w:t>
      </w:r>
      <w:r>
        <w:rPr>
          <w:rFonts w:hint="eastAsia"/>
          <w:b/>
          <w:bCs/>
          <w:spacing w:val="-8"/>
          <w:highlight w:val="none"/>
          <w:lang w:val="en-US" w:eastAsia="zh-CN"/>
        </w:rPr>
        <w:t>10</w:t>
      </w:r>
    </w:p>
    <w:p>
      <w:pPr>
        <w:pStyle w:val="3"/>
        <w:spacing w:before="117" w:line="220" w:lineRule="auto"/>
        <w:jc w:val="both"/>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p>
    <w:p>
      <w:pPr>
        <w:pStyle w:val="3"/>
        <w:spacing w:before="117" w:line="220" w:lineRule="auto"/>
        <w:jc w:val="center"/>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r>
        <w:rPr>
          <w:rFonts w:hint="eastAsia"/>
          <w:color w:val="FF0000"/>
          <w:sz w:val="36"/>
          <w:szCs w:val="36"/>
          <w:highlight w:val="none"/>
          <w:lang w:eastAsia="zh-CN"/>
          <w14:textOutline w14:w="6527" w14:cap="flat" w14:cmpd="sng" w14:algn="ctr">
            <w14:solidFill>
              <w14:srgbClr w14:val="FF0000"/>
            </w14:solidFill>
            <w14:prstDash w14:val="solid"/>
            <w14:miter w14:val="0"/>
          </w14:textOutline>
        </w:rPr>
        <w:t>重庆望变电气（集团）股份有限公司</w:t>
      </w:r>
    </w:p>
    <w:p>
      <w:pPr>
        <w:pStyle w:val="3"/>
        <w:spacing w:before="117" w:line="220" w:lineRule="auto"/>
        <w:jc w:val="center"/>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r>
        <w:rPr>
          <w:rFonts w:hint="eastAsia"/>
          <w:color w:val="FF0000"/>
          <w:sz w:val="36"/>
          <w:szCs w:val="36"/>
          <w:highlight w:val="none"/>
          <w:lang w:eastAsia="zh-CN"/>
          <w14:textOutline w14:w="6527" w14:cap="flat" w14:cmpd="sng" w14:algn="ctr">
            <w14:solidFill>
              <w14:srgbClr w14:val="FF0000"/>
            </w14:solidFill>
            <w14:prstDash w14:val="solid"/>
            <w14:miter w14:val="0"/>
          </w14:textOutline>
        </w:rPr>
        <w:t>关于以集中竞价方式回购公司股份的进展公告</w:t>
      </w:r>
    </w:p>
    <w:p>
      <w:pPr>
        <w:spacing w:line="130" w:lineRule="exact"/>
        <w:rPr>
          <w:color w:val="FF0000"/>
          <w:sz w:val="36"/>
          <w:szCs w:val="36"/>
          <w:highlight w:val="none"/>
          <w:lang w:eastAsia="zh-CN"/>
          <w14:textOutline w14:w="6527" w14:cap="flat" w14:cmpd="sng" w14:algn="ctr">
            <w14:solidFill>
              <w14:srgbClr w14:val="FF0000"/>
            </w14:solidFill>
            <w14:prstDash w14:val="solid"/>
            <w14:miter w14:val="0"/>
          </w14:textOutline>
        </w:rPr>
      </w:pPr>
    </w:p>
    <w:tbl>
      <w:tblPr>
        <w:tblStyle w:val="12"/>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szCs w:val="24"/>
                <w:highlight w:val="none"/>
                <w:lang w:eastAsia="zh-CN"/>
              </w:rPr>
            </w:pPr>
            <w:r>
              <w:rPr>
                <w:rFonts w:hint="eastAsia" w:ascii="宋体" w:hAnsi="宋体" w:eastAsia="宋体" w:cs="宋体"/>
                <w:color w:val="auto"/>
                <w:spacing w:val="-12"/>
                <w:sz w:val="24"/>
                <w:szCs w:val="24"/>
                <w:highlight w:val="none"/>
                <w:lang w:eastAsia="zh-CN"/>
              </w:rPr>
              <w:t>本公司董事会及全体董事保证本公告内容不存在任何虚假记载、误导性陈 述或者重大遗漏， 并对其内容的真实性、准确性和完整性承担个别及连带责任。</w:t>
            </w:r>
          </w:p>
        </w:tc>
      </w:tr>
    </w:tbl>
    <w:p>
      <w:pPr>
        <w:spacing w:line="309" w:lineRule="auto"/>
        <w:rPr>
          <w:highlight w:val="none"/>
          <w:lang w:eastAsia="zh-CN"/>
        </w:rPr>
      </w:pPr>
    </w:p>
    <w:p>
      <w:pPr>
        <w:spacing w:line="309" w:lineRule="auto"/>
        <w:rPr>
          <w:highlight w:val="none"/>
          <w:lang w:eastAsia="zh-CN"/>
        </w:rPr>
      </w:pPr>
    </w:p>
    <w:p>
      <w:pPr>
        <w:pStyle w:val="3"/>
        <w:spacing w:before="78" w:line="220" w:lineRule="auto"/>
        <w:ind w:left="26"/>
        <w:rPr>
          <w:highlight w:val="none"/>
          <w:lang w:eastAsia="zh-CN"/>
        </w:rPr>
      </w:pPr>
      <w:r>
        <w:rPr>
          <w:spacing w:val="-2"/>
          <w:highlight w:val="none"/>
          <w:lang w:eastAsia="zh-CN"/>
          <w14:textOutline w14:w="4356" w14:cap="flat" w14:cmpd="sng" w14:algn="ctr">
            <w14:solidFill>
              <w14:srgbClr w14:val="000000"/>
            </w14:solidFill>
            <w14:prstDash w14:val="solid"/>
            <w14:miter w14:val="0"/>
          </w14:textOutline>
        </w:rPr>
        <w:t>重要内容提示：</w:t>
      </w:r>
    </w:p>
    <w:p>
      <w:pPr>
        <w:spacing w:line="360" w:lineRule="auto"/>
        <w:ind w:firstLine="432"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截至</w:t>
      </w:r>
      <w:r>
        <w:rPr>
          <w:rFonts w:hint="eastAsia" w:ascii="宋体" w:hAnsi="宋体" w:eastAsia="宋体" w:cs="宋体"/>
          <w:color w:val="auto"/>
          <w:spacing w:val="-12"/>
          <w:sz w:val="24"/>
          <w:szCs w:val="24"/>
          <w:highlight w:val="none"/>
          <w:lang w:eastAsia="zh-CN"/>
        </w:rPr>
        <w:t>202</w:t>
      </w: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eastAsia="zh-CN"/>
        </w:rPr>
        <w:t>年1月3</w:t>
      </w:r>
      <w:r>
        <w:rPr>
          <w:rFonts w:hint="eastAsia" w:ascii="宋体" w:hAnsi="宋体" w:eastAsia="宋体" w:cs="宋体"/>
          <w:color w:val="auto"/>
          <w:spacing w:val="-12"/>
          <w:sz w:val="24"/>
          <w:szCs w:val="24"/>
          <w:highlight w:val="none"/>
          <w:lang w:val="en-US" w:eastAsia="zh-CN"/>
        </w:rPr>
        <w:t>1</w:t>
      </w:r>
      <w:r>
        <w:rPr>
          <w:rFonts w:hint="eastAsia" w:ascii="宋体" w:hAnsi="宋体" w:eastAsia="宋体" w:cs="宋体"/>
          <w:color w:val="auto"/>
          <w:spacing w:val="-12"/>
          <w:sz w:val="24"/>
          <w:szCs w:val="24"/>
          <w:highlight w:val="none"/>
          <w:lang w:eastAsia="zh-CN"/>
        </w:rPr>
        <w:t>日</w:t>
      </w:r>
      <w:r>
        <w:rPr>
          <w:rFonts w:hint="eastAsia" w:ascii="宋体" w:hAnsi="宋体" w:eastAsia="宋体" w:cs="宋体"/>
          <w:color w:val="auto"/>
          <w:spacing w:val="-12"/>
          <w:sz w:val="24"/>
          <w:szCs w:val="24"/>
          <w:highlight w:val="none"/>
          <w:lang w:eastAsia="zh-CN"/>
        </w:rPr>
        <w:t>，重庆望变电气（集团）股份有限公司（以下简称“公司”）通过集中竞价交易方式已累计回购公司股份3</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202</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768股，占公司总股本的比例为0.96</w:t>
      </w:r>
      <w:r>
        <w:rPr>
          <w:rFonts w:hint="eastAsia" w:ascii="宋体" w:hAnsi="宋体" w:eastAsia="宋体" w:cs="宋体"/>
          <w:color w:val="auto"/>
          <w:spacing w:val="-12"/>
          <w:sz w:val="24"/>
          <w:szCs w:val="24"/>
          <w:highlight w:val="none"/>
          <w:lang w:val="en-US" w:eastAsia="zh-CN"/>
        </w:rPr>
        <w:t>13</w:t>
      </w:r>
      <w:r>
        <w:rPr>
          <w:rFonts w:hint="eastAsia" w:ascii="宋体" w:hAnsi="宋体" w:eastAsia="宋体" w:cs="宋体"/>
          <w:color w:val="auto"/>
          <w:spacing w:val="-12"/>
          <w:sz w:val="24"/>
          <w:szCs w:val="24"/>
          <w:highlight w:val="none"/>
          <w:lang w:eastAsia="zh-CN"/>
        </w:rPr>
        <w:t>%，购买的最高价格为16.38元/股、最低价格为15.10元/股，已支付的总金额为50</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299</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241.28元（含交易费用）。</w:t>
      </w:r>
    </w:p>
    <w:p>
      <w:pPr>
        <w:pStyle w:val="3"/>
        <w:spacing w:line="360" w:lineRule="auto"/>
        <w:ind w:firstLine="472" w:firstLineChars="200"/>
        <w:jc w:val="both"/>
        <w:rPr>
          <w:color w:val="auto"/>
          <w:spacing w:val="-2"/>
          <w:highlight w:val="none"/>
          <w:lang w:eastAsia="zh-CN"/>
          <w14:textOutline w14:w="4356" w14:cap="flat" w14:cmpd="sng" w14:algn="ctr">
            <w14:solidFill>
              <w14:srgbClr w14:val="000000"/>
            </w14:solidFill>
            <w14:prstDash w14:val="solid"/>
            <w14:miter w14:val="0"/>
          </w14:textOutline>
        </w:rPr>
      </w:pPr>
      <w:r>
        <w:rPr>
          <w:rFonts w:hint="eastAsia"/>
          <w:color w:val="auto"/>
          <w:spacing w:val="-2"/>
          <w:highlight w:val="none"/>
          <w:lang w:eastAsia="zh-CN"/>
          <w14:textOutline w14:w="4356" w14:cap="flat" w14:cmpd="sng" w14:algn="ctr">
            <w14:solidFill>
              <w14:srgbClr w14:val="000000"/>
            </w14:solidFill>
            <w14:prstDash w14:val="solid"/>
            <w14:miter w14:val="0"/>
          </w14:textOutline>
        </w:rPr>
        <w:t>一、回购股份的基本情况</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2023年10月25日，公司召开第三届董事会第十八次会议，审议通过了《关于以集中竞价方式回购公司股份方案的议案》。根据相关法律法规以及《公司章程》相关规定，本次回购股份方案已经公司三分之二以上董事出席的董事会审议通过，无需提交公司股东大会审议。公司独立董事对该议案发表了同意的独立意见。</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根据议案内容，公司拟以自有资金通过集中竞价方式回购公司股份，回购资金总额为不低于人民币5,000万元（含本数）且不超过人民币10,000万元（含本数）；公司本次回购股份的价格不超过公司董事会审议通过回购股份决议前30个交易日公司股票交易均价的150%；回购股份用于未来员工持股计划或股权激励，回购期限自董事会审议通过回购方案之日起不超过12个月。详见公司于2023年10月27日在上海证券交易所网站披露的《关于以集中竞价方式回购公司股份方案的公告》（公告编号：2023-048）。</w:t>
      </w:r>
    </w:p>
    <w:p>
      <w:pPr>
        <w:pStyle w:val="3"/>
        <w:spacing w:line="360" w:lineRule="auto"/>
        <w:ind w:firstLine="434" w:firstLineChars="200"/>
        <w:jc w:val="both"/>
        <w:rPr>
          <w:b/>
          <w:bCs/>
          <w:color w:val="auto"/>
          <w:spacing w:val="-12"/>
          <w:highlight w:val="none"/>
          <w:lang w:eastAsia="zh-CN"/>
        </w:rPr>
      </w:pPr>
      <w:r>
        <w:rPr>
          <w:rFonts w:hint="eastAsia"/>
          <w:b/>
          <w:bCs/>
          <w:color w:val="auto"/>
          <w:spacing w:val="-12"/>
          <w:highlight w:val="none"/>
          <w:lang w:eastAsia="zh-CN"/>
        </w:rPr>
        <w:t>二、回购股份的进展情况</w:t>
      </w:r>
    </w:p>
    <w:p>
      <w:pPr>
        <w:pStyle w:val="3"/>
        <w:spacing w:line="360" w:lineRule="auto"/>
        <w:ind w:firstLine="432" w:firstLineChars="200"/>
        <w:jc w:val="both"/>
        <w:rPr>
          <w:rFonts w:hint="eastAsia"/>
          <w:color w:val="auto"/>
          <w:spacing w:val="-12"/>
          <w:highlight w:val="none"/>
          <w:lang w:val="en-US" w:eastAsia="zh-CN"/>
        </w:rPr>
      </w:pPr>
      <w:r>
        <w:rPr>
          <w:rFonts w:hint="eastAsia"/>
          <w:color w:val="auto"/>
          <w:spacing w:val="-12"/>
          <w:highlight w:val="none"/>
          <w:lang w:val="en-US" w:eastAsia="zh-CN"/>
        </w:rPr>
        <w:t>2024年</w:t>
      </w:r>
      <w:r>
        <w:rPr>
          <w:rFonts w:hint="eastAsia"/>
          <w:color w:val="auto"/>
          <w:spacing w:val="-12"/>
          <w:highlight w:val="none"/>
          <w:lang w:val="en-US" w:eastAsia="zh-CN"/>
        </w:rPr>
        <w:t>1月</w:t>
      </w:r>
      <w:r>
        <w:rPr>
          <w:rFonts w:hint="eastAsia"/>
          <w:color w:val="auto"/>
          <w:spacing w:val="-12"/>
          <w:highlight w:val="none"/>
          <w:lang w:val="en-US" w:eastAsia="zh-CN"/>
        </w:rPr>
        <w:t>，公司未通过</w:t>
      </w:r>
      <w:r>
        <w:rPr>
          <w:rFonts w:hint="eastAsia"/>
          <w:color w:val="auto"/>
          <w:spacing w:val="-12"/>
          <w:highlight w:val="none"/>
          <w:lang w:eastAsia="zh-CN"/>
        </w:rPr>
        <w:t>集中竞价交易方式</w:t>
      </w:r>
      <w:r>
        <w:rPr>
          <w:rFonts w:hint="eastAsia"/>
          <w:color w:val="auto"/>
          <w:spacing w:val="-12"/>
          <w:highlight w:val="none"/>
          <w:lang w:val="en-US" w:eastAsia="zh-CN"/>
        </w:rPr>
        <w:t>回购公司股份。</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截至202</w:t>
      </w:r>
      <w:r>
        <w:rPr>
          <w:rFonts w:hint="eastAsia"/>
          <w:color w:val="auto"/>
          <w:spacing w:val="-12"/>
          <w:highlight w:val="none"/>
          <w:lang w:val="en-US" w:eastAsia="zh-CN"/>
        </w:rPr>
        <w:t>4</w:t>
      </w:r>
      <w:r>
        <w:rPr>
          <w:rFonts w:hint="eastAsia"/>
          <w:color w:val="auto"/>
          <w:spacing w:val="-12"/>
          <w:highlight w:val="none"/>
          <w:lang w:eastAsia="zh-CN"/>
        </w:rPr>
        <w:t>年</w:t>
      </w:r>
      <w:r>
        <w:rPr>
          <w:rFonts w:hint="eastAsia"/>
          <w:color w:val="auto"/>
          <w:spacing w:val="-12"/>
          <w:highlight w:val="none"/>
          <w:lang w:eastAsia="zh-CN"/>
        </w:rPr>
        <w:t>1月3</w:t>
      </w:r>
      <w:r>
        <w:rPr>
          <w:rFonts w:hint="eastAsia"/>
          <w:color w:val="auto"/>
          <w:spacing w:val="-12"/>
          <w:highlight w:val="none"/>
          <w:lang w:val="en-US" w:eastAsia="zh-CN"/>
        </w:rPr>
        <w:t>1</w:t>
      </w:r>
      <w:r>
        <w:rPr>
          <w:rFonts w:hint="eastAsia"/>
          <w:color w:val="auto"/>
          <w:spacing w:val="-12"/>
          <w:highlight w:val="none"/>
          <w:lang w:eastAsia="zh-CN"/>
        </w:rPr>
        <w:t>日</w:t>
      </w:r>
      <w:r>
        <w:rPr>
          <w:rFonts w:hint="eastAsia"/>
          <w:color w:val="auto"/>
          <w:spacing w:val="-12"/>
          <w:highlight w:val="none"/>
          <w:lang w:eastAsia="zh-CN"/>
        </w:rPr>
        <w:t>，公司通过集中竞价交易方式已累计回购股份3,202,768 股，占公司总股本的比例为0.96</w:t>
      </w:r>
      <w:r>
        <w:rPr>
          <w:rFonts w:hint="eastAsia"/>
          <w:color w:val="auto"/>
          <w:spacing w:val="-12"/>
          <w:highlight w:val="none"/>
          <w:lang w:val="en-US" w:eastAsia="zh-CN"/>
        </w:rPr>
        <w:t>13</w:t>
      </w:r>
      <w:r>
        <w:rPr>
          <w:rFonts w:hint="eastAsia"/>
          <w:color w:val="auto"/>
          <w:spacing w:val="-12"/>
          <w:highlight w:val="none"/>
          <w:lang w:eastAsia="zh-CN"/>
        </w:rPr>
        <w:t>%，购买的最高价格为16.38元/股、最低价格为15.10元/股，已支付的总金额为50,299,241.28 元（含交易费用）。</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上述回购符合相关法律法规及公司回购方案的要求。</w:t>
      </w:r>
    </w:p>
    <w:p>
      <w:pPr>
        <w:pStyle w:val="3"/>
        <w:spacing w:line="360" w:lineRule="auto"/>
        <w:ind w:firstLine="434" w:firstLineChars="200"/>
        <w:jc w:val="both"/>
        <w:rPr>
          <w:b/>
          <w:bCs/>
          <w:color w:val="auto"/>
          <w:spacing w:val="-12"/>
          <w:highlight w:val="none"/>
          <w:lang w:eastAsia="zh-CN"/>
        </w:rPr>
      </w:pPr>
      <w:r>
        <w:rPr>
          <w:rFonts w:hint="eastAsia"/>
          <w:b/>
          <w:bCs/>
          <w:color w:val="auto"/>
          <w:spacing w:val="-12"/>
          <w:highlight w:val="none"/>
          <w:lang w:eastAsia="zh-CN"/>
        </w:rPr>
        <w:t>三、其他说明</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公司将严格按照《上海证券交易所上市公司自律监管指引第 7 号—回购股份》相关规定，根据公司董事会审议通过的股份回购方案，实施股份回购并履行信息披露义务。敬请广大投资者理性投资，注意投资风险。</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特此公告。</w:t>
      </w:r>
    </w:p>
    <w:p>
      <w:pPr>
        <w:pStyle w:val="3"/>
        <w:spacing w:line="360" w:lineRule="auto"/>
        <w:ind w:firstLine="432" w:firstLineChars="200"/>
        <w:jc w:val="both"/>
        <w:rPr>
          <w:color w:val="auto"/>
          <w:spacing w:val="-12"/>
          <w:highlight w:val="none"/>
          <w:lang w:eastAsia="zh-CN"/>
        </w:rPr>
      </w:pPr>
    </w:p>
    <w:p>
      <w:pPr>
        <w:pStyle w:val="3"/>
        <w:spacing w:line="360" w:lineRule="auto"/>
        <w:ind w:firstLine="432" w:firstLineChars="200"/>
        <w:jc w:val="both"/>
        <w:rPr>
          <w:color w:val="auto"/>
          <w:spacing w:val="-12"/>
          <w:highlight w:val="none"/>
          <w:lang w:eastAsia="zh-CN"/>
        </w:rPr>
      </w:pP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重庆望变电气（集团）股份有限公司</w:t>
      </w: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董事会</w:t>
      </w: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202</w:t>
      </w:r>
      <w:r>
        <w:rPr>
          <w:rFonts w:hint="eastAsia"/>
          <w:color w:val="auto"/>
          <w:spacing w:val="-12"/>
          <w:highlight w:val="none"/>
          <w:lang w:val="en-US" w:eastAsia="zh-CN"/>
        </w:rPr>
        <w:t>4</w:t>
      </w:r>
      <w:r>
        <w:rPr>
          <w:rFonts w:hint="eastAsia"/>
          <w:color w:val="auto"/>
          <w:spacing w:val="-12"/>
          <w:highlight w:val="none"/>
          <w:lang w:eastAsia="zh-CN"/>
        </w:rPr>
        <w:t>年</w:t>
      </w:r>
      <w:r>
        <w:rPr>
          <w:rFonts w:hint="eastAsia"/>
          <w:color w:val="auto"/>
          <w:spacing w:val="-12"/>
          <w:highlight w:val="none"/>
          <w:lang w:val="en-US" w:eastAsia="zh-CN"/>
        </w:rPr>
        <w:t>2</w:t>
      </w:r>
      <w:r>
        <w:rPr>
          <w:rFonts w:hint="eastAsia"/>
          <w:color w:val="auto"/>
          <w:spacing w:val="-12"/>
          <w:highlight w:val="none"/>
          <w:lang w:eastAsia="zh-CN"/>
        </w:rPr>
        <w:t>月</w:t>
      </w:r>
      <w:r>
        <w:rPr>
          <w:rFonts w:hint="eastAsia"/>
          <w:color w:val="auto"/>
          <w:spacing w:val="-12"/>
          <w:highlight w:val="none"/>
          <w:lang w:val="en-US" w:eastAsia="zh-CN"/>
        </w:rPr>
        <w:t>2</w:t>
      </w:r>
      <w:r>
        <w:rPr>
          <w:rFonts w:hint="eastAsia"/>
          <w:color w:val="auto"/>
          <w:spacing w:val="-12"/>
          <w:highlight w:val="none"/>
          <w:lang w:eastAsia="zh-CN"/>
        </w:rPr>
        <w:t>日</w:t>
      </w:r>
    </w:p>
    <w:bookmarkEnd w:id="0"/>
    <w:sectPr>
      <w:pgSz w:w="11907" w:h="16839"/>
      <w:pgMar w:top="1431" w:right="1718"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1"/>
  <w:bordersDoNotSurroundFooter w:val="1"/>
  <w:hideSpellingErrors/>
  <w:hideGrammaticalErrors/>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C01B00"/>
    <w:rsid w:val="00054F39"/>
    <w:rsid w:val="00060DB9"/>
    <w:rsid w:val="00061DA2"/>
    <w:rsid w:val="000A2E75"/>
    <w:rsid w:val="000A4DA0"/>
    <w:rsid w:val="000A6E39"/>
    <w:rsid w:val="000C7906"/>
    <w:rsid w:val="00114A74"/>
    <w:rsid w:val="00136D4D"/>
    <w:rsid w:val="00157354"/>
    <w:rsid w:val="00174838"/>
    <w:rsid w:val="001C04C0"/>
    <w:rsid w:val="001E1F19"/>
    <w:rsid w:val="00215110"/>
    <w:rsid w:val="00313F32"/>
    <w:rsid w:val="003165DA"/>
    <w:rsid w:val="00326683"/>
    <w:rsid w:val="00343073"/>
    <w:rsid w:val="00365482"/>
    <w:rsid w:val="00417BA0"/>
    <w:rsid w:val="00470FDD"/>
    <w:rsid w:val="004D0F58"/>
    <w:rsid w:val="00512891"/>
    <w:rsid w:val="005C0646"/>
    <w:rsid w:val="00615B31"/>
    <w:rsid w:val="00622562"/>
    <w:rsid w:val="0062356D"/>
    <w:rsid w:val="00656F57"/>
    <w:rsid w:val="00661F18"/>
    <w:rsid w:val="0067305C"/>
    <w:rsid w:val="006A35C5"/>
    <w:rsid w:val="006F1375"/>
    <w:rsid w:val="00751F55"/>
    <w:rsid w:val="007B15E8"/>
    <w:rsid w:val="00824F9D"/>
    <w:rsid w:val="00825CDB"/>
    <w:rsid w:val="0084048C"/>
    <w:rsid w:val="0087640B"/>
    <w:rsid w:val="008D5282"/>
    <w:rsid w:val="008E2366"/>
    <w:rsid w:val="008E3633"/>
    <w:rsid w:val="008F3EE3"/>
    <w:rsid w:val="0090142C"/>
    <w:rsid w:val="00924475"/>
    <w:rsid w:val="009C2429"/>
    <w:rsid w:val="009E7ECB"/>
    <w:rsid w:val="00A64673"/>
    <w:rsid w:val="00AD1415"/>
    <w:rsid w:val="00B429A7"/>
    <w:rsid w:val="00B5147C"/>
    <w:rsid w:val="00B85808"/>
    <w:rsid w:val="00BB5099"/>
    <w:rsid w:val="00C01B00"/>
    <w:rsid w:val="00C05414"/>
    <w:rsid w:val="00C37D2A"/>
    <w:rsid w:val="00D930DD"/>
    <w:rsid w:val="00DE1AF6"/>
    <w:rsid w:val="00E940E5"/>
    <w:rsid w:val="00EA4CAE"/>
    <w:rsid w:val="00ED1530"/>
    <w:rsid w:val="00EE3029"/>
    <w:rsid w:val="00F16EBF"/>
    <w:rsid w:val="00FC1DD7"/>
    <w:rsid w:val="03821EC1"/>
    <w:rsid w:val="062D5D56"/>
    <w:rsid w:val="06870DFD"/>
    <w:rsid w:val="10884FAF"/>
    <w:rsid w:val="1F034F6D"/>
    <w:rsid w:val="28D01170"/>
    <w:rsid w:val="2E40666F"/>
    <w:rsid w:val="33D94DD3"/>
    <w:rsid w:val="38BF2942"/>
    <w:rsid w:val="3D075831"/>
    <w:rsid w:val="3F86697B"/>
    <w:rsid w:val="40471C9A"/>
    <w:rsid w:val="40AB0497"/>
    <w:rsid w:val="4932554A"/>
    <w:rsid w:val="4B7A37A1"/>
    <w:rsid w:val="4C713C0A"/>
    <w:rsid w:val="4E856E90"/>
    <w:rsid w:val="52FE56CE"/>
    <w:rsid w:val="5C6D112F"/>
    <w:rsid w:val="5C8D2A7F"/>
    <w:rsid w:val="5F7B384F"/>
    <w:rsid w:val="6F967980"/>
    <w:rsid w:val="705A57BD"/>
    <w:rsid w:val="7181693B"/>
    <w:rsid w:val="76C83D6D"/>
    <w:rsid w:val="79AD2E5C"/>
    <w:rsid w:val="7D172723"/>
    <w:rsid w:val="7D77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style>
  <w:style w:type="paragraph" w:styleId="3">
    <w:name w:val="Body Text"/>
    <w:basedOn w:val="1"/>
    <w:autoRedefine/>
    <w:semiHidden/>
    <w:qFormat/>
    <w:uiPriority w:val="0"/>
    <w:rPr>
      <w:rFonts w:ascii="宋体" w:hAnsi="宋体" w:eastAsia="宋体" w:cs="宋体"/>
      <w:sz w:val="24"/>
      <w:szCs w:val="24"/>
    </w:rPr>
  </w:style>
  <w:style w:type="paragraph" w:styleId="4">
    <w:name w:val="Balloon Text"/>
    <w:basedOn w:val="1"/>
    <w:link w:val="17"/>
    <w:autoRedefine/>
    <w:qFormat/>
    <w:uiPriority w:val="0"/>
    <w:rPr>
      <w:sz w:val="18"/>
      <w:szCs w:val="18"/>
    </w:rPr>
  </w:style>
  <w:style w:type="paragraph" w:styleId="5">
    <w:name w:val="footer"/>
    <w:basedOn w:val="1"/>
    <w:link w:val="20"/>
    <w:autoRedefine/>
    <w:qFormat/>
    <w:uiPriority w:val="0"/>
    <w:pPr>
      <w:tabs>
        <w:tab w:val="center" w:pos="4153"/>
        <w:tab w:val="right" w:pos="8306"/>
      </w:tabs>
    </w:pPr>
    <w:rPr>
      <w:sz w:val="18"/>
      <w:szCs w:val="18"/>
    </w:rPr>
  </w:style>
  <w:style w:type="paragraph" w:styleId="6">
    <w:name w:val="header"/>
    <w:basedOn w:val="1"/>
    <w:link w:val="19"/>
    <w:autoRedefine/>
    <w:qFormat/>
    <w:uiPriority w:val="0"/>
    <w:pPr>
      <w:tabs>
        <w:tab w:val="center" w:pos="4153"/>
        <w:tab w:val="right" w:pos="8306"/>
      </w:tabs>
      <w:jc w:val="center"/>
    </w:pPr>
    <w:rPr>
      <w:sz w:val="18"/>
      <w:szCs w:val="18"/>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rPr>
  </w:style>
  <w:style w:type="paragraph" w:customStyle="1" w:styleId="1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10"/>
    <w:link w:val="2"/>
    <w:autoRedefine/>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7"/>
    <w:autoRedefine/>
    <w:qFormat/>
    <w:uiPriority w:val="0"/>
    <w:rPr>
      <w:rFonts w:ascii="Arial" w:hAnsi="Arial" w:eastAsia="Arial" w:cs="Arial"/>
      <w:b/>
      <w:bCs/>
      <w:snapToGrid w:val="0"/>
      <w:color w:val="000000"/>
      <w:sz w:val="21"/>
      <w:szCs w:val="21"/>
      <w:lang w:eastAsia="en-US"/>
    </w:rPr>
  </w:style>
  <w:style w:type="character" w:customStyle="1" w:styleId="17">
    <w:name w:val="批注框文本 字符"/>
    <w:basedOn w:val="10"/>
    <w:link w:val="4"/>
    <w:autoRedefine/>
    <w:qFormat/>
    <w:uiPriority w:val="0"/>
    <w:rPr>
      <w:rFonts w:ascii="Arial" w:hAnsi="Arial" w:eastAsia="Arial" w:cs="Arial"/>
      <w:snapToGrid w:val="0"/>
      <w:color w:val="000000"/>
      <w:sz w:val="18"/>
      <w:szCs w:val="18"/>
      <w:lang w:eastAsia="en-US"/>
    </w:rPr>
  </w:style>
  <w:style w:type="paragraph" w:customStyle="1" w:styleId="18">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页眉 字符"/>
    <w:basedOn w:val="10"/>
    <w:link w:val="6"/>
    <w:autoRedefine/>
    <w:qFormat/>
    <w:uiPriority w:val="0"/>
    <w:rPr>
      <w:rFonts w:ascii="Arial" w:hAnsi="Arial" w:eastAsia="Arial" w:cs="Arial"/>
      <w:snapToGrid w:val="0"/>
      <w:color w:val="000000"/>
      <w:sz w:val="18"/>
      <w:szCs w:val="18"/>
      <w:lang w:eastAsia="en-US"/>
    </w:rPr>
  </w:style>
  <w:style w:type="character" w:customStyle="1" w:styleId="20">
    <w:name w:val="页脚 字符"/>
    <w:basedOn w:val="10"/>
    <w:link w:val="5"/>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104</TotalTime>
  <ScaleCrop>false</ScaleCrop>
  <LinksUpToDate>false</LinksUpToDate>
  <CharactersWithSpaces>1179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2023-12-04T02:28:00Z</dcterms:created>
  <dc:creator>恽明秋</dc:creator>
  <cp:lastModifiedBy>Y.    Miss</cp:lastModifiedBy>
  <dcterms:modified xsi:type="dcterms:W3CDTF">2024-02-01T06:17:31Z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2023-11-15T13:32:34Z</vt:filetime>
  </property>
  <property fmtid="{D5CDD505-2E9C-101B-9397-08002B2CF9AE}" pid="4" name="KSOProductBuildVer">
    <vt:lpwstr>2052-12.1.0.16250</vt:lpwstr>
  </property>
  <property fmtid="{D5CDD505-2E9C-101B-9397-08002B2CF9AE}" pid="5" name="ICV">
    <vt:lpwstr>BBB8B038122C4FB7B6B31791AF59CBC6_13</vt:lpwstr>
  </property>
</Properties>
</file>