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-0</w:t>
      </w:r>
      <w:r>
        <w:rPr>
          <w:rFonts w:hint="eastAsia" w:ascii="宋体" w:hAnsi="宋体" w:eastAsia="宋体"/>
          <w:b/>
          <w:sz w:val="24"/>
          <w:szCs w:val="24"/>
        </w:rPr>
        <w:t>02</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ascii="宋体" w:hAnsi="宋体" w:eastAsia="宋体" w:cs="仿宋_GB2312"/>
          <w:b/>
          <w:bCs/>
          <w:color w:val="FF0000"/>
          <w:sz w:val="36"/>
          <w:szCs w:val="36"/>
        </w:rPr>
      </w:pPr>
      <w:bookmarkStart w:id="0" w:name="_Hlk117153081"/>
      <w:r>
        <w:rPr>
          <w:rFonts w:hint="eastAsia" w:ascii="宋体" w:hAnsi="宋体" w:eastAsia="宋体" w:cs="仿宋_GB2312"/>
          <w:b/>
          <w:bCs/>
          <w:color w:val="FF0000"/>
          <w:sz w:val="36"/>
          <w:szCs w:val="36"/>
        </w:rPr>
        <w:t>第四届董事会第二次会议</w:t>
      </w:r>
      <w:bookmarkEnd w:id="0"/>
      <w:r>
        <w:rPr>
          <w:rFonts w:hint="eastAsia" w:ascii="宋体" w:hAnsi="宋体" w:eastAsia="宋体" w:cs="仿宋_GB2312"/>
          <w:b/>
          <w:bCs/>
          <w:color w:val="FF0000"/>
          <w:sz w:val="36"/>
          <w:szCs w:val="36"/>
        </w:rPr>
        <w:t>决议公告</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pPr>
        <w:autoSpaceDE w:val="0"/>
        <w:autoSpaceDN w:val="0"/>
        <w:adjustRightInd w:val="0"/>
        <w:snapToGrid w:val="0"/>
        <w:spacing w:line="560" w:lineRule="exact"/>
        <w:rPr>
          <w:rFonts w:ascii="仿宋" w:hAnsi="仿宋" w:eastAsia="仿宋_GB2312"/>
          <w:color w:val="000000"/>
          <w:sz w:val="30"/>
          <w:szCs w:val="30"/>
        </w:rPr>
      </w:pPr>
    </w:p>
    <w:p>
      <w:pPr>
        <w:pStyle w:val="15"/>
        <w:numPr>
          <w:ilvl w:val="0"/>
          <w:numId w:val="1"/>
        </w:numPr>
        <w:autoSpaceDE w:val="0"/>
        <w:autoSpaceDN w:val="0"/>
        <w:adjustRightInd w:val="0"/>
        <w:snapToGrid w:val="0"/>
        <w:spacing w:line="560" w:lineRule="exact"/>
        <w:ind w:firstLineChars="0"/>
        <w:rPr>
          <w:rFonts w:ascii="宋体" w:hAnsi="宋体"/>
          <w:b/>
          <w:sz w:val="24"/>
          <w:szCs w:val="24"/>
        </w:rPr>
      </w:pPr>
      <w:r>
        <w:rPr>
          <w:rFonts w:hint="eastAsia" w:ascii="宋体" w:hAnsi="宋体"/>
          <w:b/>
          <w:sz w:val="24"/>
          <w:szCs w:val="24"/>
        </w:rPr>
        <w:t>董事会会议召开情况</w:t>
      </w:r>
    </w:p>
    <w:p>
      <w:pPr>
        <w:autoSpaceDE w:val="0"/>
        <w:autoSpaceDN w:val="0"/>
        <w:adjustRightInd w:val="0"/>
        <w:snapToGrid w:val="0"/>
        <w:spacing w:line="560" w:lineRule="exact"/>
        <w:ind w:firstLine="480" w:firstLineChars="200"/>
        <w:rPr>
          <w:rFonts w:ascii="宋体" w:hAnsi="宋体"/>
          <w:sz w:val="24"/>
          <w:szCs w:val="24"/>
        </w:rPr>
      </w:pPr>
      <w:r>
        <w:rPr>
          <w:rFonts w:hint="eastAsia" w:ascii="宋体" w:hAnsi="宋体"/>
          <w:sz w:val="24"/>
          <w:szCs w:val="24"/>
        </w:rPr>
        <w:t>重庆望变电气（集团）股份有限公司（以下简称“公司”或“望变电气”）第四届董事会第二次会议通知于2024年1月13日以邮件的方式发出，会议于2024年1月18日在公司会议室以现场结合通讯方式召开。本次会议应出席董事</w:t>
      </w:r>
      <w:r>
        <w:rPr>
          <w:rFonts w:ascii="宋体" w:hAnsi="宋体"/>
          <w:sz w:val="24"/>
          <w:szCs w:val="24"/>
        </w:rPr>
        <w:t>9</w:t>
      </w:r>
      <w:r>
        <w:rPr>
          <w:rFonts w:hint="eastAsia" w:ascii="宋体" w:hAnsi="宋体"/>
          <w:sz w:val="24"/>
          <w:szCs w:val="24"/>
        </w:rPr>
        <w:t>人，实际出席董事</w:t>
      </w:r>
      <w:r>
        <w:rPr>
          <w:rFonts w:ascii="宋体" w:hAnsi="宋体"/>
          <w:sz w:val="24"/>
          <w:szCs w:val="24"/>
        </w:rPr>
        <w:t>9</w:t>
      </w:r>
      <w:r>
        <w:rPr>
          <w:rFonts w:hint="eastAsia" w:ascii="宋体" w:hAnsi="宋体"/>
          <w:sz w:val="24"/>
          <w:szCs w:val="24"/>
        </w:rPr>
        <w:t>人（以通讯方式出席的有</w:t>
      </w:r>
      <w:r>
        <w:rPr>
          <w:rFonts w:hint="eastAsia" w:ascii="宋体" w:hAnsi="宋体"/>
          <w:sz w:val="24"/>
          <w:szCs w:val="24"/>
          <w:lang w:val="en-US" w:eastAsia="zh-CN"/>
        </w:rPr>
        <w:t>4</w:t>
      </w:r>
      <w:r>
        <w:rPr>
          <w:rFonts w:hint="eastAsia" w:ascii="宋体" w:hAnsi="宋体"/>
          <w:sz w:val="24"/>
          <w:szCs w:val="24"/>
        </w:rPr>
        <w:t>人），会议由董事长杨泽民先生召集并主持，公司监事及高级管理人员列席了会议，会议召集、召开、表决程序及审议事项符合《中华人民共和国公司法》《中华人民共和国证券法》等相关法律法规、规范性文件及《重庆望变电气（集团）股份有限公司章程》的规定，会议形成的决议合法、有效。</w:t>
      </w:r>
    </w:p>
    <w:p>
      <w:pPr>
        <w:pStyle w:val="15"/>
        <w:numPr>
          <w:ilvl w:val="0"/>
          <w:numId w:val="1"/>
        </w:numPr>
        <w:autoSpaceDE w:val="0"/>
        <w:autoSpaceDN w:val="0"/>
        <w:adjustRightInd w:val="0"/>
        <w:snapToGrid w:val="0"/>
        <w:spacing w:line="560" w:lineRule="exact"/>
        <w:ind w:firstLineChars="0"/>
        <w:rPr>
          <w:rFonts w:ascii="宋体" w:hAnsi="宋体"/>
          <w:b/>
          <w:sz w:val="24"/>
          <w:szCs w:val="24"/>
        </w:rPr>
      </w:pPr>
      <w:r>
        <w:rPr>
          <w:rFonts w:hint="eastAsia" w:ascii="宋体" w:hAnsi="宋体"/>
          <w:b/>
          <w:sz w:val="24"/>
          <w:szCs w:val="24"/>
        </w:rPr>
        <w:t>董事会会议审议情况</w:t>
      </w:r>
    </w:p>
    <w:p>
      <w:pPr>
        <w:pStyle w:val="15"/>
        <w:numPr>
          <w:ilvl w:val="0"/>
          <w:numId w:val="2"/>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审议通过《关于2024年度向银行等金融机构申请综合授信额度及为</w:t>
      </w:r>
    </w:p>
    <w:p>
      <w:pPr>
        <w:pStyle w:val="15"/>
        <w:autoSpaceDE w:val="0"/>
        <w:autoSpaceDN w:val="0"/>
        <w:adjustRightInd w:val="0"/>
        <w:snapToGrid w:val="0"/>
        <w:spacing w:line="560" w:lineRule="exact"/>
        <w:ind w:firstLine="0" w:firstLineChars="0"/>
        <w:jc w:val="left"/>
        <w:rPr>
          <w:rFonts w:ascii="宋体" w:hAnsi="宋体"/>
          <w:b/>
          <w:color w:val="000000"/>
          <w:sz w:val="24"/>
          <w:szCs w:val="24"/>
        </w:rPr>
      </w:pPr>
      <w:r>
        <w:rPr>
          <w:rFonts w:hint="eastAsia" w:ascii="宋体" w:hAnsi="宋体"/>
          <w:b/>
          <w:color w:val="000000"/>
          <w:sz w:val="24"/>
          <w:szCs w:val="24"/>
        </w:rPr>
        <w:t>子公司提供融资担保额度的议案》</w:t>
      </w:r>
    </w:p>
    <w:p>
      <w:pPr>
        <w:spacing w:line="560" w:lineRule="exact"/>
        <w:ind w:firstLine="480" w:firstLineChars="200"/>
        <w:rPr>
          <w:rFonts w:hint="eastAsia" w:ascii="仿宋" w:hAnsi="仿宋" w:eastAsia="仿宋" w:cs="仿宋"/>
          <w:sz w:val="32"/>
          <w:szCs w:val="32"/>
          <w:highlight w:val="yellow"/>
        </w:rPr>
      </w:pPr>
      <w:r>
        <w:rPr>
          <w:rFonts w:hint="eastAsia" w:ascii="宋体" w:hAnsi="宋体"/>
          <w:color w:val="000000"/>
          <w:sz w:val="24"/>
          <w:szCs w:val="24"/>
        </w:rPr>
        <w:t>公司预计2024年需向银行等金融机构申请综合授信总额度60亿元，上述授信额度为公司有效期内的银行授信额度总额</w:t>
      </w:r>
      <w:r>
        <w:rPr>
          <w:rFonts w:hint="eastAsia" w:ascii="宋体" w:hAnsi="宋体"/>
          <w:color w:val="000000"/>
          <w:sz w:val="24"/>
          <w:szCs w:val="24"/>
          <w:lang w:eastAsia="zh-CN"/>
        </w:rPr>
        <w:t>，</w:t>
      </w:r>
      <w:r>
        <w:rPr>
          <w:rFonts w:hint="eastAsia" w:ascii="宋体" w:hAnsi="宋体"/>
          <w:color w:val="000000"/>
          <w:sz w:val="24"/>
          <w:szCs w:val="24"/>
        </w:rPr>
        <w:t>前述授信额度不等于公司的实际融资金额，公司实际融资金额以与金融机构签订的借款合同/协议为准</w:t>
      </w:r>
      <w:r>
        <w:rPr>
          <w:rFonts w:hint="eastAsia" w:ascii="宋体" w:hAnsi="宋体"/>
          <w:color w:val="000000"/>
          <w:sz w:val="24"/>
          <w:szCs w:val="24"/>
          <w:lang w:eastAsia="zh-CN"/>
        </w:rPr>
        <w:t>，</w:t>
      </w:r>
      <w:r>
        <w:rPr>
          <w:rFonts w:hint="eastAsia" w:ascii="宋体" w:hAnsi="宋体"/>
          <w:color w:val="000000"/>
          <w:sz w:val="24"/>
          <w:szCs w:val="24"/>
          <w:lang w:val="en-US" w:eastAsia="zh-CN"/>
        </w:rPr>
        <w:t>同时</w:t>
      </w:r>
      <w:r>
        <w:rPr>
          <w:rFonts w:hint="eastAsia" w:ascii="宋体" w:hAnsi="宋体"/>
          <w:color w:val="000000"/>
          <w:sz w:val="24"/>
          <w:szCs w:val="24"/>
        </w:rPr>
        <w:t>提请授权公司管理层在上述额度、有效期范围内及公司资产负债率70%以内，实施与申请综合授信额度事项有关的一切事宜，包括但不限于办理并签署有关质押合同、抵押合同、借款合同、提款申请等其他协议文件。</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同时，</w:t>
      </w:r>
      <w:r>
        <w:rPr>
          <w:rFonts w:hint="eastAsia" w:ascii="宋体" w:hAnsi="宋体"/>
          <w:color w:val="000000"/>
          <w:sz w:val="24"/>
          <w:szCs w:val="24"/>
        </w:rPr>
        <w:t>公司2</w:t>
      </w:r>
      <w:r>
        <w:rPr>
          <w:rFonts w:ascii="宋体" w:hAnsi="宋体"/>
          <w:color w:val="000000"/>
          <w:sz w:val="24"/>
          <w:szCs w:val="24"/>
        </w:rPr>
        <w:t>024</w:t>
      </w:r>
      <w:r>
        <w:rPr>
          <w:rFonts w:hint="eastAsia" w:ascii="宋体" w:hAnsi="宋体"/>
          <w:color w:val="000000"/>
          <w:sz w:val="24"/>
          <w:szCs w:val="24"/>
        </w:rPr>
        <w:t>年预计对子公司向银行等金融机构申请综合授信额度提供2.</w:t>
      </w:r>
      <w:r>
        <w:rPr>
          <w:rFonts w:ascii="宋体" w:hAnsi="宋体"/>
          <w:color w:val="000000"/>
          <w:sz w:val="24"/>
          <w:szCs w:val="24"/>
        </w:rPr>
        <w:t>6</w:t>
      </w:r>
      <w:r>
        <w:rPr>
          <w:rFonts w:hint="eastAsia" w:ascii="宋体" w:hAnsi="宋体"/>
          <w:color w:val="000000"/>
          <w:sz w:val="24"/>
          <w:szCs w:val="24"/>
        </w:rPr>
        <w:t>亿元的新增担保额度，相关担保内容详见2024年1月22日刊登于上海证券交易所网站www.sse.com.cn的《关于预计2024年度对子公司新增担保额度的公告》（公告编号：2024-00</w:t>
      </w:r>
      <w:r>
        <w:rPr>
          <w:rFonts w:ascii="宋体" w:hAnsi="宋体"/>
          <w:color w:val="000000"/>
          <w:sz w:val="24"/>
          <w:szCs w:val="24"/>
        </w:rPr>
        <w:t>4</w:t>
      </w:r>
      <w:r>
        <w:rPr>
          <w:rFonts w:hint="eastAsia" w:ascii="宋体" w:hAnsi="宋体"/>
          <w:color w:val="000000"/>
          <w:sz w:val="24"/>
          <w:szCs w:val="24"/>
        </w:rPr>
        <w:t>）。</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表决结果：同意9票；反对0票；弃权0票。</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独立董事对此发表了同意的独立意见。</w:t>
      </w:r>
    </w:p>
    <w:p>
      <w:pPr>
        <w:autoSpaceDE w:val="0"/>
        <w:autoSpaceDN w:val="0"/>
        <w:adjustRightInd w:val="0"/>
        <w:snapToGrid w:val="0"/>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保荐机构中信证券股份有限公司对预计2024年度对子公司</w:t>
      </w:r>
      <w:r>
        <w:rPr>
          <w:rFonts w:hint="eastAsia" w:ascii="宋体" w:hAnsi="宋体"/>
          <w:color w:val="000000"/>
          <w:sz w:val="24"/>
          <w:szCs w:val="24"/>
          <w:lang w:val="en-US" w:eastAsia="zh-CN"/>
        </w:rPr>
        <w:t>新增</w:t>
      </w:r>
      <w:r>
        <w:rPr>
          <w:rFonts w:hint="eastAsia" w:ascii="宋体" w:hAnsi="宋体"/>
          <w:color w:val="000000"/>
          <w:sz w:val="24"/>
          <w:szCs w:val="24"/>
        </w:rPr>
        <w:t>担保额度出具了专项核查意见。</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本议案尚需提交股东大会审议。</w:t>
      </w:r>
    </w:p>
    <w:p>
      <w:pPr>
        <w:pStyle w:val="15"/>
        <w:numPr>
          <w:ilvl w:val="0"/>
          <w:numId w:val="2"/>
        </w:numPr>
        <w:autoSpaceDE w:val="0"/>
        <w:autoSpaceDN w:val="0"/>
        <w:adjustRightInd w:val="0"/>
        <w:snapToGrid w:val="0"/>
        <w:spacing w:line="560" w:lineRule="exact"/>
        <w:ind w:firstLineChars="0"/>
        <w:rPr>
          <w:rFonts w:ascii="宋体" w:hAnsi="宋体"/>
          <w:b/>
          <w:color w:val="000000"/>
          <w:sz w:val="24"/>
          <w:szCs w:val="24"/>
        </w:rPr>
      </w:pPr>
      <w:r>
        <w:rPr>
          <w:rFonts w:hint="eastAsia" w:ascii="宋体" w:hAnsi="宋体"/>
          <w:b/>
          <w:color w:val="000000"/>
          <w:sz w:val="24"/>
          <w:szCs w:val="24"/>
        </w:rPr>
        <w:t>审议通过《关于预计公司2024年度日常关联交易的议案》</w:t>
      </w:r>
    </w:p>
    <w:p>
      <w:pPr>
        <w:adjustRightInd w:val="0"/>
        <w:snapToGrid w:val="0"/>
        <w:spacing w:line="560" w:lineRule="exact"/>
        <w:ind w:firstLine="480" w:firstLineChars="200"/>
        <w:jc w:val="left"/>
        <w:rPr>
          <w:rFonts w:ascii="宋体" w:hAnsi="宋体" w:eastAsia="宋体" w:cs="宋体"/>
          <w:sz w:val="24"/>
          <w:szCs w:val="24"/>
        </w:rPr>
      </w:pPr>
      <w:r>
        <w:rPr>
          <w:rFonts w:ascii="宋体" w:hAnsi="宋体" w:eastAsia="宋体" w:cs="宋体"/>
          <w:sz w:val="24"/>
          <w:szCs w:val="24"/>
        </w:rPr>
        <w:t>相关内容详见202</w:t>
      </w:r>
      <w:r>
        <w:rPr>
          <w:rFonts w:hint="eastAsia" w:ascii="宋体" w:hAnsi="宋体" w:eastAsia="宋体" w:cs="宋体"/>
          <w:sz w:val="24"/>
          <w:szCs w:val="24"/>
        </w:rPr>
        <w:t>4</w:t>
      </w:r>
      <w:r>
        <w:rPr>
          <w:rFonts w:ascii="宋体" w:hAnsi="宋体" w:eastAsia="宋体" w:cs="宋体"/>
          <w:sz w:val="24"/>
          <w:szCs w:val="24"/>
        </w:rPr>
        <w:t>年</w:t>
      </w:r>
      <w:r>
        <w:rPr>
          <w:rFonts w:hint="eastAsia" w:ascii="宋体" w:hAnsi="宋体" w:eastAsia="宋体" w:cs="宋体"/>
          <w:sz w:val="24"/>
          <w:szCs w:val="24"/>
        </w:rPr>
        <w:t>1</w:t>
      </w:r>
      <w:r>
        <w:rPr>
          <w:rFonts w:ascii="宋体" w:hAnsi="宋体" w:eastAsia="宋体" w:cs="宋体"/>
          <w:sz w:val="24"/>
          <w:szCs w:val="24"/>
        </w:rPr>
        <w:t>月</w:t>
      </w:r>
      <w:r>
        <w:rPr>
          <w:rFonts w:hint="eastAsia" w:ascii="宋体" w:hAnsi="宋体" w:eastAsia="宋体" w:cs="宋体"/>
          <w:sz w:val="24"/>
          <w:szCs w:val="24"/>
        </w:rPr>
        <w:t>22</w:t>
      </w:r>
      <w:r>
        <w:rPr>
          <w:rFonts w:ascii="宋体" w:hAnsi="宋体" w:eastAsia="宋体" w:cs="宋体"/>
          <w:sz w:val="24"/>
          <w:szCs w:val="24"/>
        </w:rPr>
        <w:t>日刊登于上海证券交易所网站www.sse.com.cn</w:t>
      </w:r>
      <w:r>
        <w:rPr>
          <w:rFonts w:hint="eastAsia" w:ascii="宋体" w:hAnsi="宋体" w:eastAsia="宋体" w:cs="宋体"/>
          <w:sz w:val="24"/>
          <w:szCs w:val="24"/>
        </w:rPr>
        <w:t>的《关于预计2024年日常关联交易的公告》</w:t>
      </w:r>
      <w:r>
        <w:rPr>
          <w:rFonts w:ascii="宋体" w:hAnsi="宋体" w:eastAsia="宋体" w:cs="宋体"/>
          <w:sz w:val="24"/>
          <w:szCs w:val="24"/>
        </w:rPr>
        <w:t>（公告编号：202</w:t>
      </w:r>
      <w:r>
        <w:rPr>
          <w:rFonts w:hint="eastAsia" w:ascii="宋体" w:hAnsi="宋体" w:eastAsia="宋体" w:cs="宋体"/>
          <w:sz w:val="24"/>
          <w:szCs w:val="24"/>
        </w:rPr>
        <w:t>4-005</w:t>
      </w:r>
      <w:r>
        <w:rPr>
          <w:rFonts w:ascii="宋体" w:hAnsi="宋体" w:eastAsia="宋体" w:cs="宋体"/>
          <w:sz w:val="24"/>
          <w:szCs w:val="24"/>
        </w:rPr>
        <w:t>）。</w:t>
      </w:r>
    </w:p>
    <w:p>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表决结果：同意7票；反对0票；弃权0票。</w:t>
      </w:r>
      <w:r>
        <w:rPr>
          <w:rFonts w:ascii="宋体" w:hAnsi="宋体" w:eastAsia="宋体" w:cs="宋体"/>
          <w:sz w:val="24"/>
          <w:szCs w:val="24"/>
        </w:rPr>
        <w:t>关联董事杨泽民、</w:t>
      </w:r>
      <w:r>
        <w:rPr>
          <w:rFonts w:hint="eastAsia" w:ascii="宋体" w:hAnsi="宋体" w:eastAsia="宋体" w:cs="宋体"/>
          <w:sz w:val="24"/>
          <w:szCs w:val="24"/>
        </w:rPr>
        <w:t>皮统政</w:t>
      </w:r>
      <w:r>
        <w:rPr>
          <w:rFonts w:ascii="宋体" w:hAnsi="宋体" w:eastAsia="宋体" w:cs="宋体"/>
          <w:sz w:val="24"/>
          <w:szCs w:val="24"/>
        </w:rPr>
        <w:t>回避表决。</w:t>
      </w:r>
    </w:p>
    <w:p>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独立董事对此发表了事前认可意见及同意的独立意见。</w:t>
      </w:r>
    </w:p>
    <w:p>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保荐机构中信证券股份有限公司出具了专项核查意见。</w:t>
      </w:r>
    </w:p>
    <w:p>
      <w:pPr>
        <w:pStyle w:val="15"/>
        <w:numPr>
          <w:ilvl w:val="0"/>
          <w:numId w:val="2"/>
        </w:numPr>
        <w:autoSpaceDE w:val="0"/>
        <w:autoSpaceDN w:val="0"/>
        <w:adjustRightInd w:val="0"/>
        <w:snapToGrid w:val="0"/>
        <w:spacing w:line="560" w:lineRule="exact"/>
        <w:ind w:firstLineChars="0"/>
        <w:rPr>
          <w:rFonts w:ascii="宋体" w:hAnsi="宋体"/>
          <w:b/>
          <w:color w:val="000000"/>
          <w:sz w:val="24"/>
          <w:szCs w:val="24"/>
        </w:rPr>
      </w:pPr>
      <w:r>
        <w:rPr>
          <w:rFonts w:hint="eastAsia" w:ascii="宋体" w:hAnsi="宋体"/>
          <w:b/>
          <w:color w:val="000000"/>
          <w:sz w:val="24"/>
          <w:szCs w:val="24"/>
        </w:rPr>
        <w:t>审议通过《关于开展外汇套期保值业务的议案》</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相关内容</w:t>
      </w:r>
      <w:r>
        <w:rPr>
          <w:rFonts w:ascii="宋体" w:hAnsi="宋体" w:eastAsia="宋体" w:cs="宋体"/>
          <w:sz w:val="24"/>
          <w:szCs w:val="24"/>
        </w:rPr>
        <w:t>详见202</w:t>
      </w:r>
      <w:r>
        <w:rPr>
          <w:rFonts w:hint="eastAsia" w:ascii="宋体" w:hAnsi="宋体" w:eastAsia="宋体" w:cs="宋体"/>
          <w:sz w:val="24"/>
          <w:szCs w:val="24"/>
        </w:rPr>
        <w:t>4</w:t>
      </w:r>
      <w:r>
        <w:rPr>
          <w:rFonts w:ascii="宋体" w:hAnsi="宋体" w:eastAsia="宋体" w:cs="宋体"/>
          <w:sz w:val="24"/>
          <w:szCs w:val="24"/>
        </w:rPr>
        <w:t>年</w:t>
      </w:r>
      <w:r>
        <w:rPr>
          <w:rFonts w:hint="eastAsia" w:ascii="宋体" w:hAnsi="宋体" w:eastAsia="宋体" w:cs="宋体"/>
          <w:sz w:val="24"/>
          <w:szCs w:val="24"/>
        </w:rPr>
        <w:t>1</w:t>
      </w:r>
      <w:r>
        <w:rPr>
          <w:rFonts w:ascii="宋体" w:hAnsi="宋体" w:eastAsia="宋体" w:cs="宋体"/>
          <w:sz w:val="24"/>
          <w:szCs w:val="24"/>
        </w:rPr>
        <w:t>月</w:t>
      </w:r>
      <w:r>
        <w:rPr>
          <w:rFonts w:hint="eastAsia" w:ascii="宋体" w:hAnsi="宋体" w:eastAsia="宋体" w:cs="宋体"/>
          <w:sz w:val="24"/>
          <w:szCs w:val="24"/>
        </w:rPr>
        <w:t>22</w:t>
      </w:r>
      <w:r>
        <w:rPr>
          <w:rFonts w:ascii="宋体" w:hAnsi="宋体" w:eastAsia="宋体" w:cs="宋体"/>
          <w:sz w:val="24"/>
          <w:szCs w:val="24"/>
        </w:rPr>
        <w:t>日刊登于上海证券交易所网站www.sse.com.cn</w:t>
      </w:r>
      <w:r>
        <w:rPr>
          <w:rFonts w:hint="eastAsia" w:ascii="宋体" w:hAnsi="宋体"/>
          <w:color w:val="000000"/>
          <w:sz w:val="24"/>
          <w:szCs w:val="24"/>
        </w:rPr>
        <w:t>披露的《关于开展外汇套期保值业务的公告》（公告编号：2024-006）。</w:t>
      </w:r>
    </w:p>
    <w:p>
      <w:pPr>
        <w:autoSpaceDE w:val="0"/>
        <w:autoSpaceDN w:val="0"/>
        <w:adjustRightInd w:val="0"/>
        <w:snapToGrid w:val="0"/>
        <w:spacing w:line="560" w:lineRule="exact"/>
        <w:ind w:left="482"/>
        <w:rPr>
          <w:rFonts w:ascii="宋体" w:hAnsi="宋体"/>
          <w:color w:val="000000"/>
          <w:sz w:val="24"/>
          <w:szCs w:val="24"/>
        </w:rPr>
      </w:pPr>
      <w:r>
        <w:rPr>
          <w:rFonts w:hint="eastAsia" w:ascii="宋体" w:hAnsi="宋体"/>
          <w:color w:val="000000"/>
          <w:sz w:val="24"/>
          <w:szCs w:val="24"/>
        </w:rPr>
        <w:t>表决结果：同意</w:t>
      </w:r>
      <w:r>
        <w:rPr>
          <w:rFonts w:ascii="宋体" w:hAnsi="宋体"/>
          <w:color w:val="000000"/>
          <w:sz w:val="24"/>
          <w:szCs w:val="24"/>
        </w:rPr>
        <w:t>9</w:t>
      </w:r>
      <w:r>
        <w:rPr>
          <w:rFonts w:hint="eastAsia" w:ascii="宋体" w:hAnsi="宋体"/>
          <w:color w:val="000000"/>
          <w:sz w:val="24"/>
          <w:szCs w:val="24"/>
        </w:rPr>
        <w:t>票；反对0票；弃权0票。</w:t>
      </w:r>
    </w:p>
    <w:p>
      <w:pPr>
        <w:autoSpaceDE w:val="0"/>
        <w:autoSpaceDN w:val="0"/>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独立董事对此发表了同意的独立意见。</w:t>
      </w:r>
    </w:p>
    <w:p>
      <w:pPr>
        <w:autoSpaceDE w:val="0"/>
        <w:autoSpaceDN w:val="0"/>
        <w:adjustRightInd w:val="0"/>
        <w:snapToGrid w:val="0"/>
        <w:spacing w:line="560" w:lineRule="exact"/>
        <w:ind w:firstLine="480" w:firstLineChars="200"/>
      </w:pPr>
      <w:r>
        <w:rPr>
          <w:rFonts w:hint="eastAsia" w:ascii="宋体" w:hAnsi="宋体" w:eastAsia="宋体" w:cs="宋体"/>
          <w:sz w:val="24"/>
          <w:szCs w:val="24"/>
        </w:rPr>
        <w:t>保荐机构中信证券股份有限公司出具了专项核查意见。</w:t>
      </w:r>
    </w:p>
    <w:p>
      <w:pPr>
        <w:pStyle w:val="15"/>
        <w:numPr>
          <w:ilvl w:val="0"/>
          <w:numId w:val="2"/>
        </w:numPr>
        <w:autoSpaceDE w:val="0"/>
        <w:autoSpaceDN w:val="0"/>
        <w:adjustRightInd w:val="0"/>
        <w:snapToGrid w:val="0"/>
        <w:spacing w:line="560" w:lineRule="exact"/>
        <w:ind w:firstLineChars="0"/>
        <w:rPr>
          <w:rFonts w:ascii="宋体" w:hAnsi="宋体"/>
          <w:b/>
          <w:color w:val="000000"/>
          <w:sz w:val="24"/>
          <w:szCs w:val="24"/>
        </w:rPr>
      </w:pPr>
      <w:r>
        <w:rPr>
          <w:rFonts w:hint="eastAsia" w:ascii="宋体" w:hAnsi="宋体"/>
          <w:b/>
          <w:color w:val="000000"/>
          <w:sz w:val="24"/>
          <w:szCs w:val="24"/>
        </w:rPr>
        <w:t>审议通过《关于制定&lt;会计师事务所选聘制度&gt;的议案》</w:t>
      </w:r>
    </w:p>
    <w:p>
      <w:pPr>
        <w:autoSpaceDE w:val="0"/>
        <w:autoSpaceDN w:val="0"/>
        <w:adjustRightInd w:val="0"/>
        <w:snapToGrid w:val="0"/>
        <w:spacing w:line="560" w:lineRule="exact"/>
        <w:ind w:firstLine="480" w:firstLineChars="200"/>
        <w:rPr>
          <w:rFonts w:ascii="宋体" w:hAnsi="宋体"/>
          <w:color w:val="000000"/>
          <w:sz w:val="24"/>
          <w:szCs w:val="24"/>
        </w:rPr>
      </w:pPr>
      <w:bookmarkStart w:id="1" w:name="_Hlk130546972"/>
      <w:r>
        <w:rPr>
          <w:rFonts w:hint="eastAsia" w:ascii="宋体" w:hAnsi="宋体"/>
          <w:color w:val="000000"/>
          <w:sz w:val="24"/>
          <w:szCs w:val="24"/>
        </w:rPr>
        <w:t>相关内容详见</w:t>
      </w:r>
      <w:r>
        <w:rPr>
          <w:rFonts w:ascii="宋体" w:hAnsi="宋体" w:eastAsia="宋体" w:cs="宋体"/>
          <w:sz w:val="24"/>
          <w:szCs w:val="24"/>
        </w:rPr>
        <w:t>202</w:t>
      </w:r>
      <w:r>
        <w:rPr>
          <w:rFonts w:hint="eastAsia" w:ascii="宋体" w:hAnsi="宋体" w:eastAsia="宋体" w:cs="宋体"/>
          <w:sz w:val="24"/>
          <w:szCs w:val="24"/>
        </w:rPr>
        <w:t>4</w:t>
      </w:r>
      <w:r>
        <w:rPr>
          <w:rFonts w:ascii="宋体" w:hAnsi="宋体" w:eastAsia="宋体" w:cs="宋体"/>
          <w:sz w:val="24"/>
          <w:szCs w:val="24"/>
        </w:rPr>
        <w:t>年</w:t>
      </w:r>
      <w:r>
        <w:rPr>
          <w:rFonts w:hint="eastAsia" w:ascii="宋体" w:hAnsi="宋体" w:eastAsia="宋体" w:cs="宋体"/>
          <w:sz w:val="24"/>
          <w:szCs w:val="24"/>
        </w:rPr>
        <w:t>1</w:t>
      </w:r>
      <w:r>
        <w:rPr>
          <w:rFonts w:ascii="宋体" w:hAnsi="宋体" w:eastAsia="宋体" w:cs="宋体"/>
          <w:sz w:val="24"/>
          <w:szCs w:val="24"/>
        </w:rPr>
        <w:t>月</w:t>
      </w:r>
      <w:r>
        <w:rPr>
          <w:rFonts w:hint="eastAsia" w:ascii="宋体" w:hAnsi="宋体" w:eastAsia="宋体" w:cs="宋体"/>
          <w:sz w:val="24"/>
          <w:szCs w:val="24"/>
        </w:rPr>
        <w:t>22</w:t>
      </w:r>
      <w:r>
        <w:rPr>
          <w:rFonts w:ascii="宋体" w:hAnsi="宋体" w:eastAsia="宋体" w:cs="宋体"/>
          <w:sz w:val="24"/>
          <w:szCs w:val="24"/>
        </w:rPr>
        <w:t xml:space="preserve">日刊登于上海证券交易所网站www.sse.com.cn </w:t>
      </w:r>
      <w:r>
        <w:rPr>
          <w:rFonts w:hint="eastAsia" w:ascii="宋体" w:hAnsi="宋体"/>
          <w:color w:val="000000"/>
          <w:sz w:val="24"/>
          <w:szCs w:val="24"/>
        </w:rPr>
        <w:t>披露的《会计师事务所选聘制度》。</w:t>
      </w:r>
    </w:p>
    <w:bookmarkEnd w:id="1"/>
    <w:p>
      <w:pPr>
        <w:autoSpaceDE w:val="0"/>
        <w:autoSpaceDN w:val="0"/>
        <w:adjustRightInd w:val="0"/>
        <w:snapToGrid w:val="0"/>
        <w:spacing w:line="560" w:lineRule="exact"/>
        <w:ind w:left="482"/>
        <w:rPr>
          <w:rFonts w:ascii="宋体" w:hAnsi="宋体"/>
          <w:color w:val="000000"/>
          <w:sz w:val="24"/>
          <w:szCs w:val="24"/>
        </w:rPr>
      </w:pPr>
      <w:r>
        <w:rPr>
          <w:rFonts w:hint="eastAsia" w:ascii="宋体" w:hAnsi="宋体"/>
          <w:color w:val="000000"/>
          <w:sz w:val="24"/>
          <w:szCs w:val="24"/>
        </w:rPr>
        <w:t>表决结果：同意</w:t>
      </w:r>
      <w:r>
        <w:rPr>
          <w:rFonts w:ascii="宋体" w:hAnsi="宋体"/>
          <w:color w:val="000000"/>
          <w:sz w:val="24"/>
          <w:szCs w:val="24"/>
        </w:rPr>
        <w:t>9</w:t>
      </w:r>
      <w:r>
        <w:rPr>
          <w:rFonts w:hint="eastAsia" w:ascii="宋体" w:hAnsi="宋体"/>
          <w:color w:val="000000"/>
          <w:sz w:val="24"/>
          <w:szCs w:val="24"/>
        </w:rPr>
        <w:t>票；反对0票；弃权0票。</w:t>
      </w:r>
    </w:p>
    <w:p>
      <w:pPr>
        <w:pStyle w:val="15"/>
        <w:numPr>
          <w:ilvl w:val="0"/>
          <w:numId w:val="2"/>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审议通过《关于公司&lt;2024年限制性股票激励计划（草案）&gt;及其</w:t>
      </w:r>
    </w:p>
    <w:p>
      <w:pPr>
        <w:pStyle w:val="15"/>
        <w:autoSpaceDE w:val="0"/>
        <w:autoSpaceDN w:val="0"/>
        <w:adjustRightInd w:val="0"/>
        <w:snapToGrid w:val="0"/>
        <w:spacing w:line="560" w:lineRule="exact"/>
        <w:ind w:firstLine="0" w:firstLineChars="0"/>
        <w:jc w:val="left"/>
        <w:rPr>
          <w:rFonts w:ascii="宋体" w:hAnsi="宋体"/>
          <w:b/>
          <w:color w:val="000000"/>
          <w:sz w:val="24"/>
          <w:szCs w:val="24"/>
        </w:rPr>
      </w:pPr>
      <w:r>
        <w:rPr>
          <w:rFonts w:hint="eastAsia" w:ascii="宋体" w:hAnsi="宋体"/>
          <w:b/>
          <w:color w:val="000000"/>
          <w:sz w:val="24"/>
          <w:szCs w:val="24"/>
        </w:rPr>
        <w:t>摘要的议案》</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相关内容详见</w:t>
      </w:r>
      <w:r>
        <w:rPr>
          <w:rFonts w:ascii="宋体" w:hAnsi="宋体" w:eastAsia="宋体" w:cs="宋体"/>
          <w:sz w:val="24"/>
          <w:szCs w:val="24"/>
        </w:rPr>
        <w:t>202</w:t>
      </w:r>
      <w:r>
        <w:rPr>
          <w:rFonts w:hint="eastAsia" w:ascii="宋体" w:hAnsi="宋体" w:eastAsia="宋体" w:cs="宋体"/>
          <w:sz w:val="24"/>
          <w:szCs w:val="24"/>
        </w:rPr>
        <w:t>4</w:t>
      </w:r>
      <w:r>
        <w:rPr>
          <w:rFonts w:ascii="宋体" w:hAnsi="宋体" w:eastAsia="宋体" w:cs="宋体"/>
          <w:sz w:val="24"/>
          <w:szCs w:val="24"/>
        </w:rPr>
        <w:t>年</w:t>
      </w:r>
      <w:r>
        <w:rPr>
          <w:rFonts w:hint="eastAsia" w:ascii="宋体" w:hAnsi="宋体" w:eastAsia="宋体" w:cs="宋体"/>
          <w:sz w:val="24"/>
          <w:szCs w:val="24"/>
        </w:rPr>
        <w:t>1</w:t>
      </w:r>
      <w:r>
        <w:rPr>
          <w:rFonts w:ascii="宋体" w:hAnsi="宋体" w:eastAsia="宋体" w:cs="宋体"/>
          <w:sz w:val="24"/>
          <w:szCs w:val="24"/>
        </w:rPr>
        <w:t>月</w:t>
      </w:r>
      <w:r>
        <w:rPr>
          <w:rFonts w:hint="eastAsia" w:ascii="宋体" w:hAnsi="宋体" w:eastAsia="宋体" w:cs="宋体"/>
          <w:sz w:val="24"/>
          <w:szCs w:val="24"/>
        </w:rPr>
        <w:t>22</w:t>
      </w:r>
      <w:r>
        <w:rPr>
          <w:rFonts w:ascii="宋体" w:hAnsi="宋体" w:eastAsia="宋体" w:cs="宋体"/>
          <w:sz w:val="24"/>
          <w:szCs w:val="24"/>
        </w:rPr>
        <w:t xml:space="preserve">日刊登于上海证券交易所网站www.sse.com.cn </w:t>
      </w:r>
      <w:r>
        <w:rPr>
          <w:rFonts w:hint="eastAsia" w:ascii="宋体" w:hAnsi="宋体"/>
          <w:color w:val="000000"/>
          <w:sz w:val="24"/>
          <w:szCs w:val="24"/>
        </w:rPr>
        <w:t>披露的《2024年限制性股票激励计划（草案）》和《2024年限制性股票激励计划（草案）摘要公告》（公告编号：2024-007）。</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关联董事杨林、胡守天、付康、王海波回避表决。</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表决结果：同意5票；反对0票；弃权0票。</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独立董事对此发表了同意的独立意见。</w:t>
      </w:r>
    </w:p>
    <w:p>
      <w:pPr>
        <w:adjustRightInd w:val="0"/>
        <w:snapToGrid w:val="0"/>
        <w:spacing w:line="560" w:lineRule="exact"/>
        <w:ind w:firstLine="480" w:firstLineChars="200"/>
        <w:jc w:val="left"/>
        <w:rPr>
          <w:rFonts w:ascii="方正仿宋_GBK" w:hAnsi="方正仿宋_GBK" w:eastAsia="方正仿宋_GBK" w:cs="方正仿宋_GBK"/>
          <w:sz w:val="32"/>
          <w:szCs w:val="32"/>
        </w:rPr>
      </w:pPr>
      <w:bookmarkStart w:id="2" w:name="_GoBack"/>
      <w:bookmarkEnd w:id="2"/>
      <w:r>
        <w:rPr>
          <w:rFonts w:ascii="宋体" w:hAnsi="宋体" w:eastAsia="宋体" w:cs="宋体"/>
          <w:sz w:val="24"/>
          <w:szCs w:val="24"/>
        </w:rPr>
        <w:t>本议案尚需提交公司股东大会审议。</w:t>
      </w:r>
    </w:p>
    <w:p>
      <w:pPr>
        <w:pStyle w:val="15"/>
        <w:numPr>
          <w:ilvl w:val="0"/>
          <w:numId w:val="2"/>
        </w:numPr>
        <w:autoSpaceDE w:val="0"/>
        <w:autoSpaceDN w:val="0"/>
        <w:adjustRightInd w:val="0"/>
        <w:snapToGrid w:val="0"/>
        <w:spacing w:line="560" w:lineRule="exact"/>
        <w:ind w:firstLineChars="0"/>
        <w:jc w:val="left"/>
        <w:rPr>
          <w:rFonts w:ascii="宋体" w:hAnsi="宋体"/>
          <w:b/>
          <w:sz w:val="24"/>
          <w:szCs w:val="24"/>
        </w:rPr>
      </w:pPr>
      <w:r>
        <w:rPr>
          <w:rFonts w:hint="eastAsia" w:ascii="宋体" w:hAnsi="宋体"/>
          <w:b/>
          <w:sz w:val="24"/>
          <w:szCs w:val="24"/>
        </w:rPr>
        <w:t>审议通过《关于公司&lt;2024年限制性股票激励计划实施考核管理办</w:t>
      </w:r>
    </w:p>
    <w:p>
      <w:pPr>
        <w:pStyle w:val="15"/>
        <w:autoSpaceDE w:val="0"/>
        <w:autoSpaceDN w:val="0"/>
        <w:adjustRightInd w:val="0"/>
        <w:snapToGrid w:val="0"/>
        <w:spacing w:line="560" w:lineRule="exact"/>
        <w:ind w:firstLine="0" w:firstLineChars="0"/>
        <w:jc w:val="left"/>
        <w:rPr>
          <w:rFonts w:ascii="宋体" w:hAnsi="宋体"/>
          <w:b/>
          <w:sz w:val="24"/>
          <w:szCs w:val="24"/>
        </w:rPr>
      </w:pPr>
      <w:r>
        <w:rPr>
          <w:rFonts w:hint="eastAsia" w:ascii="宋体" w:hAnsi="宋体"/>
          <w:b/>
          <w:sz w:val="24"/>
          <w:szCs w:val="24"/>
        </w:rPr>
        <w:t>法&gt;的议案》</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相关内容详见2024年1月22日刊登于上海证券交易所网站www.sse.com.cn 披露的《2024年限制性股票激励计划实施考核管理办法》。</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关联董事杨林、胡守天、付康、王海波回避表决。</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表决结果：同意5票；反对0票；弃权0票。</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独立董事对此发表了同意的独立意见。</w:t>
      </w:r>
    </w:p>
    <w:p>
      <w:pPr>
        <w:adjustRightInd w:val="0"/>
        <w:snapToGrid w:val="0"/>
        <w:spacing w:line="560" w:lineRule="exact"/>
        <w:ind w:firstLine="480" w:firstLineChars="200"/>
        <w:jc w:val="left"/>
        <w:rPr>
          <w:rFonts w:ascii="方正仿宋_GBK" w:hAnsi="方正仿宋_GBK" w:eastAsia="方正仿宋_GBK" w:cs="方正仿宋_GBK"/>
          <w:sz w:val="32"/>
          <w:szCs w:val="32"/>
        </w:rPr>
      </w:pPr>
      <w:r>
        <w:rPr>
          <w:rFonts w:ascii="宋体" w:hAnsi="宋体" w:eastAsia="宋体" w:cs="宋体"/>
          <w:sz w:val="24"/>
          <w:szCs w:val="24"/>
        </w:rPr>
        <w:t>本议案尚需提交公司股东大会审议。</w:t>
      </w:r>
    </w:p>
    <w:p>
      <w:pPr>
        <w:pStyle w:val="15"/>
        <w:numPr>
          <w:ilvl w:val="0"/>
          <w:numId w:val="2"/>
        </w:numPr>
        <w:autoSpaceDE w:val="0"/>
        <w:autoSpaceDN w:val="0"/>
        <w:adjustRightInd w:val="0"/>
        <w:snapToGrid w:val="0"/>
        <w:spacing w:line="560" w:lineRule="exact"/>
        <w:ind w:firstLineChars="0"/>
        <w:jc w:val="left"/>
        <w:rPr>
          <w:rFonts w:ascii="宋体" w:hAnsi="宋体"/>
          <w:b/>
          <w:sz w:val="24"/>
          <w:szCs w:val="24"/>
        </w:rPr>
      </w:pPr>
      <w:r>
        <w:rPr>
          <w:rFonts w:hint="eastAsia" w:ascii="宋体" w:hAnsi="宋体"/>
          <w:b/>
          <w:sz w:val="24"/>
          <w:szCs w:val="24"/>
        </w:rPr>
        <w:t>审议通过《关于提请股东大会授权董事会办理公司2024年限制性股</w:t>
      </w:r>
    </w:p>
    <w:p>
      <w:pPr>
        <w:pStyle w:val="15"/>
        <w:autoSpaceDE w:val="0"/>
        <w:autoSpaceDN w:val="0"/>
        <w:adjustRightInd w:val="0"/>
        <w:snapToGrid w:val="0"/>
        <w:spacing w:line="560" w:lineRule="exact"/>
        <w:ind w:firstLine="0" w:firstLineChars="0"/>
        <w:jc w:val="left"/>
        <w:rPr>
          <w:rFonts w:ascii="宋体" w:hAnsi="宋体"/>
          <w:b/>
          <w:sz w:val="24"/>
          <w:szCs w:val="24"/>
        </w:rPr>
      </w:pPr>
      <w:r>
        <w:rPr>
          <w:rFonts w:hint="eastAsia" w:ascii="宋体" w:hAnsi="宋体"/>
          <w:b/>
          <w:sz w:val="24"/>
          <w:szCs w:val="24"/>
        </w:rPr>
        <w:t>票激励计划相关事宜的议案》</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董事会同意提请股东大会授权董事会办理公司2024年限制性股票激励计划相关事宜，包括但不限于如下事项：</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（一）提请公司股东大会授权董事会负责具体实施限制性股票激励计划的以下事项：</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（1）授权董事会确定激励对象参与本次激励计划的资格和条件，确定本激励计划的授予日；</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（2）授权董事会在公司出现资本公积转增股本、派送股票红利、股票拆细、缩股或配股等事宜时，按照本次激励计划规定的方法对限制性股票数量及所涉及的标的股票数量进行相应的调整；</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（3）授权董事会在公司出现资本公积转增股本、派送股票红利、股票拆细、缩股、配股或派息等事宜时，按照本次激励计划规定的方法对限制性股票授予价格进行相应的调整；</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（4）授权董事会在激励对象符合条件时向激励对象授予限制性股票并办理授予限制性股票所必需的全部事宜，包括与激励对象签署授予协议等；</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（5）授权董事会对激励对象的解除限售的条件和资格进行审查确认，并同意董事会将该项权利授予薪酬与考核委员会行使；</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（6）授权董事会决定激励对象获授的限制性股票是否可以解除限售及解除限售的数量；</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授权董事会办理激励对象限制性股票解除限售时所必需的全部事宜，包括但不限于向证券交易所提出解除限售申请、向登记结算公司申请办理有关登记结算业务、修改《公司章程》、办理公司注册资本的变更登记；</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授权董事会根据公司2024年限制性股票激励计划的规定决定本次激励计划的变更与终止所涉相关事宜，包括但不限于取消激励对象的解除限售资格，对激励对象尚未解除限售的限制性股票回购，办理已身故的激励对象尚未解除限售的限制性股票的补偿和继承事宜，终止本次限制性股票激励计划；</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（9）授权董事会签署、执行、修改、终止任何与本激励计划有关的协议和其他相关协议；</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10）授权董事会对公司本次激励计划进行管理和调整，在与本激励计划的条款一致的前提下不定期制定或修改该计划的管理和实施规定。但如果法律、法规或相关监管机构要求该等修改需得到股东大会或/和相关监管机构的批准，则董事会的该等修改必须得到相应的批准；</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（11）授权董事会实施本次激励计划所需的其他必要事宜，但有关文件明确规定需由股东大会行使的权利除外。</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二）提请公司股东大会授权董事会，就本次激励计划向有关政府、机构办理审批、登记、备案、核准、同意等手续；签署、执行、修改、完成向有关政府、机构、组织、个人提交的文件；修改《公司章程》、办理公司注册资本的变更登记；以及做出其认为与本次激励计划有关的必须、恰当或合适的所有行为。</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（三）提请股东大会为本次激励计划的实施，授权董事会委任符合资质的财务顾问、收款银行、会计师、律师、证券公司等中介机构。</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（四）提请公司股东大会同意，向董事会授权的期限与本次激励计划有效期一致。</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上述授权事项，除法律、行政法规、中国证监会规章、规范性文件、本次激励计划或《公司章程》有明确规定需由董事会决议通过的事项外，其他事项可由董事长或其授权的适当人士代表董事会直接行使。</w:t>
      </w:r>
    </w:p>
    <w:p>
      <w:pPr>
        <w:autoSpaceDE w:val="0"/>
        <w:autoSpaceDN w:val="0"/>
        <w:adjustRightInd w:val="0"/>
        <w:snapToGrid w:val="0"/>
        <w:spacing w:line="560" w:lineRule="exact"/>
        <w:ind w:left="482"/>
        <w:rPr>
          <w:rFonts w:ascii="宋体" w:hAnsi="宋体"/>
          <w:sz w:val="24"/>
          <w:szCs w:val="24"/>
        </w:rPr>
      </w:pPr>
      <w:r>
        <w:rPr>
          <w:rFonts w:hint="eastAsia" w:ascii="宋体" w:hAnsi="宋体"/>
          <w:sz w:val="24"/>
          <w:szCs w:val="24"/>
        </w:rPr>
        <w:t>表决结果：同意</w:t>
      </w:r>
      <w:r>
        <w:rPr>
          <w:rFonts w:ascii="宋体" w:hAnsi="宋体"/>
          <w:sz w:val="24"/>
          <w:szCs w:val="24"/>
        </w:rPr>
        <w:t>9</w:t>
      </w:r>
      <w:r>
        <w:rPr>
          <w:rFonts w:hint="eastAsia" w:ascii="宋体" w:hAnsi="宋体"/>
          <w:sz w:val="24"/>
          <w:szCs w:val="24"/>
        </w:rPr>
        <w:t>票；反对0票；弃权0票。</w:t>
      </w:r>
    </w:p>
    <w:p>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本议案尚需提交股东大会审议通过。</w:t>
      </w:r>
      <w:r>
        <w:rPr>
          <w:rFonts w:ascii="宋体" w:hAnsi="宋体" w:eastAsia="宋体" w:cs="宋体"/>
          <w:sz w:val="24"/>
          <w:szCs w:val="24"/>
        </w:rPr>
        <w:t xml:space="preserve"> </w:t>
      </w:r>
    </w:p>
    <w:p>
      <w:pPr>
        <w:pStyle w:val="15"/>
        <w:numPr>
          <w:ilvl w:val="0"/>
          <w:numId w:val="2"/>
        </w:numPr>
        <w:autoSpaceDE w:val="0"/>
        <w:autoSpaceDN w:val="0"/>
        <w:adjustRightInd w:val="0"/>
        <w:snapToGrid w:val="0"/>
        <w:spacing w:line="560" w:lineRule="exact"/>
        <w:ind w:firstLineChars="0"/>
        <w:rPr>
          <w:rFonts w:ascii="宋体" w:hAnsi="宋体"/>
          <w:b/>
          <w:sz w:val="24"/>
          <w:szCs w:val="24"/>
        </w:rPr>
      </w:pPr>
      <w:r>
        <w:rPr>
          <w:rFonts w:hint="eastAsia" w:ascii="宋体" w:hAnsi="宋体"/>
          <w:b/>
          <w:sz w:val="24"/>
          <w:szCs w:val="24"/>
        </w:rPr>
        <w:t>审议通过《关于提请召开2024年第一次临时股东大会的议案》</w:t>
      </w:r>
    </w:p>
    <w:p>
      <w:pPr>
        <w:adjustRightInd w:val="0"/>
        <w:snapToGrid w:val="0"/>
        <w:spacing w:line="560" w:lineRule="exact"/>
        <w:ind w:firstLine="480" w:firstLineChars="200"/>
        <w:rPr>
          <w:rFonts w:ascii="宋体" w:hAnsi="宋体" w:eastAsia="宋体" w:cs="宋体"/>
          <w:sz w:val="24"/>
          <w:szCs w:val="24"/>
        </w:rPr>
      </w:pPr>
      <w:r>
        <w:rPr>
          <w:rFonts w:ascii="宋体" w:hAnsi="宋体" w:eastAsia="宋体" w:cs="宋体"/>
          <w:sz w:val="24"/>
          <w:szCs w:val="24"/>
        </w:rPr>
        <w:t>相关内容详见202</w:t>
      </w:r>
      <w:r>
        <w:rPr>
          <w:rFonts w:hint="eastAsia" w:ascii="宋体" w:hAnsi="宋体" w:eastAsia="宋体" w:cs="宋体"/>
          <w:sz w:val="24"/>
          <w:szCs w:val="24"/>
        </w:rPr>
        <w:t>4</w:t>
      </w:r>
      <w:r>
        <w:rPr>
          <w:rFonts w:ascii="宋体" w:hAnsi="宋体" w:eastAsia="宋体" w:cs="宋体"/>
          <w:sz w:val="24"/>
          <w:szCs w:val="24"/>
        </w:rPr>
        <w:t>年</w:t>
      </w:r>
      <w:r>
        <w:rPr>
          <w:rFonts w:hint="eastAsia" w:ascii="宋体" w:hAnsi="宋体" w:eastAsia="宋体" w:cs="宋体"/>
          <w:sz w:val="24"/>
          <w:szCs w:val="24"/>
        </w:rPr>
        <w:t>1</w:t>
      </w:r>
      <w:r>
        <w:rPr>
          <w:rFonts w:ascii="宋体" w:hAnsi="宋体" w:eastAsia="宋体" w:cs="宋体"/>
          <w:sz w:val="24"/>
          <w:szCs w:val="24"/>
        </w:rPr>
        <w:t>月</w:t>
      </w:r>
      <w:r>
        <w:rPr>
          <w:rFonts w:hint="eastAsia" w:ascii="宋体" w:hAnsi="宋体" w:eastAsia="宋体" w:cs="宋体"/>
          <w:sz w:val="24"/>
          <w:szCs w:val="24"/>
        </w:rPr>
        <w:t>22</w:t>
      </w:r>
      <w:r>
        <w:rPr>
          <w:rFonts w:ascii="宋体" w:hAnsi="宋体" w:eastAsia="宋体" w:cs="宋体"/>
          <w:sz w:val="24"/>
          <w:szCs w:val="24"/>
        </w:rPr>
        <w:t>日刊登于上海证券交易所网站www.sse.com.cn</w:t>
      </w:r>
      <w:r>
        <w:rPr>
          <w:rFonts w:hint="eastAsia" w:ascii="宋体" w:hAnsi="宋体" w:eastAsia="宋体" w:cs="宋体"/>
          <w:sz w:val="24"/>
          <w:szCs w:val="24"/>
        </w:rPr>
        <w:t>的《关于召开2024年第一次临时股东大会的通知》</w:t>
      </w:r>
      <w:r>
        <w:rPr>
          <w:rFonts w:ascii="宋体" w:hAnsi="宋体" w:eastAsia="宋体" w:cs="宋体"/>
          <w:sz w:val="24"/>
          <w:szCs w:val="24"/>
        </w:rPr>
        <w:t>。（公告编号：202</w:t>
      </w:r>
      <w:r>
        <w:rPr>
          <w:rFonts w:hint="eastAsia" w:ascii="宋体" w:hAnsi="宋体" w:eastAsia="宋体" w:cs="宋体"/>
          <w:sz w:val="24"/>
          <w:szCs w:val="24"/>
        </w:rPr>
        <w:t>4</w:t>
      </w:r>
      <w:r>
        <w:rPr>
          <w:rFonts w:ascii="宋体" w:hAnsi="宋体" w:eastAsia="宋体" w:cs="宋体"/>
          <w:sz w:val="24"/>
          <w:szCs w:val="24"/>
        </w:rPr>
        <w:t>-0</w:t>
      </w:r>
      <w:r>
        <w:rPr>
          <w:rFonts w:hint="eastAsia" w:ascii="宋体" w:hAnsi="宋体" w:eastAsia="宋体" w:cs="宋体"/>
          <w:sz w:val="24"/>
          <w:szCs w:val="24"/>
        </w:rPr>
        <w:t>08</w:t>
      </w:r>
      <w:r>
        <w:rPr>
          <w:rFonts w:ascii="宋体" w:hAnsi="宋体" w:eastAsia="宋体" w:cs="宋体"/>
          <w:sz w:val="24"/>
          <w:szCs w:val="24"/>
        </w:rPr>
        <w:t>）。</w:t>
      </w:r>
    </w:p>
    <w:p>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表决结果：同意9票；反对0票；弃权0票。</w:t>
      </w:r>
    </w:p>
    <w:p>
      <w:pPr>
        <w:pStyle w:val="12"/>
        <w:rPr>
          <w:rFonts w:hAnsi="宋体"/>
          <w:color w:val="auto"/>
        </w:rPr>
      </w:pP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4年1月22日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C382F"/>
    <w:multiLevelType w:val="multilevel"/>
    <w:tmpl w:val="4E2C382F"/>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F1A283A"/>
    <w:multiLevelType w:val="multilevel"/>
    <w:tmpl w:val="5F1A283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3670A"/>
    <w:rsid w:val="000378C7"/>
    <w:rsid w:val="00064FE8"/>
    <w:rsid w:val="00076EFD"/>
    <w:rsid w:val="0008555B"/>
    <w:rsid w:val="000A40E4"/>
    <w:rsid w:val="000B1A1F"/>
    <w:rsid w:val="000C53B9"/>
    <w:rsid w:val="000C72A9"/>
    <w:rsid w:val="000D3DA9"/>
    <w:rsid w:val="000D409C"/>
    <w:rsid w:val="00102455"/>
    <w:rsid w:val="00123266"/>
    <w:rsid w:val="001254C4"/>
    <w:rsid w:val="00140439"/>
    <w:rsid w:val="0014777F"/>
    <w:rsid w:val="001507FC"/>
    <w:rsid w:val="0016249D"/>
    <w:rsid w:val="001723E5"/>
    <w:rsid w:val="00192BD0"/>
    <w:rsid w:val="001A727A"/>
    <w:rsid w:val="001C1ED6"/>
    <w:rsid w:val="001D06CF"/>
    <w:rsid w:val="001D4E14"/>
    <w:rsid w:val="001D51B9"/>
    <w:rsid w:val="00201DED"/>
    <w:rsid w:val="0020797D"/>
    <w:rsid w:val="00207B64"/>
    <w:rsid w:val="00225FE6"/>
    <w:rsid w:val="00252550"/>
    <w:rsid w:val="00277255"/>
    <w:rsid w:val="002B229C"/>
    <w:rsid w:val="002F53E5"/>
    <w:rsid w:val="003112C9"/>
    <w:rsid w:val="003505CE"/>
    <w:rsid w:val="00351429"/>
    <w:rsid w:val="003541EB"/>
    <w:rsid w:val="003571E3"/>
    <w:rsid w:val="00391A1B"/>
    <w:rsid w:val="0039276C"/>
    <w:rsid w:val="003E38F1"/>
    <w:rsid w:val="003F1451"/>
    <w:rsid w:val="00464AFC"/>
    <w:rsid w:val="004A21C8"/>
    <w:rsid w:val="004A790E"/>
    <w:rsid w:val="004B5841"/>
    <w:rsid w:val="004B6BDD"/>
    <w:rsid w:val="004D041E"/>
    <w:rsid w:val="004D0E8E"/>
    <w:rsid w:val="004F172D"/>
    <w:rsid w:val="00522BE2"/>
    <w:rsid w:val="0053579F"/>
    <w:rsid w:val="005429C2"/>
    <w:rsid w:val="0055216A"/>
    <w:rsid w:val="005750AA"/>
    <w:rsid w:val="00575F03"/>
    <w:rsid w:val="005A15BF"/>
    <w:rsid w:val="005A2954"/>
    <w:rsid w:val="005B7B64"/>
    <w:rsid w:val="005F57F9"/>
    <w:rsid w:val="006150E2"/>
    <w:rsid w:val="0063047D"/>
    <w:rsid w:val="00636BAE"/>
    <w:rsid w:val="006704CD"/>
    <w:rsid w:val="00672360"/>
    <w:rsid w:val="00684FFB"/>
    <w:rsid w:val="006A3328"/>
    <w:rsid w:val="006A773E"/>
    <w:rsid w:val="006E4DD1"/>
    <w:rsid w:val="006F3EE0"/>
    <w:rsid w:val="007142F2"/>
    <w:rsid w:val="00726F44"/>
    <w:rsid w:val="00732B9D"/>
    <w:rsid w:val="00737063"/>
    <w:rsid w:val="0078004A"/>
    <w:rsid w:val="007A61FA"/>
    <w:rsid w:val="007B073D"/>
    <w:rsid w:val="007B1916"/>
    <w:rsid w:val="007C3FFA"/>
    <w:rsid w:val="007E572E"/>
    <w:rsid w:val="007F703D"/>
    <w:rsid w:val="007F7EDC"/>
    <w:rsid w:val="008162CF"/>
    <w:rsid w:val="008320FC"/>
    <w:rsid w:val="0084121D"/>
    <w:rsid w:val="0084422E"/>
    <w:rsid w:val="00854FC4"/>
    <w:rsid w:val="00855683"/>
    <w:rsid w:val="00856E6D"/>
    <w:rsid w:val="008A5E36"/>
    <w:rsid w:val="008E4B6F"/>
    <w:rsid w:val="0090186C"/>
    <w:rsid w:val="00902203"/>
    <w:rsid w:val="00915D39"/>
    <w:rsid w:val="00923C08"/>
    <w:rsid w:val="00947C32"/>
    <w:rsid w:val="009679A2"/>
    <w:rsid w:val="00992126"/>
    <w:rsid w:val="009B47DE"/>
    <w:rsid w:val="009D1A30"/>
    <w:rsid w:val="009E3152"/>
    <w:rsid w:val="009E3407"/>
    <w:rsid w:val="00A01CB8"/>
    <w:rsid w:val="00A05D77"/>
    <w:rsid w:val="00A35853"/>
    <w:rsid w:val="00A40BAA"/>
    <w:rsid w:val="00A41695"/>
    <w:rsid w:val="00A51C23"/>
    <w:rsid w:val="00A53142"/>
    <w:rsid w:val="00A5357E"/>
    <w:rsid w:val="00A56C7F"/>
    <w:rsid w:val="00A57119"/>
    <w:rsid w:val="00A81E75"/>
    <w:rsid w:val="00A823F8"/>
    <w:rsid w:val="00AC3419"/>
    <w:rsid w:val="00AD0F45"/>
    <w:rsid w:val="00B016E7"/>
    <w:rsid w:val="00B13254"/>
    <w:rsid w:val="00B3614E"/>
    <w:rsid w:val="00B61EEE"/>
    <w:rsid w:val="00B9137C"/>
    <w:rsid w:val="00B971E4"/>
    <w:rsid w:val="00BA49C4"/>
    <w:rsid w:val="00BB03CC"/>
    <w:rsid w:val="00BB61B6"/>
    <w:rsid w:val="00BC233A"/>
    <w:rsid w:val="00BD3997"/>
    <w:rsid w:val="00BE7D13"/>
    <w:rsid w:val="00BF7BDB"/>
    <w:rsid w:val="00C009B6"/>
    <w:rsid w:val="00C47186"/>
    <w:rsid w:val="00C55BBD"/>
    <w:rsid w:val="00C56BA2"/>
    <w:rsid w:val="00C7508F"/>
    <w:rsid w:val="00CC6AE1"/>
    <w:rsid w:val="00CD08C9"/>
    <w:rsid w:val="00CF4977"/>
    <w:rsid w:val="00D25F85"/>
    <w:rsid w:val="00D4059C"/>
    <w:rsid w:val="00D45861"/>
    <w:rsid w:val="00D46F41"/>
    <w:rsid w:val="00D65BA4"/>
    <w:rsid w:val="00D76D97"/>
    <w:rsid w:val="00D8189C"/>
    <w:rsid w:val="00DB13C5"/>
    <w:rsid w:val="00DB744D"/>
    <w:rsid w:val="00DC6C34"/>
    <w:rsid w:val="00DC78D5"/>
    <w:rsid w:val="00DD62E6"/>
    <w:rsid w:val="00DE6E82"/>
    <w:rsid w:val="00DF73E8"/>
    <w:rsid w:val="00E301F1"/>
    <w:rsid w:val="00E558AE"/>
    <w:rsid w:val="00E667EA"/>
    <w:rsid w:val="00E746B0"/>
    <w:rsid w:val="00E818E9"/>
    <w:rsid w:val="00E82A34"/>
    <w:rsid w:val="00E95F43"/>
    <w:rsid w:val="00EC496E"/>
    <w:rsid w:val="00EE084C"/>
    <w:rsid w:val="00F0268C"/>
    <w:rsid w:val="00F36086"/>
    <w:rsid w:val="00F54E0B"/>
    <w:rsid w:val="00F670DD"/>
    <w:rsid w:val="00F70648"/>
    <w:rsid w:val="00FC17CB"/>
    <w:rsid w:val="00FD0FAD"/>
    <w:rsid w:val="00FE6306"/>
    <w:rsid w:val="00FF7741"/>
    <w:rsid w:val="08317AF9"/>
    <w:rsid w:val="09D93D68"/>
    <w:rsid w:val="0AB96B89"/>
    <w:rsid w:val="0AF40FFC"/>
    <w:rsid w:val="0CB64A29"/>
    <w:rsid w:val="14172444"/>
    <w:rsid w:val="1A171801"/>
    <w:rsid w:val="1DF06EC2"/>
    <w:rsid w:val="224340DA"/>
    <w:rsid w:val="27BD77B9"/>
    <w:rsid w:val="2A6940E5"/>
    <w:rsid w:val="2BBE6134"/>
    <w:rsid w:val="2F9044D2"/>
    <w:rsid w:val="30E156D2"/>
    <w:rsid w:val="3350577D"/>
    <w:rsid w:val="35B55AA7"/>
    <w:rsid w:val="361E1706"/>
    <w:rsid w:val="3AA458EA"/>
    <w:rsid w:val="3BE61717"/>
    <w:rsid w:val="3F2943D2"/>
    <w:rsid w:val="42991A4C"/>
    <w:rsid w:val="42DC0663"/>
    <w:rsid w:val="44D46601"/>
    <w:rsid w:val="454B7184"/>
    <w:rsid w:val="46ED5E7D"/>
    <w:rsid w:val="47312A24"/>
    <w:rsid w:val="4A36568F"/>
    <w:rsid w:val="4DD840D9"/>
    <w:rsid w:val="4E7F373F"/>
    <w:rsid w:val="5150387B"/>
    <w:rsid w:val="521827E2"/>
    <w:rsid w:val="529D4CCA"/>
    <w:rsid w:val="542D006B"/>
    <w:rsid w:val="54CA7B2B"/>
    <w:rsid w:val="54E825DB"/>
    <w:rsid w:val="57B1777A"/>
    <w:rsid w:val="59007E53"/>
    <w:rsid w:val="5CE164BE"/>
    <w:rsid w:val="63C562D2"/>
    <w:rsid w:val="64380EB6"/>
    <w:rsid w:val="6843080A"/>
    <w:rsid w:val="69A55478"/>
    <w:rsid w:val="6A823CB0"/>
    <w:rsid w:val="6EC21834"/>
    <w:rsid w:val="6F8E647A"/>
    <w:rsid w:val="71374B14"/>
    <w:rsid w:val="71E91A60"/>
    <w:rsid w:val="74383A67"/>
    <w:rsid w:val="76310FC3"/>
    <w:rsid w:val="771357EC"/>
    <w:rsid w:val="77D11EA6"/>
    <w:rsid w:val="7C1E2F09"/>
    <w:rsid w:val="7C3E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Change w:id="0" w:author="Jia Yuan" w:date="2024-01-18T15:07:00Z">
        <w:pPr>
          <w:widowControl w:val="0"/>
        </w:pPr>
      </w:pPrChange>
    </w:pPr>
    <w:rPr>
      <w:rPrChange w:id="1" w:author="Jia Yuan" w:date="2024-01-18T15:07:00Z">
        <w:rPr>
          <w:rFonts w:asciiTheme="minorHAnsi" w:hAnsiTheme="minorHAnsi" w:eastAsiaTheme="minorEastAsia" w:cstheme="minorBidi"/>
          <w:kern w:val="2"/>
          <w:sz w:val="21"/>
          <w:szCs w:val="22"/>
          <w:lang w:val="en-US" w:eastAsia="zh-CN" w:bidi="ar-SA"/>
        </w:rPr>
      </w:rPrChange>
    </w:rPr>
  </w:style>
  <w:style w:type="paragraph" w:styleId="3">
    <w:name w:val="Balloon Text"/>
    <w:basedOn w:val="1"/>
    <w:link w:val="16"/>
    <w:autoRedefine/>
    <w:qFormat/>
    <w:uiPriority w:val="0"/>
    <w:rPr>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autoRedefine/>
    <w:qFormat/>
    <w:uiPriority w:val="0"/>
    <w:rPr>
      <w:b/>
      <w:bCs/>
    </w:rPr>
  </w:style>
  <w:style w:type="character" w:styleId="10">
    <w:name w:val="Hyperlink"/>
    <w:basedOn w:val="9"/>
    <w:autoRedefine/>
    <w:unhideWhenUsed/>
    <w:qFormat/>
    <w:uiPriority w:val="0"/>
    <w:rPr>
      <w:color w:val="0563C1" w:themeColor="hyperlink"/>
      <w:u w:val="single"/>
      <w14:textFill>
        <w14:solidFill>
          <w14:schemeClr w14:val="hlink"/>
        </w14:solidFill>
      </w14:textFill>
    </w:rPr>
  </w:style>
  <w:style w:type="character" w:styleId="11">
    <w:name w:val="annotation reference"/>
    <w:basedOn w:val="9"/>
    <w:autoRedefine/>
    <w:qFormat/>
    <w:uiPriority w:val="0"/>
    <w:rPr>
      <w:sz w:val="21"/>
      <w:szCs w:val="21"/>
    </w:rPr>
  </w:style>
  <w:style w:type="paragraph" w:customStyle="1" w:styleId="1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页眉 字符"/>
    <w:basedOn w:val="9"/>
    <w:link w:val="5"/>
    <w:autoRedefine/>
    <w:qFormat/>
    <w:uiPriority w:val="0"/>
    <w:rPr>
      <w:kern w:val="2"/>
      <w:sz w:val="18"/>
      <w:szCs w:val="18"/>
    </w:rPr>
  </w:style>
  <w:style w:type="character" w:customStyle="1" w:styleId="14">
    <w:name w:val="页脚 字符"/>
    <w:basedOn w:val="9"/>
    <w:link w:val="4"/>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批注框文本 字符"/>
    <w:basedOn w:val="9"/>
    <w:link w:val="3"/>
    <w:autoRedefine/>
    <w:qFormat/>
    <w:uiPriority w:val="0"/>
    <w:rPr>
      <w:kern w:val="2"/>
      <w:sz w:val="18"/>
      <w:szCs w:val="18"/>
    </w:rPr>
  </w:style>
  <w:style w:type="character" w:customStyle="1" w:styleId="17">
    <w:name w:val="批注文字 字符"/>
    <w:basedOn w:val="9"/>
    <w:link w:val="2"/>
    <w:autoRedefine/>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7"/>
    <w:autoRedefine/>
    <w:qFormat/>
    <w:uiPriority w:val="0"/>
    <w:rPr>
      <w:rFonts w:asciiTheme="minorHAnsi" w:hAnsiTheme="minorHAnsi" w:eastAsiaTheme="minorEastAsia" w:cstheme="minorBidi"/>
      <w:b/>
      <w:bCs/>
      <w:kern w:val="2"/>
      <w:sz w:val="21"/>
      <w:szCs w:val="22"/>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496</Words>
  <Characters>2828</Characters>
  <Lines>23</Lines>
  <Paragraphs>6</Paragraphs>
  <TotalTime>8</TotalTime>
  <ScaleCrop>false</ScaleCrop>
  <LinksUpToDate>false</LinksUpToDate>
  <CharactersWithSpaces>3318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BJB-ZB-03</dc:creator>
  <cp:lastModifiedBy>Y.    Miss</cp:lastModifiedBy>
  <dcterms:modified xsi:type="dcterms:W3CDTF">2024-01-20T11:48:18Z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1BB73D4E734F4726B5752CFD98D75FFE_13</vt:lpwstr>
  </property>
</Properties>
</file>